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 </w:t>
      </w: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乐昌产业转移工业园控制性详细规</w:t>
      </w:r>
    </w:p>
    <w:p>
      <w:pPr>
        <w:spacing w:line="56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  <w:lang w:val="en-US" w:eastAsia="zh-CN"/>
        </w:rPr>
        <w:t>划局部调整</w:t>
      </w:r>
      <w:r>
        <w:rPr>
          <w:rFonts w:hint="eastAsia" w:ascii="方正小标宋简体" w:eastAsia="方正小标宋简体"/>
          <w:sz w:val="44"/>
          <w:szCs w:val="44"/>
        </w:rPr>
        <w:t>摘要</w:t>
      </w:r>
    </w:p>
    <w:p>
      <w:pPr>
        <w:spacing w:line="560" w:lineRule="exact"/>
        <w:ind w:firstLine="643" w:firstLineChars="200"/>
        <w:rPr>
          <w:rFonts w:ascii="仿宋_GB2312" w:hAnsi="微软雅黑" w:eastAsia="仿宋_GB2312"/>
          <w:b/>
          <w:sz w:val="32"/>
          <w:szCs w:val="32"/>
        </w:rPr>
      </w:pPr>
    </w:p>
    <w:p>
      <w:pPr>
        <w:spacing w:line="560" w:lineRule="exact"/>
        <w:ind w:firstLine="643" w:firstLineChars="200"/>
        <w:rPr>
          <w:rFonts w:ascii="仿宋_GB2312" w:hAnsi="微软雅黑" w:eastAsia="仿宋_GB2312"/>
          <w:b/>
          <w:sz w:val="32"/>
          <w:szCs w:val="32"/>
        </w:rPr>
      </w:pPr>
      <w:r>
        <w:rPr>
          <w:rFonts w:hint="eastAsia" w:ascii="仿宋_GB2312" w:hAnsi="微软雅黑" w:eastAsia="仿宋_GB2312"/>
          <w:b/>
          <w:sz w:val="32"/>
          <w:szCs w:val="32"/>
        </w:rPr>
        <w:t>一、区位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  <w:highlight w:val="none"/>
        </w:rPr>
      </w:pPr>
      <w:r>
        <w:rPr>
          <w:rFonts w:hint="eastAsia" w:ascii="仿宋_GB2312" w:hAnsi="微软雅黑" w:eastAsia="仿宋_GB2312"/>
          <w:sz w:val="32"/>
          <w:szCs w:val="32"/>
          <w:highlight w:val="none"/>
        </w:rPr>
        <w:t>本次调整区域位于乐昌产业转移工业园</w:t>
      </w:r>
      <w:r>
        <w:rPr>
          <w:rFonts w:hint="eastAsia" w:ascii="仿宋_GB2312" w:hAnsi="微软雅黑" w:eastAsia="仿宋_GB2312"/>
          <w:sz w:val="32"/>
          <w:szCs w:val="32"/>
          <w:highlight w:val="none"/>
          <w:lang w:val="en-US" w:eastAsia="zh-CN"/>
        </w:rPr>
        <w:t>城东地块</w:t>
      </w:r>
      <w:r>
        <w:rPr>
          <w:rFonts w:hint="eastAsia" w:ascii="仿宋_GB2312" w:hAnsi="微软雅黑" w:eastAsia="仿宋_GB2312"/>
          <w:sz w:val="32"/>
          <w:szCs w:val="32"/>
          <w:highlight w:val="none"/>
        </w:rPr>
        <w:t>，位于乐昌市东部，距离市区约</w:t>
      </w:r>
      <w:r>
        <w:rPr>
          <w:rFonts w:hint="eastAsia" w:ascii="仿宋_GB2312" w:hAnsi="微软雅黑" w:eastAsia="仿宋_GB2312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_GB2312" w:hAnsi="微软雅黑" w:eastAsia="仿宋_GB2312"/>
          <w:sz w:val="32"/>
          <w:szCs w:val="32"/>
          <w:highlight w:val="none"/>
        </w:rPr>
        <w:t>公里。</w:t>
      </w:r>
    </w:p>
    <w:p>
      <w:pPr>
        <w:spacing w:line="560" w:lineRule="exact"/>
        <w:ind w:firstLine="643" w:firstLineChars="200"/>
        <w:rPr>
          <w:rFonts w:ascii="仿宋_GB2312" w:hAnsi="微软雅黑" w:eastAsia="仿宋_GB2312"/>
          <w:b/>
          <w:sz w:val="32"/>
          <w:szCs w:val="32"/>
        </w:rPr>
      </w:pPr>
      <w:r>
        <w:rPr>
          <w:rFonts w:hint="eastAsia" w:ascii="仿宋_GB2312" w:hAnsi="微软雅黑" w:eastAsia="仿宋_GB2312"/>
          <w:b/>
          <w:sz w:val="32"/>
          <w:szCs w:val="32"/>
        </w:rPr>
        <w:t>二、</w:t>
      </w:r>
      <w:r>
        <w:rPr>
          <w:rFonts w:hint="eastAsia" w:ascii="仿宋_GB2312" w:hAnsi="微软雅黑" w:eastAsia="仿宋_GB2312"/>
          <w:b/>
          <w:sz w:val="32"/>
          <w:szCs w:val="32"/>
          <w:lang w:val="en-US" w:eastAsia="zh-CN"/>
        </w:rPr>
        <w:t>调整</w:t>
      </w:r>
      <w:r>
        <w:rPr>
          <w:rFonts w:hint="eastAsia" w:ascii="仿宋_GB2312" w:hAnsi="微软雅黑" w:eastAsia="仿宋_GB2312"/>
          <w:b/>
          <w:sz w:val="32"/>
          <w:szCs w:val="32"/>
        </w:rPr>
        <w:t>范围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bookmarkStart w:id="0" w:name="_GoBack"/>
      <w:bookmarkEnd w:id="0"/>
      <w:r>
        <w:rPr>
          <w:rFonts w:hint="eastAsia" w:ascii="仿宋_GB2312" w:hAnsi="微软雅黑" w:eastAsia="仿宋_GB2312"/>
          <w:sz w:val="32"/>
          <w:szCs w:val="32"/>
        </w:rPr>
        <w:t>本次调整涉及到城东片区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hAnsi="微软雅黑" w:eastAsia="仿宋_GB2312"/>
          <w:sz w:val="32"/>
          <w:szCs w:val="32"/>
        </w:rPr>
        <w:t>个管理单元。</w:t>
      </w:r>
    </w:p>
    <w:p>
      <w:pPr>
        <w:spacing w:line="560" w:lineRule="exact"/>
        <w:ind w:firstLine="643" w:firstLineChars="200"/>
        <w:rPr>
          <w:rFonts w:ascii="仿宋_GB2312" w:hAnsi="微软雅黑" w:eastAsia="仿宋_GB2312"/>
          <w:b/>
          <w:sz w:val="32"/>
          <w:szCs w:val="32"/>
        </w:rPr>
      </w:pPr>
      <w:r>
        <w:rPr>
          <w:rFonts w:hint="eastAsia" w:ascii="仿宋_GB2312" w:hAnsi="微软雅黑" w:eastAsia="仿宋_GB2312"/>
          <w:b/>
          <w:sz w:val="32"/>
          <w:szCs w:val="32"/>
        </w:rPr>
        <w:t>三、现状情况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土地利用现状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：</w:t>
      </w:r>
      <w:r>
        <w:rPr>
          <w:rFonts w:hint="eastAsia" w:ascii="仿宋_GB2312" w:hAnsi="微软雅黑" w:eastAsia="仿宋_GB2312"/>
          <w:sz w:val="32"/>
          <w:szCs w:val="32"/>
        </w:rPr>
        <w:t>城东片区总面积726.80公顷。其中现状建设用地 229.63公顷，占城东片区总用地的31.59%；非建设用地面积共497.17 公顷，占城东片区总用地的68.41％。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周边建设现状：园区内的建筑大部分分布在城东地块，按照建筑结构不同，将城东地块内的建筑分为四类：一类建筑数量（栋数）占总建筑栋数的7.1%，主要为近年建设的工业厂房，建筑质量较好；二类建筑数量（栋数）占总建筑栋数的14.4%，主要为建筑较好的村民住宅和部分厂房，建筑质量一般；三类建筑数量（栋数）占总建筑栋数的31.8%，主要为村民住宅，建筑质量较差；四类建筑数量（栋数）占总建筑栋数的46.7%，主要为危房旧房、临时建筑物和构筑物。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土地权属现状：城东片区现状已征用地面积为663.43 公顷，占城东片区总用地面积的91.28%，未知或未出让地块占城东片区总用地面积的8.72%。</w:t>
      </w:r>
    </w:p>
    <w:p>
      <w:pPr>
        <w:spacing w:line="560" w:lineRule="exact"/>
        <w:ind w:firstLine="643" w:firstLineChars="200"/>
        <w:rPr>
          <w:rFonts w:hint="default" w:ascii="仿宋_GB2312" w:hAnsi="微软雅黑" w:eastAsia="仿宋_GB2312"/>
          <w:b/>
          <w:sz w:val="32"/>
          <w:szCs w:val="32"/>
          <w:lang w:val="en-US" w:eastAsia="zh-CN"/>
        </w:rPr>
      </w:pPr>
      <w:r>
        <w:rPr>
          <w:rFonts w:hint="eastAsia" w:ascii="仿宋_GB2312" w:hAnsi="微软雅黑" w:eastAsia="仿宋_GB2312"/>
          <w:b/>
          <w:sz w:val="32"/>
          <w:szCs w:val="32"/>
        </w:rPr>
        <w:t>四、</w:t>
      </w:r>
      <w:r>
        <w:rPr>
          <w:rFonts w:hint="eastAsia" w:ascii="仿宋_GB2312" w:hAnsi="微软雅黑" w:eastAsia="仿宋_GB2312"/>
          <w:b/>
          <w:sz w:val="32"/>
          <w:szCs w:val="32"/>
          <w:lang w:val="en-US" w:eastAsia="zh-CN"/>
        </w:rPr>
        <w:t>规划调整内容</w:t>
      </w:r>
    </w:p>
    <w:p>
      <w:pPr>
        <w:spacing w:line="560" w:lineRule="exact"/>
        <w:ind w:firstLine="643" w:firstLineChars="200"/>
        <w:rPr>
          <w:rFonts w:hint="eastAsia" w:ascii="仿宋_GB2312" w:hAnsi="微软雅黑" w:eastAsia="仿宋_GB2312"/>
          <w:b/>
          <w:bCs/>
          <w:sz w:val="32"/>
          <w:szCs w:val="32"/>
        </w:rPr>
      </w:pPr>
      <w:r>
        <w:rPr>
          <w:rFonts w:hint="eastAsia" w:ascii="仿宋_GB2312" w:hAnsi="微软雅黑" w:eastAsia="仿宋_GB2312"/>
          <w:b/>
          <w:bCs/>
          <w:sz w:val="32"/>
          <w:szCs w:val="32"/>
          <w:lang w:val="en-US" w:eastAsia="zh-CN"/>
        </w:rPr>
        <w:t>1、</w:t>
      </w:r>
      <w:r>
        <w:rPr>
          <w:rFonts w:hint="eastAsia" w:ascii="仿宋_GB2312" w:hAnsi="微软雅黑" w:eastAsia="仿宋_GB2312"/>
          <w:b/>
          <w:bCs/>
          <w:sz w:val="32"/>
          <w:szCs w:val="32"/>
        </w:rPr>
        <w:t>规划道路调整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道路线型调整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本次调整主要涉及到道路线型调整的道路有金山四路、环园西路、环园东路超出总规红线部分路段；取消金昌大道南段、金岭二路中段局部道路。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道路断面调整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涉及道路断面调整的道路有金山二路、金岭二路东段路段、建设路和GL-08管理单元内部分道路。</w:t>
      </w:r>
    </w:p>
    <w:p>
      <w:pPr>
        <w:spacing w:line="560" w:lineRule="exact"/>
        <w:ind w:firstLine="643" w:firstLineChars="200"/>
        <w:rPr>
          <w:rFonts w:hint="eastAsia" w:ascii="仿宋_GB2312" w:hAnsi="微软雅黑" w:eastAsia="仿宋_GB2312"/>
          <w:b/>
          <w:bCs/>
          <w:sz w:val="32"/>
          <w:szCs w:val="32"/>
        </w:rPr>
      </w:pPr>
      <w:r>
        <w:rPr>
          <w:rFonts w:hint="eastAsia" w:ascii="仿宋_GB2312" w:hAnsi="微软雅黑" w:eastAsia="仿宋_GB2312"/>
          <w:b/>
          <w:bCs/>
          <w:sz w:val="32"/>
          <w:szCs w:val="32"/>
          <w:lang w:val="en-US" w:eastAsia="zh-CN"/>
        </w:rPr>
        <w:t>2、</w:t>
      </w:r>
      <w:r>
        <w:rPr>
          <w:rFonts w:hint="eastAsia" w:ascii="仿宋_GB2312" w:hAnsi="微软雅黑" w:eastAsia="仿宋_GB2312"/>
          <w:b/>
          <w:bCs/>
          <w:sz w:val="32"/>
          <w:szCs w:val="32"/>
        </w:rPr>
        <w:t>地块用地性质调整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1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GL-01、GL-02管理单元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将金山二路北侧的防护绿地和乐园大道（金山二路以北）两侧的防护绿地调整为工业用地，110KV廊乐线、110kv廊牵线调整至金山二</w:t>
      </w:r>
    </w:p>
    <w:p>
      <w:pPr>
        <w:spacing w:line="560" w:lineRule="exact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路南侧。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GL-03管理单元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扩大GL-03管理单元内的供电用地和环卫用地的面积。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GL-04管理单元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  <w:lang w:eastAsia="zh-CN"/>
        </w:rPr>
      </w:pPr>
      <w:r>
        <w:rPr>
          <w:rFonts w:hint="eastAsia" w:ascii="仿宋_GB2312" w:hAnsi="微软雅黑" w:eastAsia="仿宋_GB2312"/>
          <w:sz w:val="32"/>
          <w:szCs w:val="32"/>
        </w:rPr>
        <w:t>将本单位地块GL-04-10-1、GL-04-11二类居住用地调整为二类工业用地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。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GL-05管理单元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在本单元新增一处供电用地（由GL-06管理单元调整至本单元），占地面积为9000平方米。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GL-06管理单元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将本单元地块GL-06-15-3教育科研用地、地块GL-06-15-2防护绿地调整为工业用地；在地块GL-06-12-1新增一条宽度为12米的防护绿地；扩大原规划的社会停车用地，同时在社会停车用地东侧新增一处邮政设施用地（原规划变电站已调整至GL-05管理单元）。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6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GL-07管理单元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将本单元部分工业用地调整为防护绿地。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  <w:lang w:eastAsia="zh-CN"/>
        </w:rPr>
        <w:t>（</w:t>
      </w:r>
      <w:r>
        <w:rPr>
          <w:rFonts w:hint="eastAsia" w:ascii="仿宋_GB2312" w:hAnsi="微软雅黑" w:eastAsia="仿宋_GB2312"/>
          <w:sz w:val="32"/>
          <w:szCs w:val="32"/>
          <w:lang w:val="en-US" w:eastAsia="zh-CN"/>
        </w:rPr>
        <w:t>7</w:t>
      </w:r>
      <w:r>
        <w:rPr>
          <w:rFonts w:hint="eastAsia" w:ascii="仿宋_GB2312" w:hAnsi="微软雅黑" w:eastAsia="仿宋_GB2312"/>
          <w:sz w:val="32"/>
          <w:szCs w:val="32"/>
          <w:lang w:eastAsia="zh-CN"/>
        </w:rPr>
        <w:t>）</w:t>
      </w:r>
      <w:r>
        <w:rPr>
          <w:rFonts w:hint="eastAsia" w:ascii="仿宋_GB2312" w:hAnsi="微软雅黑" w:eastAsia="仿宋_GB2312"/>
          <w:sz w:val="32"/>
          <w:szCs w:val="32"/>
        </w:rPr>
        <w:t>GL-08管理单元</w:t>
      </w:r>
    </w:p>
    <w:p>
      <w:pPr>
        <w:spacing w:line="560" w:lineRule="exact"/>
        <w:ind w:firstLine="640" w:firstLineChars="200"/>
        <w:rPr>
          <w:rFonts w:hint="eastAsia" w:ascii="仿宋_GB2312" w:hAnsi="微软雅黑" w:eastAsia="仿宋_GB2312"/>
          <w:sz w:val="32"/>
          <w:szCs w:val="32"/>
        </w:rPr>
      </w:pPr>
      <w:r>
        <w:rPr>
          <w:rFonts w:hint="eastAsia" w:ascii="仿宋_GB2312" w:hAnsi="微软雅黑" w:eastAsia="仿宋_GB2312"/>
          <w:sz w:val="32"/>
          <w:szCs w:val="32"/>
        </w:rPr>
        <w:t>对本单元南部的部分工业用地和公园绿地进行调整。</w:t>
      </w:r>
    </w:p>
    <w:p>
      <w:pPr>
        <w:spacing w:line="560" w:lineRule="exact"/>
        <w:ind w:firstLine="643" w:firstLineChars="200"/>
        <w:rPr>
          <w:rFonts w:hint="eastAsia" w:ascii="仿宋_GB2312" w:hAnsi="微软雅黑" w:eastAsia="仿宋_GB2312"/>
          <w:b/>
          <w:bCs/>
          <w:sz w:val="32"/>
          <w:szCs w:val="32"/>
        </w:rPr>
      </w:pPr>
      <w:r>
        <w:rPr>
          <w:rFonts w:hint="eastAsia" w:ascii="仿宋_GB2312" w:hAnsi="微软雅黑" w:eastAsia="仿宋_GB2312"/>
          <w:b/>
          <w:bCs/>
          <w:sz w:val="32"/>
          <w:szCs w:val="32"/>
          <w:lang w:val="en-US" w:eastAsia="zh-CN"/>
        </w:rPr>
        <w:t>3、</w:t>
      </w:r>
      <w:r>
        <w:rPr>
          <w:rFonts w:hint="eastAsia" w:ascii="仿宋_GB2312" w:hAnsi="微软雅黑" w:eastAsia="仿宋_GB2312"/>
          <w:b/>
          <w:bCs/>
          <w:sz w:val="32"/>
          <w:szCs w:val="32"/>
        </w:rPr>
        <w:t>道路及地块的竖向调整</w:t>
      </w:r>
    </w:p>
    <w:p>
      <w:pPr>
        <w:spacing w:line="560" w:lineRule="exact"/>
        <w:ind w:firstLine="640" w:firstLineChars="200"/>
        <w:rPr>
          <w:rFonts w:ascii="仿宋_GB2312" w:hAnsi="微软雅黑" w:eastAsia="仿宋_GB2312"/>
          <w:sz w:val="32"/>
          <w:szCs w:val="32"/>
        </w:rPr>
        <w:sectPr>
          <w:pgSz w:w="11906" w:h="16838"/>
          <w:pgMar w:top="1440" w:right="1080" w:bottom="1440" w:left="1080" w:header="737" w:footer="737" w:gutter="0"/>
          <w:cols w:space="425" w:num="1"/>
          <w:docGrid w:type="lines" w:linePitch="381" w:charSpace="0"/>
        </w:sectPr>
      </w:pPr>
      <w:r>
        <w:rPr>
          <w:rFonts w:hint="eastAsia" w:ascii="仿宋_GB2312" w:hAnsi="微软雅黑" w:eastAsia="仿宋_GB2312"/>
          <w:sz w:val="32"/>
          <w:szCs w:val="32"/>
        </w:rPr>
        <w:t>综合考虑园区场地内的土方平衡，对道路及地块的竖向进行局部调整。</w:t>
      </w:r>
    </w:p>
    <w:p>
      <w:pPr>
        <w:ind w:leftChars="-675" w:right="-1438" w:rightChars="-685" w:hanging="1417" w:hangingChars="675"/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8648065" cy="12230100"/>
            <wp:effectExtent l="0" t="0" r="635" b="0"/>
            <wp:docPr id="1" name="图片 1" descr="08城东-土地利用规划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8城东-土地利用规划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648065" cy="12230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6839" w:h="23814"/>
      <w:pgMar w:top="1440" w:right="1134" w:bottom="1440" w:left="0" w:header="737" w:footer="737" w:gutter="0"/>
      <w:cols w:space="425" w:num="1"/>
      <w:docGrid w:type="lines" w:linePitch="38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HorizontalSpacing w:val="105"/>
  <w:drawingGridVerticalSpacing w:val="38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125A62"/>
    <w:rsid w:val="00041E44"/>
    <w:rsid w:val="00047294"/>
    <w:rsid w:val="00070643"/>
    <w:rsid w:val="00095F5E"/>
    <w:rsid w:val="000D3A31"/>
    <w:rsid w:val="000F6201"/>
    <w:rsid w:val="00100421"/>
    <w:rsid w:val="00125A62"/>
    <w:rsid w:val="00130DEB"/>
    <w:rsid w:val="001A292A"/>
    <w:rsid w:val="001E072E"/>
    <w:rsid w:val="00212F86"/>
    <w:rsid w:val="00227026"/>
    <w:rsid w:val="002836F6"/>
    <w:rsid w:val="002A51E6"/>
    <w:rsid w:val="00343F8C"/>
    <w:rsid w:val="00352A71"/>
    <w:rsid w:val="00363687"/>
    <w:rsid w:val="003A5714"/>
    <w:rsid w:val="00521ADE"/>
    <w:rsid w:val="00560AB3"/>
    <w:rsid w:val="00582A5D"/>
    <w:rsid w:val="0059161C"/>
    <w:rsid w:val="00596AEE"/>
    <w:rsid w:val="0063053A"/>
    <w:rsid w:val="006D17AA"/>
    <w:rsid w:val="006F2F04"/>
    <w:rsid w:val="006F5ED3"/>
    <w:rsid w:val="00707432"/>
    <w:rsid w:val="00796351"/>
    <w:rsid w:val="007B0E85"/>
    <w:rsid w:val="007D6A8E"/>
    <w:rsid w:val="007E196F"/>
    <w:rsid w:val="007E7D94"/>
    <w:rsid w:val="00856756"/>
    <w:rsid w:val="00864F0C"/>
    <w:rsid w:val="008A56C5"/>
    <w:rsid w:val="008C5CFC"/>
    <w:rsid w:val="009434BC"/>
    <w:rsid w:val="009747A7"/>
    <w:rsid w:val="009B0810"/>
    <w:rsid w:val="00A84D0E"/>
    <w:rsid w:val="00AB3A39"/>
    <w:rsid w:val="00AE3F98"/>
    <w:rsid w:val="00B33AA5"/>
    <w:rsid w:val="00B74095"/>
    <w:rsid w:val="00C02313"/>
    <w:rsid w:val="00C536D8"/>
    <w:rsid w:val="00C7098F"/>
    <w:rsid w:val="00D22C01"/>
    <w:rsid w:val="00D31C2D"/>
    <w:rsid w:val="00D47755"/>
    <w:rsid w:val="00E1273F"/>
    <w:rsid w:val="00E24F62"/>
    <w:rsid w:val="00E34D76"/>
    <w:rsid w:val="00E4187C"/>
    <w:rsid w:val="00EB2BEA"/>
    <w:rsid w:val="00FA44BF"/>
    <w:rsid w:val="00FE0D61"/>
    <w:rsid w:val="0EBF093A"/>
    <w:rsid w:val="1CBB1A33"/>
    <w:rsid w:val="276C088E"/>
    <w:rsid w:val="27D55058"/>
    <w:rsid w:val="300B4C7B"/>
    <w:rsid w:val="41A5354A"/>
    <w:rsid w:val="43AC08E5"/>
    <w:rsid w:val="4B263F86"/>
    <w:rsid w:val="4D271A6A"/>
    <w:rsid w:val="63607056"/>
    <w:rsid w:val="70ED1B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8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0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8D2DBC92-5C34-45FC-A0F1-1AFA2450A95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40</Words>
  <Characters>231</Characters>
  <Lines>1</Lines>
  <Paragraphs>1</Paragraphs>
  <TotalTime>44</TotalTime>
  <ScaleCrop>false</ScaleCrop>
  <LinksUpToDate>false</LinksUpToDate>
  <CharactersWithSpaces>270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2020-07-24T03:14:00Z</dcterms:created>
  <dc:creator>Microsoft 帐户</dc:creator>
  <cp:lastModifiedBy>Administrator</cp:lastModifiedBy>
  <cp:lastPrinted>2020-10-10T01:39:00Z</cp:lastPrinted>
  <dcterms:modified xsi:type="dcterms:W3CDTF">2021-08-04T07:22:30Z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