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202</w:t>
      </w:r>
      <w:r>
        <w:rPr>
          <w:rFonts w:hint="eastAsia"/>
          <w:b/>
          <w:sz w:val="44"/>
          <w:szCs w:val="44"/>
          <w:lang w:val="en-US" w:eastAsia="zh-CN"/>
        </w:rPr>
        <w:t>2</w:t>
      </w:r>
      <w:r>
        <w:rPr>
          <w:rFonts w:hint="eastAsia"/>
          <w:b/>
          <w:sz w:val="44"/>
          <w:szCs w:val="44"/>
        </w:rPr>
        <w:t>年</w:t>
      </w:r>
      <w:r>
        <w:rPr>
          <w:rFonts w:hint="eastAsia"/>
          <w:b/>
          <w:sz w:val="44"/>
          <w:szCs w:val="44"/>
          <w:lang w:val="en-US" w:eastAsia="zh-CN"/>
        </w:rPr>
        <w:t>10</w:t>
      </w:r>
      <w:r>
        <w:rPr>
          <w:rFonts w:hint="eastAsia"/>
          <w:b/>
          <w:sz w:val="44"/>
          <w:szCs w:val="44"/>
        </w:rPr>
        <w:t>月乐昌市饮用水源地水质月报表</w:t>
      </w:r>
    </w:p>
    <w:p>
      <w:pPr>
        <w:jc w:val="center"/>
        <w:rPr>
          <w:b/>
          <w:sz w:val="44"/>
          <w:szCs w:val="44"/>
        </w:rPr>
      </w:pPr>
    </w:p>
    <w:p>
      <w:pPr>
        <w:rPr>
          <w:rFonts w:hint="default" w:eastAsia="宋体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韶关市生态环境监测站乐昌分站</w:t>
      </w:r>
    </w:p>
    <w:tbl>
      <w:tblPr>
        <w:tblStyle w:val="4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8"/>
        <w:gridCol w:w="1800"/>
        <w:gridCol w:w="1421"/>
        <w:gridCol w:w="1459"/>
        <w:gridCol w:w="1980"/>
        <w:gridCol w:w="1620"/>
        <w:gridCol w:w="452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水源地序号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水源地名称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水质类别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月取水量（吨）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月达标水量（吨）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水质达标率（%）</w:t>
            </w:r>
          </w:p>
        </w:tc>
        <w:tc>
          <w:tcPr>
            <w:tcW w:w="452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超标项目浓度（mg/L）/超标倍数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68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</w:pPr>
            <w:r>
              <w:rPr>
                <w:rFonts w:hint="eastAsia" w:ascii="宋体" w:cs="宋体"/>
                <w:color w:val="000000"/>
                <w:kern w:val="0"/>
                <w:sz w:val="22"/>
                <w:szCs w:val="22"/>
              </w:rPr>
              <w:t>张滩闸坝上游</w:t>
            </w:r>
            <w:r>
              <w:rPr>
                <w:rFonts w:ascii="宋体" w:cs="宋体"/>
                <w:color w:val="000000"/>
                <w:kern w:val="0"/>
                <w:sz w:val="22"/>
                <w:szCs w:val="22"/>
              </w:rPr>
              <w:t>780</w:t>
            </w:r>
            <w:r>
              <w:rPr>
                <w:rFonts w:hint="eastAsia" w:ascii="宋体" w:cs="宋体"/>
                <w:color w:val="000000"/>
                <w:kern w:val="0"/>
                <w:sz w:val="22"/>
                <w:szCs w:val="22"/>
              </w:rPr>
              <w:t>米处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Ⅱ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1006917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1006917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100</w:t>
            </w:r>
          </w:p>
        </w:tc>
        <w:tc>
          <w:tcPr>
            <w:tcW w:w="4526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68" w:type="dxa"/>
            <w:vAlign w:val="center"/>
          </w:tcPr>
          <w:p>
            <w:pPr>
              <w:jc w:val="center"/>
            </w:pPr>
          </w:p>
        </w:tc>
        <w:tc>
          <w:tcPr>
            <w:tcW w:w="1800" w:type="dxa"/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vAlign w:val="center"/>
          </w:tcPr>
          <w:p>
            <w:pPr>
              <w:jc w:val="center"/>
            </w:pPr>
          </w:p>
        </w:tc>
        <w:tc>
          <w:tcPr>
            <w:tcW w:w="1459" w:type="dxa"/>
            <w:vAlign w:val="center"/>
          </w:tcPr>
          <w:p>
            <w:pPr>
              <w:jc w:val="center"/>
            </w:pPr>
          </w:p>
        </w:tc>
        <w:tc>
          <w:tcPr>
            <w:tcW w:w="1980" w:type="dxa"/>
            <w:vAlign w:val="center"/>
          </w:tcPr>
          <w:p>
            <w:pPr>
              <w:jc w:val="center"/>
            </w:pPr>
          </w:p>
        </w:tc>
        <w:tc>
          <w:tcPr>
            <w:tcW w:w="1620" w:type="dxa"/>
            <w:vAlign w:val="center"/>
          </w:tcPr>
          <w:p>
            <w:pPr>
              <w:jc w:val="center"/>
            </w:pPr>
          </w:p>
        </w:tc>
        <w:tc>
          <w:tcPr>
            <w:tcW w:w="4526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68" w:type="dxa"/>
            <w:vAlign w:val="center"/>
          </w:tcPr>
          <w:p>
            <w:pPr>
              <w:jc w:val="center"/>
            </w:pPr>
          </w:p>
        </w:tc>
        <w:tc>
          <w:tcPr>
            <w:tcW w:w="1800" w:type="dxa"/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vAlign w:val="center"/>
          </w:tcPr>
          <w:p>
            <w:pPr>
              <w:jc w:val="center"/>
            </w:pPr>
          </w:p>
        </w:tc>
        <w:tc>
          <w:tcPr>
            <w:tcW w:w="1459" w:type="dxa"/>
            <w:vAlign w:val="center"/>
          </w:tcPr>
          <w:p>
            <w:pPr>
              <w:jc w:val="center"/>
            </w:pPr>
          </w:p>
        </w:tc>
        <w:tc>
          <w:tcPr>
            <w:tcW w:w="1980" w:type="dxa"/>
            <w:vAlign w:val="center"/>
          </w:tcPr>
          <w:p>
            <w:pPr>
              <w:jc w:val="center"/>
            </w:pPr>
          </w:p>
        </w:tc>
        <w:tc>
          <w:tcPr>
            <w:tcW w:w="1620" w:type="dxa"/>
            <w:vAlign w:val="center"/>
          </w:tcPr>
          <w:p>
            <w:pPr>
              <w:jc w:val="center"/>
            </w:pPr>
          </w:p>
        </w:tc>
        <w:tc>
          <w:tcPr>
            <w:tcW w:w="4526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68" w:type="dxa"/>
            <w:vAlign w:val="center"/>
          </w:tcPr>
          <w:p>
            <w:pPr>
              <w:jc w:val="center"/>
            </w:pPr>
          </w:p>
        </w:tc>
        <w:tc>
          <w:tcPr>
            <w:tcW w:w="1800" w:type="dxa"/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vAlign w:val="center"/>
          </w:tcPr>
          <w:p>
            <w:pPr>
              <w:jc w:val="center"/>
            </w:pPr>
          </w:p>
        </w:tc>
        <w:tc>
          <w:tcPr>
            <w:tcW w:w="1459" w:type="dxa"/>
            <w:vAlign w:val="center"/>
          </w:tcPr>
          <w:p>
            <w:pPr>
              <w:jc w:val="center"/>
            </w:pPr>
          </w:p>
        </w:tc>
        <w:tc>
          <w:tcPr>
            <w:tcW w:w="1980" w:type="dxa"/>
            <w:vAlign w:val="center"/>
          </w:tcPr>
          <w:p>
            <w:pPr>
              <w:jc w:val="center"/>
            </w:pPr>
          </w:p>
        </w:tc>
        <w:tc>
          <w:tcPr>
            <w:tcW w:w="1620" w:type="dxa"/>
            <w:vAlign w:val="center"/>
          </w:tcPr>
          <w:p>
            <w:pPr>
              <w:jc w:val="center"/>
            </w:pPr>
          </w:p>
        </w:tc>
        <w:tc>
          <w:tcPr>
            <w:tcW w:w="4526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68" w:type="dxa"/>
            <w:vAlign w:val="center"/>
          </w:tcPr>
          <w:p>
            <w:pPr>
              <w:jc w:val="center"/>
            </w:pPr>
          </w:p>
        </w:tc>
        <w:tc>
          <w:tcPr>
            <w:tcW w:w="1800" w:type="dxa"/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vAlign w:val="center"/>
          </w:tcPr>
          <w:p>
            <w:pPr>
              <w:jc w:val="center"/>
            </w:pPr>
          </w:p>
        </w:tc>
        <w:tc>
          <w:tcPr>
            <w:tcW w:w="1459" w:type="dxa"/>
            <w:vAlign w:val="center"/>
          </w:tcPr>
          <w:p>
            <w:pPr>
              <w:jc w:val="center"/>
            </w:pPr>
          </w:p>
        </w:tc>
        <w:tc>
          <w:tcPr>
            <w:tcW w:w="1980" w:type="dxa"/>
            <w:vAlign w:val="center"/>
          </w:tcPr>
          <w:p>
            <w:pPr>
              <w:jc w:val="center"/>
            </w:pPr>
          </w:p>
        </w:tc>
        <w:tc>
          <w:tcPr>
            <w:tcW w:w="1620" w:type="dxa"/>
            <w:vAlign w:val="center"/>
          </w:tcPr>
          <w:p>
            <w:pPr>
              <w:jc w:val="center"/>
            </w:pPr>
          </w:p>
        </w:tc>
        <w:tc>
          <w:tcPr>
            <w:tcW w:w="4526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68" w:type="dxa"/>
            <w:vAlign w:val="center"/>
          </w:tcPr>
          <w:p>
            <w:pPr>
              <w:jc w:val="center"/>
            </w:pPr>
          </w:p>
        </w:tc>
        <w:tc>
          <w:tcPr>
            <w:tcW w:w="1800" w:type="dxa"/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vAlign w:val="center"/>
          </w:tcPr>
          <w:p>
            <w:pPr>
              <w:jc w:val="center"/>
            </w:pPr>
          </w:p>
        </w:tc>
        <w:tc>
          <w:tcPr>
            <w:tcW w:w="1459" w:type="dxa"/>
            <w:vAlign w:val="center"/>
          </w:tcPr>
          <w:p>
            <w:pPr>
              <w:jc w:val="center"/>
            </w:pPr>
          </w:p>
        </w:tc>
        <w:tc>
          <w:tcPr>
            <w:tcW w:w="1980" w:type="dxa"/>
            <w:vAlign w:val="center"/>
          </w:tcPr>
          <w:p>
            <w:pPr>
              <w:jc w:val="center"/>
            </w:pPr>
          </w:p>
        </w:tc>
        <w:tc>
          <w:tcPr>
            <w:tcW w:w="1620" w:type="dxa"/>
            <w:vAlign w:val="center"/>
          </w:tcPr>
          <w:p>
            <w:pPr>
              <w:jc w:val="center"/>
            </w:pPr>
          </w:p>
        </w:tc>
        <w:tc>
          <w:tcPr>
            <w:tcW w:w="4526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68" w:type="dxa"/>
            <w:vAlign w:val="center"/>
          </w:tcPr>
          <w:p>
            <w:pPr>
              <w:jc w:val="center"/>
            </w:pPr>
          </w:p>
        </w:tc>
        <w:tc>
          <w:tcPr>
            <w:tcW w:w="1800" w:type="dxa"/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vAlign w:val="center"/>
          </w:tcPr>
          <w:p>
            <w:pPr>
              <w:jc w:val="center"/>
            </w:pPr>
          </w:p>
        </w:tc>
        <w:tc>
          <w:tcPr>
            <w:tcW w:w="1459" w:type="dxa"/>
            <w:vAlign w:val="center"/>
          </w:tcPr>
          <w:p>
            <w:pPr>
              <w:jc w:val="center"/>
            </w:pPr>
          </w:p>
        </w:tc>
        <w:tc>
          <w:tcPr>
            <w:tcW w:w="1980" w:type="dxa"/>
            <w:vAlign w:val="center"/>
          </w:tcPr>
          <w:p>
            <w:pPr>
              <w:jc w:val="center"/>
            </w:pPr>
          </w:p>
        </w:tc>
        <w:tc>
          <w:tcPr>
            <w:tcW w:w="1620" w:type="dxa"/>
            <w:vAlign w:val="center"/>
          </w:tcPr>
          <w:p>
            <w:pPr>
              <w:jc w:val="center"/>
            </w:pPr>
          </w:p>
        </w:tc>
        <w:tc>
          <w:tcPr>
            <w:tcW w:w="4526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589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合计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1006917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1006917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100</w:t>
            </w:r>
          </w:p>
        </w:tc>
        <w:tc>
          <w:tcPr>
            <w:tcW w:w="4526" w:type="dxa"/>
            <w:vAlign w:val="center"/>
          </w:tcPr>
          <w:p>
            <w:pPr>
              <w:jc w:val="center"/>
            </w:pPr>
          </w:p>
        </w:tc>
      </w:tr>
    </w:tbl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备注说明：此数据由乐昌市自来水厂公司提供。</w:t>
      </w:r>
    </w:p>
    <w:p>
      <w:pPr>
        <w:rPr>
          <w:rFonts w:hint="eastAsia" w:eastAsia="宋体"/>
          <w:lang w:eastAsia="zh-CN"/>
        </w:rPr>
      </w:pPr>
      <w:bookmarkStart w:id="0" w:name="_GoBack"/>
      <w:bookmarkEnd w:id="0"/>
    </w:p>
    <w:sectPr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WExZWU1M2EwYWY0ZDM0ZGMxYTU5MDZmYjMxNmIxYmEifQ=="/>
  </w:docVars>
  <w:rsids>
    <w:rsidRoot w:val="005D2E8A"/>
    <w:rsid w:val="00012BD3"/>
    <w:rsid w:val="00017492"/>
    <w:rsid w:val="0003161E"/>
    <w:rsid w:val="00041F5B"/>
    <w:rsid w:val="00063C15"/>
    <w:rsid w:val="00095E39"/>
    <w:rsid w:val="000A1B53"/>
    <w:rsid w:val="000D7560"/>
    <w:rsid w:val="001318BE"/>
    <w:rsid w:val="001377A5"/>
    <w:rsid w:val="00143CC8"/>
    <w:rsid w:val="00146C6F"/>
    <w:rsid w:val="00154FCD"/>
    <w:rsid w:val="001601F1"/>
    <w:rsid w:val="00167EA2"/>
    <w:rsid w:val="0017008F"/>
    <w:rsid w:val="00171A6A"/>
    <w:rsid w:val="00174B0C"/>
    <w:rsid w:val="001A4DEF"/>
    <w:rsid w:val="001B527E"/>
    <w:rsid w:val="001C7036"/>
    <w:rsid w:val="001F1AD4"/>
    <w:rsid w:val="001F4C7C"/>
    <w:rsid w:val="0028314D"/>
    <w:rsid w:val="002F132D"/>
    <w:rsid w:val="002F4288"/>
    <w:rsid w:val="003746F6"/>
    <w:rsid w:val="00386309"/>
    <w:rsid w:val="003A5C02"/>
    <w:rsid w:val="003B05DE"/>
    <w:rsid w:val="003C1336"/>
    <w:rsid w:val="00404600"/>
    <w:rsid w:val="00467B9C"/>
    <w:rsid w:val="004939AC"/>
    <w:rsid w:val="004A398B"/>
    <w:rsid w:val="004A4F80"/>
    <w:rsid w:val="004B58E8"/>
    <w:rsid w:val="004B763A"/>
    <w:rsid w:val="004C59DF"/>
    <w:rsid w:val="004E4D0E"/>
    <w:rsid w:val="004F4F98"/>
    <w:rsid w:val="005014FC"/>
    <w:rsid w:val="00510DA3"/>
    <w:rsid w:val="00555AEC"/>
    <w:rsid w:val="0056707C"/>
    <w:rsid w:val="005858D4"/>
    <w:rsid w:val="005A3CD8"/>
    <w:rsid w:val="005C7E04"/>
    <w:rsid w:val="005D2E8A"/>
    <w:rsid w:val="005E5388"/>
    <w:rsid w:val="0062676F"/>
    <w:rsid w:val="006762D2"/>
    <w:rsid w:val="00686667"/>
    <w:rsid w:val="00686734"/>
    <w:rsid w:val="006A2B1C"/>
    <w:rsid w:val="006D188B"/>
    <w:rsid w:val="006D27BA"/>
    <w:rsid w:val="006D74C5"/>
    <w:rsid w:val="006E6E32"/>
    <w:rsid w:val="007077AC"/>
    <w:rsid w:val="00781A8D"/>
    <w:rsid w:val="00786353"/>
    <w:rsid w:val="0078779E"/>
    <w:rsid w:val="007B6044"/>
    <w:rsid w:val="00805BE6"/>
    <w:rsid w:val="00805D25"/>
    <w:rsid w:val="00832796"/>
    <w:rsid w:val="0083446C"/>
    <w:rsid w:val="00852624"/>
    <w:rsid w:val="0086222E"/>
    <w:rsid w:val="00864E88"/>
    <w:rsid w:val="00865918"/>
    <w:rsid w:val="00871675"/>
    <w:rsid w:val="00880346"/>
    <w:rsid w:val="008B56EA"/>
    <w:rsid w:val="008C7774"/>
    <w:rsid w:val="00922D84"/>
    <w:rsid w:val="009314AE"/>
    <w:rsid w:val="00964C84"/>
    <w:rsid w:val="0099311F"/>
    <w:rsid w:val="009A19D9"/>
    <w:rsid w:val="009A3B7C"/>
    <w:rsid w:val="009B5D51"/>
    <w:rsid w:val="009C0CC6"/>
    <w:rsid w:val="009F6733"/>
    <w:rsid w:val="009F6DE0"/>
    <w:rsid w:val="00A03998"/>
    <w:rsid w:val="00A1759C"/>
    <w:rsid w:val="00A24CBD"/>
    <w:rsid w:val="00A615AC"/>
    <w:rsid w:val="00A67214"/>
    <w:rsid w:val="00AA6DBC"/>
    <w:rsid w:val="00B14A1F"/>
    <w:rsid w:val="00B228E9"/>
    <w:rsid w:val="00B27FE2"/>
    <w:rsid w:val="00B30A69"/>
    <w:rsid w:val="00B8236A"/>
    <w:rsid w:val="00B83574"/>
    <w:rsid w:val="00B939E9"/>
    <w:rsid w:val="00BD3001"/>
    <w:rsid w:val="00BE3A17"/>
    <w:rsid w:val="00BE595F"/>
    <w:rsid w:val="00C04B8A"/>
    <w:rsid w:val="00C17F64"/>
    <w:rsid w:val="00C910BF"/>
    <w:rsid w:val="00CD746E"/>
    <w:rsid w:val="00D0058B"/>
    <w:rsid w:val="00D26A16"/>
    <w:rsid w:val="00D41467"/>
    <w:rsid w:val="00D4581B"/>
    <w:rsid w:val="00D51FD4"/>
    <w:rsid w:val="00D7570D"/>
    <w:rsid w:val="00D938C8"/>
    <w:rsid w:val="00E0455D"/>
    <w:rsid w:val="00E3391F"/>
    <w:rsid w:val="00E52E06"/>
    <w:rsid w:val="00EB5A68"/>
    <w:rsid w:val="00EC1675"/>
    <w:rsid w:val="00F53372"/>
    <w:rsid w:val="00F75126"/>
    <w:rsid w:val="00F81923"/>
    <w:rsid w:val="00FF2CD3"/>
    <w:rsid w:val="018E68C1"/>
    <w:rsid w:val="0B211E70"/>
    <w:rsid w:val="0D874AC5"/>
    <w:rsid w:val="0F77627B"/>
    <w:rsid w:val="115F3764"/>
    <w:rsid w:val="14AD05EE"/>
    <w:rsid w:val="1D9C3DE6"/>
    <w:rsid w:val="205B06E7"/>
    <w:rsid w:val="25A32300"/>
    <w:rsid w:val="26FD2336"/>
    <w:rsid w:val="29F05001"/>
    <w:rsid w:val="3366578C"/>
    <w:rsid w:val="370D3673"/>
    <w:rsid w:val="380E37AA"/>
    <w:rsid w:val="382F62A9"/>
    <w:rsid w:val="38587F07"/>
    <w:rsid w:val="3D202664"/>
    <w:rsid w:val="3F673B55"/>
    <w:rsid w:val="485778FC"/>
    <w:rsid w:val="4B3774F7"/>
    <w:rsid w:val="4B831E24"/>
    <w:rsid w:val="55E955CE"/>
    <w:rsid w:val="6547629F"/>
    <w:rsid w:val="6CAE28CF"/>
    <w:rsid w:val="6CD20F26"/>
    <w:rsid w:val="6EB72A59"/>
    <w:rsid w:val="6FA523D2"/>
    <w:rsid w:val="70E10169"/>
    <w:rsid w:val="71C025AB"/>
    <w:rsid w:val="74B60AD9"/>
    <w:rsid w:val="78827754"/>
    <w:rsid w:val="7C40669A"/>
    <w:rsid w:val="7CE43A81"/>
    <w:rsid w:val="7CF11FF0"/>
    <w:rsid w:val="7DC53869"/>
    <w:rsid w:val="7EE25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C5F4890-37D5-4E19-84B5-2C876AD2A70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122</Words>
  <Characters>155</Characters>
  <Lines>1</Lines>
  <Paragraphs>1</Paragraphs>
  <TotalTime>0</TotalTime>
  <ScaleCrop>false</ScaleCrop>
  <LinksUpToDate>false</LinksUpToDate>
  <CharactersWithSpaces>155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2021-08-13T01:44:00Z</dcterms:created>
  <dc:creator>User</dc:creator>
  <cp:lastModifiedBy>HP</cp:lastModifiedBy>
  <cp:lastPrinted>2022-08-09T08:27:00Z</cp:lastPrinted>
  <dcterms:modified xsi:type="dcterms:W3CDTF">2023-01-05T02:01:32Z</dcterms:modified>
  <dc:title>2014年11月韶关市饮用水源地水质月报表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15254AA73CE343C1B4DF8DDE25B66C3F</vt:lpwstr>
  </property>
</Properties>
</file>