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0"/>
        <w:tabs>
          <w:tab w:val="left" w:pos="774"/>
          <w:tab w:val="center" w:pos="4153"/>
        </w:tabs>
        <w:spacing w:before="156" w:beforeLines="50" w:after="156" w:afterLines="50" w:line="360" w:lineRule="auto"/>
        <w:jc w:val="center"/>
        <w:rPr>
          <w:rFonts w:hint="eastAsia" w:ascii="方正小标宋简体" w:hAnsi="方正小标宋简体" w:eastAsia="方正小标宋简体" w:cs="方正小标宋简体"/>
          <w:b w:val="0"/>
          <w:bCs w:val="0"/>
          <w:color w:val="auto"/>
          <w:sz w:val="44"/>
          <w:szCs w:val="44"/>
          <w:lang w:val="zh-CN"/>
        </w:rPr>
      </w:pPr>
      <w:r>
        <w:rPr>
          <w:rFonts w:hint="eastAsia" w:ascii="方正小标宋简体" w:hAnsi="方正小标宋简体" w:eastAsia="方正小标宋简体" w:cs="方正小标宋简体"/>
          <w:b w:val="0"/>
          <w:bCs w:val="0"/>
          <w:color w:val="auto"/>
          <w:sz w:val="36"/>
          <w:szCs w:val="36"/>
          <w:lang w:val="zh-CN"/>
        </w:rPr>
        <w:t>前  言</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韶关乐昌，地处广东省北部，东与仁化相邻，南与曲江、乳源交界，西北与湖南省宜章县交界，东北与湖南省汝城县接壤，是珠三角辐射内地和内陆各省区进入广东的“桥头堡”，素有“广东北大门”之称。乐昌市拥有著名的西京古道，起源于湖南宜章县途径乐昌市进入广东境内，成为中原及楚文化传入广东的重要通道之一，使乐昌市成为岭南地区最早接受中原文化的地区之一，因此乐昌市又被称为“楚粤孔道”。</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境内群山连绵，林木茂密，山水奇特，风景秀丽，境内有丰富的野生动植物资源，其中“乐昌含笑”为乐昌唯一以县名命名的世界著名的观赏树种。良好的生态环境成为乐昌最大优势和最大资源。在生态功能定位中乐昌属国家重点生态功能区、北江水源涵养区、广东省北部生态发展区。</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近年来，乐昌市依托自身良好的生态优势持续推进生态文明建设，实施新一轮绿化广东大行动和绿美南粤三年行动计划，先后实施了森林碳汇造林工程、森林进城围城工程、生态景观林带建设和乡村绿化美化等四大林业重点生态工程，推进珠江纵深防护林工程、石漠化综合治理工程，取得显著成效，全面提升了城市绿化水平，改善了城市生态环境，林木覆盖率及城区绿化覆盖率持续增长，城市面貌发生巨大变化。</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为深入贯彻落实党的十九大精神和习近平总书记关于森林城市建设的重要指示精神，2019年3月乐昌市委、市政府全面启动国家森林城市建设工作，成立了由市委书记担任组长的创建国家森林城市工作领导小组，向国家林业和草原局报备。2019年10月获得国家林业和草原局的复函支持。为做好乐昌市国家森林城市的建设工作，发挥规划引领作用，特编制本规划。乐昌市委、市政府组织编制《广东省乐昌市国家森林城市建设总体规划（2019-2028年）》（以下简称《规划》）。《规划》在分析乐昌市本底资源条件、与国家森林城市指标的差距、森林城市建设潜力等内容的基础上，论述了乐昌市森林城市建设方向，围绕“</w:t>
      </w:r>
      <w:r>
        <w:rPr>
          <w:rFonts w:hint="eastAsia" w:ascii="Times New Roman" w:hAnsi="Times New Roman" w:eastAsia="仿宋_GB2312" w:cs="Times New Roman"/>
          <w:sz w:val="28"/>
          <w:szCs w:val="28"/>
        </w:rPr>
        <w:t>生态古城，清和乐昌</w:t>
      </w:r>
      <w:r>
        <w:rPr>
          <w:rFonts w:ascii="Times New Roman" w:hAnsi="Times New Roman" w:eastAsia="仿宋_GB2312" w:cs="Times New Roman"/>
          <w:sz w:val="28"/>
          <w:szCs w:val="28"/>
        </w:rPr>
        <w:t>”的规划愿景，从森林生态体系、森林服务体系、森林产业体系、森林生态文化体系和森林支撑体系五大方面着手，针对性地规划了多项生态建设工程，逐步优化森林资源结构，提高森林资源质量，改善城乡生态环境，努力把乐昌市打造为景观优美、生态良好、文化繁荣、林产发达的国家森林城市。</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规划编制过程中，得到广东省林业局、韶关市林业局、乐昌市委、市政府，乐昌市各“创森”成员单位的大力支持和配合，使得规划顺利完成，在此一并感谢。</w:t>
      </w:r>
    </w:p>
    <w:p>
      <w:pPr>
        <w:autoSpaceDE w:val="0"/>
        <w:autoSpaceDN w:val="0"/>
        <w:spacing w:line="360" w:lineRule="auto"/>
        <w:ind w:firstLine="560" w:firstLineChars="200"/>
        <w:rPr>
          <w:rFonts w:ascii="Times New Roman" w:hAnsi="Times New Roman" w:cs="Times New Roman"/>
          <w:sz w:val="28"/>
        </w:rPr>
      </w:pPr>
    </w:p>
    <w:p>
      <w:pPr>
        <w:spacing w:line="360" w:lineRule="auto"/>
        <w:ind w:firstLine="560" w:firstLineChars="2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规划编制组</w:t>
      </w:r>
    </w:p>
    <w:p>
      <w:pPr>
        <w:spacing w:line="360" w:lineRule="auto"/>
        <w:ind w:firstLine="560" w:firstLineChars="2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2020年8月</w:t>
      </w:r>
    </w:p>
    <w:p>
      <w:pPr>
        <w:spacing w:line="360" w:lineRule="auto"/>
        <w:ind w:firstLine="560" w:firstLineChars="200"/>
        <w:rPr>
          <w:rFonts w:ascii="Times New Roman" w:hAnsi="Times New Roman" w:eastAsia="仿宋_GB2312" w:cs="Times New Roman"/>
          <w:sz w:val="28"/>
          <w:szCs w:val="28"/>
        </w:rPr>
      </w:pPr>
    </w:p>
    <w:p>
      <w:pPr>
        <w:rPr>
          <w:rFonts w:ascii="Times New Roman" w:hAnsi="Times New Roman" w:cs="Times New Roman"/>
          <w:lang w:val="zh-CN"/>
        </w:rPr>
        <w:sectPr>
          <w:footerReference r:id="rId4" w:type="default"/>
          <w:pgSz w:w="11906" w:h="16838"/>
          <w:pgMar w:top="1440" w:right="1800" w:bottom="1440" w:left="1800" w:header="851" w:footer="992" w:gutter="0"/>
          <w:cols w:space="425" w:num="1"/>
          <w:docGrid w:type="lines" w:linePitch="312" w:charSpace="0"/>
        </w:sectPr>
      </w:pPr>
    </w:p>
    <w:p>
      <w:pPr>
        <w:pStyle w:val="60"/>
        <w:spacing w:before="156" w:beforeLines="50" w:after="156" w:afterLines="50" w:line="360" w:lineRule="auto"/>
        <w:jc w:val="center"/>
        <w:rPr>
          <w:rFonts w:ascii="Times New Roman" w:hAnsi="Times New Roman" w:eastAsia="仿宋_GB2312"/>
          <w:color w:val="auto"/>
          <w:sz w:val="36"/>
          <w:lang w:val="zh-CN"/>
        </w:rPr>
      </w:pPr>
      <w:r>
        <w:rPr>
          <w:rFonts w:ascii="Times New Roman" w:hAnsi="Times New Roman" w:eastAsia="仿宋_GB2312"/>
          <w:color w:val="auto"/>
          <w:sz w:val="36"/>
          <w:lang w:val="zh-CN"/>
        </w:rPr>
        <w:t>目   录</w:t>
      </w:r>
    </w:p>
    <w:p>
      <w:pPr>
        <w:pStyle w:val="30"/>
        <w:widowControl w:val="0"/>
        <w:tabs>
          <w:tab w:val="right" w:leader="dot" w:pos="8296"/>
        </w:tabs>
        <w:spacing w:before="0" w:after="0" w:line="360" w:lineRule="auto"/>
        <w:jc w:val="both"/>
        <w:rPr>
          <w:rFonts w:ascii="Times New Roman" w:hAnsi="Times New Roman"/>
          <w:caps w:val="0"/>
          <w:kern w:val="44"/>
          <w:sz w:val="21"/>
          <w:szCs w:val="21"/>
        </w:rPr>
      </w:pP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TOC \o "1-2" \h \z \u </w:instrText>
      </w:r>
      <w:r>
        <w:rPr>
          <w:rStyle w:val="54"/>
          <w:rFonts w:ascii="Times New Roman" w:hAnsi="Times New Roman" w:eastAsia="仿宋_GB2312"/>
          <w:sz w:val="22"/>
          <w:szCs w:val="22"/>
        </w:rPr>
        <w:fldChar w:fldCharType="separate"/>
      </w:r>
      <w:r>
        <w:fldChar w:fldCharType="begin"/>
      </w:r>
      <w:r>
        <w:instrText xml:space="preserve"> HYPERLINK \l "_Toc49241508" </w:instrText>
      </w:r>
      <w:r>
        <w:fldChar w:fldCharType="separate"/>
      </w:r>
      <w:r>
        <w:rPr>
          <w:rFonts w:ascii="Times New Roman" w:hAnsi="Times New Roman"/>
          <w:caps w:val="0"/>
          <w:kern w:val="44"/>
          <w:sz w:val="21"/>
          <w:szCs w:val="21"/>
        </w:rPr>
        <w:t>1 建设背景及重要意义</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_Toc49241508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"_Toc49241509" </w:instrText>
      </w:r>
      <w:r>
        <w:fldChar w:fldCharType="separate"/>
      </w:r>
      <w:r>
        <w:rPr>
          <w:rStyle w:val="54"/>
          <w:rFonts w:ascii="Times New Roman" w:hAnsi="Times New Roman" w:eastAsia="仿宋_GB2312"/>
          <w:sz w:val="22"/>
          <w:szCs w:val="22"/>
        </w:rPr>
        <w:t>1.1 乐昌市创建国家森林城市的背景</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_Toc49241509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"_Toc49241510" </w:instrText>
      </w:r>
      <w:r>
        <w:fldChar w:fldCharType="separate"/>
      </w:r>
      <w:r>
        <w:rPr>
          <w:rStyle w:val="54"/>
          <w:rFonts w:ascii="Times New Roman" w:hAnsi="Times New Roman" w:eastAsia="仿宋_GB2312"/>
          <w:sz w:val="22"/>
          <w:szCs w:val="22"/>
        </w:rPr>
        <w:t>1.2 乐昌市创建国家森林城市的意义</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_Toc49241510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"_Toc49241511" </w:instrText>
      </w:r>
      <w:r>
        <w:fldChar w:fldCharType="separate"/>
      </w:r>
      <w:r>
        <w:rPr>
          <w:rFonts w:ascii="Times New Roman" w:hAnsi="Times New Roman"/>
          <w:caps w:val="0"/>
          <w:kern w:val="44"/>
          <w:sz w:val="21"/>
          <w:szCs w:val="21"/>
        </w:rPr>
        <w:t>2 基本概况</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_Toc49241511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9</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"_Toc49241512" </w:instrText>
      </w:r>
      <w:r>
        <w:fldChar w:fldCharType="separate"/>
      </w:r>
      <w:r>
        <w:rPr>
          <w:rStyle w:val="54"/>
          <w:rFonts w:ascii="Times New Roman" w:hAnsi="Times New Roman" w:eastAsia="仿宋_GB2312"/>
          <w:sz w:val="22"/>
          <w:szCs w:val="22"/>
        </w:rPr>
        <w:t>2.1 自然地理概况</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_Toc49241512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9</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"_Toc49241513" </w:instrText>
      </w:r>
      <w:r>
        <w:fldChar w:fldCharType="separate"/>
      </w:r>
      <w:r>
        <w:rPr>
          <w:rStyle w:val="54"/>
          <w:rFonts w:ascii="Times New Roman" w:hAnsi="Times New Roman" w:eastAsia="仿宋_GB2312"/>
          <w:sz w:val="22"/>
          <w:szCs w:val="22"/>
        </w:rPr>
        <w:t>2.2 社会经济概况</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_Toc49241513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"_Toc49241514" </w:instrText>
      </w:r>
      <w:r>
        <w:fldChar w:fldCharType="separate"/>
      </w:r>
      <w:r>
        <w:rPr>
          <w:rStyle w:val="54"/>
          <w:rFonts w:ascii="Times New Roman" w:hAnsi="Times New Roman" w:eastAsia="仿宋_GB2312"/>
          <w:sz w:val="22"/>
          <w:szCs w:val="22"/>
        </w:rPr>
        <w:t>2.3 资源概况</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_Toc49241514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13</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"_Toc49241515" </w:instrText>
      </w:r>
      <w:r>
        <w:fldChar w:fldCharType="separate"/>
      </w:r>
      <w:r>
        <w:rPr>
          <w:rStyle w:val="54"/>
          <w:rFonts w:ascii="Times New Roman" w:hAnsi="Times New Roman" w:eastAsia="仿宋_GB2312"/>
          <w:sz w:val="22"/>
          <w:szCs w:val="22"/>
        </w:rPr>
        <w:t>2.4 环境状况</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_Toc49241515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"_Toc49241516" </w:instrText>
      </w:r>
      <w:r>
        <w:fldChar w:fldCharType="separate"/>
      </w:r>
      <w:r>
        <w:rPr>
          <w:rStyle w:val="54"/>
          <w:rFonts w:ascii="Times New Roman" w:hAnsi="Times New Roman" w:eastAsia="仿宋_GB2312"/>
          <w:sz w:val="22"/>
          <w:szCs w:val="22"/>
        </w:rPr>
        <w:t>2.5 自然保护地概况</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18</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"_Toc49241517" </w:instrText>
      </w:r>
      <w:r>
        <w:fldChar w:fldCharType="separate"/>
      </w:r>
      <w:r>
        <w:rPr>
          <w:rFonts w:ascii="Times New Roman" w:hAnsi="Times New Roman"/>
          <w:caps w:val="0"/>
          <w:kern w:val="44"/>
          <w:sz w:val="21"/>
          <w:szCs w:val="21"/>
        </w:rPr>
        <w:t>3 森林城市建设现状及潜力分析</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_Toc49241517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22</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"_Toc49241518" </w:instrText>
      </w:r>
      <w:r>
        <w:fldChar w:fldCharType="separate"/>
      </w:r>
      <w:r>
        <w:rPr>
          <w:rStyle w:val="54"/>
          <w:rFonts w:ascii="Times New Roman" w:hAnsi="Times New Roman" w:eastAsia="仿宋_GB2312"/>
          <w:sz w:val="22"/>
          <w:szCs w:val="22"/>
        </w:rPr>
        <w:t>3.1 森林资源现状分析</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_Toc49241518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22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"_Toc49241519" </w:instrText>
      </w:r>
      <w:r>
        <w:fldChar w:fldCharType="separate"/>
      </w:r>
      <w:r>
        <w:rPr>
          <w:rStyle w:val="54"/>
          <w:rFonts w:ascii="Times New Roman" w:hAnsi="Times New Roman" w:eastAsia="仿宋_GB2312"/>
          <w:sz w:val="22"/>
          <w:szCs w:val="22"/>
        </w:rPr>
        <w:t>3.2 绿地建设现状分析</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29</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"_Toc49241520" </w:instrText>
      </w:r>
      <w:r>
        <w:fldChar w:fldCharType="separate"/>
      </w:r>
      <w:r>
        <w:rPr>
          <w:rStyle w:val="54"/>
          <w:rFonts w:ascii="Times New Roman" w:hAnsi="Times New Roman" w:eastAsia="仿宋_GB2312"/>
          <w:sz w:val="22"/>
          <w:szCs w:val="22"/>
        </w:rPr>
        <w:t>3.3 “创森”指标分析</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_Toc49241520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32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"_Toc49241521" </w:instrText>
      </w:r>
      <w:r>
        <w:fldChar w:fldCharType="separate"/>
      </w:r>
      <w:r>
        <w:rPr>
          <w:rStyle w:val="54"/>
          <w:rFonts w:ascii="Times New Roman" w:hAnsi="Times New Roman" w:eastAsia="仿宋_GB2312"/>
          <w:sz w:val="22"/>
          <w:szCs w:val="22"/>
        </w:rPr>
        <w:t>3.4 森林城市建设存在的问题</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_Toc49241521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57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"_Toc49241522" </w:instrText>
      </w:r>
      <w:r>
        <w:fldChar w:fldCharType="separate"/>
      </w:r>
      <w:r>
        <w:rPr>
          <w:rStyle w:val="54"/>
          <w:rFonts w:ascii="Times New Roman" w:hAnsi="Times New Roman" w:eastAsia="仿宋_GB2312"/>
          <w:sz w:val="22"/>
          <w:szCs w:val="22"/>
        </w:rPr>
        <w:t>3.5 “创森”的优势与挑战</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_Toc49241522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60</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"_Toc49241523" </w:instrText>
      </w:r>
      <w:r>
        <w:fldChar w:fldCharType="separate"/>
      </w:r>
      <w:r>
        <w:rPr>
          <w:rStyle w:val="54"/>
          <w:rFonts w:ascii="Times New Roman" w:hAnsi="Times New Roman" w:eastAsia="仿宋_GB2312"/>
          <w:sz w:val="22"/>
          <w:szCs w:val="22"/>
        </w:rPr>
        <w:t>3.6 潜力分析</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_Toc49241523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62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"_Toc49241524" </w:instrText>
      </w:r>
      <w:r>
        <w:fldChar w:fldCharType="separate"/>
      </w:r>
      <w:r>
        <w:rPr>
          <w:rFonts w:ascii="Times New Roman" w:hAnsi="Times New Roman"/>
          <w:caps w:val="0"/>
          <w:kern w:val="44"/>
          <w:sz w:val="21"/>
          <w:szCs w:val="21"/>
        </w:rPr>
        <w:t>4 建设目标与布局</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_Toc49241524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67</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"_Toc49241525" </w:instrText>
      </w:r>
      <w:r>
        <w:fldChar w:fldCharType="separate"/>
      </w:r>
      <w:r>
        <w:rPr>
          <w:rStyle w:val="54"/>
          <w:rFonts w:ascii="Times New Roman" w:hAnsi="Times New Roman" w:eastAsia="仿宋_GB2312"/>
          <w:sz w:val="22"/>
          <w:szCs w:val="22"/>
        </w:rPr>
        <w:t>4.1 指导思想</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_Toc49241525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67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"_Toc49241526" </w:instrText>
      </w:r>
      <w:r>
        <w:fldChar w:fldCharType="separate"/>
      </w:r>
      <w:r>
        <w:rPr>
          <w:rStyle w:val="54"/>
          <w:rFonts w:ascii="Times New Roman" w:hAnsi="Times New Roman" w:eastAsia="仿宋_GB2312"/>
          <w:sz w:val="22"/>
          <w:szCs w:val="22"/>
        </w:rPr>
        <w:t>4.2 规划原则</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67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"_Toc49241527" </w:instrText>
      </w:r>
      <w:r>
        <w:fldChar w:fldCharType="separate"/>
      </w:r>
      <w:r>
        <w:rPr>
          <w:rStyle w:val="54"/>
          <w:rFonts w:ascii="Times New Roman" w:hAnsi="Times New Roman" w:eastAsia="仿宋_GB2312"/>
          <w:sz w:val="22"/>
          <w:szCs w:val="22"/>
        </w:rPr>
        <w:t>4.3 相关规划衔接</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_Toc49241527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68</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"_Toc49241528" </w:instrText>
      </w:r>
      <w:r>
        <w:fldChar w:fldCharType="separate"/>
      </w:r>
      <w:r>
        <w:rPr>
          <w:rStyle w:val="54"/>
          <w:rFonts w:ascii="Times New Roman" w:hAnsi="Times New Roman" w:eastAsia="仿宋_GB2312"/>
          <w:sz w:val="22"/>
          <w:szCs w:val="22"/>
        </w:rPr>
        <w:t>4.4 规划依据</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_Toc49241528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70</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"_Toc49241529" </w:instrText>
      </w:r>
      <w:r>
        <w:fldChar w:fldCharType="separate"/>
      </w:r>
      <w:r>
        <w:rPr>
          <w:rStyle w:val="54"/>
          <w:rFonts w:ascii="Times New Roman" w:hAnsi="Times New Roman" w:eastAsia="仿宋_GB2312"/>
          <w:sz w:val="22"/>
          <w:szCs w:val="22"/>
        </w:rPr>
        <w:t>4.5 规划愿景</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74</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"_Toc49241530" </w:instrText>
      </w:r>
      <w:r>
        <w:fldChar w:fldCharType="separate"/>
      </w:r>
      <w:r>
        <w:rPr>
          <w:rStyle w:val="54"/>
          <w:rFonts w:ascii="Times New Roman" w:hAnsi="Times New Roman" w:eastAsia="仿宋_GB2312"/>
          <w:sz w:val="22"/>
          <w:szCs w:val="22"/>
        </w:rPr>
        <w:t>4.6 规划期限</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_Toc49241530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74</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"_Toc49241531" </w:instrText>
      </w:r>
      <w:r>
        <w:fldChar w:fldCharType="separate"/>
      </w:r>
      <w:r>
        <w:rPr>
          <w:rStyle w:val="54"/>
          <w:rFonts w:ascii="Times New Roman" w:hAnsi="Times New Roman" w:eastAsia="仿宋_GB2312"/>
          <w:sz w:val="22"/>
          <w:szCs w:val="22"/>
        </w:rPr>
        <w:t>4.7 规划目标</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_Toc49241531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74</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"_Toc49241532" </w:instrText>
      </w:r>
      <w:r>
        <w:fldChar w:fldCharType="separate"/>
      </w:r>
      <w:r>
        <w:rPr>
          <w:rStyle w:val="54"/>
          <w:rFonts w:ascii="Times New Roman" w:hAnsi="Times New Roman" w:eastAsia="仿宋_GB2312"/>
          <w:sz w:val="22"/>
          <w:szCs w:val="22"/>
        </w:rPr>
        <w:t>4.8 建设布局</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_Toc49241532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80</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"_Toc49241533" </w:instrText>
      </w:r>
      <w:r>
        <w:fldChar w:fldCharType="separate"/>
      </w:r>
      <w:r>
        <w:rPr>
          <w:rFonts w:ascii="Times New Roman" w:hAnsi="Times New Roman"/>
          <w:caps w:val="0"/>
          <w:kern w:val="44"/>
          <w:sz w:val="21"/>
          <w:szCs w:val="21"/>
        </w:rPr>
        <w:t>5 森林生态体系建设规划</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_Toc49241533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82</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"_Toc49241534" </w:instrText>
      </w:r>
      <w:r>
        <w:fldChar w:fldCharType="separate"/>
      </w:r>
      <w:r>
        <w:rPr>
          <w:rStyle w:val="54"/>
          <w:rFonts w:ascii="Times New Roman" w:hAnsi="Times New Roman" w:eastAsia="仿宋_GB2312"/>
          <w:sz w:val="22"/>
          <w:szCs w:val="22"/>
        </w:rPr>
        <w:t>5.1城区增绿提质建设工程</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_Toc49241534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82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"_Toc49241535" </w:instrText>
      </w:r>
      <w:r>
        <w:fldChar w:fldCharType="separate"/>
      </w:r>
      <w:r>
        <w:rPr>
          <w:rStyle w:val="54"/>
          <w:rFonts w:ascii="Times New Roman" w:hAnsi="Times New Roman" w:eastAsia="仿宋_GB2312"/>
          <w:sz w:val="22"/>
          <w:szCs w:val="22"/>
        </w:rPr>
        <w:t>5.2 绿美乡村建设工程</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_Toc49241535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88</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"_Toc49241536" </w:instrText>
      </w:r>
      <w:r>
        <w:fldChar w:fldCharType="separate"/>
      </w:r>
      <w:r>
        <w:rPr>
          <w:rStyle w:val="54"/>
          <w:rFonts w:ascii="Times New Roman" w:hAnsi="Times New Roman" w:eastAsia="仿宋_GB2312"/>
          <w:sz w:val="22"/>
          <w:szCs w:val="22"/>
        </w:rPr>
        <w:t>5.3 绿色廊道建设工程</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94</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"_Toc49241537" </w:instrText>
      </w:r>
      <w:r>
        <w:fldChar w:fldCharType="separate"/>
      </w:r>
      <w:r>
        <w:rPr>
          <w:rStyle w:val="54"/>
          <w:rFonts w:ascii="Times New Roman" w:hAnsi="Times New Roman" w:eastAsia="仿宋_GB2312"/>
          <w:sz w:val="22"/>
          <w:szCs w:val="22"/>
        </w:rPr>
        <w:t>5.4 人工造林工程</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_Toc49241537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99</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"_Toc49241538" </w:instrText>
      </w:r>
      <w:r>
        <w:fldChar w:fldCharType="separate"/>
      </w:r>
      <w:r>
        <w:rPr>
          <w:rStyle w:val="54"/>
          <w:rFonts w:ascii="Times New Roman" w:hAnsi="Times New Roman" w:eastAsia="仿宋_GB2312"/>
          <w:sz w:val="22"/>
          <w:szCs w:val="22"/>
        </w:rPr>
        <w:t>5.5 森林质量提升工程</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_Toc49241538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100</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"_Toc49241539" </w:instrText>
      </w:r>
      <w:r>
        <w:fldChar w:fldCharType="separate"/>
      </w:r>
      <w:r>
        <w:rPr>
          <w:rStyle w:val="54"/>
          <w:rFonts w:ascii="Times New Roman" w:hAnsi="Times New Roman" w:eastAsia="仿宋_GB2312"/>
          <w:sz w:val="22"/>
          <w:szCs w:val="22"/>
        </w:rPr>
        <w:t>5.6 石漠化综合治理工程</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103</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"_Toc49241540" </w:instrText>
      </w:r>
      <w:r>
        <w:fldChar w:fldCharType="separate"/>
      </w:r>
      <w:r>
        <w:rPr>
          <w:rStyle w:val="54"/>
          <w:rFonts w:ascii="Times New Roman" w:hAnsi="Times New Roman" w:eastAsia="仿宋_GB2312"/>
          <w:sz w:val="22"/>
          <w:szCs w:val="22"/>
        </w:rPr>
        <w:t>5.7 受损弃置地生态修复</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_Toc49241540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104</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"_Toc49241541" </w:instrText>
      </w:r>
      <w:r>
        <w:fldChar w:fldCharType="separate"/>
      </w:r>
      <w:r>
        <w:rPr>
          <w:rFonts w:ascii="Times New Roman" w:hAnsi="Times New Roman"/>
          <w:caps w:val="0"/>
          <w:kern w:val="44"/>
          <w:sz w:val="21"/>
          <w:szCs w:val="21"/>
        </w:rPr>
        <w:t>6 森林服务体系建设规划</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_Toc49241541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106</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"_Toc49241542" </w:instrText>
      </w:r>
      <w:r>
        <w:fldChar w:fldCharType="separate"/>
      </w:r>
      <w:r>
        <w:rPr>
          <w:rStyle w:val="54"/>
          <w:rFonts w:ascii="Times New Roman" w:hAnsi="Times New Roman" w:eastAsia="仿宋_GB2312"/>
          <w:sz w:val="22"/>
          <w:szCs w:val="22"/>
        </w:rPr>
        <w:t>6.1 森林康养服务建设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_Toc49241542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106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"_Toc49241543" </w:instrText>
      </w:r>
      <w:r>
        <w:fldChar w:fldCharType="separate"/>
      </w:r>
      <w:r>
        <w:rPr>
          <w:rStyle w:val="54"/>
          <w:rFonts w:ascii="Times New Roman" w:hAnsi="Times New Roman" w:eastAsia="仿宋_GB2312"/>
          <w:sz w:val="22"/>
          <w:szCs w:val="22"/>
        </w:rPr>
        <w:t>6.2 绿道网络建设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_Toc49241543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109</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"_Toc49241544" </w:instrText>
      </w:r>
      <w:r>
        <w:fldChar w:fldCharType="separate"/>
      </w:r>
      <w:r>
        <w:rPr>
          <w:rStyle w:val="54"/>
          <w:rFonts w:ascii="Times New Roman" w:hAnsi="Times New Roman" w:eastAsia="仿宋_GB2312"/>
          <w:sz w:val="22"/>
          <w:szCs w:val="22"/>
        </w:rPr>
        <w:t>6.3 生态标识系统建设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_Toc49241544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111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"_Toc49241545" </w:instrText>
      </w:r>
      <w:r>
        <w:fldChar w:fldCharType="separate"/>
      </w:r>
      <w:r>
        <w:rPr>
          <w:rFonts w:ascii="Times New Roman" w:hAnsi="Times New Roman"/>
          <w:caps w:val="0"/>
          <w:kern w:val="44"/>
          <w:sz w:val="21"/>
          <w:szCs w:val="21"/>
        </w:rPr>
        <w:t>7 森林产业体系建设规划</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_Toc49241545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115</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"_Toc49241546" </w:instrText>
      </w:r>
      <w:r>
        <w:fldChar w:fldCharType="separate"/>
      </w:r>
      <w:r>
        <w:rPr>
          <w:rStyle w:val="54"/>
          <w:rFonts w:ascii="Times New Roman" w:hAnsi="Times New Roman" w:eastAsia="仿宋_GB2312"/>
          <w:sz w:val="22"/>
          <w:szCs w:val="22"/>
        </w:rPr>
        <w:t>7.1 森林生态旅游建设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115</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"_Toc49241547" </w:instrText>
      </w:r>
      <w:r>
        <w:fldChar w:fldCharType="separate"/>
      </w:r>
      <w:r>
        <w:rPr>
          <w:rStyle w:val="54"/>
          <w:rFonts w:ascii="Times New Roman" w:hAnsi="Times New Roman" w:eastAsia="仿宋_GB2312"/>
          <w:sz w:val="22"/>
          <w:szCs w:val="22"/>
        </w:rPr>
        <w:t>7.2 特色经济林产业建设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_Toc49241547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117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"_Toc49241548" </w:instrText>
      </w:r>
      <w:r>
        <w:fldChar w:fldCharType="separate"/>
      </w:r>
      <w:r>
        <w:rPr>
          <w:rStyle w:val="54"/>
          <w:rFonts w:ascii="Times New Roman" w:hAnsi="Times New Roman" w:eastAsia="仿宋_GB2312"/>
          <w:sz w:val="22"/>
          <w:szCs w:val="22"/>
        </w:rPr>
        <w:t>7.3 苗木花卉产业建设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_Toc49241548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121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"_Toc49241549" </w:instrText>
      </w:r>
      <w:r>
        <w:fldChar w:fldCharType="separate"/>
      </w:r>
      <w:r>
        <w:rPr>
          <w:rStyle w:val="54"/>
          <w:rFonts w:ascii="Times New Roman" w:hAnsi="Times New Roman" w:eastAsia="仿宋_GB2312"/>
          <w:sz w:val="22"/>
          <w:szCs w:val="22"/>
        </w:rPr>
        <w:t>7.4 林下经济产业建设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123</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"_Toc49241550" </w:instrText>
      </w:r>
      <w:r>
        <w:fldChar w:fldCharType="separate"/>
      </w:r>
      <w:r>
        <w:rPr>
          <w:rFonts w:ascii="Times New Roman" w:hAnsi="Times New Roman"/>
          <w:caps w:val="0"/>
          <w:kern w:val="44"/>
          <w:sz w:val="21"/>
          <w:szCs w:val="21"/>
        </w:rPr>
        <w:t>8 森林生态文化体系建设规划</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_Toc49241550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126</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"_Toc49241551" </w:instrText>
      </w:r>
      <w:r>
        <w:fldChar w:fldCharType="separate"/>
      </w:r>
      <w:r>
        <w:rPr>
          <w:rStyle w:val="54"/>
          <w:rFonts w:ascii="Times New Roman" w:hAnsi="Times New Roman" w:eastAsia="仿宋_GB2312"/>
          <w:sz w:val="22"/>
          <w:szCs w:val="22"/>
        </w:rPr>
        <w:t>8.1 森林生态文化资源分析</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_Toc49241551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126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"_Toc49241552" </w:instrText>
      </w:r>
      <w:r>
        <w:fldChar w:fldCharType="separate"/>
      </w:r>
      <w:r>
        <w:rPr>
          <w:rStyle w:val="54"/>
          <w:rFonts w:ascii="Times New Roman" w:hAnsi="Times New Roman" w:eastAsia="仿宋_GB2312"/>
          <w:sz w:val="22"/>
          <w:szCs w:val="22"/>
        </w:rPr>
        <w:t>8.2 森林生态文化基地建设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_Toc49241552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127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"_Toc49241553" </w:instrText>
      </w:r>
      <w:r>
        <w:fldChar w:fldCharType="separate"/>
      </w:r>
      <w:r>
        <w:rPr>
          <w:rStyle w:val="54"/>
          <w:rFonts w:ascii="Times New Roman" w:hAnsi="Times New Roman" w:eastAsia="仿宋_GB2312"/>
          <w:sz w:val="22"/>
          <w:szCs w:val="22"/>
        </w:rPr>
        <w:t>8.3 森林生态文化保护与传播</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_Toc49241553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132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"_Toc49241554" </w:instrText>
      </w:r>
      <w:r>
        <w:fldChar w:fldCharType="separate"/>
      </w:r>
      <w:r>
        <w:rPr>
          <w:rFonts w:ascii="Times New Roman" w:hAnsi="Times New Roman"/>
          <w:caps w:val="0"/>
          <w:kern w:val="44"/>
          <w:sz w:val="21"/>
          <w:szCs w:val="21"/>
        </w:rPr>
        <w:t>9 森林支撑体系建设规划</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_Toc49241554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140</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"_Toc49241555" </w:instrText>
      </w:r>
      <w:r>
        <w:fldChar w:fldCharType="separate"/>
      </w:r>
      <w:r>
        <w:rPr>
          <w:rStyle w:val="54"/>
          <w:rFonts w:ascii="Times New Roman" w:hAnsi="Times New Roman" w:eastAsia="仿宋_GB2312"/>
          <w:sz w:val="22"/>
          <w:szCs w:val="22"/>
        </w:rPr>
        <w:t>9.1 森林防火能力提升</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_Toc49241555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140</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"_Toc49241556" </w:instrText>
      </w:r>
      <w:r>
        <w:fldChar w:fldCharType="separate"/>
      </w:r>
      <w:r>
        <w:rPr>
          <w:rStyle w:val="54"/>
          <w:rFonts w:ascii="Times New Roman" w:hAnsi="Times New Roman" w:eastAsia="仿宋_GB2312"/>
          <w:sz w:val="22"/>
          <w:szCs w:val="22"/>
        </w:rPr>
        <w:t>9.2 林业有害生物防治</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142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"_Toc49241557" </w:instrText>
      </w:r>
      <w:r>
        <w:fldChar w:fldCharType="separate"/>
      </w:r>
      <w:r>
        <w:rPr>
          <w:rStyle w:val="54"/>
          <w:rFonts w:ascii="Times New Roman" w:hAnsi="Times New Roman" w:eastAsia="仿宋_GB2312"/>
          <w:sz w:val="22"/>
          <w:szCs w:val="22"/>
        </w:rPr>
        <w:t>9.3 林业科技研究与应用推广</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_Toc49241557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145</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"_Toc49241558" </w:instrText>
      </w:r>
      <w:r>
        <w:fldChar w:fldCharType="separate"/>
      </w:r>
      <w:r>
        <w:rPr>
          <w:rStyle w:val="54"/>
          <w:rFonts w:ascii="Times New Roman" w:hAnsi="Times New Roman" w:eastAsia="仿宋_GB2312"/>
          <w:sz w:val="22"/>
          <w:szCs w:val="22"/>
        </w:rPr>
        <w:t>9.4 林政资源管理体系建设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_Toc49241558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146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"_Toc49241559" </w:instrText>
      </w:r>
      <w:r>
        <w:fldChar w:fldCharType="separate"/>
      </w:r>
      <w:r>
        <w:rPr>
          <w:rStyle w:val="54"/>
          <w:rFonts w:ascii="Times New Roman" w:hAnsi="Times New Roman" w:eastAsia="仿宋_GB2312"/>
          <w:sz w:val="22"/>
          <w:szCs w:val="22"/>
        </w:rPr>
        <w:t>9.5 城区绿地管理体系建设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148</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"_Toc49241560" </w:instrText>
      </w:r>
      <w:r>
        <w:fldChar w:fldCharType="separate"/>
      </w:r>
      <w:r>
        <w:rPr>
          <w:rFonts w:ascii="Times New Roman" w:hAnsi="Times New Roman"/>
          <w:caps w:val="0"/>
          <w:kern w:val="44"/>
          <w:sz w:val="21"/>
          <w:szCs w:val="21"/>
        </w:rPr>
        <w:t>10 树种规划</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_Toc49241560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151</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"_Toc49241561" </w:instrText>
      </w:r>
      <w:r>
        <w:fldChar w:fldCharType="separate"/>
      </w:r>
      <w:r>
        <w:rPr>
          <w:rStyle w:val="54"/>
          <w:rFonts w:ascii="Times New Roman" w:hAnsi="Times New Roman" w:eastAsia="仿宋_GB2312"/>
          <w:sz w:val="22"/>
          <w:szCs w:val="22"/>
        </w:rPr>
        <w:t>10.1 树种选择原则</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_Toc49241561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151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"_Toc49241562" </w:instrText>
      </w:r>
      <w:r>
        <w:fldChar w:fldCharType="separate"/>
      </w:r>
      <w:r>
        <w:rPr>
          <w:rStyle w:val="54"/>
          <w:rFonts w:ascii="Times New Roman" w:hAnsi="Times New Roman" w:eastAsia="仿宋_GB2312"/>
          <w:sz w:val="22"/>
          <w:szCs w:val="22"/>
        </w:rPr>
        <w:t>10.2 树种规划目标</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_Toc49241562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151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"_Toc49241563" </w:instrText>
      </w:r>
      <w:r>
        <w:fldChar w:fldCharType="separate"/>
      </w:r>
      <w:r>
        <w:rPr>
          <w:rStyle w:val="54"/>
          <w:rFonts w:ascii="Times New Roman" w:hAnsi="Times New Roman" w:eastAsia="仿宋_GB2312"/>
          <w:sz w:val="22"/>
          <w:szCs w:val="22"/>
        </w:rPr>
        <w:t>10.3 树种规划选择</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_Toc49241563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152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"_Toc49241564" </w:instrText>
      </w:r>
      <w:r>
        <w:fldChar w:fldCharType="separate"/>
      </w:r>
      <w:r>
        <w:rPr>
          <w:rFonts w:ascii="Times New Roman" w:hAnsi="Times New Roman"/>
          <w:caps w:val="0"/>
          <w:kern w:val="44"/>
          <w:sz w:val="21"/>
          <w:szCs w:val="21"/>
        </w:rPr>
        <w:t>11 投资估算及资金筹措</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_Toc49241564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156</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"_Toc49241565" </w:instrText>
      </w:r>
      <w:r>
        <w:fldChar w:fldCharType="separate"/>
      </w:r>
      <w:r>
        <w:rPr>
          <w:rStyle w:val="54"/>
          <w:rFonts w:ascii="Times New Roman" w:hAnsi="Times New Roman" w:eastAsia="仿宋_GB2312"/>
          <w:sz w:val="22"/>
          <w:szCs w:val="22"/>
        </w:rPr>
        <w:t>11.1 估算依据</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_Toc49241565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156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"_Toc49241566" </w:instrText>
      </w:r>
      <w:r>
        <w:fldChar w:fldCharType="separate"/>
      </w:r>
      <w:r>
        <w:rPr>
          <w:rStyle w:val="54"/>
          <w:rFonts w:ascii="Times New Roman" w:hAnsi="Times New Roman" w:eastAsia="仿宋_GB2312"/>
          <w:sz w:val="22"/>
          <w:szCs w:val="22"/>
        </w:rPr>
        <w:t>11.2 工程投资</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157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"_Toc49241567" </w:instrText>
      </w:r>
      <w:r>
        <w:fldChar w:fldCharType="separate"/>
      </w:r>
      <w:r>
        <w:rPr>
          <w:rStyle w:val="54"/>
          <w:rFonts w:ascii="Times New Roman" w:hAnsi="Times New Roman" w:eastAsia="仿宋_GB2312"/>
          <w:sz w:val="22"/>
          <w:szCs w:val="22"/>
        </w:rPr>
        <w:t>11.3 资金筹措</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_Toc49241567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158</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"_Toc49241568" </w:instrText>
      </w:r>
      <w:r>
        <w:fldChar w:fldCharType="separate"/>
      </w:r>
      <w:r>
        <w:rPr>
          <w:rFonts w:ascii="Times New Roman" w:hAnsi="Times New Roman"/>
          <w:caps w:val="0"/>
          <w:kern w:val="44"/>
          <w:sz w:val="21"/>
          <w:szCs w:val="21"/>
        </w:rPr>
        <w:t>12 效益分析</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_Toc49241568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161</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"_Toc49241569" </w:instrText>
      </w:r>
      <w:r>
        <w:fldChar w:fldCharType="separate"/>
      </w:r>
      <w:r>
        <w:rPr>
          <w:rStyle w:val="54"/>
          <w:rFonts w:ascii="Times New Roman" w:hAnsi="Times New Roman" w:eastAsia="仿宋_GB2312"/>
          <w:sz w:val="22"/>
          <w:szCs w:val="22"/>
        </w:rPr>
        <w:t>12.1 生态效益</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"_Toc49241570" </w:instrText>
      </w:r>
      <w:r>
        <w:fldChar w:fldCharType="separate"/>
      </w:r>
      <w:r>
        <w:rPr>
          <w:rStyle w:val="54"/>
          <w:rFonts w:ascii="Times New Roman" w:hAnsi="Times New Roman" w:eastAsia="仿宋_GB2312"/>
          <w:sz w:val="22"/>
          <w:szCs w:val="22"/>
        </w:rPr>
        <w:t>12.2 社会效益</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_Toc49241570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164</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"_Toc49241571" </w:instrText>
      </w:r>
      <w:r>
        <w:fldChar w:fldCharType="separate"/>
      </w:r>
      <w:r>
        <w:rPr>
          <w:rStyle w:val="54"/>
          <w:rFonts w:ascii="Times New Roman" w:hAnsi="Times New Roman" w:eastAsia="仿宋_GB2312"/>
          <w:sz w:val="22"/>
          <w:szCs w:val="22"/>
        </w:rPr>
        <w:t>12.3 经济效益</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_Toc49241571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"_Toc49241572" </w:instrText>
      </w:r>
      <w:r>
        <w:fldChar w:fldCharType="separate"/>
      </w:r>
      <w:r>
        <w:rPr>
          <w:rFonts w:ascii="Times New Roman" w:hAnsi="Times New Roman"/>
          <w:caps w:val="0"/>
          <w:kern w:val="44"/>
          <w:sz w:val="21"/>
          <w:szCs w:val="21"/>
        </w:rPr>
        <w:t>13规划实施保障措施</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_Toc49241572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167</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"_Toc49241573" </w:instrText>
      </w:r>
      <w:r>
        <w:fldChar w:fldCharType="separate"/>
      </w:r>
      <w:r>
        <w:rPr>
          <w:rStyle w:val="54"/>
          <w:rFonts w:ascii="Times New Roman" w:hAnsi="Times New Roman" w:eastAsia="仿宋_GB2312"/>
          <w:sz w:val="22"/>
          <w:szCs w:val="22"/>
        </w:rPr>
        <w:t>13.1 组织保障</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_Toc49241573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"_Toc49241574" </w:instrText>
      </w:r>
      <w:r>
        <w:fldChar w:fldCharType="separate"/>
      </w:r>
      <w:r>
        <w:rPr>
          <w:rStyle w:val="54"/>
          <w:rFonts w:ascii="Times New Roman" w:hAnsi="Times New Roman" w:eastAsia="仿宋_GB2312"/>
          <w:sz w:val="22"/>
          <w:szCs w:val="22"/>
        </w:rPr>
        <w:t>13.2 制度与政策保障</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_Toc49241574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"_Toc49241575" </w:instrText>
      </w:r>
      <w:r>
        <w:fldChar w:fldCharType="separate"/>
      </w:r>
      <w:r>
        <w:rPr>
          <w:rStyle w:val="54"/>
          <w:rFonts w:ascii="Times New Roman" w:hAnsi="Times New Roman" w:eastAsia="仿宋_GB2312"/>
          <w:sz w:val="22"/>
          <w:szCs w:val="22"/>
        </w:rPr>
        <w:t>13.3 资金保障</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_Toc49241575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168</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"_Toc49241576" </w:instrText>
      </w:r>
      <w:r>
        <w:fldChar w:fldCharType="separate"/>
      </w:r>
      <w:r>
        <w:rPr>
          <w:rStyle w:val="54"/>
          <w:rFonts w:ascii="Times New Roman" w:hAnsi="Times New Roman" w:eastAsia="仿宋_GB2312"/>
          <w:sz w:val="22"/>
          <w:szCs w:val="22"/>
        </w:rPr>
        <w:t>13.4 管理保障</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169</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szCs w:val="22"/>
        </w:rPr>
      </w:pPr>
      <w:r>
        <w:fldChar w:fldCharType="begin"/>
      </w:r>
      <w:r>
        <w:instrText xml:space="preserve"> HYPERLINK \l "_Toc49241577" </w:instrText>
      </w:r>
      <w:r>
        <w:fldChar w:fldCharType="separate"/>
      </w:r>
      <w:r>
        <w:rPr>
          <w:rStyle w:val="54"/>
          <w:rFonts w:ascii="Times New Roman" w:hAnsi="Times New Roman" w:eastAsia="仿宋_GB2312"/>
          <w:sz w:val="22"/>
          <w:szCs w:val="22"/>
        </w:rPr>
        <w:t>13.5 社会参与保障</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_Toc49241577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170</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
      <w:pPr>
        <w:spacing w:line="360" w:lineRule="auto"/>
        <w:rPr>
          <w:rFonts w:ascii="Times New Roman" w:hAnsi="Times New Roman" w:eastAsia="黑体" w:cs="Times New Roman"/>
          <w:b/>
          <w:bCs/>
          <w:sz w:val="22"/>
        </w:rPr>
      </w:pPr>
      <w:r>
        <w:rPr>
          <w:rFonts w:ascii="Times New Roman" w:hAnsi="Times New Roman" w:eastAsia="黑体" w:cs="Times New Roman"/>
          <w:b/>
          <w:bCs/>
          <w:sz w:val="22"/>
        </w:rPr>
        <w:t>附表</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1.广东省乐昌市国家森林城市建设总体规划投资估算表</w:t>
      </w:r>
    </w:p>
    <w:p>
      <w:pPr>
        <w:rPr>
          <w:rFonts w:ascii="Times New Roman" w:hAnsi="Times New Roman" w:eastAsia="黑体" w:cs="Times New Roman"/>
          <w:sz w:val="22"/>
        </w:rPr>
      </w:pPr>
    </w:p>
    <w:p>
      <w:pPr>
        <w:spacing w:line="360" w:lineRule="auto"/>
        <w:rPr>
          <w:rFonts w:ascii="Times New Roman" w:hAnsi="Times New Roman" w:eastAsia="黑体" w:cs="Times New Roman"/>
          <w:b/>
          <w:bCs/>
          <w:sz w:val="22"/>
        </w:rPr>
      </w:pPr>
      <w:r>
        <w:rPr>
          <w:rFonts w:ascii="Times New Roman" w:hAnsi="Times New Roman" w:eastAsia="黑体" w:cs="Times New Roman"/>
          <w:b/>
          <w:bCs/>
          <w:sz w:val="22"/>
        </w:rPr>
        <w:t>附图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1.区位分析图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2.卫星影像图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3.水系分布图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4.道路现状图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5.土地利用现状图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6.森林资源分布图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7.自然保护地分布图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8.建设布局图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9.城区公园绿地规划图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10.森林村镇建设规划图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11.道路绿化规划图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12.水系绿化规划图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13.石漠化治理工程规划图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14.森林康养基地规划图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15.绿道建设规划图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16.</w:t>
      </w:r>
      <w:r>
        <w:rPr>
          <w:rFonts w:hint="eastAsia" w:ascii="Times New Roman" w:hAnsi="Times New Roman" w:eastAsia="黑体" w:cs="Times New Roman"/>
          <w:sz w:val="22"/>
        </w:rPr>
        <w:t>特色经济林产业规划图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17.森林生态文化基地规划图</w:t>
      </w:r>
    </w:p>
    <w:p>
      <w:pPr>
        <w:rPr>
          <w:rFonts w:ascii="Times New Roman" w:hAnsi="Times New Roman" w:cs="Times New Roman"/>
          <w:sz w:val="22"/>
          <w:szCs w:val="24"/>
        </w:rPr>
      </w:pPr>
    </w:p>
    <w:p>
      <w:pPr>
        <w:spacing w:line="360" w:lineRule="auto"/>
        <w:rPr>
          <w:rFonts w:ascii="Times New Roman" w:hAnsi="Times New Roman" w:eastAsia="黑体" w:cs="Times New Roman"/>
          <w:b/>
          <w:bCs/>
          <w:sz w:val="22"/>
        </w:rPr>
      </w:pPr>
      <w:r>
        <w:rPr>
          <w:rFonts w:ascii="Times New Roman" w:hAnsi="Times New Roman" w:eastAsia="黑体" w:cs="Times New Roman"/>
          <w:b/>
          <w:bCs/>
          <w:sz w:val="22"/>
        </w:rPr>
        <w:t>附件</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1.关于申报创建国家森林城市的请示（乐府报</w:t>
      </w:r>
      <w:r>
        <w:rPr>
          <w:rFonts w:ascii="Times New Roman" w:hAnsi="Times New Roman" w:eastAsia="黑体" w:cs="Times New Roman"/>
          <w:bCs/>
          <w:sz w:val="22"/>
        </w:rPr>
        <w:t>〔2019〕24号</w:t>
      </w:r>
      <w:r>
        <w:rPr>
          <w:rFonts w:ascii="Times New Roman" w:hAnsi="Times New Roman" w:eastAsia="黑体" w:cs="Times New Roman"/>
          <w:sz w:val="22"/>
        </w:rPr>
        <w:t>）</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2.乐昌市人民政府办公室关于成立乐昌市创建国家森林城市工作领导小组的通知</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3.国家林业和草原局生态保护修复司关于广东省信丰县等3县(市)建设国家森林城市备案的复函(生森函</w:t>
      </w:r>
      <w:r>
        <w:rPr>
          <w:rFonts w:ascii="Times New Roman" w:hAnsi="Times New Roman" w:eastAsia="黑体" w:cs="Times New Roman"/>
          <w:bCs/>
          <w:sz w:val="22"/>
        </w:rPr>
        <w:t>〔2019〕80号</w:t>
      </w:r>
      <w:r>
        <w:rPr>
          <w:rFonts w:ascii="Times New Roman" w:hAnsi="Times New Roman" w:eastAsia="黑体" w:cs="Times New Roman"/>
          <w:sz w:val="22"/>
        </w:rPr>
        <w:t>)</w:t>
      </w:r>
    </w:p>
    <w:p/>
    <w:p>
      <w:pPr>
        <w:pStyle w:val="36"/>
        <w:tabs>
          <w:tab w:val="right" w:leader="dot" w:pos="8296"/>
        </w:tabs>
        <w:spacing w:line="360" w:lineRule="auto"/>
        <w:rPr>
          <w:rFonts w:ascii="Times New Roman" w:hAnsi="Times New Roman" w:eastAsia="仿宋_GB2312"/>
          <w:lang w:val="zh-CN"/>
        </w:rPr>
        <w:sectPr>
          <w:headerReference r:id="rId5" w:type="default"/>
          <w:footerReference r:id="rId6" w:type="default"/>
          <w:pgSz w:w="11906" w:h="16838"/>
          <w:pgMar w:top="1440" w:right="1800" w:bottom="1440" w:left="1800" w:header="851" w:footer="992" w:gutter="0"/>
          <w:pgNumType w:fmt="upperRoman" w:start="1"/>
          <w:cols w:space="425" w:num="1"/>
          <w:docGrid w:type="lines" w:linePitch="312" w:charSpace="0"/>
        </w:sectPr>
      </w:pPr>
      <w:r>
        <w:rPr>
          <w:rStyle w:val="54"/>
          <w:rFonts w:ascii="Times New Roman" w:hAnsi="Times New Roman" w:eastAsia="仿宋_GB2312"/>
          <w:sz w:val="22"/>
          <w:szCs w:val="22"/>
        </w:rPr>
        <w:fldChar w:fldCharType="end"/>
      </w:r>
    </w:p>
    <w:p>
      <w:pPr>
        <w:pStyle w:val="43"/>
        <w:spacing w:after="240" w:line="360" w:lineRule="auto"/>
        <w:ind w:firstLine="0" w:firstLineChars="0"/>
        <w:rPr>
          <w:rFonts w:ascii="Times New Roman" w:hAnsi="Times New Roman" w:cs="Times New Roman"/>
        </w:rPr>
      </w:pPr>
      <w:bookmarkStart w:id="0" w:name="_Toc49241508"/>
      <w:r>
        <w:rPr>
          <w:rFonts w:ascii="Times New Roman" w:hAnsi="Times New Roman" w:cs="Times New Roman"/>
        </w:rPr>
        <w:t>1 建设背景及重要意义</w:t>
      </w:r>
      <w:bookmarkEnd w:id="0"/>
      <w:r>
        <w:rPr>
          <w:rFonts w:ascii="Times New Roman" w:hAnsi="Times New Roman" w:cs="Times New Roman"/>
        </w:rPr>
        <w:t xml:space="preserve"> </w:t>
      </w:r>
    </w:p>
    <w:p>
      <w:pPr>
        <w:pStyle w:val="3"/>
        <w:autoSpaceDE w:val="0"/>
        <w:autoSpaceDN w:val="0"/>
        <w:spacing w:before="160" w:after="160" w:line="360" w:lineRule="auto"/>
        <w:jc w:val="left"/>
        <w:rPr>
          <w:rFonts w:ascii="Times New Roman" w:hAnsi="Times New Roman" w:eastAsia="黑体" w:cs="Times New Roman"/>
        </w:rPr>
      </w:pPr>
      <w:bookmarkStart w:id="1" w:name="_Toc49241509"/>
      <w:r>
        <w:rPr>
          <w:rFonts w:ascii="Times New Roman" w:hAnsi="Times New Roman" w:eastAsia="黑体" w:cs="Times New Roman"/>
        </w:rPr>
        <w:t>1.1 乐昌市创建国家森林城市的背景</w:t>
      </w:r>
      <w:bookmarkEnd w:id="1"/>
    </w:p>
    <w:p>
      <w:pPr>
        <w:autoSpaceDE w:val="0"/>
        <w:autoSpaceDN w:val="0"/>
        <w:spacing w:before="120" w:after="120" w:line="360" w:lineRule="auto"/>
        <w:jc w:val="left"/>
        <w:outlineLvl w:val="2"/>
        <w:rPr>
          <w:rFonts w:ascii="Times New Roman" w:hAnsi="Times New Roman" w:eastAsia="黑体" w:cs="Times New Roman"/>
          <w:b/>
          <w:bCs/>
          <w:strike/>
          <w:kern w:val="28"/>
          <w:sz w:val="30"/>
          <w:szCs w:val="32"/>
        </w:rPr>
      </w:pPr>
      <w:r>
        <w:rPr>
          <w:rFonts w:ascii="Times New Roman" w:hAnsi="Times New Roman" w:eastAsia="黑体" w:cs="Times New Roman"/>
          <w:b/>
          <w:bCs/>
          <w:kern w:val="28"/>
          <w:sz w:val="30"/>
          <w:szCs w:val="32"/>
        </w:rPr>
        <w:t>1.1.1 国家层面：森林城市上升到国家发展战略</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党的十八大以来，森林城市建设在推进生态文明和美丽中国建设中地位和作用越发凸显。2015年11月，《中共中央关于制定国民经济和社会发展第十三个五年规划的建议》印发实施，明确支持绿色城市、森林城市建设。2016年3月，《中华人民共和国国民经济和社会发展第十三个五年规划纲要》提出建设一批示范性绿色城市、森林城市。在此期间，习近平总书记作出了“要着力开展森林城市建设”等一系列重要指示，将国家森林城市建设上升到国家发展战略层面。</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党的十九大确立了我国进入了中国特色社会主义新时代，生态文明建设步入新征程。</w:t>
      </w:r>
      <w:r>
        <w:rPr>
          <w:rFonts w:hint="eastAsia" w:ascii="Times New Roman" w:hAnsi="Times New Roman" w:eastAsia="仿宋_GB2312" w:cs="Times New Roman"/>
          <w:sz w:val="28"/>
          <w:szCs w:val="28"/>
          <w:lang w:eastAsia="zh-CN" w:bidi="ar"/>
        </w:rPr>
        <w:t>习近平</w:t>
      </w:r>
      <w:bookmarkStart w:id="224" w:name="_GoBack"/>
      <w:bookmarkEnd w:id="224"/>
      <w:r>
        <w:rPr>
          <w:rFonts w:ascii="Times New Roman" w:hAnsi="Times New Roman" w:eastAsia="仿宋_GB2312" w:cs="Times New Roman"/>
          <w:sz w:val="28"/>
          <w:szCs w:val="28"/>
          <w:lang w:bidi="ar"/>
        </w:rPr>
        <w:t>总书记在有关生态文明建设的多次讲话中提及绿色发展与森林城市建设，2018年5月18日，在全国生态环境保护大会上指出，新时代生态文明建设必须坚持“六项原则”，加快构建生态文明体系，突出强调了绿色发展的重要意义；2019年4月8日，在参加首都义务植树活动时，再次强调要“持续推进森林城市、森林乡村建设，着力改善人居环境”。在新形势下，对开展森林城市建设提出了更高要求，深入推进森林城市建设，必须践行绿水青山就是金山银山的绿色发展理念，统筹山水林田湖草系统治理，以建设美丽中国为总目标，以满足人民群众美好生活需要为总任务，扩大生态空间，提升生态服务功能，弘扬生态文化。</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国家林业和草原局（原国家林业局，下同）积极贯彻落实党中央、国务院关于推进生态文明、建设美丽中国的战略部署。2016年5月，印发了《林业发展“十三五”规划》，明确将建设森林城市作为“十三五”规划的重要工作内容。同年9月，印发了《关于着力开展森林城市建设的指导意见》，明确了森林城市发展目标和建设任务。2018年7月，《全国森林城市发展规划（2018-2025年）》发布实施，确定了“四区、三带、六群”的中国森林城市发展格局，提出到2025年，建成300个国家森林城市，进一步明确了国家森林城市建设方向和奋斗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我国国家森林城市建设自2004年起步以来，目前全国已有387个城市开展了国家森林城市创建，194个城市被授予国家森林城市称号，19个省份开展了省级森林城市创建活动，11个省份开展了森林城市群建设，形成了跨区域、覆盖城乡的建设体系，探索出一条具有中国特色的森林城市建设之路，取得了令人瞩目的成效。</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1.1.2 省域层面：进入全域推进国家森林城市建设的新征程</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广东省委、省政府全面贯彻落实党的十八大以来关于生态文明建设的战略部署和习近平总书记系列重要讲话精神，着力打造生态文明建设广东样本和中国标杆，为广东建设“两个重要窗口”和实现“四个走在全国前列”筑牢生态基础。</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2013年8月，广东省开启第二次“绿色革命”，全面实施新一轮绿化广东大行动，通过10年左右的努力，将广东省建设成为森林生态体系完善、林业产业发达、林业生态文化繁荣、人与自然和谐的全国绿色生态第一省。2017年6月，广东省印发《珠三角国家森林城市群建设规划（2016-2025年）》，力争到2020年基本建成全国首个国家森林城市群。2017年9月，广东省委审议并原则通过了《建设粤北生态特别保护区工作方案》，强调要始终坚持绿色发展理念，高标准推进粤北生态特别保护区建设，筑牢粤北生态屏障。2018年12月，广东省启动《绿美南粤三年行动计划（2018-2020年）》，把“绿美南粤”工作作为新一轮绿化广东大行动的延伸和拓展，高质量深入推进新一轮绿化广东大行动，推动广东林业工作继续走在全国前列。2019年12月，《广东省森林城市发展规划（2018-2025年）》通过专家评审，规划提出广东省将以成为全国森林城市建设示范省为总目标，努力构建“一核、一带、一区”的广东森林城市发展新格局，全域推进国家森林城市建设和粤港澳森林生态协同发展，建设粤港澳大湾区森林城市群。到2020年，力争珠三角基本建成全国首个国家森林城市群，全省21个地级市全面开展国家森林城市创建工作。到2025年，全省21个地级市实现国家森林城市全覆盖，形成城乡一体的森林生态安全屏障。</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目前全省21个地级市和18个县级城市加入到森林城市建设行列，珠三角9市、汕头、梅州11市已荣获“国家森林城市</w:t>
      </w:r>
      <w:r>
        <w:rPr>
          <w:rFonts w:ascii="Times New Roman" w:hAnsi="Times New Roman" w:eastAsia="仿宋_GB2312" w:cs="Times New Roman"/>
          <w:sz w:val="28"/>
          <w:szCs w:val="28"/>
          <w:lang w:bidi="ar"/>
        </w:rPr>
        <w:tab/>
      </w:r>
      <w:r>
        <w:rPr>
          <w:rFonts w:ascii="Times New Roman" w:hAnsi="Times New Roman" w:eastAsia="仿宋_GB2312" w:cs="Times New Roman"/>
          <w:sz w:val="28"/>
          <w:szCs w:val="28"/>
          <w:lang w:bidi="ar"/>
        </w:rPr>
        <w:t>”称号，全省建成森林小镇125个。始兴、揭西、梅县等11个县正在开展创建国家森林县城工作，韶关、梅州、茂名更是提出了全域创建森林城市的目标。广东的森林城市建设呈现出由单个向群体、由珠三角向粤东西北、由城市为主向乡村延伸发展的良好局面，初步形成符合省情、层次丰富、特色鲜明的森林城市发展格局。</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1.1.3 市域层面：大力推进全域创建国家森林城市建设工作，着力建设绿色生态强市</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韶关市位于广东省北部，南岭山脉的南端，是国家重点生态功能区，也是广东省“一核一带一区”区域发展格局中重要的生态发展区，素有“南岭生物基因库”和“珠江三角洲生态屏障”之称。</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为深入贯彻落实习近平总书记对广东工作作出的重要批示精神和省委省政府关于全面推进新一轮绿化广东大行动的决策部署，韶关市坚持生态立市和绿色发展战略，全力推进林业生态增绿、增质、增效，构建森林生态安全体系，提升绿色产业惠民能力，不断增强林业生态功能和发展活力，高标准规划建设粤北生态特别保护区，筑牢粤北生态屏障，着力建设绿色生态第一市，打造绿色发展韶关样板，争当北部生态发展区高质量发展排头兵。韶关市相继编制并组织实施了《韶关市建设广东绿色生态第一市行动方案》、《韶关市城区三年提升计划》、《韶关市“十三五”林业发展规划》等，森林碳汇、生态景观林带、森林进城围城、乡村绿化美化等四大重点生态工程建设取得显著成效。</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2018年3月，为进一步巩固生态建设成果，实现高水平保护和发展，韶关市委、市政府作出了创建国家森林城市的重大决定。目前，韶关市正深入落实《广东省韶关市国家森林城市建设总体规划（2018-2027年）》和《韶关市创建国家森林城市实施方案（2018-2021年）》，按照“一核七星、三屏六廊、多节点”的总体布局，加快建设森林生态、森林服务、森林产业、森林生态文化和森林支撑等五大体系，力争2021年获得“国家森林城市”荣誉称号。并同期在全市7个县（市）开展县级国家森林城市创建工作，全力打造全域国家森林城市地级市，切实把韶关的生态优势转变为发展优势，为粤港澳大湾区建设筑牢生态屏障，让群众共享更多绿色发展成果。始兴县作为全省首批“创森”试点县之一，各项森林城市建设工程推进顺利。此外，乳源瑶族自治县、翁源县、南雄市、仁化县、乐昌市、新丰县均已获得国家林业和草原局备案支持，全域“创森”步伐稳步推进。</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1.1.4 县域层面：积极打造粤北绿色发展先行地</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乐昌地处南岭山脉南麓，粤北边陲，毗邻湖南，属国家重点生态功能区、北江水源涵养区，是珠三角辐射内地和内陆各省区进入广东的“桥头堡”，素有“广东北大门”之称，发展定位为粤湘开放合作先行区、粤北门户城市、韶关城市经济圈的重要板块。近年来，乐昌市围绕韶关“争当北部生态发展区高质量发展排头兵”目标，牢牢把握实施乡村振兴战略、粤港澳大湾区建设和“一核一带一区”区域协调发展新战略等发展机遇，坚持走生态优先、绿色发展之路，加强生态文明建设，积极主动参与广东粤北南岭山区山水林田湖草生态保护修复试点项目和粤北生态特别保护区建设，努力在高水平生态保护中实现高质量发展，积极打造粤北绿色发展先行地</w:t>
      </w:r>
      <w:r>
        <w:rPr>
          <w:rFonts w:ascii="Times New Roman" w:hAnsi="Times New Roman" w:eastAsia="仿宋_GB2312" w:cs="Times New Roman"/>
          <w:sz w:val="28"/>
          <w:szCs w:val="28"/>
        </w:rPr>
        <w:t>。</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2016年6月，乐昌市十四届人大六次会议审议通过了《乐昌市国民经济和社会发展第十三个五年规划纲要》，提出要以建设森林城市为目标，塑造城市品质，增加城市建设的生态元素。2019年1月，中国共产党乐昌市第十三届委员会第六次全体会议召开，要求坚定不移走生态优先发展道路，加强生态系统保护和环境治理，继续筑牢粤北生态屏障，全力打造粤北绿色发展先行地，提升“广东北大门”门户形象。2019年4月，乐昌市成立了以市委书记为组长的创建国家森林城市工作领导小组，加强乐昌市创建国家森林城市工作的组织领导，加快推进国家森林城市创建工作。2019年7月，乐昌市召开创建国家森林城市动员大会，全面部署乐昌“创森”工作。2019年10月17日，国家林业和草原局正式复函广东省林业局，同意乐昌市创建国家森林城市并给予备案支持，乐昌市国家森林城市创建工作正式拉开帷幕。</w:t>
      </w:r>
    </w:p>
    <w:p>
      <w:pPr>
        <w:pStyle w:val="3"/>
        <w:autoSpaceDE w:val="0"/>
        <w:autoSpaceDN w:val="0"/>
        <w:spacing w:before="160" w:after="160" w:line="360" w:lineRule="auto"/>
        <w:jc w:val="left"/>
        <w:rPr>
          <w:rFonts w:ascii="Times New Roman" w:hAnsi="Times New Roman" w:eastAsia="黑体" w:cs="Times New Roman"/>
        </w:rPr>
      </w:pPr>
      <w:bookmarkStart w:id="2" w:name="_Toc49241510"/>
      <w:r>
        <w:rPr>
          <w:rFonts w:ascii="Times New Roman" w:hAnsi="Times New Roman" w:eastAsia="黑体" w:cs="Times New Roman"/>
        </w:rPr>
        <w:t>1.2 乐昌市创建国家森林城市的意义</w:t>
      </w:r>
      <w:bookmarkEnd w:id="2"/>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 推进生态文明和美丽中国建设的重要举措</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党的十八大以来，以习近平同志为核心的党中央审时度势，高瞻远瞩，对推进美丽中国建设、实现中华民族永续发展作出了顶层设计和总体部署，提出了一系列既切合当下实际又着眼长远发展的战略构想和战略举措，为扎实推进生态文明建设指明了方向。国家森林城市建设作为新时代加快国土绿化和生态文明建设的创新实践，将为建设天更蓝、山更绿、水更清、环境更优美的城乡人居生态环境做出重大贡献，是建设美丽中国的重要举措。乐昌市通过国家森林城市建设，着力提升森林绿地质量，扩大绿色生态空间，打造绿色生活空间，建设绿色生产空间，传播生态文明理念，让群众望得见山、看得见水、记得住乡愁，实现人与自然和谐相处，有利于推进乐昌市生态文明建设谱写新篇章。</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1.2.2 建设粤北生态屏障、增进生态福祉的要求</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2018年6月，广东省委十二届四次全会确立了“一核一带一区”的区域发展新格局，明确把粤北山区建设成为生态发展区，以生态优先和绿色发展为引领，在高水平保护中实现高质量发展，筑牢全省生态屏障。同年，韶关市委十二届七次全会提出，要加强全域生态保护，争当全省生态文明建设排头兵。乐昌市生态区位重要、生态基础良好、生态资源丰富，是粤北生态屏障建设的重要节点。乐昌市通过国家森林城市建设，立足生态发展定位，加强全域生态保护和环境治理，积极谋划参与粤北生态特别保护区建设，大力推进国土绿化，高标准落实“四大”林业重点工程建设任务，深入实施绿美南粤三年行动计划，不断厚植生态优势，打造粤北绿色发展先行地，为粤北生态屏障建设作出乐昌贡献，助力粤北生态屏障建设取得新进展。</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1.2.3 实现乡村振兴发展，建设美丽乡村的重要途径</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2018年2月，中共中央、国务院印发《关于实施乡村振兴战略的意见》。实施乡村振兴战略，是党的十九大作出的重大决策部署，是决胜全面建成小康社会、全面建设社会主义现代化强国的重大历史任务，是解决人民日益增长的美好生活需要和不平衡不充分的发展之间矛盾的必然要求。乡村振兴，生态宜居是关键。良好生态环境是农村最大优势和宝贵财富。必须尊重自然、顺应自然、保护自然，推动乡村自然资本加快增值，实现百姓富、生态美的统一。乐昌市通过国家森林城市建设，全面融入乡村振兴发展战略，将美丽乡村建设和农村人居环境综合整治相结合，通过各项生态工程建设补齐乡村发展短板，同时积极开展森林游憩、森林康养、特色林业产业等富民兴村产业，将乡村生态环境优势转化为可持续发展优势，用绿色发展引领城乡建设，真正实现“绿水青山就是金山银山”。</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1.2.4 推动全域旅游发展，打造城市生态名片的需要</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2018年7月，广东省政府办公厅发布了《广东省促进全域旅游发展实施方案》，部署广东全域旅游发展新路，优化“一核、一带、一区、一湾”全域旅游发展空间布局。乐昌市充分发挥森林和湿地资源、生态环境及气候条件优势，深入实施“全域旅游”战略，印发了《乐昌市全域旅游规划（2019-2035年）》，积极推进旅游业由“景区旅游”向“全域旅游”发展模式转变，构建新型旅游发展格局，着力打造全域赏花地、广东省全域旅游示范区和全国休闲农业和乡村旅游示范县。乐昌市通过国家森林城市建设，发挥资源优势，创新旅游发展新业态，重点发展森林休闲体验、森林康养、乡村旅游等特色旅游产业，有利于推动乐昌市全域旅游发展，打造成为集花果体验、养生度假、乡村休闲、户外运动等于一体的国内知名的粤湘赣花果山乡旅游目的。</w:t>
      </w: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pPr>
        <w:keepNext/>
        <w:keepLines/>
        <w:autoSpaceDE w:val="0"/>
        <w:autoSpaceDN w:val="0"/>
        <w:spacing w:before="240" w:after="240" w:line="360" w:lineRule="auto"/>
        <w:jc w:val="center"/>
        <w:outlineLvl w:val="0"/>
        <w:rPr>
          <w:rFonts w:ascii="Times New Roman" w:hAnsi="Times New Roman" w:eastAsia="黑体" w:cs="Times New Roman"/>
          <w:b/>
          <w:bCs/>
          <w:kern w:val="44"/>
          <w:sz w:val="36"/>
          <w:szCs w:val="36"/>
        </w:rPr>
      </w:pPr>
      <w:bookmarkStart w:id="3" w:name="_Toc49241511"/>
      <w:r>
        <w:rPr>
          <w:rFonts w:ascii="Times New Roman" w:hAnsi="Times New Roman" w:eastAsia="黑体" w:cs="Times New Roman"/>
          <w:b/>
          <w:bCs/>
          <w:kern w:val="44"/>
          <w:sz w:val="36"/>
          <w:szCs w:val="36"/>
        </w:rPr>
        <w:t>2 基本概况</w:t>
      </w:r>
      <w:bookmarkEnd w:id="3"/>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4" w:name="_Toc49241512"/>
      <w:bookmarkStart w:id="5" w:name="_Toc391540138"/>
      <w:bookmarkStart w:id="6" w:name="_Toc4169195"/>
      <w:bookmarkStart w:id="7" w:name="_Toc396979735"/>
      <w:r>
        <w:rPr>
          <w:rFonts w:ascii="Times New Roman" w:hAnsi="Times New Roman" w:eastAsia="黑体" w:cs="Times New Roman"/>
          <w:b/>
          <w:bCs/>
          <w:sz w:val="32"/>
          <w:szCs w:val="32"/>
        </w:rPr>
        <w:t>2.1 自然地理概况</w:t>
      </w:r>
      <w:bookmarkEnd w:id="4"/>
      <w:bookmarkEnd w:id="5"/>
      <w:bookmarkEnd w:id="6"/>
      <w:bookmarkEnd w:id="7"/>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2.1.1 地理位置</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乐昌市位于广东省北部，武江的中上游，南岭山脉南麓。地处北纬24º57′-25º31′，东经112º51′-113º34′之间。境内东西相距73.68km，南北相距64.25km，总面积2419.71km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。东与仁化县为邻，南与曲江县交界，西南与乳源县相连，北部、西部与湖南省宜章县毗连，东北与湖南省汝城县接壤。市区至韶关市公路里程52km，至广州市265km。</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2.1.2 地质地貌</w:t>
      </w:r>
    </w:p>
    <w:p>
      <w:pPr>
        <w:ind w:firstLine="560" w:firstLineChars="200"/>
        <w:rPr>
          <w:rFonts w:ascii="Times New Roman" w:hAnsi="Times New Roman" w:eastAsia="仿宋_GB2312" w:cs="Times New Roman"/>
          <w:sz w:val="28"/>
          <w:u w:val="wave"/>
        </w:rPr>
      </w:pPr>
      <w:r>
        <w:rPr>
          <w:rFonts w:ascii="Times New Roman" w:hAnsi="Times New Roman" w:eastAsia="仿宋_GB2312" w:cs="Times New Roman"/>
          <w:sz w:val="28"/>
        </w:rPr>
        <w:t>乐昌市地质构造复杂，境内地层发育较全，出漏的地层有震旦系、寒武系、泥盆系、石炭系、二叠系、三叠系、侏罗系、白垩系、第三系及第四系。乐昌市西部有</w:t>
      </w:r>
      <w:r>
        <w:fldChar w:fldCharType="begin"/>
      </w:r>
      <w:r>
        <w:instrText xml:space="preserve"> HYPERLINK "https://baike.baidu.com/item/%E5%A4%A7%E4%B8%9C%E5%B1%B1" \t "_blank" </w:instrText>
      </w:r>
      <w:r>
        <w:fldChar w:fldCharType="separate"/>
      </w:r>
      <w:r>
        <w:rPr>
          <w:rFonts w:ascii="Times New Roman" w:hAnsi="Times New Roman" w:eastAsia="仿宋_GB2312" w:cs="Times New Roman"/>
          <w:sz w:val="28"/>
        </w:rPr>
        <w:t>大东山</w:t>
      </w:r>
      <w:r>
        <w:rPr>
          <w:rFonts w:ascii="Times New Roman" w:hAnsi="Times New Roman" w:eastAsia="仿宋_GB2312" w:cs="Times New Roman"/>
          <w:sz w:val="28"/>
        </w:rPr>
        <w:fldChar w:fldCharType="end"/>
      </w:r>
      <w:r>
        <w:rPr>
          <w:rFonts w:ascii="Times New Roman" w:hAnsi="Times New Roman" w:eastAsia="仿宋_GB2312" w:cs="Times New Roman"/>
          <w:sz w:val="28"/>
        </w:rPr>
        <w:t>，中部有</w:t>
      </w:r>
      <w:r>
        <w:fldChar w:fldCharType="begin"/>
      </w:r>
      <w:r>
        <w:instrText xml:space="preserve"> HYPERLINK "https://baike.baidu.com/item/%E5%A4%A7%E7%91%B6%E5%B1%B1" \t "_blank" </w:instrText>
      </w:r>
      <w:r>
        <w:fldChar w:fldCharType="separate"/>
      </w:r>
      <w:r>
        <w:rPr>
          <w:rFonts w:ascii="Times New Roman" w:hAnsi="Times New Roman" w:eastAsia="仿宋_GB2312" w:cs="Times New Roman"/>
          <w:sz w:val="28"/>
        </w:rPr>
        <w:t>大瑶山</w:t>
      </w:r>
      <w:r>
        <w:rPr>
          <w:rFonts w:ascii="Times New Roman" w:hAnsi="Times New Roman" w:eastAsia="仿宋_GB2312" w:cs="Times New Roman"/>
          <w:sz w:val="28"/>
        </w:rPr>
        <w:fldChar w:fldCharType="end"/>
      </w:r>
      <w:r>
        <w:rPr>
          <w:rFonts w:ascii="Times New Roman" w:hAnsi="Times New Roman" w:eastAsia="仿宋_GB2312" w:cs="Times New Roman"/>
          <w:sz w:val="28"/>
        </w:rPr>
        <w:t>，东北部有</w:t>
      </w:r>
      <w:r>
        <w:fldChar w:fldCharType="begin"/>
      </w:r>
      <w:r>
        <w:instrText xml:space="preserve"> HYPERLINK "https://baike.baidu.com/item/%E4%B9%9D%E5%B3%B0%E5%B1%B1" \t "_blank" </w:instrText>
      </w:r>
      <w:r>
        <w:fldChar w:fldCharType="separate"/>
      </w:r>
      <w:r>
        <w:rPr>
          <w:rFonts w:ascii="Times New Roman" w:hAnsi="Times New Roman" w:eastAsia="仿宋_GB2312" w:cs="Times New Roman"/>
          <w:sz w:val="28"/>
        </w:rPr>
        <w:t>九峰山</w:t>
      </w:r>
      <w:r>
        <w:rPr>
          <w:rFonts w:ascii="Times New Roman" w:hAnsi="Times New Roman" w:eastAsia="仿宋_GB2312" w:cs="Times New Roman"/>
          <w:sz w:val="28"/>
        </w:rPr>
        <w:fldChar w:fldCharType="end"/>
      </w:r>
      <w:r>
        <w:rPr>
          <w:rFonts w:ascii="Times New Roman" w:hAnsi="Times New Roman" w:eastAsia="仿宋_GB2312" w:cs="Times New Roman"/>
          <w:sz w:val="28"/>
        </w:rPr>
        <w:t>，地势自北向南倾斜，构成北高南低的地貌。境内主要分</w:t>
      </w:r>
      <w:r>
        <w:fldChar w:fldCharType="begin"/>
      </w:r>
      <w:r>
        <w:instrText xml:space="preserve"> HYPERLINK "https://baike.baidu.com/item/%E6%B5%81%E6%B0%B4%E5%9C%B0%E8%B2%8C" \t "_blank" </w:instrText>
      </w:r>
      <w:r>
        <w:fldChar w:fldCharType="separate"/>
      </w:r>
      <w:r>
        <w:rPr>
          <w:rFonts w:ascii="Times New Roman" w:hAnsi="Times New Roman" w:eastAsia="仿宋_GB2312" w:cs="Times New Roman"/>
          <w:sz w:val="28"/>
        </w:rPr>
        <w:t>流水地貌</w:t>
      </w:r>
      <w:r>
        <w:rPr>
          <w:rFonts w:ascii="Times New Roman" w:hAnsi="Times New Roman" w:eastAsia="仿宋_GB2312" w:cs="Times New Roman"/>
          <w:sz w:val="28"/>
        </w:rPr>
        <w:fldChar w:fldCharType="end"/>
      </w:r>
      <w:r>
        <w:rPr>
          <w:rFonts w:ascii="Times New Roman" w:hAnsi="Times New Roman" w:eastAsia="仿宋_GB2312" w:cs="Times New Roman"/>
          <w:sz w:val="28"/>
        </w:rPr>
        <w:t>和岩溶地貌两大类。全市山地约占72%，丘陵约占13.5%，盆地平原约占14.5%。</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2.1.3 水文水系</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河溪纵横，境内诸河溪均属武江河支流。武江为北江流域的一级支流，发源于湖南省，于乐昌市老坪石上游3km左右流入乐昌市，后经乳源、曲江，在韶关市沙洲尾与浈江汇合注入北江。乐昌市境内河流总长度1068.10km，集雨面积6215.97k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，其中集雨面积100km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以上的河流有武江、廊田水、田头水、南花溪、九峰河、中坪水、辽思水、西坑水等8条。详见表2-1。</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表2-1 乐昌市主要河流统计表</w:t>
      </w:r>
    </w:p>
    <w:tbl>
      <w:tblPr>
        <w:tblStyle w:val="471"/>
        <w:tblW w:w="490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2166"/>
        <w:gridCol w:w="1561"/>
        <w:gridCol w:w="1417"/>
        <w:gridCol w:w="20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序号</w:t>
            </w:r>
          </w:p>
        </w:tc>
        <w:tc>
          <w:tcPr>
            <w:tcW w:w="1294" w:type="pct"/>
            <w:shd w:val="clear" w:color="auto" w:fill="auto"/>
            <w:vAlign w:val="center"/>
          </w:tcPr>
          <w:p>
            <w:pPr>
              <w:widowControl/>
              <w:spacing w:line="360" w:lineRule="auto"/>
              <w:jc w:val="center"/>
              <w:rPr>
                <w:rFonts w:ascii="Times New Roman" w:hAnsi="Times New Roman" w:eastAsia="仿宋_GB2312" w:cs="Times New Roman"/>
                <w:b/>
                <w:bCs/>
                <w:szCs w:val="21"/>
              </w:rPr>
            </w:pPr>
            <w:r>
              <w:rPr>
                <w:rFonts w:ascii="Times New Roman" w:hAnsi="Times New Roman" w:eastAsia="仿宋_GB2312" w:cs="Times New Roman"/>
                <w:b/>
                <w:bCs/>
                <w:szCs w:val="21"/>
              </w:rPr>
              <w:t>河流名称</w:t>
            </w:r>
          </w:p>
        </w:tc>
        <w:tc>
          <w:tcPr>
            <w:tcW w:w="933" w:type="pct"/>
            <w:shd w:val="clear" w:color="auto" w:fill="auto"/>
            <w:vAlign w:val="center"/>
          </w:tcPr>
          <w:p>
            <w:pPr>
              <w:widowControl/>
              <w:spacing w:line="360" w:lineRule="auto"/>
              <w:jc w:val="center"/>
              <w:rPr>
                <w:rFonts w:ascii="Times New Roman" w:hAnsi="Times New Roman" w:eastAsia="仿宋_GB2312" w:cs="Times New Roman"/>
                <w:b/>
                <w:bCs/>
                <w:szCs w:val="21"/>
              </w:rPr>
            </w:pPr>
            <w:r>
              <w:rPr>
                <w:rFonts w:ascii="Times New Roman" w:hAnsi="Times New Roman" w:eastAsia="仿宋_GB2312" w:cs="Times New Roman"/>
                <w:b/>
                <w:bCs/>
                <w:szCs w:val="21"/>
              </w:rPr>
              <w:t>水系</w:t>
            </w:r>
          </w:p>
        </w:tc>
        <w:tc>
          <w:tcPr>
            <w:tcW w:w="847" w:type="pct"/>
            <w:shd w:val="clear" w:color="auto" w:fill="auto"/>
            <w:vAlign w:val="center"/>
          </w:tcPr>
          <w:p>
            <w:pPr>
              <w:widowControl/>
              <w:spacing w:line="360" w:lineRule="auto"/>
              <w:jc w:val="center"/>
              <w:rPr>
                <w:rFonts w:ascii="Times New Roman" w:hAnsi="Times New Roman" w:eastAsia="仿宋_GB2312" w:cs="Times New Roman"/>
                <w:b/>
                <w:bCs/>
                <w:szCs w:val="21"/>
              </w:rPr>
            </w:pPr>
            <w:r>
              <w:rPr>
                <w:rFonts w:ascii="Times New Roman" w:hAnsi="Times New Roman" w:eastAsia="仿宋_GB2312" w:cs="Times New Roman"/>
                <w:b/>
                <w:bCs/>
                <w:szCs w:val="21"/>
              </w:rPr>
              <w:t>长度（km）</w:t>
            </w:r>
          </w:p>
        </w:tc>
        <w:tc>
          <w:tcPr>
            <w:tcW w:w="1247" w:type="pct"/>
            <w:shd w:val="clear" w:color="auto" w:fill="auto"/>
            <w:vAlign w:val="center"/>
          </w:tcPr>
          <w:p>
            <w:pPr>
              <w:widowControl/>
              <w:spacing w:line="360" w:lineRule="auto"/>
              <w:jc w:val="center"/>
              <w:rPr>
                <w:rFonts w:ascii="Times New Roman" w:hAnsi="Times New Roman" w:eastAsia="仿宋_GB2312" w:cs="Times New Roman"/>
                <w:b/>
                <w:bCs/>
                <w:szCs w:val="21"/>
              </w:rPr>
            </w:pPr>
            <w:r>
              <w:rPr>
                <w:rFonts w:ascii="Times New Roman" w:hAnsi="Times New Roman" w:eastAsia="仿宋_GB2312" w:cs="Times New Roman"/>
                <w:b/>
                <w:bCs/>
                <w:szCs w:val="21"/>
              </w:rPr>
              <w:t>集雨面积（km²）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武江</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122.64</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2220.70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廊田水</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47.32</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364.01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田头水</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41.33</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362.60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南花溪</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8.55</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304.00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九峰河</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48.54</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292.00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中坪水</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4.43</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209.18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辽思水</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41.14</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133.72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西坑水</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23.34</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120.83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72" w:type="pct"/>
            <w:gridSpan w:val="2"/>
            <w:shd w:val="clear" w:color="auto" w:fill="auto"/>
            <w:noWrap/>
            <w:vAlign w:val="center"/>
          </w:tcPr>
          <w:p>
            <w:pPr>
              <w:widowControl/>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b/>
                <w:szCs w:val="21"/>
              </w:rPr>
            </w:pPr>
            <w:r>
              <w:rPr>
                <w:rFonts w:ascii="Times New Roman" w:hAnsi="Times New Roman" w:eastAsia="仿宋_GB2312" w:cs="Times New Roman"/>
                <w:b/>
                <w:color w:val="000000"/>
                <w:szCs w:val="21"/>
              </w:rPr>
              <w:t>337.29</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b/>
                <w:szCs w:val="21"/>
              </w:rPr>
            </w:pPr>
            <w:r>
              <w:rPr>
                <w:rFonts w:ascii="Times New Roman" w:hAnsi="Times New Roman" w:eastAsia="仿宋_GB2312" w:cs="Times New Roman"/>
                <w:b/>
                <w:color w:val="000000"/>
                <w:szCs w:val="21"/>
              </w:rPr>
              <w:t>4007.04</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2.1.4 气候特征</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乐昌市属中亚热带季风气候，由于地理位置及地形因素的影响，具有气候温暖、冬短夏长、春秋过渡快、四季分明、雨热同季、雨量充沛的特点。年均气温19.6</w:t>
      </w:r>
      <w:r>
        <w:rPr>
          <w:rFonts w:ascii="Times New Roman" w:hAnsi="Times New Roman" w:eastAsia="宋体" w:cs="Times New Roman"/>
          <w:sz w:val="28"/>
        </w:rPr>
        <w:t>℃</w:t>
      </w:r>
      <w:r>
        <w:rPr>
          <w:rFonts w:ascii="Times New Roman" w:hAnsi="Times New Roman" w:eastAsia="仿宋_GB2312" w:cs="Times New Roman"/>
          <w:sz w:val="28"/>
        </w:rPr>
        <w:t>，降雨量约1500mm，全年无霜期300天左右。春季常有大雾、寡照湿冷；夏、秋两季昼夜温差大；冬季受北方冷空气影响较大，常见霜冻和积雪。东北部、中部和西南部属中、低山区，具有明显的山区气候特征。东南部盆地属丘陵区，夏秋闷热，白天气温比山区高4-6</w:t>
      </w:r>
      <w:r>
        <w:rPr>
          <w:rFonts w:ascii="Times New Roman" w:hAnsi="Times New Roman" w:eastAsia="宋体" w:cs="Times New Roman"/>
          <w:sz w:val="28"/>
        </w:rPr>
        <w:t>℃</w:t>
      </w:r>
      <w:r>
        <w:rPr>
          <w:rFonts w:ascii="Times New Roman" w:hAnsi="Times New Roman" w:eastAsia="仿宋_GB2312" w:cs="Times New Roman"/>
          <w:sz w:val="28"/>
        </w:rPr>
        <w:t>。</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2.1.5 土壤条件</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境内岩类以红色砂砾岩、砂岩、花岗岩和石灰岩为主。土壤种类划为水稻土、黄壤、红壤、石灰土、菜园土、潮土6种土类，11个亚类，36个土属，84个土种。其中红壤占比52.26%，石灰土占比24.74%，黄壤占比16.13%，水稻土占比6.62%，潮土占比0.14%，菜园土占比0.11%。</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2.1.6 石漠化情况</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2005年乐昌市岩溶地区石漠化面积达26758.90hm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，占全省石漠化的32.90%，主要分布在</w:t>
      </w:r>
      <w:r>
        <w:rPr>
          <w:rFonts w:ascii="Times New Roman" w:hAnsi="Times New Roman" w:eastAsia="仿宋_GB2312" w:cs="Times New Roman"/>
          <w:sz w:val="28"/>
          <w:szCs w:val="28"/>
        </w:rPr>
        <w:t>白石镇、庆云镇、梅花镇、沙坪镇、秀水镇、云岩镇、黄圃镇、坪石镇</w:t>
      </w:r>
      <w:r>
        <w:rPr>
          <w:rFonts w:ascii="Times New Roman" w:hAnsi="Times New Roman" w:eastAsia="仿宋_GB2312" w:cs="Times New Roman"/>
          <w:sz w:val="28"/>
        </w:rPr>
        <w:t>8个镇。自2008年来，乐昌市通过开展人工造林、封山育林等措施，不断减轻石漠化程度，减少石漠化面积，植被覆盖不断增加，生态环境不断改善。根据广东省岩溶地区第三次石漠化监测结果，2018年底，乐昌市石漠化土地面积为18030.36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，较2005年石漠化土地减少了32.62%；重度及极重度石漠化土地面积从2005年的5669.9hm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减少到3223.45hm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，减少幅度为43.15%。</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8" w:name="_Toc49241513"/>
      <w:bookmarkStart w:id="9" w:name="_Toc391540139"/>
      <w:bookmarkStart w:id="10" w:name="_Toc396979736"/>
      <w:bookmarkStart w:id="11" w:name="_Toc4169196"/>
      <w:r>
        <w:rPr>
          <w:rFonts w:ascii="Times New Roman" w:hAnsi="Times New Roman" w:eastAsia="黑体" w:cs="Times New Roman"/>
          <w:b/>
          <w:bCs/>
          <w:sz w:val="32"/>
          <w:szCs w:val="32"/>
        </w:rPr>
        <w:t>2.2 社会经济概况</w:t>
      </w:r>
      <w:bookmarkEnd w:id="8"/>
      <w:bookmarkEnd w:id="9"/>
      <w:bookmarkEnd w:id="10"/>
      <w:bookmarkEnd w:id="11"/>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2.2.1 历史沿革</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自周代以来，乐昌就是岭南的交通要道；公元前204年，南越国赵佗建立赵佗城，是岭南第一个都城；东汉时期，乐昌逐渐繁荣；南朝梁天监七年（公元508年）设梁化县，为乐昌市建县之始；隋开皇十八年（公元598年）因境内有乐石、昌山两山而改称乐昌县；1994年，国务院批准乐昌撤县设市，为韶关市代管的县级市。自乐昌市建县来，已有1500多年历史，固有“千年佗城”的美称。</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2.2.2 行政区划及人口</w:t>
      </w:r>
    </w:p>
    <w:p>
      <w:pPr>
        <w:ind w:firstLine="560" w:firstLineChars="200"/>
        <w:rPr>
          <w:rFonts w:ascii="Times New Roman" w:hAnsi="Times New Roman" w:eastAsia="仿宋_GB2312" w:cs="Times New Roman"/>
          <w:sz w:val="28"/>
          <w:u w:val="wave"/>
        </w:rPr>
      </w:pPr>
      <w:r>
        <w:rPr>
          <w:rFonts w:ascii="Times New Roman" w:hAnsi="Times New Roman" w:eastAsia="仿宋_GB2312" w:cs="Times New Roman"/>
          <w:sz w:val="28"/>
        </w:rPr>
        <w:t>全市辖16个镇、1个街道办、2个办事处，30个居委会（含坪石、梅田办事处10个），192个村民居委会。截至2018年底，全市户籍人口52.99万人，常住人口41.95万人，城镇常住人口21.66万人，城镇化率51.64%。2018年出生人口7245人，出生率12.99‰，人口自然增长率7.43‰。</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2.2.3 经济概况</w:t>
      </w:r>
    </w:p>
    <w:p>
      <w:pPr>
        <w:ind w:firstLine="560" w:firstLineChars="200"/>
        <w:jc w:val="center"/>
        <w:rPr>
          <w:rFonts w:ascii="Times New Roman" w:hAnsi="Times New Roman" w:cs="Times New Roman"/>
        </w:rPr>
      </w:pPr>
      <w:r>
        <w:rPr>
          <w:rFonts w:ascii="Times New Roman" w:hAnsi="Times New Roman" w:eastAsia="仿宋_GB2312" w:cs="Times New Roman"/>
          <w:sz w:val="28"/>
        </w:rPr>
        <w:t>2018年全市生产总值124.62亿元，同比增长5.6%。其中：第一产业增加值22.72亿元，增长4.7%；第二产业增加值22.37亿元，增长2.4%；第三产业增加值79.53亿元，增长6.8%。三次产业结构由2017年的18.2:18.9:62.9调整为18.2:18.0:63.8。人均生产总值2.98万元，比2017年增长5.6%。城镇居民人均可支配收入25896元，同比增长6.90%；农村居民人均可支配收入14811元，同比增长9.50%。</w:t>
      </w:r>
      <w:r>
        <w:rPr>
          <w:rFonts w:ascii="Times New Roman" w:hAnsi="Times New Roman" w:cs="Times New Roman"/>
        </w:rPr>
        <w:drawing>
          <wp:inline distT="0" distB="0" distL="114300" distR="114300">
            <wp:extent cx="4572000" cy="2743200"/>
            <wp:effectExtent l="4445" t="4445" r="1460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ind w:firstLine="421" w:firstLineChars="200"/>
        <w:jc w:val="center"/>
        <w:rPr>
          <w:rFonts w:ascii="Times New Roman" w:hAnsi="Times New Roman" w:eastAsia="仿宋_GB2312" w:cs="Times New Roman"/>
          <w:sz w:val="28"/>
        </w:rPr>
      </w:pPr>
      <w:r>
        <w:rPr>
          <w:rFonts w:ascii="Times New Roman" w:hAnsi="Times New Roman" w:eastAsia="仿宋_GB2312" w:cs="Times New Roman"/>
          <w:b/>
          <w:bCs/>
        </w:rPr>
        <w:t>图2-1 2014-2018年乐昌市生产总值情况图</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2.2.4 交通条件</w:t>
      </w:r>
    </w:p>
    <w:p>
      <w:pPr>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乐昌市是重要的交通枢纽和节点城市，拥有“两铁三站，两高八道”的交通优势，</w:t>
      </w:r>
      <w:r>
        <w:rPr>
          <w:rFonts w:ascii="Times New Roman" w:hAnsi="Times New Roman" w:eastAsia="仿宋_GB2312" w:cs="Times New Roman"/>
          <w:sz w:val="28"/>
        </w:rPr>
        <w:t>“两铁”即京广铁路</w:t>
      </w:r>
      <w:r>
        <w:rPr>
          <w:rFonts w:hint="eastAsia" w:ascii="Times New Roman" w:hAnsi="Times New Roman" w:eastAsia="仿宋_GB2312" w:cs="Times New Roman"/>
          <w:sz w:val="28"/>
        </w:rPr>
        <w:t>、</w:t>
      </w:r>
      <w:r>
        <w:rPr>
          <w:rFonts w:ascii="Times New Roman" w:hAnsi="Times New Roman" w:eastAsia="仿宋_GB2312" w:cs="Times New Roman"/>
          <w:sz w:val="28"/>
        </w:rPr>
        <w:t>京广高铁</w:t>
      </w:r>
      <w:r>
        <w:rPr>
          <w:rFonts w:hint="eastAsia" w:ascii="Times New Roman" w:hAnsi="Times New Roman" w:eastAsia="仿宋_GB2312" w:cs="Times New Roman"/>
          <w:sz w:val="28"/>
        </w:rPr>
        <w:t>；“三站”即</w:t>
      </w:r>
      <w:r>
        <w:rPr>
          <w:rFonts w:ascii="Times New Roman" w:hAnsi="Times New Roman" w:eastAsia="仿宋_GB2312" w:cs="Times New Roman"/>
          <w:sz w:val="28"/>
        </w:rPr>
        <w:t>乐昌</w:t>
      </w:r>
      <w:r>
        <w:rPr>
          <w:rFonts w:hint="eastAsia" w:ascii="Times New Roman" w:hAnsi="Times New Roman" w:eastAsia="仿宋_GB2312" w:cs="Times New Roman"/>
          <w:sz w:val="28"/>
        </w:rPr>
        <w:t>火车</w:t>
      </w:r>
      <w:r>
        <w:rPr>
          <w:rFonts w:ascii="Times New Roman" w:hAnsi="Times New Roman" w:eastAsia="仿宋_GB2312" w:cs="Times New Roman"/>
          <w:sz w:val="28"/>
        </w:rPr>
        <w:t>站、坪石</w:t>
      </w:r>
      <w:r>
        <w:rPr>
          <w:rFonts w:hint="eastAsia" w:ascii="Times New Roman" w:hAnsi="Times New Roman" w:eastAsia="仿宋_GB2312" w:cs="Times New Roman"/>
          <w:sz w:val="28"/>
        </w:rPr>
        <w:t>火车</w:t>
      </w:r>
      <w:r>
        <w:rPr>
          <w:rFonts w:ascii="Times New Roman" w:hAnsi="Times New Roman" w:eastAsia="仿宋_GB2312" w:cs="Times New Roman"/>
          <w:sz w:val="28"/>
        </w:rPr>
        <w:t>站</w:t>
      </w:r>
      <w:r>
        <w:rPr>
          <w:rFonts w:hint="eastAsia" w:ascii="Times New Roman" w:hAnsi="Times New Roman" w:eastAsia="仿宋_GB2312" w:cs="Times New Roman"/>
          <w:sz w:val="28"/>
        </w:rPr>
        <w:t>、高铁</w:t>
      </w:r>
      <w:r>
        <w:rPr>
          <w:rFonts w:ascii="Times New Roman" w:hAnsi="Times New Roman" w:eastAsia="仿宋_GB2312" w:cs="Times New Roman"/>
          <w:sz w:val="28"/>
        </w:rPr>
        <w:t>乐昌东站；“两高”即京港澳高速、乐广高速</w:t>
      </w:r>
      <w:r>
        <w:rPr>
          <w:rFonts w:hint="eastAsia" w:ascii="Times New Roman" w:hAnsi="Times New Roman" w:eastAsia="仿宋_GB2312" w:cs="Times New Roman"/>
          <w:sz w:val="28"/>
        </w:rPr>
        <w:t>；</w:t>
      </w:r>
      <w:r>
        <w:rPr>
          <w:rFonts w:ascii="Times New Roman" w:hAnsi="Times New Roman" w:eastAsia="仿宋_GB2312" w:cs="Times New Roman"/>
          <w:sz w:val="28"/>
        </w:rPr>
        <w:t xml:space="preserve"> “八道”即国道107线、240线、535线以及省道247线、248线、249线、518线、519线</w:t>
      </w:r>
      <w:r>
        <w:rPr>
          <w:rFonts w:hint="eastAsia" w:ascii="Times New Roman" w:hAnsi="Times New Roman" w:eastAsia="仿宋_GB2312" w:cs="Times New Roman"/>
          <w:sz w:val="28"/>
        </w:rPr>
        <w:t>。</w:t>
      </w:r>
      <w:r>
        <w:rPr>
          <w:rFonts w:ascii="Times New Roman" w:hAnsi="Times New Roman" w:eastAsia="仿宋_GB2312" w:cs="Times New Roman"/>
          <w:sz w:val="28"/>
        </w:rPr>
        <w:t>乐昌</w:t>
      </w:r>
      <w:r>
        <w:rPr>
          <w:rFonts w:hint="eastAsia" w:ascii="Times New Roman" w:hAnsi="Times New Roman" w:eastAsia="仿宋_GB2312" w:cs="Times New Roman"/>
          <w:sz w:val="28"/>
        </w:rPr>
        <w:t>距</w:t>
      </w:r>
      <w:r>
        <w:rPr>
          <w:rFonts w:ascii="Times New Roman" w:hAnsi="Times New Roman" w:eastAsia="仿宋_GB2312" w:cs="Times New Roman"/>
          <w:sz w:val="28"/>
        </w:rPr>
        <w:t>广州仅1小时</w:t>
      </w:r>
      <w:r>
        <w:rPr>
          <w:rFonts w:hint="eastAsia" w:ascii="Times New Roman" w:hAnsi="Times New Roman" w:eastAsia="仿宋_GB2312" w:cs="Times New Roman"/>
          <w:sz w:val="28"/>
        </w:rPr>
        <w:t>车程</w:t>
      </w:r>
      <w:r>
        <w:rPr>
          <w:rFonts w:ascii="Times New Roman" w:hAnsi="Times New Roman" w:eastAsia="仿宋_GB2312" w:cs="Times New Roman"/>
          <w:sz w:val="28"/>
        </w:rPr>
        <w:t>，到长沙</w:t>
      </w:r>
      <w:r>
        <w:rPr>
          <w:rFonts w:hint="eastAsia" w:ascii="Times New Roman" w:hAnsi="Times New Roman" w:eastAsia="仿宋_GB2312" w:cs="Times New Roman"/>
          <w:sz w:val="28"/>
        </w:rPr>
        <w:t>仅需</w:t>
      </w:r>
      <w:r>
        <w:rPr>
          <w:rFonts w:ascii="Times New Roman" w:hAnsi="Times New Roman" w:eastAsia="仿宋_GB2312" w:cs="Times New Roman"/>
          <w:sz w:val="28"/>
        </w:rPr>
        <w:t>1.5小时，已融入珠三角、长株潭经济圈。</w:t>
      </w:r>
      <w:r>
        <w:rPr>
          <w:rFonts w:hint="eastAsia" w:ascii="Times New Roman" w:hAnsi="Times New Roman" w:eastAsia="仿宋_GB2312" w:cs="Times New Roman"/>
          <w:sz w:val="28"/>
        </w:rPr>
        <w:t>规划建设中的韶关丹霞机场与乐昌市区直线距离仅16km</w:t>
      </w:r>
      <w:r>
        <w:rPr>
          <w:rFonts w:ascii="Times New Roman" w:hAnsi="Times New Roman" w:eastAsia="仿宋_GB2312" w:cs="Times New Roman"/>
          <w:sz w:val="28"/>
        </w:rPr>
        <w:t>。北江航道</w:t>
      </w:r>
      <w:r>
        <w:rPr>
          <w:rFonts w:hint="eastAsia" w:ascii="Times New Roman" w:hAnsi="Times New Roman" w:eastAsia="仿宋_GB2312" w:cs="Times New Roman"/>
          <w:sz w:val="28"/>
        </w:rPr>
        <w:t>未来</w:t>
      </w:r>
      <w:r>
        <w:rPr>
          <w:rFonts w:ascii="Times New Roman" w:hAnsi="Times New Roman" w:eastAsia="仿宋_GB2312" w:cs="Times New Roman"/>
          <w:sz w:val="28"/>
        </w:rPr>
        <w:t>将北延至乐昌</w:t>
      </w:r>
      <w:r>
        <w:rPr>
          <w:rFonts w:hint="eastAsia" w:ascii="Times New Roman" w:hAnsi="Times New Roman" w:eastAsia="仿宋_GB2312" w:cs="Times New Roman"/>
          <w:sz w:val="28"/>
        </w:rPr>
        <w:t>，为乐昌水路交通提供更大的便捷。</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 w:name="_Toc49241514"/>
      <w:bookmarkStart w:id="13" w:name="_Toc4169197"/>
      <w:r>
        <w:rPr>
          <w:rFonts w:ascii="Times New Roman" w:hAnsi="Times New Roman" w:eastAsia="黑体" w:cs="Times New Roman"/>
          <w:b/>
          <w:bCs/>
          <w:sz w:val="32"/>
          <w:szCs w:val="32"/>
        </w:rPr>
        <w:t>2.3 资源概况</w:t>
      </w:r>
      <w:bookmarkEnd w:id="12"/>
      <w:bookmarkEnd w:id="13"/>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2.3.1 土地资源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截至2017年底，乐昌市土地总面积241971.48hm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。其中耕地23786.22hm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，占比9.83%；园地2637.47hm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，占比1.09%；林地191657.35hm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，占比79.21%；草地1314.98hm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，占比0.54%；城镇村及工矿用地8554.95hm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，占比3.54%；交通运输用地2881.02hm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，占比1.19%；水域及水利设施用地6041.53hm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，占比2.50%；其他用地5097.96hm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，占比2.10%。详见表2-2。</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表2-2 乐昌市土地利用现状分类统计表</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546"/>
        <w:gridCol w:w="2131"/>
        <w:gridCol w:w="2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b/>
                <w:color w:val="000000"/>
                <w:kern w:val="0"/>
                <w:szCs w:val="21"/>
              </w:rPr>
              <w:t>序号</w:t>
            </w:r>
          </w:p>
        </w:tc>
        <w:tc>
          <w:tcPr>
            <w:tcW w:w="2546"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b/>
                <w:color w:val="000000"/>
                <w:kern w:val="0"/>
                <w:szCs w:val="21"/>
              </w:rPr>
              <w:t>土地利用类型</w:t>
            </w:r>
          </w:p>
        </w:tc>
        <w:tc>
          <w:tcPr>
            <w:tcW w:w="2131"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b/>
                <w:color w:val="000000"/>
                <w:kern w:val="0"/>
                <w:szCs w:val="21"/>
              </w:rPr>
              <w:t>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2131"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1</w:t>
            </w:r>
          </w:p>
        </w:tc>
        <w:tc>
          <w:tcPr>
            <w:tcW w:w="2546"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耕地</w:t>
            </w:r>
          </w:p>
        </w:tc>
        <w:tc>
          <w:tcPr>
            <w:tcW w:w="2131"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23786.22</w:t>
            </w:r>
          </w:p>
        </w:tc>
        <w:tc>
          <w:tcPr>
            <w:tcW w:w="2131" w:type="dxa"/>
            <w:vAlign w:val="bottom"/>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9.83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2</w:t>
            </w:r>
          </w:p>
        </w:tc>
        <w:tc>
          <w:tcPr>
            <w:tcW w:w="2546"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园地</w:t>
            </w:r>
          </w:p>
        </w:tc>
        <w:tc>
          <w:tcPr>
            <w:tcW w:w="2131"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2637.47</w:t>
            </w:r>
          </w:p>
        </w:tc>
        <w:tc>
          <w:tcPr>
            <w:tcW w:w="2131" w:type="dxa"/>
            <w:vAlign w:val="bottom"/>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3</w:t>
            </w:r>
          </w:p>
        </w:tc>
        <w:tc>
          <w:tcPr>
            <w:tcW w:w="2546"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林地</w:t>
            </w:r>
          </w:p>
        </w:tc>
        <w:tc>
          <w:tcPr>
            <w:tcW w:w="2131"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191657.35</w:t>
            </w:r>
          </w:p>
        </w:tc>
        <w:tc>
          <w:tcPr>
            <w:tcW w:w="2131" w:type="dxa"/>
            <w:vAlign w:val="bottom"/>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79.21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4</w:t>
            </w:r>
          </w:p>
        </w:tc>
        <w:tc>
          <w:tcPr>
            <w:tcW w:w="2546"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草地</w:t>
            </w:r>
          </w:p>
        </w:tc>
        <w:tc>
          <w:tcPr>
            <w:tcW w:w="2131"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1314.98</w:t>
            </w:r>
          </w:p>
        </w:tc>
        <w:tc>
          <w:tcPr>
            <w:tcW w:w="2131" w:type="dxa"/>
            <w:vAlign w:val="bottom"/>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5</w:t>
            </w:r>
          </w:p>
        </w:tc>
        <w:tc>
          <w:tcPr>
            <w:tcW w:w="2546"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城镇村及工矿用地</w:t>
            </w:r>
          </w:p>
        </w:tc>
        <w:tc>
          <w:tcPr>
            <w:tcW w:w="2131"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8554.95</w:t>
            </w:r>
          </w:p>
        </w:tc>
        <w:tc>
          <w:tcPr>
            <w:tcW w:w="2131" w:type="dxa"/>
            <w:vAlign w:val="bottom"/>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6</w:t>
            </w:r>
          </w:p>
        </w:tc>
        <w:tc>
          <w:tcPr>
            <w:tcW w:w="2546"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交通运输用地</w:t>
            </w:r>
          </w:p>
        </w:tc>
        <w:tc>
          <w:tcPr>
            <w:tcW w:w="2131"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2881.02</w:t>
            </w:r>
          </w:p>
        </w:tc>
        <w:tc>
          <w:tcPr>
            <w:tcW w:w="2131" w:type="dxa"/>
            <w:vAlign w:val="bottom"/>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339" w:type="dxa"/>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2546" w:type="dxa"/>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szCs w:val="21"/>
              </w:rPr>
              <w:t>水域及水利设施用地</w:t>
            </w:r>
          </w:p>
        </w:tc>
        <w:tc>
          <w:tcPr>
            <w:tcW w:w="2131" w:type="dxa"/>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szCs w:val="21"/>
              </w:rPr>
              <w:t>6041.53</w:t>
            </w:r>
          </w:p>
        </w:tc>
        <w:tc>
          <w:tcPr>
            <w:tcW w:w="2131" w:type="dxa"/>
            <w:vAlign w:val="bottom"/>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2546" w:type="dxa"/>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szCs w:val="21"/>
              </w:rPr>
              <w:t>其他土地</w:t>
            </w:r>
          </w:p>
        </w:tc>
        <w:tc>
          <w:tcPr>
            <w:tcW w:w="2131" w:type="dxa"/>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szCs w:val="21"/>
              </w:rPr>
              <w:t>5097.96</w:t>
            </w:r>
          </w:p>
        </w:tc>
        <w:tc>
          <w:tcPr>
            <w:tcW w:w="2131" w:type="dxa"/>
            <w:vAlign w:val="bottom"/>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85" w:type="dxa"/>
            <w:gridSpan w:val="2"/>
            <w:vAlign w:val="center"/>
          </w:tcPr>
          <w:p>
            <w:pPr>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2131" w:type="dxa"/>
            <w:vAlign w:val="center"/>
          </w:tcPr>
          <w:p>
            <w:pPr>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241971.48</w:t>
            </w:r>
          </w:p>
        </w:tc>
        <w:tc>
          <w:tcPr>
            <w:tcW w:w="2131" w:type="dxa"/>
            <w:vAlign w:val="center"/>
          </w:tcPr>
          <w:p>
            <w:pPr>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100.00</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2.3.2 矿产资源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矿产资源主要有煤、铁、钨、锑、铅、锌、锰、硫铁矿、萤石、玻璃用脉石英、冶金用脉石英、冶金用白云石、长石、水泥用石灰岩、建筑石料用灰岩、高岭土、陶瓷土、耐火黏土、矿泉水、地热水20种，其中能源矿产1种，金属矿产6种，非金属固体矿产11种，水汽矿产2种。锑和萤石矿储量分居广东省第一位、第二位。</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矿产种类较多，规模小，分布范围广。其中能源矿产地13处，累计探明储量615.60万吨；金属矿产地13处，累计探明储量818.76万吨；非金属矿产地30处，累计探明储量6628.43‬万吨；水汽矿产地2处，探明储量为980立方米/日。</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2.3.3 湿地资源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乐昌市共有各类湿地面积4051.13hm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，占土地总面积的1.67%，其中永久性河流面积3501.26hm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，占湿地总面积的86.43%；洪泛湿地43.11hm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，占湿地总面积的1.06%；水库面积506.76hm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，占湿地总面积的12.51%。</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2.3.4 水资源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境内属丘陵、中低山脉、盆地交错山区，河溪纵横与区域性气候、植被等差异，影响了水资源的变化。境内径流均为降雨产生，多年平均径流为812.4mm，地表径流总量为19.4亿立方米，地下水径流量为3.96亿立方米，过境水量达41亿立方米。</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2.3.5 植物资源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境内植被种类丰富，地带性植被为中亚热带典型常绿阔叶林。植物种类组成以壳斗科、樟科、木兰科、杜英科、金缕梅科、山茶科、安息香科、山矾科和杜鹃花科为主，大多数是当地发生发展起来的华南植物区系。据调查，乐昌市共有野生维管束植物203科1554种，其中蕨类植物37科147种；裸子植物8科15种；双子叶植物139科1184种；单子叶植物19科208种。国家重点保护野生植物有南方红豆杉、伯乐树、华南五针松、福建柏等。</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2.3.6 动物资源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境内动物资源丰富，共有脊椎动物5纲33目77科449种。国家I级保护动物有云豹、黄腹角雉、黑鹿和瑶山鳄蜥，国家II级保护动物有穿山甲、猕猴等，广东省重点保护动物有棘胸蛙、沼蛙、池鹭、牛背鹭、白鹭、红嘴相思鸟等，主要分布在广东乐昌杨东山十二度水省级自然保护区、广东乐昌大瑶山省级自然保护区与广东粤北华南虎省级自然保护区内。</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2.3.7 旅游资源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传统文化独具魅力，乐昌花鼓戏、渔鼓说唱、九峰山歌、三溪青蛙狮等被列入了省非物质文化遗产保护项目。全市现有国家AAAA级景区1家，AAA级景区3家，拥有闻名遐迩的乐昌峡、古佛洞天、金鸡岭、龙王潭、“中国美丽乡村”九峰花果园、“中国美丽田园”五山梯田等旅游胜地，还有九福兰花公园、百臻农业生态园、广东誉马葡萄庄园等一批田园综合体，以及中国工农革命军第一师师部旧址、红七军指挥部旧址等红色旅游基地，旅游产业集聚地建设初见成效。</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4" w:name="_Toc391540141"/>
      <w:bookmarkStart w:id="15" w:name="_Toc396979738"/>
      <w:bookmarkStart w:id="16" w:name="_Toc49241515"/>
      <w:bookmarkStart w:id="17" w:name="_Toc4169198"/>
      <w:r>
        <w:rPr>
          <w:rFonts w:ascii="Times New Roman" w:hAnsi="Times New Roman" w:eastAsia="黑体" w:cs="Times New Roman"/>
          <w:b/>
          <w:bCs/>
          <w:sz w:val="32"/>
          <w:szCs w:val="32"/>
        </w:rPr>
        <w:t>2.4 环境状况</w:t>
      </w:r>
      <w:bookmarkEnd w:id="14"/>
      <w:bookmarkEnd w:id="15"/>
      <w:bookmarkEnd w:id="16"/>
      <w:bookmarkEnd w:id="17"/>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2.4.1 水环境</w:t>
      </w:r>
    </w:p>
    <w:p>
      <w:pPr>
        <w:ind w:firstLine="560" w:firstLineChars="200"/>
        <w:rPr>
          <w:rFonts w:ascii="Times New Roman" w:hAnsi="Times New Roman" w:eastAsia="仿宋" w:cs="Times New Roman"/>
          <w:sz w:val="28"/>
        </w:rPr>
      </w:pPr>
      <w:r>
        <w:rPr>
          <w:rFonts w:ascii="Times New Roman" w:hAnsi="Times New Roman" w:eastAsia="仿宋_GB2312" w:cs="Times New Roman"/>
          <w:sz w:val="28"/>
        </w:rPr>
        <w:t>2014-2018年乐昌市地表水检测断面共有6个，分别是三溪河、黄圃河、坪石、乐昌市自来水厂抽水口上游100米、天本园、昌山变电站；饮用水源监测断面1个，为乐昌市自来水厂抽水口上游100m。结果显示，2014-2018年地表水水质优良，优于《地表水环境质量标准》中</w:t>
      </w:r>
      <w:r>
        <w:rPr>
          <w:rFonts w:ascii="Times New Roman" w:hAnsi="Times New Roman" w:eastAsia="宋体" w:cs="Times New Roman"/>
          <w:sz w:val="28"/>
        </w:rPr>
        <w:t>Ⅲ</w:t>
      </w:r>
      <w:r>
        <w:rPr>
          <w:rFonts w:ascii="Times New Roman" w:hAnsi="Times New Roman" w:eastAsia="仿宋_GB2312" w:cs="Times New Roman"/>
          <w:sz w:val="28"/>
        </w:rPr>
        <w:t>类水质标准；饮用水源水质达到标准</w:t>
      </w:r>
      <w:r>
        <w:rPr>
          <w:rFonts w:ascii="Times New Roman" w:hAnsi="Times New Roman" w:eastAsia="宋体" w:cs="Times New Roman"/>
          <w:sz w:val="28"/>
        </w:rPr>
        <w:t>Ⅲ</w:t>
      </w:r>
      <w:r>
        <w:rPr>
          <w:rFonts w:ascii="Times New Roman" w:hAnsi="Times New Roman" w:eastAsia="仿宋_GB2312" w:cs="Times New Roman"/>
          <w:sz w:val="28"/>
        </w:rPr>
        <w:t>类以上。</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2.4.2 空气环境质量</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2014-2018年，市区SO</w:t>
      </w:r>
      <w:r>
        <w:rPr>
          <w:rFonts w:ascii="Times New Roman" w:hAnsi="Times New Roman" w:eastAsia="仿宋_GB2312" w:cs="Times New Roman"/>
          <w:sz w:val="28"/>
          <w:vertAlign w:val="subscript"/>
        </w:rPr>
        <w:t>2</w:t>
      </w:r>
      <w:r>
        <w:rPr>
          <w:rFonts w:ascii="Times New Roman" w:hAnsi="Times New Roman" w:eastAsia="仿宋_GB2312" w:cs="Times New Roman"/>
          <w:sz w:val="28"/>
        </w:rPr>
        <w:t>的年平均浓度范围为0.011-0.020mg/m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、NO</w:t>
      </w:r>
      <w:r>
        <w:rPr>
          <w:rFonts w:ascii="Times New Roman" w:hAnsi="Times New Roman" w:eastAsia="仿宋_GB2312" w:cs="Times New Roman"/>
          <w:sz w:val="28"/>
          <w:vertAlign w:val="subscript"/>
        </w:rPr>
        <w:t>2</w:t>
      </w:r>
      <w:r>
        <w:rPr>
          <w:rFonts w:ascii="Times New Roman" w:hAnsi="Times New Roman" w:eastAsia="仿宋_GB2312" w:cs="Times New Roman"/>
          <w:sz w:val="28"/>
        </w:rPr>
        <w:t>的年平均浓度范围为0.018-0.022mg/m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、PM</w:t>
      </w:r>
      <w:r>
        <w:rPr>
          <w:rFonts w:ascii="Times New Roman" w:hAnsi="Times New Roman" w:eastAsia="仿宋_GB2312" w:cs="Times New Roman"/>
          <w:sz w:val="28"/>
          <w:vertAlign w:val="subscript"/>
        </w:rPr>
        <w:t>10</w:t>
      </w:r>
      <w:r>
        <w:rPr>
          <w:rFonts w:ascii="Times New Roman" w:hAnsi="Times New Roman" w:eastAsia="仿宋_GB2312" w:cs="Times New Roman"/>
          <w:sz w:val="28"/>
        </w:rPr>
        <w:t>的年平均浓度范围为0.032-0.046mg/m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；2016-2018年，市区PM</w:t>
      </w:r>
      <w:r>
        <w:rPr>
          <w:rFonts w:ascii="Times New Roman" w:hAnsi="Times New Roman" w:eastAsia="仿宋_GB2312" w:cs="Times New Roman"/>
          <w:sz w:val="28"/>
          <w:vertAlign w:val="subscript"/>
        </w:rPr>
        <w:t>2.5</w:t>
      </w:r>
      <w:r>
        <w:rPr>
          <w:rFonts w:ascii="Times New Roman" w:hAnsi="Times New Roman" w:eastAsia="仿宋_GB2312" w:cs="Times New Roman"/>
          <w:sz w:val="28"/>
        </w:rPr>
        <w:t>的年平均浓度范围为0.025-0.030mg/m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。2018年乐昌市区的环境空气质量较好，NO</w:t>
      </w:r>
      <w:r>
        <w:rPr>
          <w:rFonts w:ascii="Times New Roman" w:hAnsi="Times New Roman" w:eastAsia="仿宋_GB2312" w:cs="Times New Roman"/>
          <w:sz w:val="28"/>
          <w:vertAlign w:val="subscript"/>
        </w:rPr>
        <w:t>2</w:t>
      </w:r>
      <w:r>
        <w:rPr>
          <w:rFonts w:ascii="Times New Roman" w:hAnsi="Times New Roman" w:eastAsia="仿宋_GB2312" w:cs="Times New Roman"/>
          <w:sz w:val="28"/>
        </w:rPr>
        <w:t>、PM</w:t>
      </w:r>
      <w:r>
        <w:rPr>
          <w:rFonts w:ascii="Times New Roman" w:hAnsi="Times New Roman" w:eastAsia="仿宋_GB2312" w:cs="Times New Roman"/>
          <w:sz w:val="28"/>
          <w:vertAlign w:val="subscript"/>
        </w:rPr>
        <w:t>10</w:t>
      </w:r>
      <w:r>
        <w:rPr>
          <w:rFonts w:ascii="Times New Roman" w:hAnsi="Times New Roman" w:eastAsia="仿宋_GB2312" w:cs="Times New Roman"/>
          <w:sz w:val="28"/>
        </w:rPr>
        <w:t>和PM</w:t>
      </w:r>
      <w:r>
        <w:rPr>
          <w:rFonts w:ascii="Times New Roman" w:hAnsi="Times New Roman" w:eastAsia="仿宋_GB2312" w:cs="Times New Roman"/>
          <w:sz w:val="28"/>
          <w:vertAlign w:val="subscript"/>
        </w:rPr>
        <w:t>2.5</w:t>
      </w:r>
      <w:r>
        <w:rPr>
          <w:rFonts w:ascii="Times New Roman" w:hAnsi="Times New Roman" w:eastAsia="仿宋_GB2312" w:cs="Times New Roman"/>
          <w:sz w:val="28"/>
        </w:rPr>
        <w:t>与上年相比浓度下降，SO</w:t>
      </w:r>
      <w:r>
        <w:rPr>
          <w:rFonts w:ascii="Times New Roman" w:hAnsi="Times New Roman" w:eastAsia="仿宋_GB2312" w:cs="Times New Roman"/>
          <w:sz w:val="28"/>
          <w:vertAlign w:val="subscript"/>
        </w:rPr>
        <w:t>2</w:t>
      </w:r>
      <w:r>
        <w:rPr>
          <w:rFonts w:ascii="Times New Roman" w:hAnsi="Times New Roman" w:eastAsia="仿宋_GB2312" w:cs="Times New Roman"/>
          <w:sz w:val="28"/>
        </w:rPr>
        <w:t>与上年相比，浓度相对稳定。</w:t>
      </w:r>
    </w:p>
    <w:p>
      <w:pPr>
        <w:ind w:firstLine="420" w:firstLineChars="200"/>
        <w:rPr>
          <w:rFonts w:ascii="Times New Roman" w:hAnsi="Times New Roman" w:eastAsia="仿宋_GB2312" w:cs="Times New Roman"/>
          <w:sz w:val="28"/>
        </w:rPr>
      </w:pPr>
      <w:r>
        <w:rPr>
          <w:rFonts w:ascii="Times New Roman" w:hAnsi="Times New Roman" w:cs="Times New Roman"/>
        </w:rPr>
        <w:drawing>
          <wp:inline distT="0" distB="0" distL="0" distR="0">
            <wp:extent cx="4572000" cy="27432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图2-2 2014-2018年乐昌市空气环境质量变化图</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2.4.3 声环境质量</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2014-2018年，乐昌市城区环境噪声等效声级年平均值范围为54.6-55.0dB，每年噪声等级均为一级（昼间限值为55dB），声环境质量好，城区环境噪声等级呈下降趋势；道路交通噪音等效声级年平均值范围为67.8-67.6dB，每年道路交通噪声等级均达到一级标准（限值为68dB），道路交通噪声等级保持稳定。</w:t>
      </w:r>
    </w:p>
    <w:p>
      <w:pPr>
        <w:ind w:firstLine="420"/>
        <w:jc w:val="center"/>
        <w:rPr>
          <w:rFonts w:ascii="Times New Roman" w:hAnsi="Times New Roman" w:eastAsia="仿宋_GB2312" w:cs="Times New Roman"/>
          <w:sz w:val="28"/>
        </w:rPr>
      </w:pPr>
      <w:r>
        <w:rPr>
          <w:rFonts w:ascii="Times New Roman" w:hAnsi="Times New Roman" w:cs="Times New Roman"/>
        </w:rPr>
        <w:drawing>
          <wp:inline distT="0" distB="0" distL="0" distR="0">
            <wp:extent cx="4572000" cy="2743200"/>
            <wp:effectExtent l="0" t="0" r="19050" b="1905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图2-3 2014-2018年乐昌市声环境质量变化图</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2.4.4 农村环境状况</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（1）饮用水源地</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近年来，乐昌市规范化管理建设乡镇集中式饮用水源保护地，定期开展检测和调查评估。各有关乡镇人民政府大力监管农村饮用水源环境，依法清理了9个集中式乡镇饮用水源地内违法建筑和排污口，使饮用水源地水质达标率达到100%，保障了农村居民用水安全。</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（2）农村环境</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深化“以奖促治”政策，结合新农村连片示范、名镇名村、幸福村居、生态村镇建设等工程，以重点流域、重要饮用水源地周边、生态发展区及“问题村”为重点，创新投融资及建设模式，推进农村环境连片综合治理，实现了城乡生活垃圾收运处理设施全覆盖，改善农村人居环境。目前，已完成80%自然村人居环境综合整治。</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依法划定了农村禁养区、适养区和限养区，已关闭禁养区内畜禽养殖场、养殖户，优化畜禽养殖业总体布局。同时，加强畜禽养殖污染物排放监管，实施了畜禽养殖场雨污分流、粪便污水资源化利用措施，有效的减少了畜禽养殖业污染物排放总量。截止2018年底，规模化养殖场、养殖小区废弃物处理设施比例达60%，养殖专业户粪便收集利用化率达70%。</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8" w:name="_Toc49241516"/>
      <w:bookmarkStart w:id="19" w:name="_Toc4169199"/>
      <w:r>
        <w:rPr>
          <w:rFonts w:ascii="Times New Roman" w:hAnsi="Times New Roman" w:eastAsia="黑体" w:cs="Times New Roman"/>
          <w:b/>
          <w:bCs/>
          <w:sz w:val="32"/>
          <w:szCs w:val="32"/>
        </w:rPr>
        <w:t>2.5 自然保护地概况</w:t>
      </w:r>
      <w:bookmarkEnd w:id="18"/>
      <w:bookmarkEnd w:id="19"/>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2.5.1 自然保护区</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乐昌市境内共有自然保护区3个，分别是：广东乐昌杨东山十二度水省级自然保护区、广东乐昌大瑶山省级自然保护区、广东粤北华南虎省级自然保护区（沙坪片区），总面积24808hm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，占乐昌市国土面积的10.25%。详见表2-3。</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表2-3 乐昌市自然保护区统计表</w:t>
      </w:r>
    </w:p>
    <w:tbl>
      <w:tblPr>
        <w:tblStyle w:val="47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2958"/>
        <w:gridCol w:w="1656"/>
        <w:gridCol w:w="638"/>
        <w:gridCol w:w="1418"/>
        <w:gridCol w:w="12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349" w:type="pct"/>
            <w:shd w:val="clear" w:color="auto" w:fill="auto"/>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序号</w:t>
            </w:r>
          </w:p>
        </w:tc>
        <w:tc>
          <w:tcPr>
            <w:tcW w:w="1736" w:type="pct"/>
            <w:shd w:val="clear" w:color="auto" w:fill="auto"/>
            <w:noWrap/>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自然保护区名称</w:t>
            </w:r>
          </w:p>
        </w:tc>
        <w:tc>
          <w:tcPr>
            <w:tcW w:w="972" w:type="pct"/>
            <w:shd w:val="clear" w:color="auto" w:fill="auto"/>
            <w:noWrap/>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镇（街道）</w:t>
            </w:r>
          </w:p>
        </w:tc>
        <w:tc>
          <w:tcPr>
            <w:tcW w:w="373" w:type="pct"/>
            <w:shd w:val="clear" w:color="auto" w:fill="auto"/>
            <w:noWrap/>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级别</w:t>
            </w:r>
          </w:p>
        </w:tc>
        <w:tc>
          <w:tcPr>
            <w:tcW w:w="832" w:type="pct"/>
            <w:shd w:val="clear" w:color="auto" w:fill="auto"/>
            <w:noWrap/>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面积（hm</w:t>
            </w:r>
            <w:r>
              <w:rPr>
                <w:rFonts w:ascii="Times New Roman" w:hAnsi="Times New Roman" w:eastAsia="仿宋_GB2312" w:cs="Times New Roman"/>
                <w:b/>
                <w:color w:val="000000"/>
                <w:szCs w:val="21"/>
                <w:vertAlign w:val="superscript"/>
              </w:rPr>
              <w:t>2</w:t>
            </w:r>
            <w:r>
              <w:rPr>
                <w:rFonts w:ascii="Times New Roman" w:hAnsi="Times New Roman" w:eastAsia="仿宋_GB2312" w:cs="Times New Roman"/>
                <w:b/>
                <w:color w:val="000000"/>
                <w:szCs w:val="21"/>
              </w:rPr>
              <w:t>）</w:t>
            </w:r>
          </w:p>
        </w:tc>
        <w:tc>
          <w:tcPr>
            <w:tcW w:w="739" w:type="pct"/>
            <w:shd w:val="clear" w:color="auto" w:fill="auto"/>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占国土面积（%）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9"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736"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广东乐昌杨东山十二度水省级自然保护区</w:t>
            </w:r>
          </w:p>
        </w:tc>
        <w:tc>
          <w:tcPr>
            <w:tcW w:w="972"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廊田镇、九峰镇、五山镇、北乡镇</w:t>
            </w:r>
          </w:p>
        </w:tc>
        <w:tc>
          <w:tcPr>
            <w:tcW w:w="373" w:type="pct"/>
            <w:shd w:val="clear" w:color="auto" w:fill="auto"/>
            <w:noWrap/>
            <w:vAlign w:val="center"/>
          </w:tcPr>
          <w:p>
            <w:pPr>
              <w:spacing w:line="32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省级</w:t>
            </w:r>
          </w:p>
        </w:tc>
        <w:tc>
          <w:tcPr>
            <w:tcW w:w="832"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11600</w:t>
            </w:r>
          </w:p>
        </w:tc>
        <w:tc>
          <w:tcPr>
            <w:tcW w:w="739" w:type="pct"/>
            <w:shd w:val="clear" w:color="auto" w:fill="auto"/>
            <w:vAlign w:val="center"/>
          </w:tcPr>
          <w:tbl>
            <w:tblPr>
              <w:tblStyle w:val="46"/>
              <w:tblW w:w="960" w:type="dxa"/>
              <w:tblInd w:w="0" w:type="dxa"/>
              <w:tblLayout w:type="autofit"/>
              <w:tblCellMar>
                <w:top w:w="0" w:type="dxa"/>
                <w:left w:w="108" w:type="dxa"/>
                <w:bottom w:w="0" w:type="dxa"/>
                <w:right w:w="108" w:type="dxa"/>
              </w:tblCellMar>
            </w:tblPr>
            <w:tblGrid>
              <w:gridCol w:w="960"/>
            </w:tblGrid>
            <w:tr>
              <w:tblPrEx>
                <w:tblCellMar>
                  <w:top w:w="0" w:type="dxa"/>
                  <w:left w:w="108" w:type="dxa"/>
                  <w:bottom w:w="0" w:type="dxa"/>
                  <w:right w:w="108" w:type="dxa"/>
                </w:tblCellMar>
              </w:tblPrEx>
              <w:trPr>
                <w:trHeight w:val="384" w:hRule="atLeast"/>
              </w:trPr>
              <w:tc>
                <w:tcPr>
                  <w:tcW w:w="960" w:type="dxa"/>
                  <w:tcBorders>
                    <w:top w:val="nil"/>
                    <w:left w:val="nil"/>
                    <w:bottom w:val="nil"/>
                    <w:right w:val="nil"/>
                  </w:tcBorders>
                  <w:shd w:val="clear" w:color="auto" w:fill="auto"/>
                  <w:noWrap/>
                  <w:vAlign w:val="bottom"/>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4.79</w:t>
                  </w:r>
                </w:p>
              </w:tc>
            </w:tr>
          </w:tbl>
          <w:p>
            <w:pPr>
              <w:spacing w:line="320" w:lineRule="exact"/>
              <w:jc w:val="center"/>
              <w:rPr>
                <w:rFonts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736"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广东乐昌大瑶山省级自然保护区</w:t>
            </w:r>
          </w:p>
        </w:tc>
        <w:tc>
          <w:tcPr>
            <w:tcW w:w="972"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大源镇、乐城街道</w:t>
            </w:r>
          </w:p>
        </w:tc>
        <w:tc>
          <w:tcPr>
            <w:tcW w:w="373" w:type="pct"/>
            <w:shd w:val="clear" w:color="auto" w:fill="auto"/>
            <w:noWrap/>
            <w:vAlign w:val="center"/>
          </w:tcPr>
          <w:p>
            <w:pPr>
              <w:spacing w:line="32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省级</w:t>
            </w:r>
          </w:p>
        </w:tc>
        <w:tc>
          <w:tcPr>
            <w:tcW w:w="832"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7913</w:t>
            </w:r>
          </w:p>
        </w:tc>
        <w:tc>
          <w:tcPr>
            <w:tcW w:w="739"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3.27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736"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广东粤北华南虎省级自然保护区</w:t>
            </w:r>
          </w:p>
        </w:tc>
        <w:tc>
          <w:tcPr>
            <w:tcW w:w="972"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沙坪镇</w:t>
            </w:r>
          </w:p>
        </w:tc>
        <w:tc>
          <w:tcPr>
            <w:tcW w:w="373" w:type="pct"/>
            <w:shd w:val="clear" w:color="auto" w:fill="auto"/>
            <w:noWrap/>
            <w:vAlign w:val="center"/>
          </w:tcPr>
          <w:p>
            <w:pPr>
              <w:spacing w:line="32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省级</w:t>
            </w:r>
          </w:p>
        </w:tc>
        <w:tc>
          <w:tcPr>
            <w:tcW w:w="832"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5295</w:t>
            </w:r>
          </w:p>
        </w:tc>
        <w:tc>
          <w:tcPr>
            <w:tcW w:w="739"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2.19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4" w:type="pct"/>
            <w:gridSpan w:val="2"/>
            <w:shd w:val="clear" w:color="auto" w:fill="auto"/>
            <w:vAlign w:val="center"/>
          </w:tcPr>
          <w:p>
            <w:pPr>
              <w:spacing w:line="320" w:lineRule="exact"/>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972" w:type="pct"/>
            <w:shd w:val="clear" w:color="auto" w:fill="auto"/>
            <w:vAlign w:val="center"/>
          </w:tcPr>
          <w:p>
            <w:pPr>
              <w:spacing w:line="320" w:lineRule="exact"/>
              <w:jc w:val="center"/>
              <w:rPr>
                <w:rFonts w:ascii="Times New Roman" w:hAnsi="Times New Roman" w:eastAsia="仿宋_GB2312" w:cs="Times New Roman"/>
                <w:b/>
                <w:szCs w:val="21"/>
              </w:rPr>
            </w:pPr>
            <w:r>
              <w:rPr>
                <w:rFonts w:ascii="Times New Roman" w:hAnsi="Times New Roman" w:eastAsia="仿宋_GB2312" w:cs="Times New Roman"/>
                <w:b/>
                <w:szCs w:val="21"/>
              </w:rPr>
              <w:t>/</w:t>
            </w:r>
          </w:p>
        </w:tc>
        <w:tc>
          <w:tcPr>
            <w:tcW w:w="373" w:type="pct"/>
            <w:shd w:val="clear" w:color="auto" w:fill="auto"/>
            <w:noWrap/>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w:t>
            </w:r>
          </w:p>
        </w:tc>
        <w:tc>
          <w:tcPr>
            <w:tcW w:w="832" w:type="pct"/>
            <w:shd w:val="clear" w:color="auto" w:fill="auto"/>
            <w:vAlign w:val="center"/>
          </w:tcPr>
          <w:p>
            <w:pPr>
              <w:spacing w:line="320" w:lineRule="exact"/>
              <w:jc w:val="center"/>
              <w:rPr>
                <w:rFonts w:ascii="Times New Roman" w:hAnsi="Times New Roman" w:eastAsia="仿宋_GB2312" w:cs="Times New Roman"/>
                <w:b/>
                <w:szCs w:val="21"/>
              </w:rPr>
            </w:pPr>
            <w:r>
              <w:rPr>
                <w:rFonts w:ascii="Times New Roman" w:hAnsi="Times New Roman" w:eastAsia="仿宋_GB2312" w:cs="Times New Roman"/>
                <w:b/>
                <w:szCs w:val="21"/>
              </w:rPr>
              <w:t>24808</w:t>
            </w:r>
          </w:p>
        </w:tc>
        <w:tc>
          <w:tcPr>
            <w:tcW w:w="739"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10.25</w:t>
            </w:r>
          </w:p>
        </w:tc>
      </w:tr>
    </w:tbl>
    <w:p>
      <w:pPr>
        <w:autoSpaceDE w:val="0"/>
        <w:autoSpaceDN w:val="0"/>
        <w:spacing w:before="120" w:after="120" w:line="360" w:lineRule="auto"/>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2.5.2 自然公园</w:t>
      </w:r>
    </w:p>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2.5.2.1森林公园</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乐昌市共有省级森林公园1个，县级森林公园6个，镇级森林公园10个，总面积5310.87hm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，详见表2-4。</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表2-4 乐昌市森林公园统计表</w:t>
      </w:r>
    </w:p>
    <w:tbl>
      <w:tblPr>
        <w:tblStyle w:val="471"/>
        <w:tblW w:w="4843"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678"/>
        <w:gridCol w:w="1303"/>
        <w:gridCol w:w="1303"/>
        <w:gridCol w:w="12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29" w:type="pct"/>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序号</w:t>
            </w:r>
          </w:p>
        </w:tc>
        <w:tc>
          <w:tcPr>
            <w:tcW w:w="2227"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森林公园名称</w:t>
            </w:r>
          </w:p>
        </w:tc>
        <w:tc>
          <w:tcPr>
            <w:tcW w:w="789"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位置</w:t>
            </w:r>
          </w:p>
        </w:tc>
        <w:tc>
          <w:tcPr>
            <w:tcW w:w="789"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级别</w:t>
            </w:r>
          </w:p>
        </w:tc>
        <w:tc>
          <w:tcPr>
            <w:tcW w:w="765"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面积（hm</w:t>
            </w:r>
            <w:r>
              <w:rPr>
                <w:rFonts w:ascii="Times New Roman" w:hAnsi="Times New Roman" w:eastAsia="仿宋_GB2312" w:cs="Times New Roman"/>
                <w:b/>
                <w:color w:val="000000"/>
                <w:szCs w:val="21"/>
                <w:vertAlign w:val="superscript"/>
              </w:rPr>
              <w:t>2</w:t>
            </w:r>
            <w:r>
              <w:rPr>
                <w:rFonts w:ascii="Times New Roman" w:hAnsi="Times New Roman" w:eastAsia="仿宋_GB2312" w:cs="Times New Roman"/>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广东后洞森林公园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乐昌林场</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省级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616.2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乐昌市龙王潭县级森林公园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廊田镇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255.8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乐昌市南塔县级森林公园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乐城街道</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乐昌市狮子山楠木县级森林公园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两江镇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乐昌市户昌山古村落县级森林公园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庆云镇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乐昌市百臻县级森林公园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梅花镇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乐昌市云祖峰县级森林公园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白石镇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238.67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乐昌市九峰镇杨东山森林公园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九峰镇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乐昌市五山镇竹海森林公园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五山镇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乐昌市北乡镇香樟森林公园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北乡镇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乐昌市沙坪镇八宝山森林公园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沙坪镇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乐昌市坪石镇皈塘森林公园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坪石镇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乐昌市云岩镇青莲山森林公园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云岩镇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乐昌市秀水镇大竹山森林公园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秀水镇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乐昌市黄圃镇泸溪河森林公园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黄圃镇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w:t>
            </w:r>
          </w:p>
        </w:tc>
        <w:tc>
          <w:tcPr>
            <w:tcW w:w="222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乐昌市大源镇菖蒲塘森林公园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大源镇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17</w:t>
            </w:r>
          </w:p>
        </w:tc>
        <w:tc>
          <w:tcPr>
            <w:tcW w:w="222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乐昌市三溪镇三溪森林公园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三溪镇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57" w:type="pct"/>
            <w:gridSpan w:val="2"/>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合计</w:t>
            </w:r>
          </w:p>
        </w:tc>
        <w:tc>
          <w:tcPr>
            <w:tcW w:w="789" w:type="pct"/>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w:t>
            </w:r>
          </w:p>
        </w:tc>
        <w:tc>
          <w:tcPr>
            <w:tcW w:w="789" w:type="pct"/>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w:t>
            </w:r>
          </w:p>
        </w:tc>
        <w:tc>
          <w:tcPr>
            <w:tcW w:w="765" w:type="pct"/>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5310.87</w:t>
            </w:r>
          </w:p>
        </w:tc>
      </w:tr>
    </w:tbl>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2.5.2.2湿地公园</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乐昌市已建成市级湿地公园1处，为广东乐昌峡湿地公园，位于乐昌市大源镇与坪石镇，主要保护对象为湿地与森林生态系统，总面积1147.08hm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w:t>
      </w:r>
    </w:p>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2.5.2.3地质公园</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乐昌市现有乐昌金鸡岭省级地质公园，总面积680hm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，由金鸡岭园区</w:t>
      </w:r>
      <w:r>
        <w:rPr>
          <w:rStyle w:val="56"/>
          <w:rFonts w:ascii="Times New Roman" w:hAnsi="Times New Roman" w:eastAsia="仿宋_GB2312" w:cs="Times New Roman"/>
          <w:sz w:val="28"/>
        </w:rPr>
        <w:footnoteReference w:id="0"/>
      </w:r>
      <w:r>
        <w:rPr>
          <w:rFonts w:ascii="Times New Roman" w:hAnsi="Times New Roman" w:eastAsia="仿宋_GB2312" w:cs="Times New Roman"/>
          <w:sz w:val="28"/>
        </w:rPr>
        <w:t>和古佛岩园区组成。公园以丹霞地貌和喀斯特地貌为主，生态环境良好。</w:t>
      </w:r>
    </w:p>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2.5.2.4风景名胜区</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乐昌市已建成风景名胜区2处，为乐昌市金鸡岭省级风景名胜区和九泷十八滩风景名胜区，总面积2250hm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。详见表2-5。</w:t>
      </w:r>
    </w:p>
    <w:p>
      <w:pPr>
        <w:ind w:firstLine="560" w:firstLineChars="200"/>
        <w:rPr>
          <w:rFonts w:ascii="Times New Roman" w:hAnsi="Times New Roman" w:eastAsia="仿宋_GB2312" w:cs="Times New Roman"/>
          <w:sz w:val="28"/>
        </w:rPr>
      </w:pPr>
    </w:p>
    <w:p>
      <w:pPr>
        <w:ind w:firstLine="560" w:firstLineChars="200"/>
        <w:rPr>
          <w:rFonts w:ascii="Times New Roman" w:hAnsi="Times New Roman" w:eastAsia="仿宋_GB2312" w:cs="Times New Roman"/>
          <w:sz w:val="28"/>
        </w:rPr>
      </w:pP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表2-5 乐昌市风景名胜区统计表</w:t>
      </w:r>
    </w:p>
    <w:tbl>
      <w:tblPr>
        <w:tblStyle w:val="471"/>
        <w:tblW w:w="489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3217"/>
        <w:gridCol w:w="1964"/>
        <w:gridCol w:w="107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tblHeader/>
          <w:jc w:val="center"/>
        </w:trPr>
        <w:tc>
          <w:tcPr>
            <w:tcW w:w="410" w:type="pct"/>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序号</w:t>
            </w:r>
          </w:p>
        </w:tc>
        <w:tc>
          <w:tcPr>
            <w:tcW w:w="1942"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风景名胜区名称</w:t>
            </w:r>
          </w:p>
        </w:tc>
        <w:tc>
          <w:tcPr>
            <w:tcW w:w="1190"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镇（街道）</w:t>
            </w:r>
          </w:p>
        </w:tc>
        <w:tc>
          <w:tcPr>
            <w:tcW w:w="656"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级别</w:t>
            </w:r>
          </w:p>
        </w:tc>
        <w:tc>
          <w:tcPr>
            <w:tcW w:w="803"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面积（hm</w:t>
            </w:r>
            <w:r>
              <w:rPr>
                <w:rFonts w:ascii="Times New Roman" w:hAnsi="Times New Roman" w:eastAsia="仿宋_GB2312" w:cs="Times New Roman"/>
                <w:b/>
                <w:color w:val="000000"/>
                <w:szCs w:val="21"/>
                <w:vertAlign w:val="superscript"/>
              </w:rPr>
              <w:t>2</w:t>
            </w:r>
            <w:r>
              <w:rPr>
                <w:rFonts w:ascii="Times New Roman" w:hAnsi="Times New Roman" w:eastAsia="仿宋_GB2312" w:cs="Times New Roman"/>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942"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乐昌市金鸡岭省级风景名胜区</w:t>
            </w:r>
          </w:p>
        </w:tc>
        <w:tc>
          <w:tcPr>
            <w:tcW w:w="119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坪石镇</w:t>
            </w:r>
          </w:p>
        </w:tc>
        <w:tc>
          <w:tcPr>
            <w:tcW w:w="656"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省级</w:t>
            </w:r>
          </w:p>
        </w:tc>
        <w:tc>
          <w:tcPr>
            <w:tcW w:w="803"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942"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九泷十八滩风景名胜区</w:t>
            </w:r>
          </w:p>
        </w:tc>
        <w:tc>
          <w:tcPr>
            <w:tcW w:w="119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坪石镇、乐城街道</w:t>
            </w:r>
          </w:p>
        </w:tc>
        <w:tc>
          <w:tcPr>
            <w:tcW w:w="656"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省级</w:t>
            </w:r>
          </w:p>
        </w:tc>
        <w:tc>
          <w:tcPr>
            <w:tcW w:w="803"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352" w:type="pct"/>
            <w:gridSpan w:val="2"/>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1190"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w:t>
            </w:r>
          </w:p>
        </w:tc>
        <w:tc>
          <w:tcPr>
            <w:tcW w:w="656"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w:t>
            </w:r>
          </w:p>
        </w:tc>
        <w:tc>
          <w:tcPr>
            <w:tcW w:w="803"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2250</w:t>
            </w:r>
          </w:p>
        </w:tc>
      </w:tr>
    </w:tbl>
    <w:p>
      <w:pPr>
        <w:ind w:firstLine="560" w:firstLineChars="200"/>
        <w:rPr>
          <w:rFonts w:ascii="Times New Roman" w:hAnsi="Times New Roman" w:eastAsia="仿宋_GB2312" w:cs="Times New Roman"/>
          <w:sz w:val="28"/>
        </w:rPr>
      </w:pPr>
    </w:p>
    <w:p>
      <w:pPr>
        <w:keepNext/>
        <w:keepLines/>
        <w:autoSpaceDE w:val="0"/>
        <w:autoSpaceDN w:val="0"/>
        <w:spacing w:before="240" w:after="240" w:line="360" w:lineRule="auto"/>
        <w:outlineLvl w:val="0"/>
        <w:rPr>
          <w:rFonts w:ascii="Times New Roman" w:hAnsi="Times New Roman" w:eastAsia="黑体" w:cs="Times New Roman"/>
          <w:b/>
          <w:bCs/>
          <w:kern w:val="44"/>
          <w:sz w:val="36"/>
          <w:szCs w:val="36"/>
        </w:rPr>
        <w:sectPr>
          <w:headerReference r:id="rId9" w:type="default"/>
          <w:footerReference r:id="rId10" w:type="default"/>
          <w:pgSz w:w="11906" w:h="16838"/>
          <w:pgMar w:top="1440" w:right="1800" w:bottom="1440" w:left="1800" w:header="851" w:footer="992" w:gutter="0"/>
          <w:cols w:space="425" w:num="1"/>
          <w:docGrid w:type="lines" w:linePitch="312" w:charSpace="0"/>
        </w:sectPr>
      </w:pPr>
    </w:p>
    <w:p>
      <w:pPr>
        <w:keepNext/>
        <w:keepLines/>
        <w:autoSpaceDE w:val="0"/>
        <w:autoSpaceDN w:val="0"/>
        <w:spacing w:before="240" w:after="240" w:line="360" w:lineRule="auto"/>
        <w:jc w:val="center"/>
        <w:outlineLvl w:val="0"/>
        <w:rPr>
          <w:rFonts w:ascii="Times New Roman" w:hAnsi="Times New Roman" w:eastAsia="黑体" w:cs="Times New Roman"/>
          <w:b/>
          <w:bCs/>
          <w:kern w:val="44"/>
          <w:sz w:val="36"/>
          <w:szCs w:val="36"/>
        </w:rPr>
      </w:pPr>
      <w:bookmarkStart w:id="20" w:name="_Toc49241517"/>
      <w:r>
        <w:rPr>
          <w:rFonts w:ascii="Times New Roman" w:hAnsi="Times New Roman" w:eastAsia="黑体" w:cs="Times New Roman"/>
          <w:b/>
          <w:bCs/>
          <w:kern w:val="44"/>
          <w:sz w:val="36"/>
          <w:szCs w:val="36"/>
        </w:rPr>
        <w:t>3 森林城市建设现状及潜力分析</w:t>
      </w:r>
      <w:bookmarkEnd w:id="20"/>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21" w:name="_Toc49241518"/>
      <w:r>
        <w:rPr>
          <w:rFonts w:ascii="Times New Roman" w:hAnsi="Times New Roman" w:eastAsia="黑体" w:cs="Times New Roman"/>
          <w:b/>
          <w:bCs/>
          <w:sz w:val="32"/>
          <w:szCs w:val="32"/>
        </w:rPr>
        <w:t>3.1 森林资源现状分析</w:t>
      </w:r>
      <w:bookmarkEnd w:id="21"/>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3.1.1 林地资源</w:t>
      </w:r>
    </w:p>
    <w:p>
      <w:pPr>
        <w:autoSpaceDE w:val="0"/>
        <w:autoSpaceDN w:val="0"/>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根据2018年乐昌市林业部门森林资源统计数据，全市国土总面积241971.48hm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，其中林业用地面积191657.35hm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，占国土面积的79.21%；非林地面积50314.13hm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，占国土面积的20.79%。</w:t>
      </w:r>
    </w:p>
    <w:p>
      <w:pPr>
        <w:autoSpaceDE w:val="0"/>
        <w:autoSpaceDN w:val="0"/>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乐昌市林业用地中，有林地面积149405.97hm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，占林地总面积的77.96%；灌木林面积16693.01hm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，占林地总面积的8.71%；未成林造林地面积8057.30hm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，占林地总面积的4.20%；苗圃地面积43.08hm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，占林地总面积的0.02%；无立木林地面积16498.60hm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，占林地总面积的8.61%；宜林地面积938.74hm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，占林地总面积的0.49%；林业辅助生产用地20.62hm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，占林地总面积的0.01%。详情见表3-1。</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 乐昌市2018年各林地类型面积统计表</w:t>
      </w:r>
    </w:p>
    <w:tbl>
      <w:tblPr>
        <w:tblStyle w:val="47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133"/>
        <w:gridCol w:w="2410"/>
        <w:gridCol w:w="2125"/>
        <w:gridCol w:w="2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7" w:type="pct"/>
            <w:shd w:val="clear" w:color="auto" w:fill="auto"/>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序号</w:t>
            </w:r>
          </w:p>
        </w:tc>
        <w:tc>
          <w:tcPr>
            <w:tcW w:w="2079" w:type="pct"/>
            <w:gridSpan w:val="2"/>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林地类型</w:t>
            </w:r>
          </w:p>
        </w:tc>
        <w:tc>
          <w:tcPr>
            <w:tcW w:w="1247" w:type="pct"/>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面积（hm</w:t>
            </w:r>
            <w:r>
              <w:rPr>
                <w:rFonts w:ascii="Times New Roman" w:hAnsi="Times New Roman" w:eastAsia="宋体" w:cs="Times New Roman"/>
                <w:b/>
                <w:color w:val="000000"/>
                <w:kern w:val="0"/>
                <w:szCs w:val="21"/>
                <w:vertAlign w:val="superscript"/>
              </w:rPr>
              <w:t>2</w:t>
            </w:r>
            <w:r>
              <w:rPr>
                <w:rFonts w:ascii="Times New Roman" w:hAnsi="Times New Roman" w:eastAsia="宋体" w:cs="Times New Roman"/>
                <w:b/>
                <w:color w:val="000000"/>
                <w:kern w:val="0"/>
                <w:szCs w:val="21"/>
              </w:rPr>
              <w:t>）</w:t>
            </w:r>
          </w:p>
        </w:tc>
        <w:tc>
          <w:tcPr>
            <w:tcW w:w="1277" w:type="pct"/>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665"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有林地</w:t>
            </w:r>
          </w:p>
        </w:tc>
        <w:tc>
          <w:tcPr>
            <w:tcW w:w="1414"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小计</w:t>
            </w:r>
          </w:p>
        </w:tc>
        <w:tc>
          <w:tcPr>
            <w:tcW w:w="1247"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149405.97</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77.96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66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乔木林地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133096.97</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69.45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66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竹林地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16309.00</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665"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灌木林地</w:t>
            </w:r>
          </w:p>
        </w:tc>
        <w:tc>
          <w:tcPr>
            <w:tcW w:w="1414"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小计</w:t>
            </w:r>
          </w:p>
        </w:tc>
        <w:tc>
          <w:tcPr>
            <w:tcW w:w="1247"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16693.01</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8.71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66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国家特别规定灌木林地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16652.32</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66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其他灌木林地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40.69</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2079"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未成林地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8057.30</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2079" w:type="pct"/>
            <w:gridSpan w:val="2"/>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苗圃地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43.08</w:t>
            </w:r>
          </w:p>
        </w:tc>
        <w:tc>
          <w:tcPr>
            <w:tcW w:w="127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2079"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无立木林地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16498.60</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2079"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宜林地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938.74</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2079"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林业辅助生产用地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20.65</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6" w:type="pct"/>
            <w:gridSpan w:val="3"/>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林业用地合计</w:t>
            </w:r>
          </w:p>
        </w:tc>
        <w:tc>
          <w:tcPr>
            <w:tcW w:w="1247"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191657.35</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100.00</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3.1.2 林种结构</w:t>
      </w:r>
    </w:p>
    <w:p>
      <w:pPr>
        <w:autoSpaceDE w:val="0"/>
        <w:autoSpaceDN w:val="0"/>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szCs w:val="28"/>
        </w:rPr>
        <w:t>全市生态公益林面积106574.43hm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，占林地总面积的55.61%；商品林面积85082.92hm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，占林地总面积的44.39%。详见表3-2</w:t>
      </w:r>
      <w:r>
        <w:rPr>
          <w:rFonts w:ascii="Times New Roman" w:hAnsi="Times New Roman" w:eastAsia="仿宋_GB2312" w:cs="Times New Roman"/>
          <w:sz w:val="28"/>
        </w:rPr>
        <w:t>。</w:t>
      </w:r>
      <w:r>
        <w:rPr>
          <w:rFonts w:ascii="Times New Roman" w:hAnsi="Times New Roman" w:eastAsia="仿宋_GB2312" w:cs="Times New Roman"/>
          <w:sz w:val="28"/>
          <w:szCs w:val="28"/>
        </w:rPr>
        <w:t>整体上看，全市公益林中</w:t>
      </w:r>
      <w:r>
        <w:rPr>
          <w:rFonts w:ascii="Times New Roman" w:hAnsi="Times New Roman" w:eastAsia="仿宋_GB2312" w:cs="Times New Roman"/>
          <w:sz w:val="28"/>
        </w:rPr>
        <w:t>防护林占比最大，商品林以用材林为主，经济林数量较少。</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表3-2乐昌市2018年林种结构统计表</w:t>
      </w:r>
    </w:p>
    <w:tbl>
      <w:tblPr>
        <w:tblStyle w:val="471"/>
        <w:tblW w:w="472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601"/>
        <w:gridCol w:w="2184"/>
        <w:gridCol w:w="2112"/>
        <w:gridCol w:w="20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645"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经营类别</w:t>
            </w:r>
          </w:p>
        </w:tc>
        <w:tc>
          <w:tcPr>
            <w:tcW w:w="1737" w:type="pct"/>
            <w:gridSpan w:val="2"/>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林种类型</w:t>
            </w:r>
          </w:p>
        </w:tc>
        <w:tc>
          <w:tcPr>
            <w:tcW w:w="131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公益林</w:t>
            </w:r>
          </w:p>
        </w:tc>
        <w:tc>
          <w:tcPr>
            <w:tcW w:w="1737"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合计</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106574.43</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737" w:type="pct"/>
            <w:gridSpan w:val="2"/>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防护林</w:t>
            </w:r>
          </w:p>
        </w:tc>
        <w:tc>
          <w:tcPr>
            <w:tcW w:w="1316"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103114.42</w:t>
            </w:r>
          </w:p>
        </w:tc>
        <w:tc>
          <w:tcPr>
            <w:tcW w:w="130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53.80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737" w:type="pct"/>
            <w:gridSpan w:val="2"/>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特种用途林</w:t>
            </w:r>
          </w:p>
        </w:tc>
        <w:tc>
          <w:tcPr>
            <w:tcW w:w="1316"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3460.01</w:t>
            </w:r>
          </w:p>
        </w:tc>
        <w:tc>
          <w:tcPr>
            <w:tcW w:w="130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商品林</w:t>
            </w:r>
          </w:p>
        </w:tc>
        <w:tc>
          <w:tcPr>
            <w:tcW w:w="1737"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合计</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85082.92</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用材林</w:t>
            </w: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小计</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79360.28</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短轮伐期用材林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176.44</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速生丰产用材林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2256.35</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一般用材林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76927.49</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经济林</w:t>
            </w: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小计</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5722.64</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果树林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5106.45</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食用原料林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563.68</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药用林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24.42</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其它经济林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28.09</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383" w:type="pct"/>
            <w:gridSpan w:val="3"/>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总计</w:t>
            </w:r>
          </w:p>
        </w:tc>
        <w:tc>
          <w:tcPr>
            <w:tcW w:w="131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191657.35</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100.00</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3.1.3 林地权属</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按林地使用权分，国有林面积7349.03hm</w:t>
      </w:r>
      <w:r>
        <w:rPr>
          <w:rFonts w:ascii="Times New Roman" w:hAnsi="Times New Roman" w:eastAsia="仿宋_GB2312" w:cs="Times New Roman"/>
          <w:color w:val="000000"/>
          <w:sz w:val="28"/>
          <w:szCs w:val="28"/>
          <w:vertAlign w:val="superscript"/>
        </w:rPr>
        <w:t>2</w:t>
      </w:r>
      <w:r>
        <w:rPr>
          <w:rFonts w:ascii="Times New Roman" w:hAnsi="Times New Roman" w:eastAsia="仿宋_GB2312" w:cs="Times New Roman"/>
          <w:color w:val="000000"/>
          <w:sz w:val="28"/>
          <w:szCs w:val="28"/>
        </w:rPr>
        <w:t>，占林地总面积的3.83%；集体林面积137666.64hm</w:t>
      </w:r>
      <w:r>
        <w:rPr>
          <w:rFonts w:ascii="Times New Roman" w:hAnsi="Times New Roman" w:eastAsia="仿宋_GB2312" w:cs="Times New Roman"/>
          <w:color w:val="000000"/>
          <w:sz w:val="28"/>
          <w:szCs w:val="28"/>
          <w:vertAlign w:val="superscript"/>
        </w:rPr>
        <w:t>2</w:t>
      </w:r>
      <w:r>
        <w:rPr>
          <w:rFonts w:ascii="Times New Roman" w:hAnsi="Times New Roman" w:eastAsia="仿宋_GB2312" w:cs="Times New Roman"/>
          <w:color w:val="000000"/>
          <w:sz w:val="28"/>
          <w:szCs w:val="28"/>
        </w:rPr>
        <w:t>，占林地总面积的71.83%；个人林地面积46641.68hm</w:t>
      </w:r>
      <w:r>
        <w:rPr>
          <w:rFonts w:ascii="Times New Roman" w:hAnsi="Times New Roman" w:eastAsia="仿宋_GB2312" w:cs="Times New Roman"/>
          <w:color w:val="000000"/>
          <w:sz w:val="28"/>
          <w:szCs w:val="28"/>
          <w:vertAlign w:val="superscript"/>
        </w:rPr>
        <w:t>2</w:t>
      </w:r>
      <w:r>
        <w:rPr>
          <w:rFonts w:ascii="Times New Roman" w:hAnsi="Times New Roman" w:eastAsia="仿宋_GB2312" w:cs="Times New Roman"/>
          <w:color w:val="000000"/>
          <w:sz w:val="28"/>
          <w:szCs w:val="28"/>
        </w:rPr>
        <w:t>，占林地总面积的24.34%。详见表3-3。</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表3-3 乐昌市2018年林地使用权统计表</w:t>
      </w:r>
    </w:p>
    <w:tbl>
      <w:tblPr>
        <w:tblStyle w:val="47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927"/>
        <w:gridCol w:w="1232"/>
        <w:gridCol w:w="1109"/>
        <w:gridCol w:w="1232"/>
        <w:gridCol w:w="1109"/>
        <w:gridCol w:w="1232"/>
        <w:gridCol w:w="11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地类</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国有林地</w:t>
            </w:r>
          </w:p>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面积（hm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占比（%）</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集体林地</w:t>
            </w:r>
          </w:p>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面积（hm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占比（%）</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个人林地</w:t>
            </w:r>
          </w:p>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面积（hm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有林地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6490.26</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3.39</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103817.55</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54.17</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39098.16</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灌木林地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170.53</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0.09</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13429.04</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7.01</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3093.44</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未成林</w:t>
            </w:r>
          </w:p>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造林地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432.73</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0.23</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6443.63</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3.36</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1180.94</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苗圃地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2.51</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20.30</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20.27</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无立木</w:t>
            </w:r>
          </w:p>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222.65</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0.12</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13516.13</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7.05</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2759.82</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宜林地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13.39</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436.30</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0.23</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489.05</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辅助生</w:t>
            </w:r>
          </w:p>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产用地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16.96</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3.69</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 w:type="pct"/>
            <w:gridSpan w:val="2"/>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725" w:type="pct"/>
            <w:shd w:val="clear" w:color="auto" w:fill="auto"/>
            <w:noWrap/>
            <w:vAlign w:val="center"/>
          </w:tcPr>
          <w:p>
            <w:pPr>
              <w:spacing w:line="360" w:lineRule="auto"/>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sz w:val="22"/>
              </w:rPr>
              <w:t>7349.03</w:t>
            </w:r>
          </w:p>
        </w:tc>
        <w:tc>
          <w:tcPr>
            <w:tcW w:w="649" w:type="pct"/>
            <w:shd w:val="clear" w:color="auto" w:fill="auto"/>
            <w:noWrap/>
            <w:vAlign w:val="center"/>
          </w:tcPr>
          <w:p>
            <w:pPr>
              <w:spacing w:line="360" w:lineRule="auto"/>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sz w:val="22"/>
              </w:rPr>
              <w:t>3.83</w:t>
            </w:r>
          </w:p>
        </w:tc>
        <w:tc>
          <w:tcPr>
            <w:tcW w:w="725" w:type="pct"/>
            <w:shd w:val="clear" w:color="auto" w:fill="auto"/>
            <w:noWrap/>
            <w:vAlign w:val="center"/>
          </w:tcPr>
          <w:p>
            <w:pPr>
              <w:spacing w:line="360" w:lineRule="auto"/>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sz w:val="22"/>
              </w:rPr>
              <w:t>137666.64</w:t>
            </w:r>
          </w:p>
        </w:tc>
        <w:tc>
          <w:tcPr>
            <w:tcW w:w="649" w:type="pct"/>
            <w:shd w:val="clear" w:color="auto" w:fill="auto"/>
            <w:noWrap/>
            <w:vAlign w:val="center"/>
          </w:tcPr>
          <w:p>
            <w:pPr>
              <w:spacing w:line="360" w:lineRule="auto"/>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sz w:val="22"/>
              </w:rPr>
              <w:t>71.83</w:t>
            </w:r>
          </w:p>
        </w:tc>
        <w:tc>
          <w:tcPr>
            <w:tcW w:w="725" w:type="pct"/>
            <w:shd w:val="clear" w:color="auto" w:fill="auto"/>
            <w:noWrap/>
            <w:vAlign w:val="center"/>
          </w:tcPr>
          <w:p>
            <w:pPr>
              <w:spacing w:line="360" w:lineRule="auto"/>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sz w:val="22"/>
              </w:rPr>
              <w:t>46641.68</w:t>
            </w:r>
          </w:p>
        </w:tc>
        <w:tc>
          <w:tcPr>
            <w:tcW w:w="649" w:type="pct"/>
            <w:shd w:val="clear" w:color="auto" w:fill="auto"/>
            <w:noWrap/>
            <w:vAlign w:val="center"/>
          </w:tcPr>
          <w:p>
            <w:pPr>
              <w:spacing w:line="360" w:lineRule="auto"/>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sz w:val="22"/>
              </w:rPr>
              <w:t>24.34</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3.1.4 乔木林特征分析</w:t>
      </w:r>
    </w:p>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3.1.4.1 林分起源</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全市乔木林总面积133096.97</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color w:val="000000"/>
          <w:sz w:val="28"/>
          <w:szCs w:val="28"/>
        </w:rPr>
        <w:t>。按林分起源分，人工林面积63785.90</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color w:val="000000"/>
          <w:sz w:val="28"/>
          <w:szCs w:val="28"/>
        </w:rPr>
        <w:t>，占乔木林总面积的47.92%；天然林面积69311.07</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color w:val="000000"/>
          <w:sz w:val="28"/>
          <w:szCs w:val="28"/>
        </w:rPr>
        <w:t>，占乔木林总面积的52.08%。</w:t>
      </w:r>
    </w:p>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3.1.4.2 树种结构</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乐昌市乔木林以杉木居多，面积为54494.78</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color w:val="000000"/>
          <w:sz w:val="28"/>
          <w:szCs w:val="28"/>
        </w:rPr>
        <w:t>，占乔木林总面积的40.94%。</w:t>
      </w:r>
      <w:r>
        <w:rPr>
          <w:rFonts w:ascii="Times New Roman" w:hAnsi="Times New Roman" w:eastAsia="仿宋_GB2312" w:cs="Times New Roman"/>
          <w:bCs/>
          <w:sz w:val="28"/>
          <w:szCs w:val="28"/>
        </w:rPr>
        <w:t>整体来看，乐昌市乔木林树种结构较为单一，森林生态系统稳定性不强，抵御自然灾害能力较弱。“创森”期间，应着重提高森林质量，营造混交林，改善土壤理化性质，提高土壤养分含量，增加土壤微生物数量，确保土壤养分的良性循环。</w:t>
      </w:r>
      <w:r>
        <w:rPr>
          <w:rFonts w:ascii="Times New Roman" w:hAnsi="Times New Roman" w:eastAsia="仿宋_GB2312" w:cs="Times New Roman"/>
          <w:color w:val="000000"/>
          <w:sz w:val="28"/>
          <w:szCs w:val="28"/>
        </w:rPr>
        <w:t>详见表3-4。</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表3-4乐昌市2018年乔木林树种构成统计表</w:t>
      </w:r>
    </w:p>
    <w:tbl>
      <w:tblPr>
        <w:tblStyle w:val="471"/>
        <w:tblW w:w="48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2928"/>
        <w:gridCol w:w="2135"/>
        <w:gridCol w:w="18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781"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树种组</w:t>
            </w:r>
          </w:p>
        </w:tc>
        <w:tc>
          <w:tcPr>
            <w:tcW w:w="1299"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146"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杉木</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54494.78</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马尾松</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9291.23</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湿地松</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4722.62</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桉树</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1305.10</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针叶混交林</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1001.19</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针阔混交林</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5106.54</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阔叶混交林</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6378.30</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其它阔叶林</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50797.21</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38.17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5" w:type="pct"/>
            <w:gridSpan w:val="2"/>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29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133096.97</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100.00</w:t>
            </w:r>
          </w:p>
        </w:tc>
      </w:tr>
    </w:tbl>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3.1.4.3 林龄组成</w:t>
      </w:r>
      <w:r>
        <w:rPr>
          <w:rStyle w:val="56"/>
          <w:rFonts w:ascii="Times New Roman" w:hAnsi="Times New Roman" w:eastAsia="仿宋_GB2312" w:cs="Times New Roman"/>
          <w:b/>
          <w:bCs/>
          <w:sz w:val="28"/>
          <w:szCs w:val="28"/>
        </w:rPr>
        <w:footnoteReference w:id="1"/>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按林龄组成划分，全市幼龄林面积68321.63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bCs/>
          <w:sz w:val="28"/>
          <w:szCs w:val="28"/>
        </w:rPr>
        <w:t>，占乔木林总面积的51.36%；中龄林45136.32</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bCs/>
          <w:sz w:val="28"/>
          <w:szCs w:val="28"/>
        </w:rPr>
        <w:t>，占乔木林总面积的33.93%；近熟林10304.61</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bCs/>
          <w:sz w:val="28"/>
          <w:szCs w:val="28"/>
        </w:rPr>
        <w:t>，占乔木林总面积的7.75%；成熟林2413.49</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bCs/>
          <w:sz w:val="28"/>
          <w:szCs w:val="28"/>
        </w:rPr>
        <w:t>，占乔木林总面积的1.81%；过熟林6856.32</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bCs/>
          <w:sz w:val="28"/>
          <w:szCs w:val="28"/>
        </w:rPr>
        <w:t>，占乔木林总面积的5.15%。详见表3-5。从整体上看，乐昌市由于近年来实施了碳汇造林、石漠化治理、生态景观林带、森林进城围城、乡村绿化美化等生态工程建设，以及用材林采伐更新，新造林面积大，使全市乔木林以中幼林为主，占比85.29%。</w:t>
      </w:r>
    </w:p>
    <w:p>
      <w:pPr>
        <w:spacing w:line="360" w:lineRule="auto"/>
        <w:ind w:firstLine="560" w:firstLineChars="200"/>
        <w:rPr>
          <w:rFonts w:ascii="Times New Roman" w:hAnsi="Times New Roman" w:eastAsia="仿宋_GB2312" w:cs="Times New Roman"/>
          <w:bCs/>
          <w:sz w:val="28"/>
          <w:szCs w:val="28"/>
        </w:rPr>
      </w:pP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表3-5 乐昌市2018年乔木林林龄组成结构表</w:t>
      </w:r>
    </w:p>
    <w:tbl>
      <w:tblPr>
        <w:tblStyle w:val="471"/>
        <w:tblW w:w="47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2020"/>
        <w:gridCol w:w="2021"/>
        <w:gridCol w:w="2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林龄组成</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幼龄林</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68321.63</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中龄林</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45136.32</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近熟林</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10304.61</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成熟林</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2413.49</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过熟林</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6856.32</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00" w:type="pct"/>
            <w:gridSpan w:val="2"/>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133032.4</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100.00</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3.1.5 林木蓄积</w:t>
      </w:r>
    </w:p>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3.1.5.1 活立木蓄积量</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2018年全市活立木总蓄积量为992.86万立方米，其中森林蓄积989.08万立方米，占活立木总蓄积量的99.62%；散生木蓄积量3.08万立方米，占活立木总蓄积量的0.32%；四旁树蓄积量0.71万立方米，占活立木总蓄积量的0.07%。详见表3-6。</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表3-6 乐昌市2018年活力木蓄积量统计表</w:t>
      </w:r>
    </w:p>
    <w:tbl>
      <w:tblPr>
        <w:tblStyle w:val="471"/>
        <w:tblW w:w="47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2947"/>
        <w:gridCol w:w="1932"/>
        <w:gridCol w:w="1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28" w:type="pct"/>
            <w:gridSpan w:val="2"/>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类型</w:t>
            </w:r>
          </w:p>
        </w:tc>
        <w:tc>
          <w:tcPr>
            <w:tcW w:w="1186" w:type="pct"/>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蓄积（m</w:t>
            </w:r>
            <w:r>
              <w:rPr>
                <w:rFonts w:ascii="Times New Roman" w:hAnsi="Times New Roman" w:eastAsia="宋体" w:cs="Times New Roman"/>
                <w:b/>
                <w:color w:val="000000"/>
                <w:kern w:val="0"/>
                <w:szCs w:val="21"/>
                <w:vertAlign w:val="superscript"/>
              </w:rPr>
              <w:t>3</w:t>
            </w:r>
            <w:r>
              <w:rPr>
                <w:rFonts w:ascii="Times New Roman" w:hAnsi="Times New Roman" w:eastAsia="宋体" w:cs="Times New Roman"/>
                <w:b/>
                <w:color w:val="000000"/>
                <w:kern w:val="0"/>
                <w:szCs w:val="21"/>
              </w:rPr>
              <w:t>）</w:t>
            </w:r>
          </w:p>
        </w:tc>
        <w:tc>
          <w:tcPr>
            <w:tcW w:w="1186" w:type="pct"/>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森林蓄积</w:t>
            </w:r>
          </w:p>
        </w:tc>
        <w:tc>
          <w:tcPr>
            <w:tcW w:w="1809"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小计</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9890813</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99.62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shd w:val="clear" w:color="auto" w:fill="auto"/>
            <w:vAlign w:val="center"/>
          </w:tcPr>
          <w:p>
            <w:pPr>
              <w:widowControl/>
              <w:spacing w:line="360" w:lineRule="auto"/>
              <w:jc w:val="center"/>
              <w:rPr>
                <w:rFonts w:ascii="Times New Roman" w:hAnsi="Times New Roman" w:eastAsia="宋体" w:cs="Times New Roman"/>
                <w:color w:val="000000"/>
                <w:kern w:val="0"/>
                <w:szCs w:val="21"/>
              </w:rPr>
            </w:pPr>
          </w:p>
        </w:tc>
        <w:tc>
          <w:tcPr>
            <w:tcW w:w="1809"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林地中乔木林</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9743236</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98.13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shd w:val="clear" w:color="auto" w:fill="auto"/>
            <w:vAlign w:val="center"/>
          </w:tcPr>
          <w:p>
            <w:pPr>
              <w:widowControl/>
              <w:spacing w:line="360" w:lineRule="auto"/>
              <w:jc w:val="center"/>
              <w:rPr>
                <w:rFonts w:ascii="Times New Roman" w:hAnsi="Times New Roman" w:eastAsia="宋体" w:cs="Times New Roman"/>
                <w:color w:val="000000"/>
                <w:kern w:val="0"/>
                <w:szCs w:val="21"/>
              </w:rPr>
            </w:pPr>
          </w:p>
        </w:tc>
        <w:tc>
          <w:tcPr>
            <w:tcW w:w="1809"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非林地中乔木林</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147577</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28" w:type="pct"/>
            <w:gridSpan w:val="2"/>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散生木</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30762</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28" w:type="pct"/>
            <w:gridSpan w:val="2"/>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四旁树</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7056</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28" w:type="pct"/>
            <w:gridSpan w:val="2"/>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活力木蓄积</w:t>
            </w:r>
          </w:p>
        </w:tc>
        <w:tc>
          <w:tcPr>
            <w:tcW w:w="1186" w:type="pct"/>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9928631</w:t>
            </w:r>
          </w:p>
        </w:tc>
        <w:tc>
          <w:tcPr>
            <w:tcW w:w="1186" w:type="pct"/>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100.00</w:t>
            </w:r>
          </w:p>
        </w:tc>
      </w:tr>
    </w:tbl>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3.1.5.2单位面积蓄积量</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全市乔木林单位面积蓄积量为73.20m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，略低于全国第八次森林资源清查的平均水平（89.79m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）。其原因是全市湿地松等蓄积量不高（详见表3-7），整体上拉低了乔木林单位面积蓄积量的平均水平。</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表3-7 乐昌市树种组蓄积量统计表</w:t>
      </w:r>
    </w:p>
    <w:tbl>
      <w:tblPr>
        <w:tblStyle w:val="471"/>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1"/>
        <w:gridCol w:w="1843"/>
        <w:gridCol w:w="20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树种组</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蓄积（m</w:t>
            </w:r>
            <w:r>
              <w:rPr>
                <w:rFonts w:ascii="Times New Roman" w:hAnsi="Times New Roman" w:eastAsia="仿宋_GB2312" w:cs="Times New Roman"/>
                <w:b/>
                <w:color w:val="000000"/>
                <w:kern w:val="0"/>
                <w:szCs w:val="21"/>
                <w:vertAlign w:val="superscript"/>
              </w:rPr>
              <w:t>3</w:t>
            </w:r>
            <w:r>
              <w:rPr>
                <w:rFonts w:ascii="Times New Roman" w:hAnsi="Times New Roman" w:eastAsia="仿宋_GB2312" w:cs="Times New Roman"/>
                <w:b/>
                <w:color w:val="000000"/>
                <w:kern w:val="0"/>
                <w:szCs w:val="21"/>
              </w:rPr>
              <w:t>）</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单位面积蓄积（</w:t>
            </w:r>
            <w:r>
              <w:rPr>
                <w:rFonts w:ascii="Times New Roman" w:hAnsi="Times New Roman" w:eastAsia="仿宋_GB2312" w:cs="Times New Roman"/>
                <w:szCs w:val="21"/>
              </w:rPr>
              <w:t>m</w:t>
            </w:r>
            <w:r>
              <w:rPr>
                <w:rFonts w:ascii="Times New Roman" w:hAnsi="Times New Roman" w:eastAsia="仿宋_GB2312" w:cs="Times New Roman"/>
                <w:szCs w:val="21"/>
                <w:vertAlign w:val="superscript"/>
              </w:rPr>
              <w:t>3</w:t>
            </w:r>
            <w:r>
              <w:rPr>
                <w:rFonts w:ascii="Times New Roman" w:hAnsi="Times New Roman" w:eastAsia="仿宋_GB2312" w:cs="Times New Roman"/>
                <w:szCs w:val="21"/>
              </w:rPr>
              <w:t>/hm</w:t>
            </w:r>
            <w:r>
              <w:rPr>
                <w:rFonts w:ascii="Times New Roman" w:hAnsi="Times New Roman" w:eastAsia="仿宋_GB2312" w:cs="Times New Roman"/>
                <w:szCs w:val="21"/>
                <w:vertAlign w:val="superscript"/>
              </w:rPr>
              <w:t>2</w:t>
            </w:r>
            <w:r>
              <w:rPr>
                <w:rFonts w:ascii="Times New Roman" w:hAnsi="Times New Roman" w:eastAsia="仿宋_GB2312" w:cs="Times New Roman"/>
                <w:b/>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杉木</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54494.78</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4886500</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89.67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马尾松</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9291.23</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840442</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90.46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湿地松</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4722.62</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254815</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53.96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桉树</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1305.1</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96068</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73.61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针叶混交林</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1001.19</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86747</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86.64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针阔混交林</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5106.54</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353155</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69.16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阔叶混交林</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6378.3</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381542</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59.82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其它软阔</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5535.99</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416940</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75.31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其它硬阔</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45196.62</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2425685</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53.67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其他经济树种</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64.6</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1342</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3" w:type="dxa"/>
            <w:gridSpan w:val="2"/>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szCs w:val="21"/>
              </w:rPr>
              <w:t>133096.97</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szCs w:val="21"/>
              </w:rPr>
              <w:t>9743236</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szCs w:val="21"/>
              </w:rPr>
              <w:t>73.20</w:t>
            </w:r>
          </w:p>
        </w:tc>
      </w:tr>
    </w:tbl>
    <w:p>
      <w:pPr>
        <w:spacing w:line="360" w:lineRule="auto"/>
        <w:ind w:firstLine="560" w:firstLineChars="200"/>
        <w:rPr>
          <w:rFonts w:ascii="Times New Roman" w:hAnsi="Times New Roman" w:eastAsia="仿宋_GB2312" w:cs="Times New Roman"/>
          <w:sz w:val="28"/>
          <w:szCs w:val="28"/>
          <w:u w:val="wave"/>
        </w:rPr>
      </w:pPr>
      <w:r>
        <w:rPr>
          <w:rFonts w:ascii="Times New Roman" w:hAnsi="Times New Roman" w:eastAsia="仿宋_GB2312" w:cs="Times New Roman"/>
          <w:sz w:val="28"/>
          <w:szCs w:val="28"/>
        </w:rPr>
        <w:t>从林龄结构看，幼龄林、中龄林、近熟林、成熟林和过熟林的单位面积森林蓄积量分别为48.56m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、89.88m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、135.89m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、160.57m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和84.48m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（详见图3-1）。</w:t>
      </w:r>
    </w:p>
    <w:p>
      <w:pPr>
        <w:spacing w:line="360" w:lineRule="auto"/>
        <w:jc w:val="center"/>
        <w:rPr>
          <w:rFonts w:ascii="Times New Roman" w:hAnsi="Times New Roman" w:eastAsia="仿宋_GB2312" w:cs="Times New Roman"/>
          <w:sz w:val="28"/>
          <w:szCs w:val="28"/>
        </w:rPr>
      </w:pPr>
      <w:r>
        <w:rPr>
          <w:rFonts w:ascii="Times New Roman" w:hAnsi="Times New Roman" w:cs="Times New Roman"/>
        </w:rPr>
        <w:drawing>
          <wp:inline distT="0" distB="0" distL="0" distR="0">
            <wp:extent cx="5095875" cy="2933700"/>
            <wp:effectExtent l="0" t="0" r="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图3-1 各林龄单位面积森林蓄积量</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3.1.6 林木覆盖率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截至2018年底，乐昌市林木覆盖率69.94%，各乡镇林木覆盖率在39.66%-92.18%之间，其中九峰镇最高为92.18%，长来镇最低为39.66%。详见表3-8。</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表3-8 乐昌市2018年各乡镇林木覆盖率统计表</w:t>
      </w:r>
    </w:p>
    <w:tbl>
      <w:tblPr>
        <w:tblStyle w:val="47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51"/>
        <w:gridCol w:w="1134"/>
        <w:gridCol w:w="1135"/>
        <w:gridCol w:w="1134"/>
        <w:gridCol w:w="1006"/>
        <w:gridCol w:w="978"/>
        <w:gridCol w:w="919"/>
        <w:gridCol w:w="8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13" w:type="pct"/>
            <w:vMerge w:val="restar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序号</w:t>
            </w:r>
          </w:p>
        </w:tc>
        <w:tc>
          <w:tcPr>
            <w:tcW w:w="499" w:type="pct"/>
            <w:vMerge w:val="restar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统计</w:t>
            </w:r>
          </w:p>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单位</w:t>
            </w:r>
          </w:p>
        </w:tc>
        <w:tc>
          <w:tcPr>
            <w:tcW w:w="665" w:type="pct"/>
            <w:vMerge w:val="restar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国土</w:t>
            </w:r>
          </w:p>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总面积</w:t>
            </w:r>
          </w:p>
        </w:tc>
        <w:tc>
          <w:tcPr>
            <w:tcW w:w="3034" w:type="pct"/>
            <w:gridSpan w:val="5"/>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林木总面积（hm</w:t>
            </w:r>
            <w:r>
              <w:rPr>
                <w:rFonts w:ascii="Times New Roman" w:hAnsi="Times New Roman" w:eastAsia="仿宋_GB2312" w:cs="Times New Roman"/>
                <w:b/>
                <w:color w:val="000000"/>
                <w:kern w:val="0"/>
                <w:sz w:val="20"/>
                <w:szCs w:val="20"/>
                <w:vertAlign w:val="superscript"/>
              </w:rPr>
              <w:t>2</w:t>
            </w:r>
            <w:r>
              <w:rPr>
                <w:rFonts w:ascii="Times New Roman" w:hAnsi="Times New Roman" w:eastAsia="仿宋_GB2312" w:cs="Times New Roman"/>
                <w:b/>
                <w:color w:val="000000"/>
                <w:kern w:val="0"/>
                <w:sz w:val="20"/>
                <w:szCs w:val="20"/>
              </w:rPr>
              <w:t>）</w:t>
            </w:r>
          </w:p>
        </w:tc>
        <w:tc>
          <w:tcPr>
            <w:tcW w:w="489" w:type="pct"/>
            <w:vMerge w:val="restar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林木覆盖率（%）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313" w:type="pct"/>
            <w:vMerge w:val="continue"/>
            <w:shd w:val="clear" w:color="auto" w:fill="auto"/>
            <w:vAlign w:val="center"/>
          </w:tcPr>
          <w:p>
            <w:pPr>
              <w:widowControl/>
              <w:jc w:val="center"/>
              <w:rPr>
                <w:rFonts w:ascii="Times New Roman" w:hAnsi="Times New Roman" w:eastAsia="仿宋_GB2312" w:cs="Times New Roman"/>
                <w:b/>
                <w:color w:val="000000"/>
                <w:kern w:val="0"/>
                <w:sz w:val="20"/>
                <w:szCs w:val="20"/>
              </w:rPr>
            </w:pPr>
          </w:p>
        </w:tc>
        <w:tc>
          <w:tcPr>
            <w:tcW w:w="499" w:type="pct"/>
            <w:vMerge w:val="continue"/>
            <w:shd w:val="clear" w:color="auto" w:fill="auto"/>
            <w:vAlign w:val="center"/>
          </w:tcPr>
          <w:p>
            <w:pPr>
              <w:widowControl/>
              <w:jc w:val="center"/>
              <w:rPr>
                <w:rFonts w:ascii="Times New Roman" w:hAnsi="Times New Roman" w:eastAsia="仿宋_GB2312" w:cs="Times New Roman"/>
                <w:b/>
                <w:color w:val="000000"/>
                <w:kern w:val="0"/>
                <w:sz w:val="20"/>
                <w:szCs w:val="20"/>
              </w:rPr>
            </w:pPr>
          </w:p>
        </w:tc>
        <w:tc>
          <w:tcPr>
            <w:tcW w:w="665" w:type="pct"/>
            <w:vMerge w:val="continue"/>
            <w:shd w:val="clear" w:color="auto" w:fill="auto"/>
            <w:vAlign w:val="center"/>
          </w:tcPr>
          <w:p>
            <w:pPr>
              <w:widowControl/>
              <w:jc w:val="center"/>
              <w:rPr>
                <w:rFonts w:ascii="Times New Roman" w:hAnsi="Times New Roman" w:eastAsia="仿宋_GB2312" w:cs="Times New Roman"/>
                <w:b/>
                <w:color w:val="000000"/>
                <w:kern w:val="0"/>
                <w:sz w:val="20"/>
                <w:szCs w:val="20"/>
              </w:rPr>
            </w:pPr>
          </w:p>
        </w:tc>
        <w:tc>
          <w:tcPr>
            <w:tcW w:w="666" w:type="pc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小计</w:t>
            </w:r>
          </w:p>
        </w:tc>
        <w:tc>
          <w:tcPr>
            <w:tcW w:w="665" w:type="pc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乔木林</w:t>
            </w:r>
          </w:p>
        </w:tc>
        <w:tc>
          <w:tcPr>
            <w:tcW w:w="590" w:type="pc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竹林</w:t>
            </w:r>
          </w:p>
        </w:tc>
        <w:tc>
          <w:tcPr>
            <w:tcW w:w="574" w:type="pc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灌木林</w:t>
            </w:r>
          </w:p>
        </w:tc>
        <w:tc>
          <w:tcPr>
            <w:tcW w:w="539" w:type="pc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城镇</w:t>
            </w:r>
          </w:p>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林木</w:t>
            </w:r>
          </w:p>
        </w:tc>
        <w:tc>
          <w:tcPr>
            <w:tcW w:w="489" w:type="pct"/>
            <w:vMerge w:val="continue"/>
            <w:shd w:val="clear" w:color="auto" w:fill="auto"/>
            <w:vAlign w:val="center"/>
          </w:tcPr>
          <w:p>
            <w:pPr>
              <w:widowControl/>
              <w:jc w:val="center"/>
              <w:rPr>
                <w:rFonts w:ascii="Times New Roman" w:hAnsi="Times New Roman" w:eastAsia="仿宋_GB2312" w:cs="Times New Roman"/>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1</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乐昌市</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241971.48</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169229.59</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133096.97</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16309.00</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16693.01</w:t>
            </w:r>
          </w:p>
        </w:tc>
        <w:tc>
          <w:tcPr>
            <w:tcW w:w="53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sz w:val="20"/>
                <w:szCs w:val="20"/>
              </w:rPr>
              <w:t>3130.61</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69.94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北乡镇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9587.89</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6903.96</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6209.62</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571.33</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54.90</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68.11</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72.01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九峰镇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19804.83</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18256.90</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13459.66</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1243.66</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3528.32</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25.26</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92.18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廊田镇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16420.63</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10246.12</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8281.50</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1366.10</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128.68</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469.84</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长来镇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9414.00</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3733.75</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3194.87</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52.21</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338.62</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148.05</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39.66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梅花镇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19683.45</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10647.03</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7773.10</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788.87</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1794.12</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290.94</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54.09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三溪镇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7251.15</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5586.80</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4916.61</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519.04</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73.21</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77.94</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8</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坪石镇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27152.79</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20058.55</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15621.47</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2684.73</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1334.80</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417.55</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73.87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黄圃镇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7763.29</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4269.50</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3127.24</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75.77</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995.25</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71.24</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10</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五山镇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18389.86</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15913.73</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9110.51</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6559.77</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2.65</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240.80</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86.54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11</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两江镇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13106.21</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12031.98</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10315.39</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510.64</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1185.74</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20.21</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91.80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12</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沙坪镇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11843.71</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5098.34</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2991.14</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173.27</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1323.43</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610.50</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43.05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云岩镇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6647.17</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2832.05</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1564.66</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165.65</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994.44</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107.30</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42.61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14</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秀水镇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5581.19</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2516.31</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1455.54</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203.88</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731.65</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125.24</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45.09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15</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大源镇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34002.25</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29433.05</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28365.24</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332.46</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693.74</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41.61</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86.56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16</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庆云镇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8853.69</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5383.43</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2882.15</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337.54</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2116.29</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47.45</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60.80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17</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白石镇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7924.91</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3418.33</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1850.39</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318.73</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1127.28</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121.93</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43.13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18</w:t>
            </w:r>
          </w:p>
        </w:tc>
        <w:tc>
          <w:tcPr>
            <w:tcW w:w="499"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乐城街道办事处</w:t>
            </w:r>
          </w:p>
        </w:tc>
        <w:tc>
          <w:tcPr>
            <w:tcW w:w="665"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18544.46</w:t>
            </w:r>
          </w:p>
        </w:tc>
        <w:tc>
          <w:tcPr>
            <w:tcW w:w="666"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12899.77</w:t>
            </w:r>
          </w:p>
        </w:tc>
        <w:tc>
          <w:tcPr>
            <w:tcW w:w="665"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11977.88</w:t>
            </w:r>
          </w:p>
        </w:tc>
        <w:tc>
          <w:tcPr>
            <w:tcW w:w="590"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405.35</w:t>
            </w:r>
          </w:p>
        </w:tc>
        <w:tc>
          <w:tcPr>
            <w:tcW w:w="574"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269.89</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246.65</w:t>
            </w:r>
          </w:p>
        </w:tc>
        <w:tc>
          <w:tcPr>
            <w:tcW w:w="489"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69.56</w:t>
            </w:r>
          </w:p>
        </w:tc>
      </w:tr>
    </w:tbl>
    <w:p>
      <w:pPr>
        <w:rPr>
          <w:rFonts w:ascii="Times New Roman" w:hAnsi="Times New Roman" w:eastAsia="仿宋_GB2312" w:cs="Times New Roman"/>
        </w:rPr>
      </w:pPr>
      <w:r>
        <w:rPr>
          <w:rFonts w:ascii="Times New Roman" w:hAnsi="Times New Roman" w:eastAsia="仿宋_GB2312" w:cs="Times New Roman"/>
        </w:rPr>
        <w:t>注：城镇林木包括农田林网面积、“四旁”植树面积、城区乔木面积、城区灌木面积。</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22" w:name="_Toc49241519"/>
      <w:r>
        <w:rPr>
          <w:rFonts w:ascii="Times New Roman" w:hAnsi="Times New Roman" w:eastAsia="黑体" w:cs="Times New Roman"/>
          <w:b/>
          <w:bCs/>
          <w:sz w:val="32"/>
          <w:szCs w:val="32"/>
        </w:rPr>
        <w:t>3.2 绿地建设现状分析</w:t>
      </w:r>
      <w:bookmarkEnd w:id="22"/>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3.2.1 城区公园绿地建设</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近年来，乐昌市不断加强园林绿化管护水平，开展了一江两岸景观亮化工程，建设完善南塔公园、人民公园，补充市区街头公园绿地。截至2018年底，乐昌市城区面积1220.00hm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，城区常住人口11.76万人，城区绿地面积455.72hm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，城区绿化覆盖面积480.19hm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，城区绿化覆盖率39.36%，人均公园绿地面积11.72m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/人，详情见表3-9、表3-10。</w:t>
      </w:r>
    </w:p>
    <w:p>
      <w:pPr>
        <w:jc w:val="center"/>
        <w:rPr>
          <w:rFonts w:ascii="Times New Roman" w:hAnsi="Times New Roman" w:eastAsia="仿宋_GB2312" w:cs="Times New Roman"/>
          <w:b/>
          <w:bCs/>
          <w:color w:val="000000" w:themeColor="text1"/>
          <w:kern w:val="28"/>
          <w:sz w:val="24"/>
          <w:szCs w:val="24"/>
          <w14:textFill>
            <w14:solidFill>
              <w14:schemeClr w14:val="tx1"/>
            </w14:solidFill>
          </w14:textFill>
        </w:rPr>
      </w:pPr>
      <w:r>
        <w:rPr>
          <w:rFonts w:ascii="Times New Roman" w:hAnsi="Times New Roman" w:eastAsia="仿宋_GB2312" w:cs="Times New Roman"/>
          <w:b/>
          <w:bCs/>
          <w:color w:val="000000" w:themeColor="text1"/>
          <w:kern w:val="28"/>
          <w:sz w:val="24"/>
          <w:szCs w:val="24"/>
          <w14:textFill>
            <w14:solidFill>
              <w14:schemeClr w14:val="tx1"/>
            </w14:solidFill>
          </w14:textFill>
        </w:rPr>
        <w:t>表3-9 城区绿地名录</w:t>
      </w:r>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2652"/>
        <w:gridCol w:w="2841"/>
        <w:gridCol w:w="1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67"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1556"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名称</w:t>
            </w:r>
          </w:p>
        </w:tc>
        <w:tc>
          <w:tcPr>
            <w:tcW w:w="1667"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类型</w:t>
            </w:r>
          </w:p>
        </w:tc>
        <w:tc>
          <w:tcPr>
            <w:tcW w:w="1010"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面积（hm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人民公园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竹林公园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府前园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文化广场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昌盛公园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武江河堤广场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南塔公园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高铁站广场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556"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麒麟山公园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区域绿地</w:t>
            </w:r>
          </w:p>
        </w:tc>
        <w:tc>
          <w:tcPr>
            <w:tcW w:w="1010"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556"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古佛岩</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区域绿地</w:t>
            </w:r>
          </w:p>
        </w:tc>
        <w:tc>
          <w:tcPr>
            <w:tcW w:w="1010"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公路、铁路防护绿带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防护绿地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高铁站绿化带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防护绿地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乐园大道绿化带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防护绿地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新家园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供电小区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金生圆小区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百信花苑</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广东省工商高级技工学校</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乐昌市三中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城关中学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乐昌市一中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粤北三院</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韶关复退军人医院</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财政局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公安局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法院</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乐昌监狱</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气象局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教育局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卫计局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轨枕厂</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国土局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市政府大院</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乐昌宾馆</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乐昌市新时代中学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乐昌市水务局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乐昌市棉纺厂</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乐昌市人民医院</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省农机二厂</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乐昌市第六中学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41</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乐城街道办</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乐昌茶场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乐昌小学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乐昌市广播电视大学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乐昌市林业局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46</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乐昌市供电局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47</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乐昌市实验中学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乐昌市中等职业学校</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49</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乐昌市自来水公司</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省安装公司</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乐昌殡仪馆</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52</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空军油库</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53</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机床厂</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54</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乐昌市麻纺厂</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碧桂园小区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德金乐商业广场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57</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红岭峰景小区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58</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百信花园小区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3.1613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59</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广乐高速出口花坛</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0" w:type="pct"/>
            <w:gridSpan w:val="3"/>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010"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455.72</w:t>
            </w:r>
          </w:p>
        </w:tc>
      </w:tr>
    </w:tbl>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表3-10 乐昌市城区绿地指标统计表</w:t>
      </w:r>
    </w:p>
    <w:tbl>
      <w:tblPr>
        <w:tblStyle w:val="471"/>
        <w:tblW w:w="480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2312"/>
        <w:gridCol w:w="1930"/>
        <w:gridCol w:w="2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321" w:type="pct"/>
            <w:gridSpan w:val="2"/>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指标名称</w:t>
            </w:r>
          </w:p>
        </w:tc>
        <w:tc>
          <w:tcPr>
            <w:tcW w:w="1178"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占城区面积比（%）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restar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绿地面积</w:t>
            </w:r>
          </w:p>
        </w:tc>
        <w:tc>
          <w:tcPr>
            <w:tcW w:w="141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小计</w:t>
            </w:r>
          </w:p>
        </w:tc>
        <w:tc>
          <w:tcPr>
            <w:tcW w:w="1178"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455.72</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37.35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公园绿地</w:t>
            </w:r>
          </w:p>
        </w:tc>
        <w:tc>
          <w:tcPr>
            <w:tcW w:w="117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137.83</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1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防护绿地</w:t>
            </w:r>
          </w:p>
        </w:tc>
        <w:tc>
          <w:tcPr>
            <w:tcW w:w="117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42.70</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附属绿地</w:t>
            </w:r>
          </w:p>
        </w:tc>
        <w:tc>
          <w:tcPr>
            <w:tcW w:w="117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153.21</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区域绿地</w:t>
            </w:r>
          </w:p>
        </w:tc>
        <w:tc>
          <w:tcPr>
            <w:tcW w:w="117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121.98</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1"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绿化覆盖面积</w:t>
            </w:r>
          </w:p>
        </w:tc>
        <w:tc>
          <w:tcPr>
            <w:tcW w:w="117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480.19</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321" w:type="pct"/>
            <w:gridSpan w:val="2"/>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城区面积</w:t>
            </w:r>
          </w:p>
        </w:tc>
        <w:tc>
          <w:tcPr>
            <w:tcW w:w="117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1220.00</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3.2.2 乡镇绿地建设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乐昌市完善乡镇总体规划，实施乡村绿化美化工程，截至2018年底，乐昌市乡镇建成区总面积923.30hm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，公园绿地面积60.40hm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，绿化覆盖面积275.95hm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，各乡镇建成区绿化覆盖率在26.16%-45.97%之间。乐昌市各乡镇建成区绿化指标现状详情见表3-11。</w:t>
      </w: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p>
    <w:p>
      <w:pPr>
        <w:spacing w:line="360" w:lineRule="auto"/>
        <w:jc w:val="center"/>
        <w:rPr>
          <w:rFonts w:ascii="Times New Roman" w:hAnsi="Times New Roman" w:eastAsia="仿宋_GB2312" w:cs="Times New Roman"/>
          <w:b/>
          <w:sz w:val="24"/>
          <w:szCs w:val="24"/>
        </w:rPr>
      </w:pPr>
    </w:p>
    <w:p>
      <w:pPr>
        <w:spacing w:line="360" w:lineRule="auto"/>
        <w:jc w:val="center"/>
        <w:rPr>
          <w:rFonts w:ascii="Times New Roman" w:hAnsi="Times New Roman" w:eastAsia="仿宋_GB2312" w:cs="Times New Roman"/>
          <w:bCs/>
          <w:szCs w:val="21"/>
        </w:rPr>
      </w:pPr>
      <w:r>
        <w:rPr>
          <w:rFonts w:ascii="Times New Roman" w:hAnsi="Times New Roman" w:eastAsia="仿宋_GB2312" w:cs="Times New Roman"/>
          <w:b/>
          <w:sz w:val="24"/>
          <w:szCs w:val="24"/>
        </w:rPr>
        <w:t>表3-11 乐昌市乡镇建成区绿地建设情况统计表</w:t>
      </w:r>
    </w:p>
    <w:tbl>
      <w:tblPr>
        <w:tblStyle w:val="471"/>
        <w:tblW w:w="47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846"/>
        <w:gridCol w:w="1303"/>
        <w:gridCol w:w="1131"/>
        <w:gridCol w:w="1416"/>
        <w:gridCol w:w="1323"/>
        <w:gridCol w:w="1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526"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统计单位</w:t>
            </w:r>
          </w:p>
        </w:tc>
        <w:tc>
          <w:tcPr>
            <w:tcW w:w="810"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建成区面积（hm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703"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公园绿地数量（个）</w:t>
            </w:r>
          </w:p>
        </w:tc>
        <w:tc>
          <w:tcPr>
            <w:tcW w:w="880"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公园绿地面积（hm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822"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绿化覆盖面积（hm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940"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绿化覆盖率（%）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北乡镇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25.00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2</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2.20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7.60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九峰镇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23.60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4.00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10.85</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45.97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廊田镇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74.70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0.20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21.60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28.92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长来镇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43.00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0.20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11.6</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26.98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梅花镇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84.00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24.30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28.93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三溪镇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6.00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坪石镇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510.00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40.00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145.60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28.55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黄圃镇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31.00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0.30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11.30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五山镇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22.50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2</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3.20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8.00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两江镇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3.00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6.30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39.37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沙坪镇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16.50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0.30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4.46</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云岩镇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0.50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4.50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32.14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秀水镇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0.20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3.20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大源镇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0.40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2.40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庆云镇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3.14</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26.16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白石镇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0.60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5.10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pct"/>
            <w:gridSpan w:val="2"/>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810" w:type="pct"/>
            <w:shd w:val="clear" w:color="auto" w:fill="auto"/>
            <w:noWrap/>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szCs w:val="21"/>
              </w:rPr>
              <w:t>923.3</w:t>
            </w:r>
          </w:p>
        </w:tc>
        <w:tc>
          <w:tcPr>
            <w:tcW w:w="703" w:type="pct"/>
            <w:shd w:val="clear" w:color="auto" w:fill="auto"/>
            <w:vAlign w:val="center"/>
          </w:tcPr>
          <w:p>
            <w:pPr>
              <w:widowControl/>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18</w:t>
            </w:r>
          </w:p>
        </w:tc>
        <w:tc>
          <w:tcPr>
            <w:tcW w:w="880"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szCs w:val="21"/>
              </w:rPr>
              <w:t>60.40</w:t>
            </w:r>
          </w:p>
        </w:tc>
        <w:tc>
          <w:tcPr>
            <w:tcW w:w="822"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275.95</w:t>
            </w:r>
          </w:p>
        </w:tc>
        <w:tc>
          <w:tcPr>
            <w:tcW w:w="940" w:type="pct"/>
            <w:shd w:val="clear" w:color="auto" w:fill="auto"/>
            <w:vAlign w:val="center"/>
          </w:tcPr>
          <w:p>
            <w:pPr>
              <w:widowControl/>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29.89</w:t>
            </w:r>
          </w:p>
        </w:tc>
      </w:tr>
    </w:tbl>
    <w:p>
      <w:pPr>
        <w:pStyle w:val="3"/>
        <w:autoSpaceDE w:val="0"/>
        <w:autoSpaceDN w:val="0"/>
        <w:spacing w:before="160" w:after="160" w:line="360" w:lineRule="auto"/>
        <w:jc w:val="left"/>
        <w:rPr>
          <w:rFonts w:ascii="Times New Roman" w:hAnsi="Times New Roman" w:eastAsia="黑体" w:cs="Times New Roman"/>
        </w:rPr>
      </w:pPr>
      <w:bookmarkStart w:id="23" w:name="_Toc49241520"/>
      <w:r>
        <w:rPr>
          <w:rFonts w:ascii="Times New Roman" w:hAnsi="Times New Roman" w:eastAsia="黑体" w:cs="Times New Roman"/>
        </w:rPr>
        <w:t>3.3 “创森”指标分析</w:t>
      </w:r>
      <w:bookmarkEnd w:id="23"/>
    </w:p>
    <w:p>
      <w:pPr>
        <w:autoSpaceDE w:val="0"/>
        <w:autoSpaceDN w:val="0"/>
        <w:spacing w:before="120" w:after="120" w:line="360" w:lineRule="auto"/>
        <w:ind w:firstLine="1"/>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3.3.1 分项评价</w:t>
      </w:r>
    </w:p>
    <w:p>
      <w:pPr>
        <w:pStyle w:val="74"/>
        <w:ind w:firstLine="0" w:firstLineChars="0"/>
        <w:outlineLvl w:val="3"/>
        <w:rPr>
          <w:rFonts w:ascii="Times New Roman" w:hAnsi="Times New Roman" w:eastAsia="仿宋_GB2312" w:cs="Times New Roman"/>
          <w:b/>
          <w:sz w:val="30"/>
          <w:szCs w:val="30"/>
        </w:rPr>
      </w:pPr>
      <w:r>
        <w:rPr>
          <w:rFonts w:ascii="Times New Roman" w:hAnsi="Times New Roman" w:eastAsia="仿宋_GB2312" w:cs="Times New Roman"/>
          <w:b/>
          <w:sz w:val="30"/>
          <w:szCs w:val="30"/>
        </w:rPr>
        <w:t>3.3.1.1 森林网络</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（1）林木覆盖率</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年降水量800mm以上的县（市），林木覆盖率达35%以上。湿地及水域占国土总面积10%以上的县（市），林木覆盖率达25%以上。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乐昌市多年平均降雨量为1500mm。2018年全市林木覆盖率为69.94%，各镇（街道）林木覆盖率在39.71%-92.18%之间。详见表3-7。</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rPr>
        <w:t>指标评价：</w:t>
      </w:r>
      <w:r>
        <w:rPr>
          <w:rFonts w:ascii="Times New Roman" w:hAnsi="Times New Roman" w:eastAsia="仿宋_GB2312" w:cs="Times New Roman"/>
          <w:sz w:val="28"/>
        </w:rPr>
        <w:t>达标。</w:t>
      </w:r>
      <w:r>
        <w:rPr>
          <w:rFonts w:ascii="Times New Roman" w:hAnsi="Times New Roman" w:eastAsia="仿宋_GB2312" w:cs="Times New Roman"/>
          <w:sz w:val="28"/>
          <w:szCs w:val="28"/>
        </w:rPr>
        <w:t>乐昌市各乡镇林木覆盖率均高于35%，“创森”期间，注重开展森林抚育工作，确保全市森林资源安全。</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（2）城区绿化覆盖率</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城区绿化覆盖率达到40％以上。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截至2018年底，乐昌市建成区面积1220.00hm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，城区绿化覆盖面积480.19hm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，城区绿化覆盖率39.36%。</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rPr>
        <w:t>指标评价：</w:t>
      </w:r>
      <w:r>
        <w:rPr>
          <w:rFonts w:ascii="Times New Roman" w:hAnsi="Times New Roman" w:eastAsia="仿宋_GB2312" w:cs="Times New Roman"/>
          <w:sz w:val="28"/>
        </w:rPr>
        <w:t>未达标。“创森”期间，</w:t>
      </w:r>
      <w:r>
        <w:rPr>
          <w:rFonts w:ascii="Times New Roman" w:hAnsi="Times New Roman" w:eastAsia="仿宋_GB2312" w:cs="Times New Roman"/>
          <w:sz w:val="28"/>
          <w:szCs w:val="24"/>
        </w:rPr>
        <w:t>积极开展城市公园绿地建设、生态廊道建设等，充分利用拆迁腾退空间，深入推进小微绿地、微型公园建设，提高城区绿化覆盖面积。</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（3）城区树冠覆盖率</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城区树冠覆盖率达25%以上。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根据现场调研，采取系统抽样方法，随机抽取500×500m样方10个，结合遥感影像图判读，城区树冠覆盖率达27.00%。</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表3-12乐昌市城区树冠覆盖率抽样调查统计表</w:t>
      </w:r>
    </w:p>
    <w:tbl>
      <w:tblPr>
        <w:tblStyle w:val="47"/>
        <w:tblW w:w="47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972"/>
        <w:gridCol w:w="1388"/>
        <w:gridCol w:w="2364"/>
        <w:gridCol w:w="2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680" w:type="pct"/>
          </w:tcPr>
          <w:p>
            <w:pPr>
              <w:spacing w:line="276"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b/>
                <w:color w:val="000000"/>
                <w:kern w:val="0"/>
                <w:szCs w:val="21"/>
              </w:rPr>
              <w:t>名称</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b/>
                <w:color w:val="000000"/>
                <w:kern w:val="0"/>
                <w:szCs w:val="21"/>
              </w:rPr>
              <w:t>面积（m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b/>
                <w:color w:val="000000"/>
                <w:kern w:val="0"/>
                <w:szCs w:val="21"/>
              </w:rPr>
              <w:t>树冠覆盖面积（m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b/>
                <w:color w:val="000000"/>
                <w:kern w:val="0"/>
                <w:szCs w:val="21"/>
              </w:rPr>
              <w:t>树冠覆盖率（%）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样方1</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300</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样方2</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750</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样方3</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375</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样方4</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375</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样方5</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600</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样方6</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175</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样方7</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500</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598"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样方8</w:t>
            </w:r>
          </w:p>
        </w:tc>
        <w:tc>
          <w:tcPr>
            <w:tcW w:w="85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1800</w:t>
            </w:r>
          </w:p>
        </w:tc>
        <w:tc>
          <w:tcPr>
            <w:tcW w:w="141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598"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样方9</w:t>
            </w:r>
          </w:p>
        </w:tc>
        <w:tc>
          <w:tcPr>
            <w:tcW w:w="85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1075</w:t>
            </w:r>
          </w:p>
        </w:tc>
        <w:tc>
          <w:tcPr>
            <w:tcW w:w="141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598"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样方10</w:t>
            </w:r>
          </w:p>
        </w:tc>
        <w:tc>
          <w:tcPr>
            <w:tcW w:w="85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800</w:t>
            </w:r>
          </w:p>
        </w:tc>
        <w:tc>
          <w:tcPr>
            <w:tcW w:w="141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 w:hRule="atLeast"/>
          <w:jc w:val="center"/>
        </w:trPr>
        <w:tc>
          <w:tcPr>
            <w:tcW w:w="1278" w:type="pct"/>
            <w:gridSpan w:val="2"/>
          </w:tcPr>
          <w:p>
            <w:pPr>
              <w:spacing w:line="276"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854" w:type="pct"/>
            <w:vAlign w:val="center"/>
          </w:tcPr>
          <w:p>
            <w:pPr>
              <w:spacing w:line="276"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25000</w:t>
            </w:r>
          </w:p>
        </w:tc>
        <w:tc>
          <w:tcPr>
            <w:tcW w:w="1454" w:type="pct"/>
            <w:vAlign w:val="center"/>
          </w:tcPr>
          <w:p>
            <w:pPr>
              <w:spacing w:line="276"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6750</w:t>
            </w:r>
          </w:p>
        </w:tc>
        <w:tc>
          <w:tcPr>
            <w:tcW w:w="1414" w:type="pct"/>
            <w:vAlign w:val="center"/>
          </w:tcPr>
          <w:p>
            <w:pPr>
              <w:spacing w:line="276"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27.00</w:t>
            </w:r>
          </w:p>
        </w:tc>
      </w:tr>
    </w:tbl>
    <w:p>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drawing>
          <wp:inline distT="0" distB="0" distL="0" distR="0">
            <wp:extent cx="3749675" cy="3845560"/>
            <wp:effectExtent l="0" t="0" r="0" b="0"/>
            <wp:docPr id="11" name="图片 11" descr="D:\2019年工作\2019.6.19乐昌森林城市总体规划\4.广东乐昌市国家森林城市总体规划\3森林城市建设现状及潜力分析\（3）\乐昌样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2019年工作\2019.6.19乐昌森林城市总体规划\4.广东乐昌市国家森林城市总体规划\3森林城市建设现状及潜力分析\（3）\乐昌样方.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57181" cy="3853520"/>
                    </a:xfrm>
                    <a:prstGeom prst="rect">
                      <a:avLst/>
                    </a:prstGeom>
                    <a:noFill/>
                    <a:ln>
                      <a:noFill/>
                    </a:ln>
                  </pic:spPr>
                </pic:pic>
              </a:graphicData>
            </a:graphic>
          </wp:inline>
        </w:drawing>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图3-2 乐昌市城区树冠覆盖率样点分布图</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（4）城区人均公园绿地面积</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城区人均公园绿地面积达到12m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截至2018年底，乐昌市城区公园绿地面积137.83hm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，城区常住人口11.76万人，人均公园绿地面积11.72m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/人。</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未达标</w:t>
      </w:r>
      <w:r>
        <w:rPr>
          <w:rFonts w:ascii="Times New Roman" w:hAnsi="Times New Roman" w:eastAsia="仿宋_GB2312" w:cs="Times New Roman"/>
          <w:b/>
          <w:sz w:val="28"/>
          <w:szCs w:val="28"/>
        </w:rPr>
        <w:t>。</w:t>
      </w:r>
      <w:r>
        <w:rPr>
          <w:rFonts w:ascii="Times New Roman" w:hAnsi="Times New Roman" w:eastAsia="仿宋_GB2312" w:cs="Times New Roman"/>
          <w:sz w:val="28"/>
          <w:szCs w:val="28"/>
        </w:rPr>
        <w:t>“创森”期间，重点开展小微绿地、微型公园建设，提高城区人均公园绿地面积。</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（5）城区林荫道路率</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城区主干路、次干路林荫道路率达60%以上。</w:t>
      </w:r>
    </w:p>
    <w:p>
      <w:pPr>
        <w:pStyle w:val="74"/>
        <w:spacing w:line="360" w:lineRule="auto"/>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乐昌市城区共有主干路、次干路43条，总里程50520m。经调查统计，道路树冠覆盖率大于等于30%的有24条，城区林荫道路里程38623m，城区林荫道路率为76.45%。详见表3-12。</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达标。“创森”期间，重点增加对解放路、公主下路、金融路等19条道路的绿化管护工作，提升道路两侧绿化景观质量，提高城区林荫道路率。</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表3-13 乐昌市城区林荫道路率统计表</w:t>
      </w:r>
    </w:p>
    <w:tbl>
      <w:tblPr>
        <w:tblStyle w:val="471"/>
        <w:tblW w:w="48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195"/>
        <w:gridCol w:w="1752"/>
        <w:gridCol w:w="2518"/>
        <w:gridCol w:w="17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kern w:val="0"/>
                <w:sz w:val="20"/>
              </w:rPr>
              <w:t xml:space="preserve"> </w:t>
            </w:r>
            <w:r>
              <w:rPr>
                <w:rFonts w:ascii="Times New Roman" w:hAnsi="Times New Roman" w:eastAsia="仿宋_GB2312" w:cs="Times New Roman"/>
                <w:b/>
                <w:bCs/>
                <w:color w:val="000000"/>
                <w:kern w:val="0"/>
                <w:szCs w:val="21"/>
              </w:rPr>
              <w:t>序号</w:t>
            </w:r>
          </w:p>
        </w:tc>
        <w:tc>
          <w:tcPr>
            <w:tcW w:w="727"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道路名称</w:t>
            </w:r>
          </w:p>
        </w:tc>
        <w:tc>
          <w:tcPr>
            <w:tcW w:w="1066"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道路长度（m）</w:t>
            </w:r>
          </w:p>
        </w:tc>
        <w:tc>
          <w:tcPr>
            <w:tcW w:w="153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道路树冠覆盖率（%）</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是否为林荫道路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站前路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489</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14.46</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解放北路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44.69</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解放南路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39.48</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解放中路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545</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34.17</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解放路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462</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26.56</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新村西路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36.39</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新村南路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30.15</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新村街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20.92</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油桶街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63</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34.46</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公主上路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503</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51.91</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公主中路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36.31</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公主下路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29.59</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金融路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316</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28.07</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红星街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164</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46.53</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竹林新村</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11.71</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大东街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299</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19.57</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1411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23.01</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人民中路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1690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26.51</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834</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28.60</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建设街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199</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17.98</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398</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24.79</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大昌路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31.36</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长塘路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737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38.55</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大瑶山路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2148</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35.94</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64.48</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乐棉路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244</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28.61</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麒麟山路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1373</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31.09</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西石岩路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840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28.14</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鲤鱼岭路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36.32</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工业大道</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1450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39.84</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站北路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1616</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38.08</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广福路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323</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31.30</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鹅湾路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1460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25.78</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矮石路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1120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23.43</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环城路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3905</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42.96</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乐廊路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18801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41.84</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氮肥厂路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368</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24.65</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中山岭路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467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24.23</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练塘路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339</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23.54</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花苑街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41.02</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41</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华裕街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47.10</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佗城下路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1530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41.69</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西乡街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196</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53.06</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（6）城郊成片森林、湿地</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建设20hm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以上成片森林或湿地2处以上。</w:t>
      </w:r>
    </w:p>
    <w:p>
      <w:pPr>
        <w:autoSpaceDE w:val="0"/>
        <w:autoSpaceDN w:val="0"/>
        <w:spacing w:line="360" w:lineRule="auto"/>
        <w:ind w:firstLine="562" w:firstLineChars="200"/>
        <w:rPr>
          <w:rFonts w:ascii="Times New Roman" w:hAnsi="Times New Roman" w:eastAsia="仿宋_GB2312" w:cs="Times New Roman"/>
          <w:b/>
          <w:sz w:val="28"/>
        </w:rPr>
      </w:pPr>
      <w:r>
        <w:rPr>
          <w:rFonts w:ascii="Times New Roman" w:hAnsi="Times New Roman" w:eastAsia="仿宋_GB2312" w:cs="Times New Roman"/>
          <w:b/>
          <w:sz w:val="28"/>
        </w:rPr>
        <w:t>指标现状：</w:t>
      </w:r>
      <w:r>
        <w:rPr>
          <w:rFonts w:ascii="Times New Roman" w:hAnsi="Times New Roman" w:eastAsia="仿宋_GB2312" w:cs="Times New Roman"/>
          <w:sz w:val="28"/>
        </w:rPr>
        <w:t>乐昌市城郊建有20hm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以上成片森林或湿地公园3处，总面积165.00hm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。详见表3-14。</w:t>
      </w:r>
    </w:p>
    <w:p>
      <w:pPr>
        <w:autoSpaceDE w:val="0"/>
        <w:autoSpaceDN w:val="0"/>
        <w:spacing w:line="360" w:lineRule="auto"/>
        <w:ind w:firstLine="562" w:firstLineChars="200"/>
        <w:rPr>
          <w:rFonts w:ascii="Times New Roman" w:hAnsi="Times New Roman" w:eastAsia="仿宋_GB2312" w:cs="Times New Roman"/>
          <w:sz w:val="28"/>
        </w:rPr>
      </w:pPr>
      <w:r>
        <w:rPr>
          <w:rFonts w:ascii="Times New Roman" w:hAnsi="Times New Roman" w:eastAsia="仿宋_GB2312" w:cs="Times New Roman"/>
          <w:b/>
          <w:sz w:val="28"/>
        </w:rPr>
        <w:t>指标评价：</w:t>
      </w:r>
      <w:r>
        <w:rPr>
          <w:rFonts w:ascii="Times New Roman" w:hAnsi="Times New Roman" w:eastAsia="仿宋_GB2312" w:cs="Times New Roman"/>
          <w:sz w:val="28"/>
        </w:rPr>
        <w:t>达标</w:t>
      </w:r>
      <w:r>
        <w:rPr>
          <w:rFonts w:ascii="Times New Roman" w:hAnsi="Times New Roman" w:eastAsia="仿宋_GB2312" w:cs="Times New Roman"/>
          <w:b/>
          <w:sz w:val="28"/>
        </w:rPr>
        <w:t>。</w:t>
      </w:r>
      <w:r>
        <w:rPr>
          <w:rFonts w:ascii="Times New Roman" w:hAnsi="Times New Roman" w:eastAsia="仿宋_GB2312" w:cs="Times New Roman"/>
          <w:sz w:val="28"/>
        </w:rPr>
        <w:t>乐昌市森林资源丰富，河溪纵横交错，“创森”期间，继续开展资源保护工作，提高资源品质。</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表3-14 城郊成片森林、湿地统计表</w:t>
      </w:r>
    </w:p>
    <w:tbl>
      <w:tblPr>
        <w:tblStyle w:val="471"/>
        <w:tblW w:w="488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784"/>
        <w:gridCol w:w="1789"/>
        <w:gridCol w:w="28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22" w:type="pct"/>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序号</w:t>
            </w:r>
          </w:p>
        </w:tc>
        <w:tc>
          <w:tcPr>
            <w:tcW w:w="1673" w:type="pct"/>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森林、湿地名称</w:t>
            </w:r>
          </w:p>
        </w:tc>
        <w:tc>
          <w:tcPr>
            <w:tcW w:w="1075" w:type="pct"/>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位置</w:t>
            </w:r>
          </w:p>
        </w:tc>
        <w:tc>
          <w:tcPr>
            <w:tcW w:w="1730" w:type="pct"/>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面积（hm</w:t>
            </w:r>
            <w:r>
              <w:rPr>
                <w:rFonts w:ascii="Times New Roman" w:hAnsi="Times New Roman" w:eastAsia="仿宋_GB2312" w:cs="Times New Roman"/>
                <w:b/>
                <w:kern w:val="0"/>
                <w:szCs w:val="21"/>
                <w:vertAlign w:val="superscript"/>
              </w:rPr>
              <w:t>2</w:t>
            </w:r>
            <w:r>
              <w:rPr>
                <w:rFonts w:ascii="Times New Roman" w:hAnsi="Times New Roman" w:eastAsia="仿宋_GB2312" w:cs="Times New Roman"/>
                <w:b/>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22" w:type="pct"/>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73"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储木场后山森林</w:t>
            </w:r>
          </w:p>
        </w:tc>
        <w:tc>
          <w:tcPr>
            <w:tcW w:w="1075"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储木场</w:t>
            </w:r>
          </w:p>
        </w:tc>
        <w:tc>
          <w:tcPr>
            <w:tcW w:w="173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80.00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22" w:type="pct"/>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3"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英雄山林地</w:t>
            </w:r>
          </w:p>
        </w:tc>
        <w:tc>
          <w:tcPr>
            <w:tcW w:w="1075"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附城村</w:t>
            </w:r>
          </w:p>
        </w:tc>
        <w:tc>
          <w:tcPr>
            <w:tcW w:w="173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7" w:hRule="atLeast"/>
          <w:jc w:val="center"/>
        </w:trPr>
        <w:tc>
          <w:tcPr>
            <w:tcW w:w="522" w:type="pct"/>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673"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长岭头林地</w:t>
            </w:r>
          </w:p>
        </w:tc>
        <w:tc>
          <w:tcPr>
            <w:tcW w:w="1075"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练塘村</w:t>
            </w:r>
          </w:p>
        </w:tc>
        <w:tc>
          <w:tcPr>
            <w:tcW w:w="173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270" w:type="pct"/>
            <w:gridSpan w:val="3"/>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1730"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165.00</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（7）乡镇绿化</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乡镇建成区绿化覆盖率30%以上，建有2000m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以上公园绿地1处以上。</w:t>
      </w:r>
    </w:p>
    <w:p>
      <w:pPr>
        <w:pStyle w:val="74"/>
        <w:spacing w:line="360" w:lineRule="auto"/>
        <w:ind w:firstLine="562"/>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指标现状：</w:t>
      </w:r>
      <w:r>
        <w:rPr>
          <w:rFonts w:ascii="Times New Roman" w:hAnsi="Times New Roman" w:eastAsia="仿宋_GB2312" w:cs="Times New Roman"/>
          <w:bCs/>
          <w:sz w:val="28"/>
          <w:szCs w:val="28"/>
        </w:rPr>
        <w:t>经统计，乐昌市2018年底乡镇建成区总面积923.30hm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bCs/>
          <w:sz w:val="28"/>
          <w:szCs w:val="28"/>
        </w:rPr>
        <w:t>，乡镇建成区绿化覆盖面积275.95hm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bCs/>
          <w:sz w:val="28"/>
          <w:szCs w:val="28"/>
        </w:rPr>
        <w:t>，乡镇建城区绿化覆盖率29.89%，各乡镇均有1处以上2000m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bCs/>
          <w:sz w:val="28"/>
          <w:szCs w:val="28"/>
        </w:rPr>
        <w:t>的公园绿地。</w:t>
      </w:r>
      <w:r>
        <w:rPr>
          <w:rFonts w:ascii="Times New Roman" w:hAnsi="Times New Roman" w:eastAsia="仿宋_GB2312" w:cs="Times New Roman"/>
          <w:sz w:val="28"/>
          <w:szCs w:val="28"/>
        </w:rPr>
        <w:t>详见表3-15。</w:t>
      </w:r>
    </w:p>
    <w:p>
      <w:pPr>
        <w:pStyle w:val="74"/>
        <w:spacing w:line="360" w:lineRule="auto"/>
        <w:ind w:firstLine="562"/>
        <w:rPr>
          <w:rFonts w:ascii="Times New Roman" w:hAnsi="Times New Roman" w:eastAsia="仿宋_GB2312" w:cs="Times New Roman"/>
          <w:bCs/>
          <w:sz w:val="28"/>
          <w:szCs w:val="28"/>
        </w:rPr>
      </w:pPr>
      <w:r>
        <w:rPr>
          <w:rFonts w:ascii="Times New Roman" w:hAnsi="Times New Roman" w:eastAsia="仿宋_GB2312" w:cs="Times New Roman"/>
          <w:b/>
          <w:bCs/>
          <w:sz w:val="28"/>
          <w:szCs w:val="28"/>
        </w:rPr>
        <w:t>指标评价：</w:t>
      </w:r>
      <w:r>
        <w:rPr>
          <w:rFonts w:ascii="Times New Roman" w:hAnsi="Times New Roman" w:eastAsia="仿宋_GB2312" w:cs="Times New Roman"/>
          <w:bCs/>
          <w:sz w:val="28"/>
          <w:szCs w:val="28"/>
        </w:rPr>
        <w:t>未达标。“创森”期间，重点加强廊田镇、长来镇、梅花镇等6个乡镇建成区绿化工作，提高乡镇绿化水平。</w:t>
      </w:r>
    </w:p>
    <w:p>
      <w:pPr>
        <w:spacing w:line="360" w:lineRule="auto"/>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表3-15 乐昌市乡镇建成区绿化情况统计表</w:t>
      </w:r>
    </w:p>
    <w:tbl>
      <w:tblPr>
        <w:tblStyle w:val="47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134"/>
        <w:gridCol w:w="1418"/>
        <w:gridCol w:w="2126"/>
        <w:gridCol w:w="1701"/>
        <w:gridCol w:w="12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92" w:type="dxa"/>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序号</w:t>
            </w:r>
          </w:p>
        </w:tc>
        <w:tc>
          <w:tcPr>
            <w:tcW w:w="1134" w:type="dxa"/>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乡（镇）</w:t>
            </w:r>
          </w:p>
        </w:tc>
        <w:tc>
          <w:tcPr>
            <w:tcW w:w="1418" w:type="dxa"/>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建成区</w:t>
            </w:r>
          </w:p>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面积（hm</w:t>
            </w:r>
            <w:r>
              <w:rPr>
                <w:rFonts w:ascii="Times New Roman" w:hAnsi="Times New Roman" w:eastAsia="仿宋_GB2312" w:cs="Times New Roman"/>
                <w:b/>
                <w:kern w:val="0"/>
                <w:szCs w:val="21"/>
                <w:vertAlign w:val="superscript"/>
              </w:rPr>
              <w:t>2</w:t>
            </w:r>
            <w:r>
              <w:rPr>
                <w:rFonts w:ascii="Times New Roman" w:hAnsi="Times New Roman" w:eastAsia="仿宋_GB2312" w:cs="Times New Roman"/>
                <w:b/>
                <w:kern w:val="0"/>
                <w:szCs w:val="21"/>
              </w:rPr>
              <w:t>）</w:t>
            </w:r>
          </w:p>
        </w:tc>
        <w:tc>
          <w:tcPr>
            <w:tcW w:w="2126" w:type="dxa"/>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建成区绿化</w:t>
            </w:r>
          </w:p>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覆盖面积（hm</w:t>
            </w:r>
            <w:r>
              <w:rPr>
                <w:rFonts w:ascii="Times New Roman" w:hAnsi="Times New Roman" w:eastAsia="仿宋_GB2312" w:cs="Times New Roman"/>
                <w:b/>
                <w:kern w:val="0"/>
                <w:szCs w:val="21"/>
                <w:vertAlign w:val="superscript"/>
              </w:rPr>
              <w:t>2</w:t>
            </w:r>
            <w:r>
              <w:rPr>
                <w:rFonts w:ascii="Times New Roman" w:hAnsi="Times New Roman" w:eastAsia="仿宋_GB2312" w:cs="Times New Roman"/>
                <w:b/>
                <w:kern w:val="0"/>
                <w:szCs w:val="21"/>
              </w:rPr>
              <w:t>）</w:t>
            </w:r>
          </w:p>
        </w:tc>
        <w:tc>
          <w:tcPr>
            <w:tcW w:w="1701" w:type="dxa"/>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城区绿化</w:t>
            </w:r>
          </w:p>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覆盖率（%）</w:t>
            </w:r>
          </w:p>
        </w:tc>
        <w:tc>
          <w:tcPr>
            <w:tcW w:w="1201" w:type="dxa"/>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公园绿地（处）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"https://baike.baidu.com/item/%E5%8C%97%E4%B9%A1%E9%95%87" \t "_blank" </w:instrText>
            </w:r>
            <w:r>
              <w:fldChar w:fldCharType="separate"/>
            </w:r>
            <w:r>
              <w:rPr>
                <w:rFonts w:ascii="Times New Roman" w:hAnsi="Times New Roman" w:eastAsia="仿宋_GB2312" w:cs="Times New Roman"/>
                <w:color w:val="000000"/>
                <w:kern w:val="0"/>
                <w:szCs w:val="21"/>
              </w:rPr>
              <w:t>北乡镇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25.00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7.60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30.40</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2</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"https://baike.baidu.com/item/%E4%B9%9D%E5%B3%B0%E9%95%87" \t "_blank" </w:instrText>
            </w:r>
            <w:r>
              <w:fldChar w:fldCharType="separate"/>
            </w:r>
            <w:r>
              <w:rPr>
                <w:rFonts w:ascii="Times New Roman" w:hAnsi="Times New Roman" w:eastAsia="仿宋_GB2312" w:cs="Times New Roman"/>
                <w:color w:val="000000"/>
                <w:kern w:val="0"/>
                <w:szCs w:val="21"/>
              </w:rPr>
              <w:t>九峰镇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23.60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10.85</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45.97</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3</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"https://baike.baidu.com/item/%E5%BB%8A%E7%94%B0%E9%95%87" \t "_blank" </w:instrText>
            </w:r>
            <w:r>
              <w:fldChar w:fldCharType="separate"/>
            </w:r>
            <w:r>
              <w:rPr>
                <w:rFonts w:ascii="Times New Roman" w:hAnsi="Times New Roman" w:eastAsia="仿宋_GB2312" w:cs="Times New Roman"/>
                <w:color w:val="000000"/>
                <w:kern w:val="0"/>
                <w:szCs w:val="21"/>
              </w:rPr>
              <w:t>廊田镇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74.70</w:t>
            </w:r>
          </w:p>
        </w:tc>
        <w:tc>
          <w:tcPr>
            <w:tcW w:w="2126" w:type="dxa"/>
            <w:shd w:val="clear" w:color="auto" w:fill="auto"/>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21.60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28.92</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4</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"https://baike.baidu.com/item/%E9%95%BF%E6%9D%A5%E9%95%87" \t "_blank" </w:instrText>
            </w:r>
            <w:r>
              <w:fldChar w:fldCharType="separate"/>
            </w:r>
            <w:r>
              <w:rPr>
                <w:rFonts w:ascii="Times New Roman" w:hAnsi="Times New Roman" w:eastAsia="仿宋_GB2312" w:cs="Times New Roman"/>
                <w:color w:val="000000"/>
                <w:kern w:val="0"/>
                <w:szCs w:val="21"/>
              </w:rPr>
              <w:t>长来镇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43.00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11.60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26.98</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5</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"https://baike.baidu.com/item/%E6%A2%85%E8%8A%B1%E9%95%87" \t "_blank" </w:instrText>
            </w:r>
            <w:r>
              <w:fldChar w:fldCharType="separate"/>
            </w:r>
            <w:r>
              <w:rPr>
                <w:rFonts w:ascii="Times New Roman" w:hAnsi="Times New Roman" w:eastAsia="仿宋_GB2312" w:cs="Times New Roman"/>
                <w:color w:val="000000"/>
                <w:kern w:val="0"/>
                <w:szCs w:val="21"/>
              </w:rPr>
              <w:t>梅花镇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84.00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24.30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28.93</w:t>
            </w:r>
          </w:p>
        </w:tc>
        <w:tc>
          <w:tcPr>
            <w:tcW w:w="12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6</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"https://baike.baidu.com/item/%E4%B8%89%E6%BA%AA%E9%95%87" \t "_blank" </w:instrText>
            </w:r>
            <w:r>
              <w:fldChar w:fldCharType="separate"/>
            </w:r>
            <w:r>
              <w:rPr>
                <w:rFonts w:ascii="Times New Roman" w:hAnsi="Times New Roman" w:eastAsia="仿宋_GB2312" w:cs="Times New Roman"/>
                <w:color w:val="000000"/>
                <w:kern w:val="0"/>
                <w:szCs w:val="21"/>
              </w:rPr>
              <w:t>三溪镇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20.00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6.00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30.00</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7</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"https://baike.baidu.com/item/%E5%9D%AA%E7%9F%B3%E9%95%87" \t "_blank" </w:instrText>
            </w:r>
            <w:r>
              <w:fldChar w:fldCharType="separate"/>
            </w:r>
            <w:r>
              <w:rPr>
                <w:rFonts w:ascii="Times New Roman" w:hAnsi="Times New Roman" w:eastAsia="仿宋_GB2312" w:cs="Times New Roman"/>
                <w:color w:val="000000"/>
                <w:kern w:val="0"/>
                <w:szCs w:val="21"/>
              </w:rPr>
              <w:t>坪石镇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510.00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145.60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28.55</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8</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"https://baike.baidu.com/item/%E9%BB%84%E5%9C%83%E9%95%87" \t "_blank" </w:instrText>
            </w:r>
            <w:r>
              <w:fldChar w:fldCharType="separate"/>
            </w:r>
            <w:r>
              <w:rPr>
                <w:rFonts w:ascii="Times New Roman" w:hAnsi="Times New Roman" w:eastAsia="仿宋_GB2312" w:cs="Times New Roman"/>
                <w:color w:val="000000"/>
                <w:kern w:val="0"/>
                <w:szCs w:val="21"/>
              </w:rPr>
              <w:t>黄圃镇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31.00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11.30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36.50</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9</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"https://baike.baidu.com/item/%E4%BA%94%E5%B1%B1%E9%95%87" \t "_blank" </w:instrText>
            </w:r>
            <w:r>
              <w:fldChar w:fldCharType="separate"/>
            </w:r>
            <w:r>
              <w:rPr>
                <w:rFonts w:ascii="Times New Roman" w:hAnsi="Times New Roman" w:eastAsia="仿宋_GB2312" w:cs="Times New Roman"/>
                <w:color w:val="000000"/>
                <w:kern w:val="0"/>
                <w:szCs w:val="21"/>
              </w:rPr>
              <w:t>五山镇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22.50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8.00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35.55</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10</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"https://baike.baidu.com/item/%E4%B8%A4%E6%B1%9F%E9%95%87" \t "_blank" </w:instrText>
            </w:r>
            <w:r>
              <w:fldChar w:fldCharType="separate"/>
            </w:r>
            <w:r>
              <w:rPr>
                <w:rFonts w:ascii="Times New Roman" w:hAnsi="Times New Roman" w:eastAsia="仿宋_GB2312" w:cs="Times New Roman"/>
                <w:color w:val="000000"/>
                <w:kern w:val="0"/>
                <w:szCs w:val="21"/>
              </w:rPr>
              <w:t>两江镇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16.00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6.30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39.37</w:t>
            </w:r>
          </w:p>
        </w:tc>
        <w:tc>
          <w:tcPr>
            <w:tcW w:w="12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11</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"https://baike.baidu.com/item/%E6%B2%99%E5%9D%AA%E9%95%87" \t "_blank" </w:instrText>
            </w:r>
            <w:r>
              <w:fldChar w:fldCharType="separate"/>
            </w:r>
            <w:r>
              <w:rPr>
                <w:rFonts w:ascii="Times New Roman" w:hAnsi="Times New Roman" w:eastAsia="仿宋_GB2312" w:cs="Times New Roman"/>
                <w:color w:val="000000"/>
                <w:kern w:val="0"/>
                <w:szCs w:val="21"/>
              </w:rPr>
              <w:t>沙坪镇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16.50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4.46</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27.00</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12</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"https://baike.baidu.com/item/%E4%BA%91%E5%B2%A9%E9%95%87" \t "_blank" </w:instrText>
            </w:r>
            <w:r>
              <w:fldChar w:fldCharType="separate"/>
            </w:r>
            <w:r>
              <w:rPr>
                <w:rFonts w:ascii="Times New Roman" w:hAnsi="Times New Roman" w:eastAsia="仿宋_GB2312" w:cs="Times New Roman"/>
                <w:color w:val="000000"/>
                <w:kern w:val="0"/>
                <w:szCs w:val="21"/>
              </w:rPr>
              <w:t>云岩镇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14.00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4.50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32.14</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13</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"https://baike.baidu.com/item/%E7%A7%80%E6%B0%B4%E9%95%87" \t "_blank" </w:instrText>
            </w:r>
            <w:r>
              <w:fldChar w:fldCharType="separate"/>
            </w:r>
            <w:r>
              <w:rPr>
                <w:rFonts w:ascii="Times New Roman" w:hAnsi="Times New Roman" w:eastAsia="仿宋_GB2312" w:cs="Times New Roman"/>
                <w:color w:val="000000"/>
                <w:kern w:val="0"/>
                <w:szCs w:val="21"/>
              </w:rPr>
              <w:t>秀水镇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10.00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3.20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32.00</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14</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"https://baike.baidu.com/item/%E5%A4%A7%E6%BA%90%E9%95%87" \t "_blank" </w:instrText>
            </w:r>
            <w:r>
              <w:fldChar w:fldCharType="separate"/>
            </w:r>
            <w:r>
              <w:rPr>
                <w:rFonts w:ascii="Times New Roman" w:hAnsi="Times New Roman" w:eastAsia="仿宋_GB2312" w:cs="Times New Roman"/>
                <w:color w:val="000000"/>
                <w:kern w:val="0"/>
                <w:szCs w:val="21"/>
              </w:rPr>
              <w:t>大源镇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6.00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2.40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40.00</w:t>
            </w:r>
          </w:p>
        </w:tc>
        <w:tc>
          <w:tcPr>
            <w:tcW w:w="12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15</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"https://baike.baidu.com/item/%E5%BA%86%E4%BA%91%E9%95%87" \t "_blank" </w:instrText>
            </w:r>
            <w:r>
              <w:fldChar w:fldCharType="separate"/>
            </w:r>
            <w:r>
              <w:rPr>
                <w:rFonts w:ascii="Times New Roman" w:hAnsi="Times New Roman" w:eastAsia="仿宋_GB2312" w:cs="Times New Roman"/>
                <w:color w:val="000000"/>
                <w:kern w:val="0"/>
                <w:szCs w:val="21"/>
              </w:rPr>
              <w:t>庆云镇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12.00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3.14</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26.16</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16</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"https://baike.baidu.com/item/%E7%99%BD%E7%9F%B3%E9%95%87" \t "_blank" </w:instrText>
            </w:r>
            <w:r>
              <w:fldChar w:fldCharType="separate"/>
            </w:r>
            <w:r>
              <w:rPr>
                <w:rFonts w:ascii="Times New Roman" w:hAnsi="Times New Roman" w:eastAsia="仿宋_GB2312" w:cs="Times New Roman"/>
                <w:color w:val="000000"/>
                <w:kern w:val="0"/>
                <w:szCs w:val="21"/>
              </w:rPr>
              <w:t>白石镇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15.00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5.10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34.00</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26" w:type="dxa"/>
            <w:gridSpan w:val="2"/>
            <w:shd w:val="clear" w:color="auto" w:fill="auto"/>
            <w:vAlign w:val="center"/>
          </w:tcPr>
          <w:p>
            <w:pPr>
              <w:adjustRightInd w:val="0"/>
              <w:snapToGrid w:val="0"/>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418"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923.30</w:t>
            </w:r>
          </w:p>
        </w:tc>
        <w:tc>
          <w:tcPr>
            <w:tcW w:w="2126"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275.95</w:t>
            </w:r>
          </w:p>
        </w:tc>
        <w:tc>
          <w:tcPr>
            <w:tcW w:w="1701"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29.89</w:t>
            </w:r>
          </w:p>
        </w:tc>
        <w:tc>
          <w:tcPr>
            <w:tcW w:w="1201"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18</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（8）村庄绿化</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林木绿化率达30%以上，村旁、路旁、水旁、宅旁全部绿化美化，建设1处以上公共休闲绿地。</w:t>
      </w:r>
    </w:p>
    <w:p>
      <w:pPr>
        <w:pStyle w:val="74"/>
        <w:spacing w:line="360" w:lineRule="auto"/>
        <w:ind w:firstLine="562"/>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指标现状：</w:t>
      </w:r>
      <w:r>
        <w:rPr>
          <w:rFonts w:ascii="Times New Roman" w:hAnsi="Times New Roman" w:eastAsia="仿宋_GB2312" w:cs="Times New Roman"/>
          <w:bCs/>
          <w:sz w:val="28"/>
          <w:szCs w:val="28"/>
        </w:rPr>
        <w:t>乐昌市共有村庄192个，村庄总面积6396.55hm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bCs/>
          <w:sz w:val="28"/>
          <w:szCs w:val="28"/>
        </w:rPr>
        <w:t>，村庄总绿化覆盖面积2530.13hm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bCs/>
          <w:sz w:val="28"/>
          <w:szCs w:val="28"/>
        </w:rPr>
        <w:t>，村庄总绿化覆盖率39.55%，公共休闲绿地344处。详见表3-16。</w:t>
      </w:r>
    </w:p>
    <w:p>
      <w:pPr>
        <w:pStyle w:val="74"/>
        <w:spacing w:line="360" w:lineRule="auto"/>
        <w:ind w:firstLine="562"/>
        <w:rPr>
          <w:rFonts w:ascii="Times New Roman" w:hAnsi="Times New Roman" w:eastAsia="仿宋_GB2312" w:cs="Times New Roman"/>
          <w:bCs/>
          <w:sz w:val="28"/>
          <w:szCs w:val="28"/>
        </w:rPr>
      </w:pPr>
      <w:r>
        <w:rPr>
          <w:rFonts w:ascii="Times New Roman" w:hAnsi="Times New Roman" w:eastAsia="仿宋_GB2312" w:cs="Times New Roman"/>
          <w:b/>
          <w:bCs/>
          <w:sz w:val="28"/>
          <w:szCs w:val="28"/>
        </w:rPr>
        <w:t>指标评价：</w:t>
      </w:r>
      <w:r>
        <w:rPr>
          <w:rFonts w:ascii="Times New Roman" w:hAnsi="Times New Roman" w:eastAsia="仿宋_GB2312" w:cs="Times New Roman"/>
          <w:bCs/>
          <w:sz w:val="28"/>
          <w:szCs w:val="28"/>
        </w:rPr>
        <w:t>达标</w:t>
      </w:r>
      <w:r>
        <w:rPr>
          <w:rFonts w:ascii="Times New Roman" w:hAnsi="Times New Roman" w:eastAsia="仿宋_GB2312" w:cs="Times New Roman"/>
          <w:sz w:val="28"/>
          <w:szCs w:val="28"/>
        </w:rPr>
        <w:t>。</w:t>
      </w:r>
      <w:r>
        <w:rPr>
          <w:rFonts w:ascii="Times New Roman" w:hAnsi="Times New Roman" w:eastAsia="仿宋_GB2312" w:cs="Times New Roman"/>
          <w:bCs/>
          <w:sz w:val="28"/>
          <w:szCs w:val="28"/>
        </w:rPr>
        <w:t>“创森”期间，继续实施乡村绿化美化等工程，提高村居林木绿化水平。</w:t>
      </w:r>
    </w:p>
    <w:p>
      <w:pPr>
        <w:pStyle w:val="74"/>
        <w:spacing w:line="360" w:lineRule="auto"/>
        <w:ind w:firstLine="562"/>
        <w:rPr>
          <w:rFonts w:ascii="Times New Roman" w:hAnsi="Times New Roman" w:eastAsia="仿宋_GB2312" w:cs="Times New Roman"/>
          <w:b/>
          <w:bCs/>
          <w:sz w:val="28"/>
          <w:szCs w:val="28"/>
        </w:rPr>
      </w:pP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表3-16 乐昌市村庄林木绿化率统计表</w:t>
      </w:r>
    </w:p>
    <w:tbl>
      <w:tblPr>
        <w:tblStyle w:val="471"/>
        <w:tblW w:w="47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8"/>
        <w:gridCol w:w="855"/>
        <w:gridCol w:w="708"/>
        <w:gridCol w:w="1275"/>
        <w:gridCol w:w="1700"/>
        <w:gridCol w:w="1700"/>
        <w:gridCol w:w="14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统计单位</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村庄个数</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村庄面积（hm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村庄绿化</w:t>
            </w:r>
          </w:p>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覆盖面积（hm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村庄绿化</w:t>
            </w:r>
          </w:p>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覆盖率（%）</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公共休闲绿地个数（个）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454.70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185.90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40.88</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481.80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293.84</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60.99</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廊田镇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214.00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96.25</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44.98</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长来镇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393.75</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136.12</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34.57</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710.76</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221.19</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31.12</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三溪镇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168.30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52.56</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31.23</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坪石镇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662.30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206.33</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31.15</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黄圃镇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393.80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143.70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36.49</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五山镇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433.50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168.50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38.87</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两江镇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379.90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279.00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73.44</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沙坪镇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212.37</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65.63</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30.90</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云岩镇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197.10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60.37</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30.63</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秀水镇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372.02</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121.70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32.71</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224.00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72.28</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32.27</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庆云镇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226.64</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97.05</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42.82</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白石镇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290.93</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150.00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51.56</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乐城街道办事处</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580.68</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179.71</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30.95</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gridSpan w:val="2"/>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195</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6396.55</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2528.13</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39.52</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344</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（9）道路绿化</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铁路、乡级以上道路绿化注重与周边自然、人文景观相协调，适宜绿化的道路绿化率达85%以上。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乐昌市铁路、县级以上公路等道路适宜绿化长度431.33km，已绿化406.33km，道路绿化率达94.20%。详见表3-17。</w:t>
      </w:r>
    </w:p>
    <w:p>
      <w:pPr>
        <w:pStyle w:val="74"/>
        <w:spacing w:line="360" w:lineRule="auto"/>
        <w:ind w:firstLine="562"/>
        <w:rPr>
          <w:rFonts w:ascii="Times New Roman" w:hAnsi="Times New Roman" w:eastAsia="仿宋_GB2312" w:cs="Times New Roman"/>
          <w:sz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r>
        <w:rPr>
          <w:rFonts w:ascii="Times New Roman" w:hAnsi="Times New Roman" w:eastAsia="仿宋_GB2312" w:cs="Times New Roman"/>
          <w:b/>
          <w:sz w:val="28"/>
          <w:szCs w:val="28"/>
        </w:rPr>
        <w:t>。</w:t>
      </w:r>
      <w:r>
        <w:rPr>
          <w:rFonts w:ascii="Times New Roman" w:hAnsi="Times New Roman" w:eastAsia="仿宋_GB2312" w:cs="Times New Roman"/>
          <w:sz w:val="28"/>
          <w:szCs w:val="28"/>
        </w:rPr>
        <w:t>“创森”期间，注重开展道路两旁树木养护工作，充分利用乡土树种，营造乔、灌、草相结合的多层次道路景观带，</w:t>
      </w:r>
      <w:r>
        <w:rPr>
          <w:rFonts w:ascii="Times New Roman" w:hAnsi="Times New Roman" w:eastAsia="仿宋_GB2312" w:cs="Times New Roman"/>
          <w:sz w:val="28"/>
        </w:rPr>
        <w:t>提升道路两侧绿化景观质量，形成完善的道路生态防护林带。</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表3-17  乐昌市道路绿化统计表</w:t>
      </w:r>
    </w:p>
    <w:tbl>
      <w:tblPr>
        <w:tblStyle w:val="471"/>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47"/>
        <w:gridCol w:w="1339"/>
        <w:gridCol w:w="1037"/>
        <w:gridCol w:w="1628"/>
        <w:gridCol w:w="1335"/>
        <w:gridCol w:w="13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46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类型</w:t>
            </w:r>
          </w:p>
        </w:tc>
        <w:tc>
          <w:tcPr>
            <w:tcW w:w="824"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道路名称</w:t>
            </w:r>
          </w:p>
        </w:tc>
        <w:tc>
          <w:tcPr>
            <w:tcW w:w="639"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总里程（km）</w:t>
            </w:r>
          </w:p>
        </w:tc>
        <w:tc>
          <w:tcPr>
            <w:tcW w:w="1003"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适宜绿化里程（km）</w:t>
            </w:r>
          </w:p>
        </w:tc>
        <w:tc>
          <w:tcPr>
            <w:tcW w:w="82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已绿化里程（km）</w:t>
            </w:r>
          </w:p>
        </w:tc>
        <w:tc>
          <w:tcPr>
            <w:tcW w:w="82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道路绿化率（%）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60"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铁路</w:t>
            </w: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武广高铁</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51.60</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21.50</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21.50</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46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京广铁路</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64.30</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24.20</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24.20</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460"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高速</w:t>
            </w: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乐广高速</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59.68</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25.00</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25.00</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46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京港澳高速</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39.64</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34.37</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34.37</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460"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国道</w:t>
            </w: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G107国道</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19.30</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14.49</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14.49</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46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82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G240国道</w:t>
            </w:r>
          </w:p>
        </w:tc>
        <w:tc>
          <w:tcPr>
            <w:tcW w:w="63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30.74</w:t>
            </w:r>
          </w:p>
        </w:tc>
        <w:tc>
          <w:tcPr>
            <w:tcW w:w="10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13.55</w:t>
            </w:r>
          </w:p>
        </w:tc>
        <w:tc>
          <w:tcPr>
            <w:tcW w:w="82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11.65</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85.98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46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82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G535国道</w:t>
            </w:r>
          </w:p>
        </w:tc>
        <w:tc>
          <w:tcPr>
            <w:tcW w:w="63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41.89</w:t>
            </w:r>
          </w:p>
        </w:tc>
        <w:tc>
          <w:tcPr>
            <w:tcW w:w="10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37.92</w:t>
            </w:r>
          </w:p>
        </w:tc>
        <w:tc>
          <w:tcPr>
            <w:tcW w:w="82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32.24</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85.03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460"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省道</w:t>
            </w: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S247省道</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41.86</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37.46</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37.46</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46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S248省道</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95.03</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95.03</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95.03</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284" w:type="pct"/>
            <w:gridSpan w:val="2"/>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县道</w:t>
            </w:r>
          </w:p>
        </w:tc>
        <w:tc>
          <w:tcPr>
            <w:tcW w:w="63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3.56</w:t>
            </w:r>
          </w:p>
        </w:tc>
        <w:tc>
          <w:tcPr>
            <w:tcW w:w="10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3.37</w:t>
            </w:r>
          </w:p>
        </w:tc>
        <w:tc>
          <w:tcPr>
            <w:tcW w:w="82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3.37</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284" w:type="pct"/>
            <w:gridSpan w:val="2"/>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乡道</w:t>
            </w:r>
          </w:p>
        </w:tc>
        <w:tc>
          <w:tcPr>
            <w:tcW w:w="63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194.14</w:t>
            </w:r>
          </w:p>
        </w:tc>
        <w:tc>
          <w:tcPr>
            <w:tcW w:w="10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124.44</w:t>
            </w:r>
          </w:p>
        </w:tc>
        <w:tc>
          <w:tcPr>
            <w:tcW w:w="82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107.02</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86.00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17" w:type="pct"/>
            <w:gridSpan w:val="3"/>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63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641.74</w:t>
            </w:r>
          </w:p>
        </w:tc>
        <w:tc>
          <w:tcPr>
            <w:tcW w:w="100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431.33</w:t>
            </w:r>
          </w:p>
        </w:tc>
        <w:tc>
          <w:tcPr>
            <w:tcW w:w="822"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406.33</w:t>
            </w:r>
          </w:p>
        </w:tc>
        <w:tc>
          <w:tcPr>
            <w:tcW w:w="82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94.20</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（10）水岸绿化</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注重江、河、湖、库等水体沿岸生态保护和修复，水体岸线自然化率达85%以上，适宜绿化的水岸绿化率达85%以上。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截至2018年底，乐昌市河流适宜绿化长度386.90km，已绿化长度358.30km，水岸绿化率92.61%。水体岸线绿化基本采取近自然绿化方式，自然绿化长度358.30km，水体岸线自然化率92.61%。详见表3-18。</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r>
        <w:rPr>
          <w:rFonts w:ascii="Times New Roman" w:hAnsi="Times New Roman" w:eastAsia="仿宋_GB2312" w:cs="Times New Roman"/>
          <w:b/>
          <w:sz w:val="28"/>
          <w:szCs w:val="28"/>
        </w:rPr>
        <w:t>。</w:t>
      </w:r>
      <w:r>
        <w:rPr>
          <w:rFonts w:ascii="Times New Roman" w:hAnsi="Times New Roman" w:eastAsia="仿宋_GB2312" w:cs="Times New Roman"/>
          <w:sz w:val="28"/>
          <w:szCs w:val="28"/>
        </w:rPr>
        <w:t>“创森”期间，采取近自然的方式，提高水体沿岸自然化率与水岸绿化率，保护水体及沿岸的生态环境。</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表3-18 乐昌市水岸绿化统计表</w:t>
      </w:r>
    </w:p>
    <w:tbl>
      <w:tblPr>
        <w:tblStyle w:val="47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936"/>
        <w:gridCol w:w="1725"/>
        <w:gridCol w:w="1905"/>
        <w:gridCol w:w="1725"/>
        <w:gridCol w:w="1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河流名称</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河道总长度（km）</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适宜绿化长度（km）</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已绿化长度（km）</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水岸绿化率（%）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武江</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124.66</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105.46</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96.50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廊田水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51.53</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44.33</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40.00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西坑水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25.9</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17.06</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16.00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93.79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九峰河</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53.67</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51.18</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48.50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94.76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王坪水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24.05</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23.84</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22.30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93.54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太平水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31.02</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30.61</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28.50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93.11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田头水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42.50</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40.10</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38.70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36.32</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33.10</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30.00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辽思水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36.23</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30.45</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28.00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宜章水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17.55</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10.77</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9.80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87" w:type="pct"/>
            <w:gridSpan w:val="2"/>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443.43</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386.90</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358.30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92.61</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（11）农田林网</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按照GB／T 18337．3要求建设农田林网。</w:t>
      </w:r>
    </w:p>
    <w:p>
      <w:pPr>
        <w:pStyle w:val="74"/>
        <w:spacing w:line="360" w:lineRule="auto"/>
        <w:ind w:firstLine="562"/>
        <w:rPr>
          <w:rFonts w:ascii="Times New Roman" w:hAnsi="Times New Roman" w:eastAsia="仿宋_GB2312" w:cs="Times New Roman"/>
          <w:b/>
          <w:sz w:val="28"/>
        </w:rPr>
      </w:pPr>
      <w:r>
        <w:rPr>
          <w:rFonts w:ascii="Times New Roman" w:hAnsi="Times New Roman" w:eastAsia="仿宋_GB2312" w:cs="Times New Roman"/>
          <w:b/>
          <w:sz w:val="28"/>
        </w:rPr>
        <w:t>指标现状：</w:t>
      </w:r>
      <w:r>
        <w:rPr>
          <w:rFonts w:ascii="Times New Roman" w:hAnsi="Times New Roman" w:eastAsia="仿宋_GB2312" w:cs="Times New Roman"/>
          <w:sz w:val="28"/>
          <w:szCs w:val="28"/>
        </w:rPr>
        <w:t>乐昌地形以山地为主，农田较少且分布分散，全市耕地面积仅占国土面积的9.83%，且均分布在山沟谷地、小型盆地地区，农业对农田林网的需求不大。</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rPr>
        <w:t>指标评价：</w:t>
      </w:r>
      <w:r>
        <w:rPr>
          <w:rFonts w:ascii="Times New Roman" w:hAnsi="Times New Roman" w:eastAsia="仿宋_GB2312" w:cs="Times New Roman"/>
          <w:sz w:val="28"/>
        </w:rPr>
        <w:t>达标</w:t>
      </w:r>
      <w:r>
        <w:rPr>
          <w:rFonts w:ascii="Times New Roman" w:hAnsi="Times New Roman" w:eastAsia="仿宋_GB2312" w:cs="Times New Roman"/>
          <w:b/>
          <w:sz w:val="28"/>
        </w:rPr>
        <w:t>。</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（12）受损弃置地生态修复</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受损弃置地生态修复率达80%以上。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据统计，乐昌市</w:t>
      </w:r>
      <w:r>
        <w:rPr>
          <w:rFonts w:ascii="Times New Roman" w:hAnsi="Times New Roman" w:eastAsia="仿宋_GB2312" w:cs="Times New Roman"/>
          <w:bCs/>
          <w:sz w:val="28"/>
          <w:szCs w:val="24"/>
        </w:rPr>
        <w:t>停采关闭矿山17个，需复垦绿化面积14.42hm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，已垦绿的停采关闭矿山14个，面积12.06hm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，受损弃置地生态修复率达到83.63%。</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达标。“创森”期间，注重开展管护工作，保护复绿工作成果。</w:t>
      </w:r>
    </w:p>
    <w:p>
      <w:pPr>
        <w:pStyle w:val="74"/>
        <w:ind w:firstLine="0" w:firstLineChars="0"/>
        <w:outlineLvl w:val="3"/>
        <w:rPr>
          <w:rFonts w:ascii="Times New Roman" w:hAnsi="Times New Roman" w:eastAsia="仿宋_GB2312" w:cs="Times New Roman"/>
          <w:b/>
          <w:sz w:val="30"/>
          <w:szCs w:val="30"/>
        </w:rPr>
      </w:pPr>
      <w:r>
        <w:rPr>
          <w:rFonts w:ascii="Times New Roman" w:hAnsi="Times New Roman" w:eastAsia="仿宋_GB2312" w:cs="Times New Roman"/>
          <w:b/>
          <w:sz w:val="30"/>
          <w:szCs w:val="30"/>
        </w:rPr>
        <w:t>3.3.1.2 森林健康</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（13）树种多样性</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城市森林树种丰富多样，形成多树种、多层次、多色彩的森林景观，城区某一个树种的栽植数量不超过树木总数量的20％。</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近年来坚持建设项目工程与绿化工程同步设计、同步施工、同步验收，对沿江路、竹林公园、健身广场、南塔公园进行提升改造。全市城区栽植乐昌含笑、丹桂、白兰等树种约236550株，其中垂叶榕栽植最多，约为42188株，占树木总数量的17.83%。详见表3-19。</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表3-19 乐昌市树种多样性统计表</w:t>
      </w:r>
    </w:p>
    <w:tbl>
      <w:tblPr>
        <w:tblStyle w:val="471"/>
        <w:tblW w:w="485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315"/>
        <w:gridCol w:w="2268"/>
        <w:gridCol w:w="16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树种</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数量（株）</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垂叶榕</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42188</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高山榕</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34556</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香樟</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19827</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乐昌含笑</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17541</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美丽异木棉</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8576</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紫薇</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7335</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枫香</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6192</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芒果树</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5942</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阴香</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5527</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丹桂</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4772</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白兰</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4584</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杜英</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3458</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其他</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76052</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7" w:type="pct"/>
            <w:gridSpan w:val="2"/>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236550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100.00</w:t>
            </w:r>
          </w:p>
        </w:tc>
      </w:tr>
    </w:tbl>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r>
        <w:rPr>
          <w:rFonts w:ascii="Times New Roman" w:hAnsi="Times New Roman" w:eastAsia="仿宋_GB2312" w:cs="Times New Roman"/>
          <w:sz w:val="28"/>
        </w:rPr>
        <w:t>“创森”期间，注重丰富树种多样性，使用多样的乡土树种的种类。</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（14）乡土树种使用率</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城区、乡镇建成区、农村居民点乡土树种使用率达80％以上。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城区、乡镇建成区、农村居民点等绿化工作中注重使用垂叶榕、高山榕、乐昌含笑、香樟等乡土树种。抽样调查全市乡土使用情况，其中抽样调查树种25367株，其中乡土树种20551株，乡土树种使用率达81.01%。</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达标。在造林绿化中注重使用乡土树种，提高全市乡土树种使用率。</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表3-20 乐昌市乡土树种抽样调查统计表</w:t>
      </w:r>
    </w:p>
    <w:tbl>
      <w:tblPr>
        <w:tblStyle w:val="471"/>
        <w:tblW w:w="48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787"/>
        <w:gridCol w:w="1692"/>
        <w:gridCol w:w="1692"/>
        <w:gridCol w:w="1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抽样调查点</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调查总数（株）</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乡土树种（株）</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竹林公园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876</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704</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553</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461</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麒麟山公园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4227</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3493</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南塔公园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3911</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3156</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高铁站广场</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294</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234</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79.59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古佛岩</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5376</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4398</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文化广场</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383</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317</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武江河堤广场</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2652</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2028</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76.47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公主下路街头绿地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233</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186</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79.83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乐昌昌山公园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421</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347</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产业园碧水湖公园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1594</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1182</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产业园运动公园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364</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297</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富村公园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246</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203</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河心公园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342</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281</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桃花公园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487</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406</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香樟公园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139</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121</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兰花公园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224</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182</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两江镇镇政府后山公园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310</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254</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大坪公园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352</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286</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芦溪河公园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126</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101</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白石镇镇政府后山公园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294</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237</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三溪公园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542</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453</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秀水镇政府门前绿地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127</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106</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沙坪镇政府门前绿地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152</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云岩镇政府后山绿地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106</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88</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梅花镇红六军烈士园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311</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252</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长来镇政府大院绿地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151</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130</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新村绿地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89</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白山村绿地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107</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93</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石溪村绿地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92</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89.13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大坪头绿地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85</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79</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92.94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祖岭绿地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47</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沙坪村绿地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肖山村绿地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71</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68</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95.77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317" w:type="pct"/>
            <w:gridSpan w:val="2"/>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25367</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20551</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81.01</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（15）苗木使用</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注重乡土树种苗木培育，使用良种壮苗，提倡实生苗、容器苗、全冠苗造林，严禁移植天然大树。</w:t>
      </w:r>
    </w:p>
    <w:p>
      <w:pPr>
        <w:pStyle w:val="74"/>
        <w:spacing w:line="360" w:lineRule="auto"/>
        <w:ind w:firstLine="562"/>
        <w:rPr>
          <w:rFonts w:ascii="Times New Roman" w:hAnsi="Times New Roman" w:eastAsia="仿宋_GB2312" w:cs="Times New Roman"/>
          <w:sz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乐昌市注重乡土树种苗圃培育工作，在园林绿化工作中，使用垂叶榕、高山榕、香樟、栀子花、红花</w:t>
      </w:r>
      <w:r>
        <w:rPr>
          <w:rFonts w:ascii="Times New Roman" w:hAnsi="Times New Roman" w:eastAsia="微软雅黑" w:cs="Times New Roman"/>
          <w:sz w:val="28"/>
          <w:szCs w:val="28"/>
        </w:rPr>
        <w:t>檵</w:t>
      </w:r>
      <w:r>
        <w:rPr>
          <w:rFonts w:ascii="Times New Roman" w:hAnsi="Times New Roman" w:eastAsia="仿宋_GB2312" w:cs="Times New Roman"/>
          <w:sz w:val="28"/>
          <w:szCs w:val="28"/>
        </w:rPr>
        <w:t>木、乐昌含笑等全冠良种壮苗，全冠率达98%。</w:t>
      </w:r>
      <w:r>
        <w:rPr>
          <w:rFonts w:ascii="Times New Roman" w:hAnsi="Times New Roman" w:eastAsia="仿宋_GB2312" w:cs="Times New Roman"/>
          <w:sz w:val="28"/>
        </w:rPr>
        <w:t>没有发生从农村和山上移植古树、大树进城的事件。</w:t>
      </w:r>
    </w:p>
    <w:p>
      <w:pPr>
        <w:autoSpaceDE w:val="0"/>
        <w:autoSpaceDN w:val="0"/>
        <w:spacing w:line="360" w:lineRule="auto"/>
        <w:ind w:firstLine="562" w:firstLineChars="200"/>
        <w:rPr>
          <w:rFonts w:ascii="Times New Roman" w:hAnsi="Times New Roman" w:eastAsia="仿宋_GB2312" w:cs="Times New Roman"/>
          <w:sz w:val="28"/>
        </w:rPr>
      </w:pPr>
      <w:r>
        <w:rPr>
          <w:rFonts w:ascii="Times New Roman" w:hAnsi="Times New Roman" w:eastAsia="仿宋_GB2312" w:cs="Times New Roman"/>
          <w:b/>
          <w:sz w:val="28"/>
        </w:rPr>
        <w:t>指标评价：</w:t>
      </w:r>
      <w:r>
        <w:rPr>
          <w:rFonts w:ascii="Times New Roman" w:hAnsi="Times New Roman" w:eastAsia="仿宋_GB2312" w:cs="Times New Roman"/>
          <w:sz w:val="28"/>
        </w:rPr>
        <w:t>达标。在森林城市建设过程中，注重乡土树种苗木培育，使用良种壮苗，提倡实生苗、容器苗、全冠苗造林，坚决禁止移植古树、大树。</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（16）生态养护</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避免过度的人工干预，增加绿地有机覆盖，实现森林、绿地的近自然管护。</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rPr>
        <w:t>乐昌市十分重视森林抚育和林木管理工作，采取近自然的抚育管理方式，森林、绿地的林下裸地部分实现灌草覆盖。</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rPr>
        <w:t>达标</w:t>
      </w:r>
      <w:r>
        <w:rPr>
          <w:rFonts w:ascii="Times New Roman" w:hAnsi="Times New Roman" w:eastAsia="仿宋_GB2312" w:cs="Times New Roman"/>
          <w:b/>
          <w:sz w:val="28"/>
        </w:rPr>
        <w:t>。</w:t>
      </w:r>
      <w:r>
        <w:rPr>
          <w:rFonts w:ascii="Times New Roman" w:hAnsi="Times New Roman" w:eastAsia="仿宋_GB2312" w:cs="Times New Roman"/>
          <w:sz w:val="28"/>
        </w:rPr>
        <w:t>“创森”期间，继续坚持采用近自然的抚育管理方式，持续增加绿地有机覆盖率。</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（17）森林质量提升</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注重森林质量精准提升，每年完成需要提升面积的10%以上，培育优质高效城市森林。</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乐昌市2018年开展森林碳汇重点生态工程，完成省级森林碳汇林抚育2333.33hm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，抚育效果良好，苗木生长旺盛。根据乐昌市2018年森林资源调查数据显示，全市仍需开展森林质量提升面积约为</w:t>
      </w:r>
      <w:r>
        <w:rPr>
          <w:rFonts w:ascii="Times New Roman" w:hAnsi="Times New Roman" w:eastAsia="仿宋_GB2312" w:cs="Times New Roman"/>
          <w:sz w:val="28"/>
        </w:rPr>
        <w:t>54657</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pStyle w:val="74"/>
        <w:spacing w:line="360" w:lineRule="auto"/>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待建指标。“创森”期间，每年提升森林质量面积</w:t>
      </w:r>
      <w:r>
        <w:rPr>
          <w:rFonts w:ascii="Times New Roman" w:hAnsi="Times New Roman" w:eastAsia="仿宋_GB2312" w:cs="Times New Roman"/>
          <w:sz w:val="28"/>
        </w:rPr>
        <w:t>5465.70</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（18）动物生境营造</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保护和选用留鸟引鸟、食源蜜源植物，大型森林、湿地等生态斑块通过生态廊道实现有效连接。</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乐昌市依托23处自</w:t>
      </w:r>
      <w:r>
        <w:rPr>
          <w:rFonts w:ascii="Times New Roman" w:hAnsi="Times New Roman" w:eastAsia="仿宋_GB2312" w:cs="Times New Roman"/>
          <w:sz w:val="28"/>
        </w:rPr>
        <w:t>然保护地，</w:t>
      </w:r>
      <w:r>
        <w:rPr>
          <w:rFonts w:ascii="Times New Roman" w:hAnsi="Times New Roman" w:eastAsia="仿宋_GB2312" w:cs="Times New Roman"/>
          <w:sz w:val="28"/>
          <w:szCs w:val="28"/>
        </w:rPr>
        <w:t>积极开展生态建设工作，提高林地质量，提升生境指数，丰富森林生物量。</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达标。乐昌市森林资源丰富，大型生态斑块之间基本实现连接。“创森”期间，继续开展自然保护地整合优化工作，加强生态保护力度，营造良好的动植物生境。</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（19）森林灾害防控</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建立完善的有害生物和森林火灾防控体系。</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2018年，乐昌市没有发生重大以上森林火灾，森林火灾受害率为零；林业有害生物成灾率0.35‰，防治率达到100%。</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r>
        <w:rPr>
          <w:rFonts w:ascii="Times New Roman" w:hAnsi="Times New Roman" w:eastAsia="仿宋_GB2312" w:cs="Times New Roman"/>
          <w:sz w:val="28"/>
        </w:rPr>
        <w:t>“创森”期间，继续加大森林资源的保护和宣传力度，建立完善的林业有害生物和森林火灾防控体系，切实加强森林资源保护，确保不发生重大案件。</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（20）资源保护</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有效保护乡村风水林和风景林，未发生重大涉林犯罪案件和公共事件。</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乐昌市转变资源管理方式，积极宣传贯彻《森林法》、《野生动植物保护法》、《广东省林地管理条例》等法律法规，开展森林资源保护专项行动，有效保护全市森林资源安全。</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达标。“创森”期间，继续宣传相关法律法规，组织开展各类专项行动，严厉打击破坏森林资源的违法犯罪活动。</w:t>
      </w:r>
    </w:p>
    <w:p>
      <w:pPr>
        <w:pStyle w:val="74"/>
        <w:ind w:firstLine="0" w:firstLineChars="0"/>
        <w:outlineLvl w:val="3"/>
        <w:rPr>
          <w:rFonts w:ascii="Times New Roman" w:hAnsi="Times New Roman" w:eastAsia="仿宋_GB2312" w:cs="Times New Roman"/>
          <w:b/>
          <w:sz w:val="30"/>
          <w:szCs w:val="30"/>
        </w:rPr>
      </w:pPr>
      <w:r>
        <w:rPr>
          <w:rFonts w:ascii="Times New Roman" w:hAnsi="Times New Roman" w:eastAsia="仿宋_GB2312" w:cs="Times New Roman"/>
          <w:b/>
          <w:sz w:val="30"/>
          <w:szCs w:val="30"/>
        </w:rPr>
        <w:t>3.3.1.3 生态福利</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（21）城区公园绿地服务</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公园绿地500m服务半径对城区覆盖达80%以上。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根据乐昌市城市公园绿地分布现状，结合2018年底遥感影像图，通过ArcMap计算处理，得出乐昌市城市公园绿地500m服务半径对城区覆盖率为73.49%。详见图3-2。</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未达标。“创森”期间，重点加强城区东北部公园绿地建设，提高城区公园绿地面积，满足城市居民生态需求。</w:t>
      </w:r>
    </w:p>
    <w:p>
      <w:pPr>
        <w:spacing w:line="360" w:lineRule="auto"/>
        <w:ind w:left="280" w:hanging="280" w:hangingChars="10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drawing>
          <wp:inline distT="0" distB="0" distL="114300" distR="114300">
            <wp:extent cx="3686175" cy="3708400"/>
            <wp:effectExtent l="0" t="0" r="0" b="0"/>
            <wp:docPr id="8" name="图片 8" descr="500m服务半径示意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00m服务半径示意图3"/>
                    <pic:cNvPicPr>
                      <a:picLocks noChangeAspect="1"/>
                    </pic:cNvPicPr>
                  </pic:nvPicPr>
                  <pic:blipFill>
                    <a:blip r:embed="rId30"/>
                    <a:srcRect l="8878" t="22044" r="15504" b="24165"/>
                    <a:stretch>
                      <a:fillRect/>
                    </a:stretch>
                  </pic:blipFill>
                  <pic:spPr>
                    <a:xfrm>
                      <a:off x="0" y="0"/>
                      <a:ext cx="3693499" cy="3715859"/>
                    </a:xfrm>
                    <a:prstGeom prst="rect">
                      <a:avLst/>
                    </a:prstGeom>
                  </pic:spPr>
                </pic:pic>
              </a:graphicData>
            </a:graphic>
          </wp:inline>
        </w:drawing>
      </w:r>
    </w:p>
    <w:p>
      <w:pPr>
        <w:spacing w:line="360" w:lineRule="auto"/>
        <w:ind w:left="241" w:hanging="240" w:hangingChars="100"/>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图3-2 乐昌市城区公园绿地500米服务半径示意图</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（22）生态休闲场所服务</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建有森林公园、湿地公园等大型生态休闲场所，10km服务半径对县域覆盖达70%以上。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乐昌市建有各类森林公园、湿地公园18处，总面积6457.95hm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，10km服务半径对县域覆盖率达89.55%。详见图3-3。</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p>
    <w:p>
      <w:pPr>
        <w:spacing w:line="360" w:lineRule="auto"/>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drawing>
          <wp:inline distT="0" distB="0" distL="114300" distR="114300">
            <wp:extent cx="3953510" cy="3409315"/>
            <wp:effectExtent l="0" t="0" r="8890" b="635"/>
            <wp:docPr id="3" name="图片 3" descr="休闲场所10km覆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休闲场所10km覆盖"/>
                    <pic:cNvPicPr>
                      <a:picLocks noChangeAspect="1"/>
                    </pic:cNvPicPr>
                  </pic:nvPicPr>
                  <pic:blipFill>
                    <a:blip r:embed="rId31"/>
                    <a:srcRect/>
                    <a:stretch>
                      <a:fillRect/>
                    </a:stretch>
                  </pic:blipFill>
                  <pic:spPr>
                    <a:xfrm>
                      <a:off x="0" y="0"/>
                      <a:ext cx="3953510" cy="3409315"/>
                    </a:xfrm>
                    <a:prstGeom prst="rect">
                      <a:avLst/>
                    </a:prstGeom>
                  </pic:spPr>
                </pic:pic>
              </a:graphicData>
            </a:graphic>
          </wp:inline>
        </w:drawing>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图3-3 乐昌市生态休闲场所10km服务半径覆盖示意图</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（23）公园免费开放</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财政投资建设的公园向公众免费开放。</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乐昌市财政投资建设的公园有25处，全部免费开放。详见表3-21。</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达标。“创森”期间，鼓励社会投资建设的公园设立免费开放日，提高公众休闲质量。</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表3-21 乐昌市财政投资建设公园统计表</w:t>
      </w:r>
    </w:p>
    <w:tbl>
      <w:tblPr>
        <w:tblStyle w:val="471"/>
        <w:tblW w:w="48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3963"/>
        <w:gridCol w:w="1631"/>
        <w:gridCol w:w="15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64"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2411" w:type="pc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名称</w:t>
            </w:r>
          </w:p>
        </w:tc>
        <w:tc>
          <w:tcPr>
            <w:tcW w:w="992" w:type="pc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面积（hm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c>
          <w:tcPr>
            <w:tcW w:w="933" w:type="pc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是否免费开放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人民公园</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2.93</w:t>
            </w:r>
          </w:p>
        </w:tc>
        <w:tc>
          <w:tcPr>
            <w:tcW w:w="93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竹林公园</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3.19</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府前园</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0.20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文化广场</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1.70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昌盛公园</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14.30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武江河堤广场</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82.07</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南塔公园</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32.50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高铁站广场</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0.94</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乐昌市龙王潭县级森林公园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255.80</w:t>
            </w:r>
          </w:p>
        </w:tc>
        <w:tc>
          <w:tcPr>
            <w:tcW w:w="93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乐昌市南塔县级森林公园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44.00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乐昌市九峰镇杨东山森林公园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532.00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乐昌市五山镇竹海森林公园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559.00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乐昌市北乡镇香樟森林公园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53.00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乐昌市沙坪镇八宝山森林公园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1640.00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乐昌市狮子山楠木县级森林公园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360.00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乐昌市户昌山古村落县级森林公园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147.00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乐昌市坪石镇皈塘森林公园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74.60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乐昌市云岩镇青莲山森林公园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180.00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乐昌市百臻县级森林公园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85.80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乐昌市云祖峰县级森林公园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238.67</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乐昌市秀水镇大竹山森林公园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45.00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乐昌市黄圃镇泸溪河森林公园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23.00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乐昌市大源镇菖蒲塘森林公园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436.00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乐昌市三溪镇三溪森林公园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20.80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2411"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szCs w:val="21"/>
              </w:rPr>
              <w:t>广东乐昌峡湿地公园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1147.08</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（24）绿道网络</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城镇建有绿道网络，居民每万人拥有的绿道长度达0.5km以上。</w:t>
      </w:r>
    </w:p>
    <w:p>
      <w:pPr>
        <w:pStyle w:val="74"/>
        <w:spacing w:line="360" w:lineRule="auto"/>
        <w:ind w:firstLine="562"/>
        <w:rPr>
          <w:rFonts w:ascii="Times New Roman" w:hAnsi="Times New Roman" w:eastAsia="仿宋_GB2312" w:cs="Times New Roman"/>
          <w:bCs/>
          <w:sz w:val="28"/>
          <w:szCs w:val="28"/>
        </w:rPr>
      </w:pPr>
      <w:r>
        <w:rPr>
          <w:rFonts w:ascii="Times New Roman" w:hAnsi="Times New Roman" w:eastAsia="仿宋_GB2312" w:cs="Times New Roman"/>
          <w:b/>
          <w:bCs/>
          <w:sz w:val="28"/>
          <w:szCs w:val="28"/>
        </w:rPr>
        <w:t>指标现状：</w:t>
      </w:r>
      <w:r>
        <w:rPr>
          <w:rFonts w:ascii="Times New Roman" w:hAnsi="Times New Roman" w:eastAsia="仿宋_GB2312" w:cs="Times New Roman"/>
          <w:bCs/>
          <w:sz w:val="28"/>
          <w:szCs w:val="28"/>
        </w:rPr>
        <w:t>乐昌市城镇建有绿道17.50km，城镇常住人口26.14万人，每万人拥有绿道长度0.67km。</w:t>
      </w:r>
    </w:p>
    <w:p>
      <w:pPr>
        <w:spacing w:line="360" w:lineRule="auto"/>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表3-22 乐昌市绿道现状统计表</w:t>
      </w:r>
    </w:p>
    <w:tbl>
      <w:tblPr>
        <w:tblStyle w:val="47"/>
        <w:tblW w:w="4824"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2131"/>
        <w:gridCol w:w="2131"/>
        <w:gridCol w:w="19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1230"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序号</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名称</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长度（km）</w:t>
            </w:r>
          </w:p>
        </w:tc>
        <w:tc>
          <w:tcPr>
            <w:tcW w:w="1178"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30"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1</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color w:val="000000"/>
                <w:szCs w:val="21"/>
              </w:rPr>
              <w:t>北乡河</w:t>
            </w:r>
            <w:r>
              <w:rPr>
                <w:rFonts w:ascii="Times New Roman" w:hAnsi="Times New Roman" w:eastAsia="仿宋_GB2312" w:cs="Times New Roman"/>
                <w:color w:val="000000"/>
                <w:kern w:val="0"/>
                <w:szCs w:val="21"/>
              </w:rPr>
              <w:t>绿道</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16.50</w:t>
            </w:r>
          </w:p>
        </w:tc>
        <w:tc>
          <w:tcPr>
            <w:tcW w:w="1179" w:type="pct"/>
            <w:vAlign w:val="center"/>
          </w:tcPr>
          <w:p>
            <w:pPr>
              <w:pStyle w:val="74"/>
              <w:spacing w:line="360" w:lineRule="auto"/>
              <w:ind w:firstLine="0" w:firstLineChars="0"/>
              <w:jc w:val="center"/>
              <w:rPr>
                <w:rFonts w:ascii="Times New Roman" w:hAnsi="Times New Roman" w:eastAsia="仿宋_GB2312" w:cs="Times New Roman"/>
                <w:bCs/>
                <w:szCs w:val="21"/>
              </w:rPr>
            </w:pPr>
            <w:r>
              <w:rPr>
                <w:rFonts w:ascii="Times New Roman" w:hAnsi="Times New Roman" w:eastAsia="仿宋_GB2312" w:cs="Times New Roman"/>
                <w:bCs/>
                <w:szCs w:val="21"/>
              </w:rPr>
              <w:t>乐城街道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30"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2</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color w:val="000000"/>
                <w:kern w:val="0"/>
                <w:szCs w:val="21"/>
              </w:rPr>
              <w:t>黄圃镇河岸绿道</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1.00</w:t>
            </w:r>
          </w:p>
        </w:tc>
        <w:tc>
          <w:tcPr>
            <w:tcW w:w="1179" w:type="pct"/>
            <w:vAlign w:val="center"/>
          </w:tcPr>
          <w:p>
            <w:pPr>
              <w:pStyle w:val="74"/>
              <w:spacing w:line="360" w:lineRule="auto"/>
              <w:ind w:firstLine="0" w:firstLineChars="0"/>
              <w:jc w:val="center"/>
              <w:rPr>
                <w:rFonts w:ascii="Times New Roman" w:hAnsi="Times New Roman" w:eastAsia="仿宋_GB2312" w:cs="Times New Roman"/>
                <w:bCs/>
                <w:szCs w:val="21"/>
              </w:rPr>
            </w:pPr>
            <w:r>
              <w:rPr>
                <w:rFonts w:ascii="Times New Roman" w:hAnsi="Times New Roman" w:eastAsia="仿宋_GB2312" w:cs="Times New Roman"/>
                <w:bCs/>
                <w:szCs w:val="21"/>
              </w:rPr>
              <w:t>黄圃镇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 w:type="pct"/>
            <w:gridSpan w:val="2"/>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合计</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17.50</w:t>
            </w:r>
          </w:p>
        </w:tc>
        <w:tc>
          <w:tcPr>
            <w:tcW w:w="1179" w:type="pct"/>
            <w:vAlign w:val="center"/>
          </w:tcPr>
          <w:p>
            <w:pPr>
              <w:pStyle w:val="74"/>
              <w:spacing w:line="360" w:lineRule="auto"/>
              <w:ind w:firstLine="0" w:firstLineChars="0"/>
              <w:jc w:val="center"/>
              <w:rPr>
                <w:rFonts w:ascii="Times New Roman" w:hAnsi="Times New Roman" w:eastAsia="仿宋_GB2312" w:cs="Times New Roman"/>
                <w:b/>
                <w:bCs/>
                <w:szCs w:val="21"/>
              </w:rPr>
            </w:pPr>
          </w:p>
        </w:tc>
      </w:tr>
    </w:tbl>
    <w:p>
      <w:pPr>
        <w:pStyle w:val="74"/>
        <w:spacing w:line="360" w:lineRule="auto"/>
        <w:ind w:firstLine="562"/>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指标评价：</w:t>
      </w:r>
      <w:r>
        <w:rPr>
          <w:rFonts w:ascii="Times New Roman" w:hAnsi="Times New Roman" w:eastAsia="仿宋_GB2312" w:cs="Times New Roman"/>
          <w:bCs/>
          <w:sz w:val="28"/>
          <w:szCs w:val="28"/>
        </w:rPr>
        <w:t>达标。“创森”期间，乐昌市依托现有绿道与丰富的自然资源，</w:t>
      </w:r>
      <w:r>
        <w:rPr>
          <w:rFonts w:ascii="Times New Roman" w:hAnsi="Times New Roman" w:eastAsia="仿宋_GB2312" w:cs="Times New Roman"/>
          <w:bCs/>
          <w:sz w:val="28"/>
        </w:rPr>
        <w:t>完善绿道线路，串联全市景观。</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（25）生态产业</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发展森林旅游、休闲、康养、食品等绿色生态产业，促进农民增收致富。</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乐昌市以“百花齐放、清气乐昌”为活动主题，以乐昌九峰万亩桃花为亮点，打造乡村旅游品牌，促进全域旅游发展。截至2018年底，林业产业总产值达到15.9亿元</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达标。“创森”期间继续发展森林旅游与森林康养产业，带动提高农民收入。</w:t>
      </w:r>
    </w:p>
    <w:p>
      <w:pPr>
        <w:pStyle w:val="74"/>
        <w:ind w:firstLine="0" w:firstLineChars="0"/>
        <w:outlineLvl w:val="3"/>
        <w:rPr>
          <w:rFonts w:ascii="Times New Roman" w:hAnsi="Times New Roman" w:eastAsia="仿宋_GB2312" w:cs="Times New Roman"/>
          <w:b/>
          <w:sz w:val="30"/>
          <w:szCs w:val="30"/>
        </w:rPr>
      </w:pPr>
      <w:r>
        <w:rPr>
          <w:rFonts w:ascii="Times New Roman" w:hAnsi="Times New Roman" w:eastAsia="仿宋_GB2312" w:cs="Times New Roman"/>
          <w:b/>
          <w:sz w:val="30"/>
          <w:szCs w:val="30"/>
        </w:rPr>
        <w:t>3.3.1.4 生态文化</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（26）生态科普教育</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建有参与式、体验式的生态课堂、生态场馆等生态科普教育场所5处以上。在城镇居民集中活动的场所，建有森林、湿地等生态标识系统。</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乐昌市建有各类生态科普教育场所6处，详见表3-22。</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r>
        <w:rPr>
          <w:rFonts w:ascii="Times New Roman" w:hAnsi="Times New Roman" w:eastAsia="仿宋_GB2312" w:cs="Times New Roman"/>
          <w:b/>
          <w:sz w:val="28"/>
          <w:szCs w:val="28"/>
        </w:rPr>
        <w:t>。</w:t>
      </w:r>
      <w:r>
        <w:rPr>
          <w:rFonts w:ascii="Times New Roman" w:hAnsi="Times New Roman" w:eastAsia="仿宋_GB2312" w:cs="Times New Roman"/>
          <w:sz w:val="28"/>
          <w:szCs w:val="28"/>
        </w:rPr>
        <w:t>“创森”期间，依托各类森林公园、湿地公园、自然保护区，建立生态科普教育基地，完善基础设施，突出不同类型科普场所特色。</w:t>
      </w:r>
    </w:p>
    <w:p>
      <w:pPr>
        <w:pStyle w:val="74"/>
        <w:spacing w:line="360" w:lineRule="auto"/>
        <w:ind w:firstLine="560"/>
        <w:rPr>
          <w:rFonts w:ascii="Times New Roman" w:hAnsi="Times New Roman" w:eastAsia="仿宋_GB2312" w:cs="Times New Roman"/>
          <w:sz w:val="28"/>
          <w:szCs w:val="28"/>
        </w:rPr>
      </w:pP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表3-23 乐昌市生态科普教育场所统计表</w:t>
      </w:r>
    </w:p>
    <w:tbl>
      <w:tblPr>
        <w:tblStyle w:val="471"/>
        <w:tblW w:w="48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3929"/>
        <w:gridCol w:w="3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239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建设地点名称</w:t>
            </w:r>
          </w:p>
        </w:tc>
        <w:tc>
          <w:tcPr>
            <w:tcW w:w="192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科普主题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w:t>
            </w:r>
          </w:p>
        </w:tc>
        <w:tc>
          <w:tcPr>
            <w:tcW w:w="239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乐昌市林科所植物科普大棚</w:t>
            </w:r>
          </w:p>
        </w:tc>
        <w:tc>
          <w:tcPr>
            <w:tcW w:w="1922"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植物知识图文和育苗技术展示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2</w:t>
            </w:r>
          </w:p>
        </w:tc>
        <w:tc>
          <w:tcPr>
            <w:tcW w:w="239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十二度水自然保护区自然科普馆</w:t>
            </w:r>
          </w:p>
        </w:tc>
        <w:tc>
          <w:tcPr>
            <w:tcW w:w="1922"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自然生态知识科普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3</w:t>
            </w:r>
          </w:p>
        </w:tc>
        <w:tc>
          <w:tcPr>
            <w:tcW w:w="239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大瑶山自然保护区自然科普馆</w:t>
            </w:r>
          </w:p>
        </w:tc>
        <w:tc>
          <w:tcPr>
            <w:tcW w:w="1922"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自然生态知识科普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4</w:t>
            </w:r>
          </w:p>
        </w:tc>
        <w:tc>
          <w:tcPr>
            <w:tcW w:w="239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乐昌市龙王潭森林公园</w:t>
            </w:r>
          </w:p>
        </w:tc>
        <w:tc>
          <w:tcPr>
            <w:tcW w:w="1922"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植物辨认科普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5</w:t>
            </w:r>
          </w:p>
        </w:tc>
        <w:tc>
          <w:tcPr>
            <w:tcW w:w="239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乐昌市九福园林有限公司</w:t>
            </w:r>
          </w:p>
        </w:tc>
        <w:tc>
          <w:tcPr>
            <w:tcW w:w="1922"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植物辨认科普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6</w:t>
            </w:r>
          </w:p>
        </w:tc>
        <w:tc>
          <w:tcPr>
            <w:tcW w:w="239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乐昌市枝豆农业开发有限公司</w:t>
            </w:r>
          </w:p>
        </w:tc>
        <w:tc>
          <w:tcPr>
            <w:tcW w:w="1922"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自然生态知识科普</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（27）生态宣传活动</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广泛开展森林城市主题宣传，每年举办县级活动5次以上。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乐昌市每年开展义务植树、爱林护林、保护野生动植物志愿宣传、大地植绿心中播绿健步行等宣传活动，营造全民种绿、认绿、护绿的浓厚氛围。</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待建指标。“创森”期间，每年开展森林城市宣传活动5次以上，</w:t>
      </w:r>
      <w:r>
        <w:rPr>
          <w:rFonts w:ascii="Times New Roman" w:hAnsi="Times New Roman" w:eastAsia="仿宋_GB2312" w:cs="Times New Roman"/>
          <w:sz w:val="28"/>
        </w:rPr>
        <w:t>提高市民关注度和参与度。</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（28）古树名木</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古树名木管理规范，档案齐全，保护措施科学到位，保护率达100%。</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乐昌市高度重视古树名木保护，现有古树名木1457株，其中一级古树7株；二级古树239株；3级古树1211株，已全部建档保护，古树名木保护率达100%。</w:t>
      </w:r>
    </w:p>
    <w:p>
      <w:pPr>
        <w:autoSpaceDE w:val="0"/>
        <w:autoSpaceDN w:val="0"/>
        <w:spacing w:line="360" w:lineRule="auto"/>
        <w:ind w:firstLine="562" w:firstLineChars="200"/>
        <w:rPr>
          <w:rFonts w:ascii="Times New Roman" w:hAnsi="Times New Roman" w:eastAsia="仿宋_GB2312" w:cs="Times New Roman"/>
          <w:sz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r>
        <w:rPr>
          <w:rFonts w:ascii="Times New Roman" w:hAnsi="Times New Roman" w:eastAsia="仿宋_GB2312" w:cs="Times New Roman"/>
          <w:sz w:val="28"/>
        </w:rPr>
        <w:t>“创森”期间，加大古树名木保护力度，强化古树名木保护管理，加强古树名木日常养护和复壮，促进古树名木的健康生长。</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（29）公众态度</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公众对森林城市建设的知晓率、支持率和满意度达90%以上。</w:t>
      </w:r>
    </w:p>
    <w:p>
      <w:pPr>
        <w:spacing w:line="360" w:lineRule="auto"/>
        <w:ind w:firstLine="562" w:firstLineChars="200"/>
        <w:rPr>
          <w:rFonts w:ascii="Times New Roman" w:hAnsi="Times New Roman" w:eastAsia="仿宋_GB2312" w:cs="Times New Roman"/>
          <w:color w:val="000000"/>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color w:val="000000"/>
          <w:sz w:val="28"/>
          <w:szCs w:val="28"/>
        </w:rPr>
        <w:t>尚未开展公众对乐昌市创建国家森林城市建设的</w:t>
      </w:r>
      <w:r>
        <w:rPr>
          <w:rFonts w:ascii="Times New Roman" w:hAnsi="Times New Roman" w:eastAsia="仿宋_GB2312" w:cs="Times New Roman"/>
          <w:sz w:val="28"/>
          <w:szCs w:val="28"/>
        </w:rPr>
        <w:t>知晓率、支持率和满意度</w:t>
      </w:r>
      <w:r>
        <w:rPr>
          <w:rFonts w:ascii="Times New Roman" w:hAnsi="Times New Roman" w:eastAsia="仿宋_GB2312" w:cs="Times New Roman"/>
          <w:color w:val="000000"/>
          <w:sz w:val="28"/>
          <w:szCs w:val="28"/>
        </w:rPr>
        <w:t>的问卷调查。</w:t>
      </w:r>
    </w:p>
    <w:p>
      <w:pPr>
        <w:spacing w:line="360" w:lineRule="auto"/>
        <w:ind w:firstLine="562" w:firstLineChars="200"/>
        <w:rPr>
          <w:rFonts w:ascii="Times New Roman" w:hAnsi="Times New Roman" w:eastAsia="仿宋_GB2312" w:cs="Times New Roman"/>
          <w:color w:val="000000"/>
          <w:sz w:val="28"/>
          <w:szCs w:val="28"/>
        </w:rPr>
      </w:pPr>
      <w:r>
        <w:rPr>
          <w:rFonts w:ascii="Times New Roman" w:hAnsi="Times New Roman" w:eastAsia="仿宋_GB2312" w:cs="Times New Roman"/>
          <w:b/>
          <w:sz w:val="28"/>
        </w:rPr>
        <w:t>指标评价：</w:t>
      </w:r>
      <w:r>
        <w:rPr>
          <w:rFonts w:ascii="Times New Roman" w:hAnsi="Times New Roman" w:eastAsia="仿宋_GB2312" w:cs="Times New Roman"/>
          <w:sz w:val="28"/>
        </w:rPr>
        <w:t>待建指标。</w:t>
      </w:r>
      <w:r>
        <w:rPr>
          <w:rFonts w:ascii="Times New Roman" w:hAnsi="Times New Roman" w:eastAsia="仿宋_GB2312" w:cs="Times New Roman"/>
          <w:color w:val="000000"/>
          <w:sz w:val="28"/>
          <w:szCs w:val="28"/>
        </w:rPr>
        <w:t>规划近期制作“创森”宣传海报、展板、手册，借助纸媒、网络平台、运营商等媒体宣传“创森”内容，组织“创森”宣传活动，增设公益广告与户外广告，定期开展“创森”知晓率、支持率和满意度调查。</w:t>
      </w:r>
    </w:p>
    <w:p>
      <w:pPr>
        <w:pStyle w:val="74"/>
        <w:ind w:firstLine="0" w:firstLineChars="0"/>
        <w:outlineLvl w:val="3"/>
        <w:rPr>
          <w:rFonts w:ascii="Times New Roman" w:hAnsi="Times New Roman" w:eastAsia="仿宋_GB2312" w:cs="Times New Roman"/>
          <w:b/>
          <w:sz w:val="30"/>
          <w:szCs w:val="30"/>
        </w:rPr>
      </w:pPr>
      <w:r>
        <w:rPr>
          <w:rFonts w:ascii="Times New Roman" w:hAnsi="Times New Roman" w:eastAsia="仿宋_GB2312" w:cs="Times New Roman"/>
          <w:b/>
          <w:sz w:val="30"/>
          <w:szCs w:val="30"/>
        </w:rPr>
        <w:t>3.3.1.5 组织管理</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（30）建设备案</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在国家森林城市建设主管部门正式备案2年以上。</w:t>
      </w:r>
    </w:p>
    <w:p>
      <w:pPr>
        <w:pStyle w:val="74"/>
        <w:spacing w:line="360" w:lineRule="auto"/>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rPr>
        <w:t>乐昌市委、市政府高度重视森林城市建设工作，成立了创建国家森林城市建设领导小组，启动了森林城市创建的前期准备工作，获得了国家林业和草原局的备案复函。</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待建指标。乐昌市需</w:t>
      </w:r>
      <w:r>
        <w:rPr>
          <w:rFonts w:ascii="Times New Roman" w:hAnsi="Times New Roman" w:eastAsia="仿宋_GB2312" w:cs="Times New Roman"/>
          <w:sz w:val="28"/>
        </w:rPr>
        <w:t>将创建国家森林城市作为重要议事日程和党员、干部工作考核内容，持续开展森林城市创建活动，推动“创森”各项工作全面落实。</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（31）规划编制</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编制规划期限10年以上的国家森林城市建设总体规划，并批准实施2年以上。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：乐昌市正在组织编制《广东省乐昌市国家森林城市</w:t>
      </w:r>
      <w:r>
        <w:rPr>
          <w:rFonts w:ascii="Times New Roman" w:hAnsi="Times New Roman" w:eastAsia="仿宋_GB2312" w:cs="Times New Roman"/>
          <w:color w:val="000000"/>
          <w:sz w:val="28"/>
          <w:szCs w:val="28"/>
        </w:rPr>
        <w:t>建设总体规划</w:t>
      </w:r>
      <w:r>
        <w:rPr>
          <w:rFonts w:ascii="Times New Roman" w:hAnsi="Times New Roman" w:eastAsia="仿宋_GB2312" w:cs="Times New Roman"/>
          <w:sz w:val="28"/>
          <w:szCs w:val="28"/>
        </w:rPr>
        <w:t>》。</w:t>
      </w:r>
    </w:p>
    <w:p>
      <w:pPr>
        <w:spacing w:line="360" w:lineRule="auto"/>
        <w:ind w:firstLine="562" w:firstLineChars="200"/>
        <w:rPr>
          <w:rFonts w:ascii="Times New Roman" w:hAnsi="Times New Roman" w:eastAsia="仿宋_GB2312" w:cs="Times New Roman"/>
          <w:color w:val="000000"/>
          <w:sz w:val="28"/>
          <w:szCs w:val="28"/>
        </w:rPr>
      </w:pPr>
      <w:r>
        <w:rPr>
          <w:rFonts w:ascii="Times New Roman" w:hAnsi="Times New Roman" w:eastAsia="仿宋_GB2312" w:cs="Times New Roman"/>
          <w:b/>
          <w:sz w:val="28"/>
        </w:rPr>
        <w:t>指标评价：</w:t>
      </w:r>
      <w:r>
        <w:rPr>
          <w:rFonts w:ascii="Times New Roman" w:hAnsi="Times New Roman" w:eastAsia="仿宋_GB2312" w:cs="Times New Roman"/>
          <w:sz w:val="28"/>
        </w:rPr>
        <w:t>待建指标。</w:t>
      </w:r>
      <w:r>
        <w:rPr>
          <w:rFonts w:ascii="Times New Roman" w:hAnsi="Times New Roman" w:eastAsia="仿宋_GB2312" w:cs="Times New Roman"/>
          <w:color w:val="000000"/>
          <w:sz w:val="28"/>
          <w:szCs w:val="28"/>
        </w:rPr>
        <w:t>《广东省乐昌市国家森林城市建设总体规划》需经过意见征求、专家评审、政府报批实施等环节完成编制。编制完成后，乐昌市应严格按照总体规划实施，制定出台检查考核制度，按期保质保量完成各项规划任务。</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（32）示范活动</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积极开展森林社区、森林单位、森林乡镇、森林村庄、森林人家等多种形式示范活动。</w:t>
      </w:r>
    </w:p>
    <w:p>
      <w:pPr>
        <w:pStyle w:val="74"/>
        <w:spacing w:line="360" w:lineRule="auto"/>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乐昌市制定了《乐昌市乡村振兴林业行动计划》，积极开展森林小镇示范活动，其中九峰镇被评为“中国美丽休闲乡村”，获得“广东绿美森林小镇”潜力奖。</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待建指标。“创森”期间，继续开展森林小镇、森林村庄等示范活动，着力建设美丽乡村。</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（33）档案管理</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档案完整规范，相关技术图件齐备，实现科学化、信息化管理。</w:t>
      </w:r>
    </w:p>
    <w:p>
      <w:pPr>
        <w:pStyle w:val="74"/>
        <w:spacing w:line="360" w:lineRule="auto"/>
        <w:ind w:firstLine="562"/>
        <w:rPr>
          <w:rFonts w:ascii="Times New Roman" w:hAnsi="Times New Roman" w:eastAsia="仿宋_GB2312" w:cs="Times New Roman"/>
          <w:sz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rPr>
        <w:t>正在完善城市森林资源档案管理体制。</w:t>
      </w:r>
    </w:p>
    <w:p>
      <w:pPr>
        <w:autoSpaceDE w:val="0"/>
        <w:autoSpaceDN w:val="0"/>
        <w:spacing w:line="360" w:lineRule="auto"/>
        <w:ind w:firstLine="562" w:firstLineChars="200"/>
        <w:rPr>
          <w:rFonts w:ascii="Times New Roman" w:hAnsi="Times New Roman" w:eastAsia="仿宋_GB2312" w:cs="Times New Roman"/>
          <w:sz w:val="28"/>
        </w:rPr>
      </w:pPr>
      <w:r>
        <w:rPr>
          <w:rFonts w:ascii="Times New Roman" w:hAnsi="Times New Roman" w:eastAsia="仿宋_GB2312" w:cs="Times New Roman"/>
          <w:b/>
          <w:sz w:val="28"/>
        </w:rPr>
        <w:t>指标评价：</w:t>
      </w:r>
      <w:r>
        <w:rPr>
          <w:rFonts w:ascii="Times New Roman" w:hAnsi="Times New Roman" w:eastAsia="仿宋_GB2312" w:cs="Times New Roman"/>
          <w:sz w:val="28"/>
        </w:rPr>
        <w:t>待建指标。逐步建立和规范城市森林资源档案管理制度，利用存储设备保存管理档案资料，明确专门的档案管理人员。</w:t>
      </w:r>
    </w:p>
    <w:p>
      <w:pPr>
        <w:autoSpaceDE w:val="0"/>
        <w:autoSpaceDN w:val="0"/>
        <w:spacing w:line="360" w:lineRule="auto"/>
        <w:ind w:firstLine="560" w:firstLineChars="200"/>
        <w:rPr>
          <w:rFonts w:ascii="Times New Roman" w:hAnsi="Times New Roman" w:eastAsia="仿宋_GB2312" w:cs="Times New Roman"/>
          <w:sz w:val="28"/>
        </w:rPr>
      </w:pPr>
    </w:p>
    <w:p>
      <w:pPr>
        <w:autoSpaceDE w:val="0"/>
        <w:autoSpaceDN w:val="0"/>
        <w:spacing w:line="360" w:lineRule="auto"/>
        <w:ind w:firstLine="560" w:firstLineChars="200"/>
        <w:rPr>
          <w:rFonts w:ascii="Times New Roman" w:hAnsi="Times New Roman" w:eastAsia="仿宋_GB2312" w:cs="Times New Roman"/>
          <w:sz w:val="28"/>
        </w:rPr>
      </w:pPr>
    </w:p>
    <w:p>
      <w:pPr>
        <w:autoSpaceDE w:val="0"/>
        <w:autoSpaceDN w:val="0"/>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表3-24 乐昌市森林城市建设现状与国家森林城市评价指标对照表</w:t>
      </w:r>
    </w:p>
    <w:tbl>
      <w:tblPr>
        <w:tblStyle w:val="471"/>
        <w:tblW w:w="8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745"/>
        <w:gridCol w:w="2292"/>
        <w:gridCol w:w="2528"/>
        <w:gridCol w:w="10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55"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1745"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指标名称</w:t>
            </w:r>
          </w:p>
        </w:tc>
        <w:tc>
          <w:tcPr>
            <w:tcW w:w="2292"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标准</w:t>
            </w:r>
          </w:p>
        </w:tc>
        <w:tc>
          <w:tcPr>
            <w:tcW w:w="2528"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现状（2018年）</w:t>
            </w:r>
          </w:p>
        </w:tc>
        <w:tc>
          <w:tcPr>
            <w:tcW w:w="1066"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达标评价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林木覆盖率</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69.94%</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城区绿化覆盖率</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39.36%</w:t>
            </w:r>
          </w:p>
        </w:tc>
        <w:tc>
          <w:tcPr>
            <w:tcW w:w="1066"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未达标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城区树冠覆盖率</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27.00%</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城区人均公园绿地面积</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≥12m</w:t>
            </w:r>
            <w:r>
              <w:rPr>
                <w:rFonts w:ascii="Times New Roman" w:hAnsi="Times New Roman" w:eastAsia="仿宋_GB2312" w:cs="Times New Roman"/>
                <w:color w:val="000000"/>
                <w:kern w:val="0"/>
                <w:szCs w:val="21"/>
                <w:vertAlign w:val="superscript"/>
              </w:rPr>
              <w:t>2</w:t>
            </w:r>
            <w:r>
              <w:rPr>
                <w:rFonts w:ascii="Times New Roman" w:hAnsi="Times New Roman" w:eastAsia="仿宋_GB2312" w:cs="Times New Roman"/>
                <w:color w:val="000000"/>
                <w:kern w:val="0"/>
                <w:szCs w:val="21"/>
              </w:rPr>
              <w:t>/人</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11.72m</w:t>
            </w:r>
            <w:r>
              <w:rPr>
                <w:rFonts w:ascii="Times New Roman" w:hAnsi="Times New Roman" w:eastAsia="仿宋_GB2312" w:cs="Times New Roman"/>
                <w:color w:val="000000"/>
                <w:kern w:val="0"/>
                <w:szCs w:val="21"/>
                <w:vertAlign w:val="superscript"/>
              </w:rPr>
              <w:t>2</w:t>
            </w:r>
            <w:r>
              <w:rPr>
                <w:rFonts w:ascii="Times New Roman" w:hAnsi="Times New Roman" w:eastAsia="仿宋_GB2312" w:cs="Times New Roman"/>
                <w:color w:val="000000"/>
                <w:kern w:val="0"/>
                <w:szCs w:val="21"/>
              </w:rPr>
              <w:t>/人</w:t>
            </w:r>
          </w:p>
        </w:tc>
        <w:tc>
          <w:tcPr>
            <w:tcW w:w="1066"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未达标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城区林荫道路率</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76.45%</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bCs/>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城郊成片森林、湿地</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乡镇绿化</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乡镇建成区绿化覆盖率≥30%，建有2000m</w:t>
            </w:r>
            <w:r>
              <w:rPr>
                <w:rFonts w:ascii="Times New Roman" w:hAnsi="Times New Roman" w:eastAsia="仿宋_GB2312" w:cs="Times New Roman"/>
                <w:color w:val="000000"/>
                <w:kern w:val="0"/>
                <w:szCs w:val="21"/>
                <w:vertAlign w:val="superscript"/>
              </w:rPr>
              <w:t>2</w:t>
            </w:r>
            <w:r>
              <w:rPr>
                <w:rFonts w:ascii="Times New Roman" w:hAnsi="Times New Roman" w:eastAsia="仿宋_GB2312" w:cs="Times New Roman"/>
                <w:color w:val="000000"/>
                <w:kern w:val="0"/>
                <w:szCs w:val="21"/>
              </w:rPr>
              <w:t>以上公园绿地1处以上</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乡镇城区绿化覆盖率29.89%，各乡镇均有1处以上2000m</w:t>
            </w:r>
            <w:r>
              <w:rPr>
                <w:rFonts w:ascii="Times New Roman" w:hAnsi="Times New Roman" w:eastAsia="仿宋_GB2312" w:cs="Times New Roman"/>
                <w:color w:val="000000"/>
                <w:kern w:val="0"/>
                <w:szCs w:val="21"/>
                <w:vertAlign w:val="superscript"/>
              </w:rPr>
              <w:t>2</w:t>
            </w:r>
            <w:r>
              <w:rPr>
                <w:rFonts w:ascii="Times New Roman" w:hAnsi="Times New Roman" w:eastAsia="仿宋_GB2312" w:cs="Times New Roman"/>
                <w:color w:val="000000"/>
                <w:kern w:val="0"/>
                <w:szCs w:val="21"/>
              </w:rPr>
              <w:t>的公园绿地</w:t>
            </w:r>
          </w:p>
        </w:tc>
        <w:tc>
          <w:tcPr>
            <w:tcW w:w="1066" w:type="dxa"/>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未达标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村庄绿化</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林木绿化率≥30%，建设1处以上公共休闲绿地。</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村庄绿化覆盖率39.55%，公共休闲绿地344处。</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道路绿化</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≥85%</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94.20%</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水岸绿化</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水体岸线自然化率≥85%，适宜绿化的水岸绿化率≥85%</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水体岸线自然化率92.61%，适宜绿化的水岸绿化率92.61%</w:t>
            </w:r>
          </w:p>
        </w:tc>
        <w:tc>
          <w:tcPr>
            <w:tcW w:w="1066" w:type="dxa"/>
            <w:shd w:val="clear" w:color="auto" w:fill="auto"/>
            <w:vAlign w:val="center"/>
          </w:tcPr>
          <w:p>
            <w:pPr>
              <w:widowControl/>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农田林网</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受损弃置地生态修复</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83.63%</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树种多样性</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17.83%</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乡土树种使用</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81.01%</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苗木使用</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生态养护</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森林质量提升</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每年完成需要提升面积的10%以上</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动物生境营造</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森林灾害防控</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资源保护</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城区公园绿地服务</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73.49%</w:t>
            </w:r>
          </w:p>
        </w:tc>
        <w:tc>
          <w:tcPr>
            <w:tcW w:w="1066" w:type="dxa"/>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未达标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生态休闲场所服务</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89.55%</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公园免费开放</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绿道网络</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≥0.5km/万人</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0.67km/万人</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生态产业</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生态科普教育</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5处</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6处</w:t>
            </w:r>
          </w:p>
        </w:tc>
        <w:tc>
          <w:tcPr>
            <w:tcW w:w="1066" w:type="dxa"/>
            <w:shd w:val="clear" w:color="auto" w:fill="auto"/>
            <w:vAlign w:val="center"/>
          </w:tcPr>
          <w:p>
            <w:pPr>
              <w:widowControl/>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生态宣传活动</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≥5次/年</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古树名木</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公众态度</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建设备案</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正在实施</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规划编制</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正在实施</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示范活动</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正在实施</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档案管理</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正在实施</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3.3.2 总体评价</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《国家森林城市评价指标》（GB/T 37342-2019）对县级城市从森林网络、森林健康、生态福利、生态文化和组织管理五个方面设置了33项指标，包括22项定量指标和11项定性指标。乐昌市森林城市建设各项指标情况如下：</w:t>
      </w:r>
    </w:p>
    <w:p>
      <w:pPr>
        <w:spacing w:line="360" w:lineRule="auto"/>
        <w:ind w:firstLine="562" w:firstLineChars="200"/>
        <w:rPr>
          <w:rFonts w:ascii="Times New Roman" w:hAnsi="Times New Roman" w:eastAsia="仿宋_GB2312" w:cs="Times New Roman"/>
          <w:sz w:val="28"/>
          <w:szCs w:val="28"/>
        </w:rPr>
      </w:pPr>
      <w:r>
        <w:rPr>
          <w:rFonts w:ascii="Times New Roman" w:hAnsi="Times New Roman" w:eastAsia="仿宋_GB2312" w:cs="Times New Roman"/>
          <w:b/>
          <w:sz w:val="28"/>
          <w:szCs w:val="28"/>
        </w:rPr>
        <w:t>定量指标：</w:t>
      </w:r>
      <w:r>
        <w:rPr>
          <w:rFonts w:ascii="Times New Roman" w:hAnsi="Times New Roman" w:eastAsia="仿宋_GB2312" w:cs="Times New Roman"/>
          <w:color w:val="000000"/>
          <w:sz w:val="28"/>
          <w:szCs w:val="28"/>
        </w:rPr>
        <w:t>已达标或基本达标15项，分别为：林木覆盖率、城区树冠覆盖率、</w:t>
      </w:r>
      <w:r>
        <w:rPr>
          <w:rFonts w:ascii="Times New Roman" w:hAnsi="Times New Roman" w:eastAsia="仿宋_GB2312" w:cs="Times New Roman"/>
          <w:sz w:val="28"/>
          <w:szCs w:val="28"/>
        </w:rPr>
        <w:t>城区林荫道路率、</w:t>
      </w:r>
      <w:r>
        <w:rPr>
          <w:rFonts w:ascii="Times New Roman" w:hAnsi="Times New Roman" w:eastAsia="仿宋_GB2312" w:cs="Times New Roman"/>
          <w:color w:val="000000"/>
          <w:sz w:val="28"/>
          <w:szCs w:val="28"/>
        </w:rPr>
        <w:t>城郊成片森林和湿地、村庄绿化、道路绿化、</w:t>
      </w:r>
      <w:r>
        <w:rPr>
          <w:rFonts w:ascii="Times New Roman" w:hAnsi="Times New Roman" w:eastAsia="仿宋_GB2312" w:cs="Times New Roman"/>
          <w:sz w:val="28"/>
          <w:szCs w:val="28"/>
        </w:rPr>
        <w:t>水岸绿化、</w:t>
      </w:r>
      <w:r>
        <w:rPr>
          <w:rFonts w:ascii="Times New Roman" w:hAnsi="Times New Roman" w:eastAsia="仿宋_GB2312" w:cs="Times New Roman"/>
          <w:color w:val="000000"/>
          <w:sz w:val="28"/>
          <w:szCs w:val="28"/>
        </w:rPr>
        <w:t>受损弃置地生态修复、物种多样性、乡土树种使用、生态休闲场所服务</w:t>
      </w:r>
      <w:r>
        <w:rPr>
          <w:rFonts w:ascii="Times New Roman" w:hAnsi="Times New Roman" w:eastAsia="仿宋_GB2312" w:cs="Times New Roman"/>
          <w:sz w:val="28"/>
          <w:szCs w:val="28"/>
        </w:rPr>
        <w:t>、公园免费开放</w:t>
      </w:r>
      <w:r>
        <w:rPr>
          <w:rFonts w:ascii="Times New Roman" w:hAnsi="Times New Roman" w:eastAsia="仿宋_GB2312" w:cs="Times New Roman"/>
          <w:color w:val="000000"/>
          <w:sz w:val="28"/>
          <w:szCs w:val="28"/>
        </w:rPr>
        <w:t>、绿道网络、生态科普教育、古树名木</w:t>
      </w:r>
      <w:r>
        <w:rPr>
          <w:rFonts w:ascii="Times New Roman" w:hAnsi="Times New Roman" w:eastAsia="仿宋_GB2312" w:cs="Times New Roman"/>
          <w:sz w:val="28"/>
          <w:szCs w:val="28"/>
        </w:rPr>
        <w:t>；未达标4项，分别为：城区绿化覆盖率、城区人均公园绿地面积、乡镇绿化、城区公园绿地服务</w:t>
      </w:r>
      <w:r>
        <w:rPr>
          <w:rFonts w:ascii="Times New Roman" w:hAnsi="Times New Roman" w:eastAsia="仿宋_GB2312" w:cs="Times New Roman"/>
          <w:color w:val="000000"/>
          <w:sz w:val="28"/>
          <w:szCs w:val="28"/>
        </w:rPr>
        <w:t>；</w:t>
      </w:r>
      <w:r>
        <w:rPr>
          <w:rFonts w:ascii="Times New Roman" w:hAnsi="Times New Roman" w:eastAsia="仿宋_GB2312" w:cs="Times New Roman"/>
          <w:sz w:val="28"/>
          <w:szCs w:val="28"/>
        </w:rPr>
        <w:t>待建指标3项，分别为：森林质量提升、生态宣传活动、公众态度。</w:t>
      </w:r>
    </w:p>
    <w:p>
      <w:pPr>
        <w:spacing w:line="360" w:lineRule="auto"/>
        <w:ind w:firstLine="562" w:firstLineChars="200"/>
        <w:rPr>
          <w:rFonts w:ascii="Times New Roman" w:hAnsi="Times New Roman" w:eastAsia="仿宋_GB2312" w:cs="Times New Roman"/>
          <w:color w:val="000000"/>
          <w:sz w:val="28"/>
          <w:szCs w:val="28"/>
        </w:rPr>
      </w:pPr>
      <w:r>
        <w:rPr>
          <w:rFonts w:ascii="Times New Roman" w:hAnsi="Times New Roman" w:eastAsia="仿宋_GB2312" w:cs="Times New Roman"/>
          <w:b/>
          <w:sz w:val="28"/>
          <w:szCs w:val="28"/>
        </w:rPr>
        <w:t>定性指标：</w:t>
      </w:r>
      <w:r>
        <w:rPr>
          <w:rFonts w:ascii="Times New Roman" w:hAnsi="Times New Roman" w:eastAsia="仿宋_GB2312" w:cs="Times New Roman"/>
          <w:sz w:val="28"/>
          <w:szCs w:val="28"/>
        </w:rPr>
        <w:t>已达标或基本达标7项，分别为：农田林网、苗木使用、生态养护、动物生境营造、森林灾害防控、资源保护、生态产业；待建指标4项，分别为：建设备案、规划编制、示范活动、档案管理</w:t>
      </w:r>
      <w:r>
        <w:rPr>
          <w:rFonts w:ascii="Times New Roman" w:hAnsi="Times New Roman" w:eastAsia="仿宋_GB2312" w:cs="Times New Roman"/>
          <w:color w:val="000000"/>
          <w:sz w:val="28"/>
          <w:szCs w:val="28"/>
        </w:rPr>
        <w:t>。</w:t>
      </w:r>
    </w:p>
    <w:p>
      <w:pPr>
        <w:pStyle w:val="74"/>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创森”期间应加强城区绿化工作，增加城区绿量，满足市民日常游憩需求；实施森林抚育工程，提高区域森林质量；培养专业森林防火人员，保证森林生态安全，维护生态建设成果；增设科普教育基地，健全科普教育设施，增加生态文化认知度，提高市民文化素质。</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24" w:name="_Toc49241521"/>
      <w:r>
        <w:rPr>
          <w:rFonts w:ascii="Times New Roman" w:hAnsi="Times New Roman" w:eastAsia="黑体" w:cs="Times New Roman"/>
          <w:b/>
          <w:bCs/>
          <w:sz w:val="32"/>
          <w:szCs w:val="32"/>
        </w:rPr>
        <w:t>3.4 森林城市建设存在的问题</w:t>
      </w:r>
      <w:bookmarkEnd w:id="24"/>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3.4.1 林分结构不合理，森林管护压力重</w:t>
      </w:r>
    </w:p>
    <w:p>
      <w:pPr>
        <w:pStyle w:val="74"/>
        <w:spacing w:line="360" w:lineRule="auto"/>
        <w:ind w:firstLine="560"/>
        <w:rPr>
          <w:rFonts w:ascii="Times New Roman" w:hAnsi="Times New Roman" w:eastAsia="仿宋_GB2312" w:cs="Times New Roman"/>
          <w:sz w:val="28"/>
        </w:rPr>
      </w:pPr>
      <w:r>
        <w:rPr>
          <w:rFonts w:ascii="Times New Roman" w:hAnsi="Times New Roman" w:eastAsia="仿宋_GB2312" w:cs="Times New Roman"/>
          <w:sz w:val="28"/>
          <w:szCs w:val="28"/>
        </w:rPr>
        <w:t>乐昌市近年来充分利用当地良种基地，实施石漠化治理、生态景观林带建设、碳汇造林等工程，种植了大面积杉木、油茶纯林。目前，全市杉木林面积54494.78hm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，占比40.94%；中幼林面积113457.95hm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，占比85.29%；</w:t>
      </w:r>
      <w:r>
        <w:rPr>
          <w:rFonts w:ascii="Times New Roman" w:hAnsi="Times New Roman" w:eastAsia="仿宋_GB2312" w:cs="Times New Roman"/>
          <w:sz w:val="28"/>
        </w:rPr>
        <w:t>乔木林单位面积蓄积量</w:t>
      </w:r>
      <w:r>
        <w:rPr>
          <w:rFonts w:ascii="Times New Roman" w:hAnsi="Times New Roman" w:eastAsia="仿宋_GB2312" w:cs="Times New Roman"/>
          <w:sz w:val="28"/>
          <w:szCs w:val="28"/>
        </w:rPr>
        <w:t>73.20m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r>
        <w:rPr>
          <w:rFonts w:ascii="Times New Roman" w:hAnsi="Times New Roman" w:eastAsia="仿宋_GB2312" w:cs="Times New Roman"/>
          <w:sz w:val="28"/>
        </w:rPr>
        <w:t>低于全国平均水平（89.79</w:t>
      </w:r>
      <w:r>
        <w:rPr>
          <w:rFonts w:ascii="Times New Roman" w:hAnsi="Times New Roman" w:eastAsia="仿宋_GB2312" w:cs="Times New Roman"/>
          <w:sz w:val="28"/>
          <w:szCs w:val="28"/>
        </w:rPr>
        <w:t xml:space="preserve"> 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rPr>
        <w:t>），且过熟林单位面积蓄积量</w:t>
      </w:r>
      <w:r>
        <w:rPr>
          <w:rFonts w:ascii="Times New Roman" w:hAnsi="Times New Roman" w:eastAsia="仿宋_GB2312" w:cs="Times New Roman"/>
          <w:sz w:val="28"/>
          <w:szCs w:val="28"/>
        </w:rPr>
        <w:t>84.48m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rPr>
        <w:t>，质量不高；全市林木覆盖率达69.94%，森林资源管护压力重。</w:t>
      </w:r>
    </w:p>
    <w:p>
      <w:pPr>
        <w:pStyle w:val="74"/>
        <w:spacing w:line="360" w:lineRule="auto"/>
        <w:ind w:firstLine="560"/>
        <w:rPr>
          <w:rFonts w:ascii="Times New Roman" w:hAnsi="Times New Roman" w:eastAsia="仿宋_GB2312" w:cs="Times New Roman"/>
          <w:sz w:val="28"/>
        </w:rPr>
      </w:pPr>
      <w:r>
        <w:rPr>
          <w:rFonts w:ascii="Times New Roman" w:hAnsi="Times New Roman" w:eastAsia="仿宋_GB2312" w:cs="Times New Roman"/>
          <w:sz w:val="28"/>
        </w:rPr>
        <w:t>全市天然林较多，保存较好，“创森”期间，应重点</w:t>
      </w:r>
      <w:r>
        <w:rPr>
          <w:rFonts w:ascii="Times New Roman" w:hAnsi="Times New Roman" w:eastAsia="仿宋_GB2312" w:cs="Times New Roman"/>
          <w:color w:val="000000"/>
          <w:sz w:val="28"/>
          <w:szCs w:val="28"/>
        </w:rPr>
        <w:t>保护好天然林资源，同时采取近自然的森林抚育方式，加强中幼林抚育与管理，做好过熟林更新改造工作，促进林木健康生长，优化乔木林林龄结构；积极营造混交林，增加造林树种的多样性，</w:t>
      </w:r>
      <w:r>
        <w:rPr>
          <w:rFonts w:ascii="Times New Roman" w:hAnsi="Times New Roman" w:eastAsia="仿宋_GB2312" w:cs="Times New Roman"/>
          <w:sz w:val="28"/>
        </w:rPr>
        <w:t>着力提高森林质量，改善土壤理化性质，提高土壤养分含量，提高森林生态系统的稳定性；完善森林资源监督检查制度，提高森林资源保护能力，维护区域生态安全。</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3.4.2 城区公园分布不均，基础设施有待完善</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乐昌市建成区内公园集中于武江河以北，京广铁路以南的中心城区片，而城北片、河南片目前还未建成具备相当规模的城市公园，现有的城市公园</w:t>
      </w:r>
      <w:r>
        <w:rPr>
          <w:rFonts w:ascii="Times New Roman" w:hAnsi="Times New Roman" w:eastAsia="仿宋_GB2312" w:cs="Times New Roman"/>
          <w:sz w:val="28"/>
          <w:szCs w:val="28"/>
        </w:rPr>
        <w:t>500m服务半径对城区覆盖率为73.49%，</w:t>
      </w:r>
      <w:r>
        <w:rPr>
          <w:rFonts w:ascii="Times New Roman" w:hAnsi="Times New Roman" w:eastAsia="仿宋_GB2312" w:cs="Times New Roman"/>
          <w:sz w:val="28"/>
        </w:rPr>
        <w:t>不足以满足市民的绿色宜居需求和城市发展的生态需求；麒麟山公园等已具备良好的生态条件，但由</w:t>
      </w:r>
      <w:bookmarkStart w:id="25" w:name="baidusnap1"/>
      <w:bookmarkEnd w:id="25"/>
      <w:r>
        <w:rPr>
          <w:rFonts w:ascii="Times New Roman" w:hAnsi="Times New Roman" w:eastAsia="仿宋_GB2312" w:cs="Times New Roman"/>
          <w:sz w:val="28"/>
        </w:rPr>
        <w:t>于缺少完善的游览、休息、娱乐等公共基础配套设施，且距离中心城区路程较远，并未能真正发挥城市公园的功能和作用。</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“创森”期间，完成城市绿地系统规划，合理布局</w:t>
      </w:r>
      <w:r>
        <w:fldChar w:fldCharType="begin"/>
      </w:r>
      <w:r>
        <w:instrText xml:space="preserve"> HYPERLINK "https://baike.baidu.com/item/%E5%9F%8E%E5%B8%82%E7%BB%BF%E5%9C%B0" \t "https://baike.baidu.com/item/%E5%9F%8E%E5%B8%82%E7%BB%BF%E5%9C%B0%E7%B3%BB%E7%BB%9F%E8%A7%84%E5%88%92/_blank" </w:instrText>
      </w:r>
      <w:r>
        <w:fldChar w:fldCharType="separate"/>
      </w:r>
      <w:r>
        <w:rPr>
          <w:rFonts w:ascii="Times New Roman" w:hAnsi="Times New Roman" w:eastAsia="仿宋_GB2312" w:cs="Times New Roman"/>
          <w:sz w:val="28"/>
        </w:rPr>
        <w:t>城市公园绿地</w:t>
      </w:r>
      <w:r>
        <w:rPr>
          <w:rFonts w:ascii="Times New Roman" w:hAnsi="Times New Roman" w:eastAsia="仿宋_GB2312" w:cs="Times New Roman"/>
          <w:sz w:val="28"/>
        </w:rPr>
        <w:fldChar w:fldCharType="end"/>
      </w:r>
      <w:r>
        <w:rPr>
          <w:rFonts w:ascii="Times New Roman" w:hAnsi="Times New Roman" w:eastAsia="仿宋_GB2312" w:cs="Times New Roman"/>
          <w:sz w:val="28"/>
        </w:rPr>
        <w:t>，扩大公园绿地服务半径覆盖面积；推进城区公园优化提质工程，完善公园的基础设施，充分发挥公园休闲游憩、娱乐健身等功能；做好公园绿地持续性建设，补种花草树木等形成优美的自然景观，挖掘公园的人文景观。</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3.4.3 镇区绿地面积不足，绿化水平有待提高</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近年来，乐昌市积极推进乡镇绿化工作，编制乡镇总体规划和镇区控制性详细规划，乡镇绿化水平得到显著提升。但总体来看，全市乡镇城区绿化覆盖率为29.89%，廊田镇、长来镇、梅花镇、坪石镇、沙坪镇、庆云镇等6个镇的城区绿化覆盖率不足30%，乡镇之间绿化发展不均衡，乡镇绿化水平有待提高。</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“创森”期间，应完善乡镇总规与相关规划，结合镇街整治工作，逐步开展乡镇城区绿化美化，不断完善镇区基础设施，增加公共休闲绿地建设，逐步提高乡镇城区绿化覆盖面积，改善居民居住环境。</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3.4.4 全市石漠化面积大，治理任务较重</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乐昌市石漠化面积是广东省7个石灰岩县（市）中石漠化面积最大、石漠化程度最高的县级行政区之一。自2008年以来，累计完成投资6623.33万元，石漠化土地得到有效治理。目前，全市仍有石漠化土地约18030.36hm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，“创森”期间，应继续采取封山育林等措施，加大石漠化综合治理力度，有效遏制石漠化趁势，改善生态环境。</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3.4.5 产业特色有待挖掘，产业规模有待扩大</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是林业大县，森林资源丰富，近年来大力发展林业产业，初步形成了“公司+基地+农户”的产业化运行机制，但是“大资源、小产业”的状况仍然存在，林业品牌效应不明显，辐射带动效果不强，农民来自林业的收入比较低，林业在经济中的潜力尚未充分发挥，整体来看林业产业实力不强，林业对地方发展贡献率不高。</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“创森”期间，需大力发展木材深加工、林产化工、经济林种植、林木种苗等产业；依托林下经济发展企业，辐射带动周边大力发展具有地方特色的林业产业，提高林农收入；各方协力，协调</w:t>
      </w:r>
      <w:r>
        <w:rPr>
          <w:rFonts w:ascii="Times New Roman" w:hAnsi="Times New Roman" w:eastAsia="仿宋" w:cs="Times New Roman"/>
          <w:color w:val="000000"/>
          <w:sz w:val="32"/>
          <w:szCs w:val="32"/>
        </w:rPr>
        <w:t>林下经济产业规模扩大需要的基建与占用林地之间的关系。</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3.4.6 生态旅游亮点不足，旅游体系尚未形成</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是林业大县，森林资源丰富，近年来大力发展生态旅游，但全市旅游交通尚不完善，资源的有效关联程度不足；市内未形成高端精品的生态休闲度假产品，生态旅游辐射带动效果不强；旅游景点服务设施有待完善，旅游产品的娱乐元素不足。</w:t>
      </w:r>
    </w:p>
    <w:p>
      <w:pPr>
        <w:spacing w:line="360" w:lineRule="auto"/>
        <w:ind w:firstLine="560" w:firstLineChars="200"/>
        <w:rPr>
          <w:rFonts w:ascii="Times New Roman" w:hAnsi="Times New Roman" w:eastAsia="仿宋" w:cs="Times New Roman"/>
          <w:color w:val="000000"/>
          <w:sz w:val="32"/>
          <w:szCs w:val="32"/>
        </w:rPr>
      </w:pPr>
      <w:r>
        <w:rPr>
          <w:rFonts w:ascii="Times New Roman" w:hAnsi="Times New Roman" w:eastAsia="仿宋_GB2312" w:cs="Times New Roman"/>
          <w:sz w:val="28"/>
        </w:rPr>
        <w:t>“创森”期间，以生态景观为核心，整体包装，串联生态旅游景区景点，打造全域旅游形象；丰富旅游产品，增强区域影响力，传播乐昌旅游品牌，提高核心竞争力；推进旅游基础设施建设，提升旅游公共服务水平，构建以生态观光、休闲度假为重点的生态旅游产业体系。</w:t>
      </w:r>
    </w:p>
    <w:p>
      <w:pPr>
        <w:pStyle w:val="3"/>
        <w:autoSpaceDE w:val="0"/>
        <w:autoSpaceDN w:val="0"/>
        <w:spacing w:before="160" w:after="160" w:line="360" w:lineRule="auto"/>
        <w:jc w:val="left"/>
        <w:rPr>
          <w:rFonts w:ascii="Times New Roman" w:hAnsi="Times New Roman" w:eastAsia="黑体" w:cs="Times New Roman"/>
        </w:rPr>
      </w:pPr>
      <w:bookmarkStart w:id="26" w:name="_Toc49241522"/>
      <w:r>
        <w:rPr>
          <w:rFonts w:ascii="Times New Roman" w:hAnsi="Times New Roman" w:eastAsia="黑体" w:cs="Times New Roman"/>
        </w:rPr>
        <w:t>3.5 “创森”的优势与挑战</w:t>
      </w:r>
      <w:bookmarkEnd w:id="26"/>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3.5.1 优势</w:t>
      </w:r>
    </w:p>
    <w:p>
      <w:pPr>
        <w:pStyle w:val="74"/>
        <w:ind w:firstLine="0" w:firstLineChars="0"/>
        <w:outlineLvl w:val="3"/>
        <w:rPr>
          <w:rFonts w:ascii="Times New Roman" w:hAnsi="Times New Roman" w:eastAsia="仿宋_GB2312" w:cs="Times New Roman"/>
          <w:b/>
          <w:sz w:val="28"/>
          <w:szCs w:val="28"/>
        </w:rPr>
      </w:pPr>
      <w:r>
        <w:rPr>
          <w:rFonts w:ascii="Times New Roman" w:hAnsi="Times New Roman" w:eastAsia="仿宋_GB2312" w:cs="Times New Roman"/>
          <w:b/>
          <w:sz w:val="28"/>
          <w:szCs w:val="28"/>
        </w:rPr>
        <w:t>3.5.1.1区位优势显著，发展机遇独特</w:t>
      </w:r>
    </w:p>
    <w:p>
      <w:pPr>
        <w:pStyle w:val="74"/>
        <w:spacing w:line="360" w:lineRule="auto"/>
        <w:ind w:firstLine="560"/>
        <w:rPr>
          <w:rFonts w:ascii="Times New Roman" w:hAnsi="Times New Roman" w:eastAsia="仿宋_GB2312" w:cs="Times New Roman"/>
          <w:sz w:val="28"/>
        </w:rPr>
      </w:pPr>
      <w:r>
        <w:rPr>
          <w:rFonts w:ascii="Times New Roman" w:hAnsi="Times New Roman" w:eastAsia="仿宋_GB2312" w:cs="Times New Roman"/>
          <w:sz w:val="28"/>
          <w:szCs w:val="28"/>
        </w:rPr>
        <w:t>乐昌市是典型的“八山一水一分田”的林业大市，是国家重点生态功能区，是粤北绿色生态屏障，是广东省北部生态发展区</w:t>
      </w:r>
      <w:r>
        <w:rPr>
          <w:rFonts w:ascii="Times New Roman" w:hAnsi="Times New Roman" w:eastAsia="仿宋_GB2312" w:cs="Times New Roman"/>
          <w:sz w:val="28"/>
        </w:rPr>
        <w:t>。</w:t>
      </w:r>
      <w:r>
        <w:rPr>
          <w:rFonts w:ascii="Times New Roman" w:hAnsi="Times New Roman" w:eastAsia="仿宋_GB2312" w:cs="Times New Roman"/>
          <w:sz w:val="28"/>
          <w:szCs w:val="28"/>
        </w:rPr>
        <w:t>乐昌市要充分发挥珠三角地区连接内陆桥头堡作用，大力发展生态型经济，承接珠三角产业转移，建设粤北门户城市。独特的发展定位，要求乐昌市大力推进生态文明建设，协调经济社会发展与自然资源保护，健全生态安全体系，提高环境质量，改善人居环境，优化国土空间开发格局，为创建国家森林城市提供了战略机遇。</w:t>
      </w:r>
    </w:p>
    <w:p>
      <w:pPr>
        <w:pStyle w:val="74"/>
        <w:ind w:firstLine="0" w:firstLineChars="0"/>
        <w:outlineLvl w:val="3"/>
        <w:rPr>
          <w:rFonts w:ascii="Times New Roman" w:hAnsi="Times New Roman" w:eastAsia="仿宋_GB2312" w:cs="Times New Roman"/>
          <w:b/>
          <w:sz w:val="28"/>
          <w:szCs w:val="28"/>
        </w:rPr>
      </w:pPr>
      <w:r>
        <w:rPr>
          <w:rFonts w:ascii="Times New Roman" w:hAnsi="Times New Roman" w:eastAsia="仿宋_GB2312" w:cs="Times New Roman"/>
          <w:b/>
          <w:sz w:val="28"/>
          <w:szCs w:val="28"/>
        </w:rPr>
        <w:t>3.5.1.2自然资源</w:t>
      </w:r>
      <w:r>
        <w:rPr>
          <w:rFonts w:ascii="Times New Roman" w:hAnsi="Times New Roman" w:eastAsia="仿宋_GB2312" w:cs="Times New Roman"/>
          <w:b/>
          <w:sz w:val="30"/>
          <w:szCs w:val="30"/>
        </w:rPr>
        <w:t>丰富</w:t>
      </w:r>
      <w:r>
        <w:rPr>
          <w:rFonts w:ascii="Times New Roman" w:hAnsi="Times New Roman" w:eastAsia="仿宋_GB2312" w:cs="Times New Roman"/>
          <w:b/>
          <w:sz w:val="28"/>
          <w:szCs w:val="28"/>
        </w:rPr>
        <w:t>，“创森”基础稳固</w:t>
      </w:r>
    </w:p>
    <w:p>
      <w:pPr>
        <w:pStyle w:val="74"/>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近年来坚持依法治林、科教兴林、人才强林，着力实施天然林资源保护、自然保护区建设工程，建有各类自然保护地23处，自然景观优美，野生动植物资源丰富，林木覆盖率达69.94%，生态建设成就显著。通过各部门的努力，着力开展人工造林、乡村绿化美化、石漠化治理等方面工作，林木覆盖率、城区树冠覆盖率等多项指标均已达标，“创森”基础稳固。</w:t>
      </w:r>
    </w:p>
    <w:p>
      <w:pPr>
        <w:pStyle w:val="74"/>
        <w:ind w:firstLine="0" w:firstLineChars="0"/>
        <w:outlineLvl w:val="3"/>
        <w:rPr>
          <w:rFonts w:ascii="Times New Roman" w:hAnsi="Times New Roman" w:eastAsia="仿宋_GB2312" w:cs="Times New Roman"/>
          <w:b/>
          <w:sz w:val="28"/>
          <w:szCs w:val="28"/>
        </w:rPr>
      </w:pPr>
      <w:r>
        <w:rPr>
          <w:rFonts w:ascii="Times New Roman" w:hAnsi="Times New Roman" w:eastAsia="仿宋_GB2312" w:cs="Times New Roman"/>
          <w:b/>
          <w:sz w:val="28"/>
          <w:szCs w:val="28"/>
        </w:rPr>
        <w:t>3.5.1.3群众基础较好，生态建设氛围浓厚</w:t>
      </w:r>
    </w:p>
    <w:p>
      <w:pPr>
        <w:pStyle w:val="74"/>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乐昌市深入贯彻《广东省林业局办公室关于开展2019年森林城市建设主题宣传活动的通知》要求及《“森林城市 共建大湾区 森林惠民”——韶关市创建国家森林城市主题宣传活动方案》的统一部署，组织开展创建国家森林城市主题宣传活动，加强创建国家森林城市宣传工作。同时，积极响应韶关市“创森”工作，实施了多种形式的生态建设工程，完善了生态导向标识系统，促进林业产业发展，市民对城市生态建设较为满意，为乐昌市创建国家森林城市打下了良好的群众基础。</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3.5.2 挑战</w:t>
      </w:r>
    </w:p>
    <w:p>
      <w:pPr>
        <w:pStyle w:val="74"/>
        <w:ind w:firstLine="0" w:firstLineChars="0"/>
        <w:outlineLvl w:val="3"/>
        <w:rPr>
          <w:rFonts w:ascii="Times New Roman" w:hAnsi="Times New Roman" w:eastAsia="仿宋_GB2312" w:cs="Times New Roman"/>
          <w:b/>
          <w:sz w:val="28"/>
          <w:szCs w:val="28"/>
        </w:rPr>
      </w:pPr>
      <w:r>
        <w:rPr>
          <w:rFonts w:ascii="Times New Roman" w:hAnsi="Times New Roman" w:eastAsia="仿宋_GB2312" w:cs="Times New Roman"/>
          <w:b/>
          <w:sz w:val="28"/>
          <w:szCs w:val="28"/>
        </w:rPr>
        <w:t>3.5.2.1 石漠化地区自然生态系统十分脆弱</w:t>
      </w:r>
    </w:p>
    <w:p>
      <w:pPr>
        <w:pStyle w:val="74"/>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石漠化面积大、石漠化程度高。全市17个镇（街道）中，白石镇、庆云镇、梅花镇、沙坪镇、秀水镇、云岩镇、黄圃镇、坪石镇8个镇分布在石灰岩岩溶地区。近年来乐昌市通过林业工程、水利建设工程以及农业建设项目，在综合治理石漠化方面取得了一定成绩并积累了相关经验。但由于石漠化建设难度大，管护成本高，石漠化综合治理工作仍十分艰巨。</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3.5.2.2 生态建设成果巩固压力大</w:t>
      </w:r>
    </w:p>
    <w:p>
      <w:pPr>
        <w:pStyle w:val="74"/>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近年来，随着全球气候的变化，乐昌市旱涝无常，地质灾害频发，影响林业生态建设；大交通格局的形成，物流便畅，也为森林病虫的扩散传播提供便利条件，增大林业有害生物的治理难度；森林旅游深入开发，进入林区人流增多，野外火源控制难度加大，且森林植被进一步恢复，林下可燃物增多，这都加大了林区防火难度。如何在当前发展形势下，保护好如此大面积的生态建设成果，将是乐昌市未来面临的重大挑战之一。</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3.5.2.3 保护与发展之间矛盾突出</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森林资源丰富，是粤北绿色生态屏障，为了保护区域生态环境，促进区域林木健康生长，乐昌市在实施一系列生态保护工作的过程中，难免在一定程度上限制当地林农的发展。这需要乐昌市处理好生态保护与经济发展之间的关系，在保护生态的前提下，加快经济结构调整，提高当地居民收入，形成发展与保护并重的协调机制，推动经济社会可持续发展。</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27" w:name="_Toc49241523"/>
      <w:r>
        <w:rPr>
          <w:rFonts w:ascii="Times New Roman" w:hAnsi="Times New Roman" w:eastAsia="黑体" w:cs="Times New Roman"/>
          <w:b/>
          <w:bCs/>
          <w:sz w:val="32"/>
          <w:szCs w:val="32"/>
        </w:rPr>
        <w:t>3.6 潜力分析</w:t>
      </w:r>
      <w:bookmarkEnd w:id="27"/>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3.6.1 绿化潜力分析</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3.6.1.1林业用地潜力分析</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“创森”期间，乐昌市宜林地和无立木林地仍可用于造林绿化。据初步估算，林业用地造林绿化潜力约为17437.34hm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，占国土面积的7.21%。详见表3-25。</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表3-25 乐昌市林业用地潜力分析</w:t>
      </w:r>
    </w:p>
    <w:tbl>
      <w:tblPr>
        <w:tblStyle w:val="471"/>
        <w:tblW w:w="47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310"/>
        <w:gridCol w:w="1465"/>
        <w:gridCol w:w="1675"/>
        <w:gridCol w:w="1757"/>
        <w:gridCol w:w="11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1" w:type="pct"/>
            <w:vMerge w:val="restart"/>
            <w:shd w:val="clear" w:color="auto" w:fill="auto"/>
            <w:noWrap/>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803" w:type="pct"/>
            <w:vMerge w:val="restar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统计单位</w:t>
            </w:r>
          </w:p>
        </w:tc>
        <w:tc>
          <w:tcPr>
            <w:tcW w:w="898" w:type="pct"/>
            <w:vMerge w:val="restar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国土面积</w:t>
            </w:r>
          </w:p>
        </w:tc>
        <w:tc>
          <w:tcPr>
            <w:tcW w:w="2788" w:type="pct"/>
            <w:gridSpan w:val="3"/>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新造林潜力（hm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1" w:type="pct"/>
            <w:vMerge w:val="continue"/>
            <w:shd w:val="clear" w:color="auto" w:fill="auto"/>
            <w:vAlign w:val="center"/>
          </w:tcPr>
          <w:p>
            <w:pPr>
              <w:widowControl/>
              <w:jc w:val="center"/>
              <w:rPr>
                <w:rFonts w:ascii="Times New Roman" w:hAnsi="Times New Roman" w:eastAsia="仿宋_GB2312" w:cs="Times New Roman"/>
                <w:color w:val="000000"/>
                <w:kern w:val="0"/>
                <w:szCs w:val="21"/>
              </w:rPr>
            </w:pPr>
          </w:p>
        </w:tc>
        <w:tc>
          <w:tcPr>
            <w:tcW w:w="803" w:type="pct"/>
            <w:vMerge w:val="continue"/>
            <w:shd w:val="clear" w:color="auto" w:fill="auto"/>
            <w:vAlign w:val="center"/>
          </w:tcPr>
          <w:p>
            <w:pPr>
              <w:widowControl/>
              <w:jc w:val="center"/>
              <w:rPr>
                <w:rFonts w:ascii="Times New Roman" w:hAnsi="Times New Roman" w:eastAsia="仿宋_GB2312" w:cs="Times New Roman"/>
                <w:color w:val="000000"/>
                <w:kern w:val="0"/>
                <w:szCs w:val="21"/>
              </w:rPr>
            </w:pPr>
          </w:p>
        </w:tc>
        <w:tc>
          <w:tcPr>
            <w:tcW w:w="898" w:type="pct"/>
            <w:vMerge w:val="continue"/>
            <w:shd w:val="clear" w:color="auto" w:fill="auto"/>
            <w:vAlign w:val="center"/>
          </w:tcPr>
          <w:p>
            <w:pPr>
              <w:widowControl/>
              <w:jc w:val="center"/>
              <w:rPr>
                <w:rFonts w:ascii="Times New Roman" w:hAnsi="Times New Roman" w:eastAsia="仿宋_GB2312" w:cs="Times New Roman"/>
                <w:color w:val="000000"/>
                <w:kern w:val="0"/>
                <w:szCs w:val="21"/>
              </w:rPr>
            </w:pPr>
          </w:p>
        </w:tc>
        <w:tc>
          <w:tcPr>
            <w:tcW w:w="1027" w:type="pc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1077"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无立木林地</w:t>
            </w:r>
          </w:p>
        </w:tc>
        <w:tc>
          <w:tcPr>
            <w:tcW w:w="684"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宜林地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黄圃镇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7763.29</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1456.15</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1456.15</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白石镇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7924.91</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2368.82</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2368.82</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庆云镇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8853.69</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1653.22</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1653.22</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两江镇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13106.21</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88.43</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88.43</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19804.83</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21.93</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18.72</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三溪镇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7251.15</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720.12</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720.12</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坪石镇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27152.79</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877.14</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725.94</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34002.25</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633.59</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567.41</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9587.89</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171.19</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83.64</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五山镇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18389.86</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192.67</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126.62</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19683.45</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2541.48</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2541.48</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廊田镇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16420.63</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260.37</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141.57</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118.80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秀水镇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5581.19</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1044.62</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1021.93</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云岩镇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6647.17</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1849.34</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1849.34</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乐城街道</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18544.46</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455.49</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378.89</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76.60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长来镇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9414</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1092.19</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785.70</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306.49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沙坪镇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11843.71</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2010.59</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1970.62</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pct"/>
            <w:gridSpan w:val="2"/>
            <w:shd w:val="clear" w:color="auto" w:fill="auto"/>
            <w:noWrap/>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898" w:type="pct"/>
            <w:shd w:val="clear" w:color="auto" w:fill="auto"/>
            <w:noWrap/>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241971.48</w:t>
            </w:r>
          </w:p>
        </w:tc>
        <w:tc>
          <w:tcPr>
            <w:tcW w:w="1027" w:type="pct"/>
            <w:shd w:val="clear" w:color="auto" w:fill="auto"/>
            <w:noWrap/>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17437.34</w:t>
            </w:r>
          </w:p>
        </w:tc>
        <w:tc>
          <w:tcPr>
            <w:tcW w:w="1077" w:type="pct"/>
            <w:shd w:val="clear" w:color="auto" w:fill="auto"/>
            <w:noWrap/>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16498.60</w:t>
            </w:r>
          </w:p>
        </w:tc>
        <w:tc>
          <w:tcPr>
            <w:tcW w:w="684" w:type="pct"/>
            <w:shd w:val="clear" w:color="auto" w:fill="auto"/>
            <w:noWrap/>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938.74</w:t>
            </w:r>
          </w:p>
        </w:tc>
      </w:tr>
    </w:tbl>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3.6.1.2城区绿化潜力</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近年来，乐昌市</w:t>
      </w:r>
      <w:r>
        <w:rPr>
          <w:rFonts w:ascii="Times New Roman" w:hAnsi="Times New Roman" w:eastAsia="仿宋_GB2312" w:cs="Times New Roman"/>
          <w:sz w:val="28"/>
          <w:szCs w:val="28"/>
        </w:rPr>
        <w:t>加强园林绿化管护水平，</w:t>
      </w:r>
      <w:r>
        <w:rPr>
          <w:rFonts w:ascii="Times New Roman" w:hAnsi="Times New Roman" w:eastAsia="仿宋_GB2312" w:cs="Times New Roman"/>
          <w:sz w:val="28"/>
        </w:rPr>
        <w:t>城区绿化覆盖率达到39.36%。“创森”期间，城区绿化潜力主要来自街头绿地公园项目、拆违建绿、见缝插绿以及新增的城市建设用地中可用于绿化的土地等，以及对城区现有竹林公园、一江两岸景观带等公园绿地的绿化提升。据初步估算，城区绿化潜力约</w:t>
      </w:r>
      <w:r>
        <w:rPr>
          <w:rFonts w:ascii="Times New Roman" w:hAnsi="Times New Roman" w:eastAsia="仿宋_GB2312" w:cs="Times New Roman"/>
          <w:color w:val="000000" w:themeColor="text1"/>
          <w:sz w:val="28"/>
          <w14:textFill>
            <w14:solidFill>
              <w14:schemeClr w14:val="tx1"/>
            </w14:solidFill>
          </w14:textFill>
        </w:rPr>
        <w:t>为130</w:t>
      </w:r>
      <w:r>
        <w:rPr>
          <w:rFonts w:ascii="Times New Roman" w:hAnsi="Times New Roman" w:eastAsia="仿宋_GB2312" w:cs="Times New Roman"/>
          <w:color w:val="000000" w:themeColor="text1"/>
          <w:sz w:val="28"/>
          <w:szCs w:val="28"/>
          <w14:textFill>
            <w14:solidFill>
              <w14:schemeClr w14:val="tx1"/>
            </w14:solidFill>
          </w14:textFill>
        </w:rPr>
        <w:t>h</w:t>
      </w:r>
      <w:r>
        <w:rPr>
          <w:rFonts w:ascii="Times New Roman" w:hAnsi="Times New Roman" w:eastAsia="仿宋_GB2312" w:cs="Times New Roman"/>
          <w:sz w:val="28"/>
          <w:szCs w:val="28"/>
        </w:rPr>
        <w:t>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rPr>
        <w:t>。</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3.6.1.3村镇绿化潜力</w:t>
      </w:r>
    </w:p>
    <w:p>
      <w:pPr>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sz w:val="28"/>
        </w:rPr>
        <w:t>全市下辖16个镇、1个街道办，195个行政村，大部分乡镇、村庄及宅旁仍有一定的拆迁腾退地、边角地块、空隙地可用于绿化。根据乐昌市乡镇和村庄绿化情况，乡镇绿化潜力主要来自</w:t>
      </w:r>
      <w:r>
        <w:rPr>
          <w:rFonts w:ascii="Times New Roman" w:hAnsi="Times New Roman" w:eastAsia="仿宋_GB2312" w:cs="Times New Roman"/>
          <w:bCs/>
          <w:sz w:val="28"/>
          <w:szCs w:val="28"/>
        </w:rPr>
        <w:t>廊田镇、长来镇、梅花镇、坪石镇、沙坪镇、庆云镇等6个乡镇建成区绿化，绿化潜力约为30hm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sz w:val="28"/>
        </w:rPr>
        <w:t>；各村庄绿化情况较好</w:t>
      </w:r>
      <w:r>
        <w:rPr>
          <w:rFonts w:ascii="Times New Roman" w:hAnsi="Times New Roman" w:eastAsia="仿宋_GB2312" w:cs="Times New Roman"/>
          <w:color w:val="000000" w:themeColor="text1"/>
          <w:sz w:val="28"/>
          <w14:textFill>
            <w14:solidFill>
              <w14:schemeClr w14:val="tx1"/>
            </w14:solidFill>
          </w14:textFill>
        </w:rPr>
        <w:t>，绿化潜力不大，绿化潜力约60hm</w:t>
      </w:r>
      <w:r>
        <w:rPr>
          <w:rFonts w:ascii="Times New Roman" w:hAnsi="Times New Roman" w:eastAsia="仿宋_GB2312" w:cs="Times New Roman"/>
          <w:color w:val="000000" w:themeColor="text1"/>
          <w:sz w:val="28"/>
          <w:vertAlign w:val="superscript"/>
          <w14:textFill>
            <w14:solidFill>
              <w14:schemeClr w14:val="tx1"/>
            </w14:solidFill>
          </w14:textFill>
        </w:rPr>
        <w:t>2</w:t>
      </w:r>
      <w:r>
        <w:rPr>
          <w:rFonts w:ascii="Times New Roman" w:hAnsi="Times New Roman" w:eastAsia="仿宋_GB2312" w:cs="Times New Roman"/>
          <w:color w:val="000000" w:themeColor="text1"/>
          <w:sz w:val="28"/>
          <w14:textFill>
            <w14:solidFill>
              <w14:schemeClr w14:val="tx1"/>
            </w14:solidFill>
          </w14:textFill>
        </w:rPr>
        <w:t>。</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3.6.1.4水岸绿化潜力</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乐昌市水岸绿化率92.61%。全市水岸绿化主要潜力来自武江、廊田水、九峰河等河流的绿化美化，适宜绿化长度中还可绿化28.60km。经估算，全市水岸绿化潜力约为30hm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3.6.1.5道路绿化潜力</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乐昌市道路绿化率94.20%。全市铁路、高速公路、省道、县道已全部完成绿化，仅部分国道、乡道存在断档现象。“创森”期间，国道、乡道存在绿化潜力空间，可绿化长度25km。经估算，全市道路绿化潜力约为60hm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3.6.1.6绿化用地潜力汇总</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乐昌市可造林绿化潜力约为17747.34hm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，占土地面积的7.33%，详见表3-26。乐昌市未成林造林地面积8057.30hm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，全市可增加林木覆盖率的潜力包括未成林地造林地和造林绿化潜力，面积约为25804.64hm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，约占全市国土面积的10.65%。</w:t>
      </w:r>
    </w:p>
    <w:p>
      <w:pPr>
        <w:spacing w:line="360" w:lineRule="auto"/>
        <w:jc w:val="center"/>
        <w:rPr>
          <w:rFonts w:ascii="Times New Roman" w:hAnsi="Times New Roman" w:eastAsia="仿宋_GB2312" w:cs="Times New Roman"/>
          <w:b/>
          <w:sz w:val="24"/>
          <w:szCs w:val="24"/>
        </w:rPr>
      </w:pPr>
    </w:p>
    <w:p>
      <w:pPr>
        <w:spacing w:line="360" w:lineRule="auto"/>
        <w:jc w:val="center"/>
        <w:rPr>
          <w:rFonts w:ascii="Times New Roman" w:hAnsi="Times New Roman" w:eastAsia="仿宋_GB2312" w:cs="Times New Roman"/>
          <w:b/>
          <w:sz w:val="24"/>
          <w:szCs w:val="24"/>
        </w:rPr>
      </w:pPr>
    </w:p>
    <w:p>
      <w:pPr>
        <w:spacing w:line="360" w:lineRule="auto"/>
        <w:jc w:val="center"/>
        <w:rPr>
          <w:rFonts w:ascii="Times New Roman" w:hAnsi="Times New Roman" w:eastAsia="仿宋_GB2312" w:cs="Times New Roman"/>
          <w:b/>
          <w:sz w:val="24"/>
          <w:szCs w:val="24"/>
        </w:rPr>
      </w:pP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表3-26 乐昌市造林绿化潜力汇总表</w:t>
      </w:r>
    </w:p>
    <w:tbl>
      <w:tblPr>
        <w:tblStyle w:val="471"/>
        <w:tblW w:w="482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964"/>
        <w:gridCol w:w="28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tblHeader/>
          <w:jc w:val="center"/>
        </w:trPr>
        <w:tc>
          <w:tcPr>
            <w:tcW w:w="3248" w:type="pct"/>
            <w:gridSpan w:val="2"/>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地类</w:t>
            </w:r>
          </w:p>
        </w:tc>
        <w:tc>
          <w:tcPr>
            <w:tcW w:w="175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绿化潜力（hm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45"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林业用地</w:t>
            </w:r>
          </w:p>
        </w:tc>
        <w:tc>
          <w:tcPr>
            <w:tcW w:w="18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小计</w:t>
            </w:r>
          </w:p>
        </w:tc>
        <w:tc>
          <w:tcPr>
            <w:tcW w:w="17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17437.34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2" w:hRule="atLeast"/>
          <w:jc w:val="center"/>
        </w:trPr>
        <w:tc>
          <w:tcPr>
            <w:tcW w:w="14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8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无立木林地</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16498.6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2" w:hRule="atLeast"/>
          <w:jc w:val="center"/>
        </w:trPr>
        <w:tc>
          <w:tcPr>
            <w:tcW w:w="14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8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宜林地</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938.74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45"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非林业用地</w:t>
            </w:r>
          </w:p>
        </w:tc>
        <w:tc>
          <w:tcPr>
            <w:tcW w:w="18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小计</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8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城区绿化</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2" w:hRule="atLeast"/>
          <w:jc w:val="center"/>
        </w:trPr>
        <w:tc>
          <w:tcPr>
            <w:tcW w:w="14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8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村镇绿化</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2" w:hRule="atLeast"/>
          <w:jc w:val="center"/>
        </w:trPr>
        <w:tc>
          <w:tcPr>
            <w:tcW w:w="14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8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水岸绿化</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8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道路绿化</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3248" w:type="pct"/>
            <w:gridSpan w:val="2"/>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75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17747.34</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3.6.2 森林质量提升潜力分析</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根据乐昌市2018年森林资源调查数据，全市乔木林中，湿地松、桉树等中幼林需要抚育，面积约为50165hm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；部分阔叶混交过熟林需要开展更新改造，面积约为4492hm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。全市需开展森林质量提升总面积约为54657hm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3.6.3 林业产业潜力分析</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近年来坚持生态与产业相结合。把生态与产业统筹起来、协调推进、良性互动，切实促进生态建设产业化、产业发展生态化。推行集约经营、农林复合经营，合理安排各类生产经营活动，全市目前在生态产品、林产加工业、生态旅游等方面仍有较大发展潜力。</w:t>
      </w:r>
    </w:p>
    <w:p>
      <w:pPr>
        <w:ind w:firstLine="560" w:firstLineChars="200"/>
        <w:rPr>
          <w:rFonts w:ascii="Times New Roman" w:hAnsi="Times New Roman" w:eastAsia="仿宋_GB2312" w:cs="Times New Roman"/>
          <w:sz w:val="28"/>
        </w:rPr>
      </w:pPr>
    </w:p>
    <w:p>
      <w:pPr>
        <w:ind w:firstLine="560" w:firstLineChars="200"/>
        <w:rPr>
          <w:rFonts w:ascii="Times New Roman" w:hAnsi="Times New Roman" w:eastAsia="仿宋_GB2312" w:cs="Times New Roman"/>
          <w:sz w:val="28"/>
        </w:rPr>
        <w:sectPr>
          <w:headerReference r:id="rId11" w:type="default"/>
          <w:footerReference r:id="rId12" w:type="default"/>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28" w:name="_Toc24033765"/>
      <w:bookmarkStart w:id="29" w:name="_Toc49241524"/>
      <w:bookmarkStart w:id="30" w:name="_Toc14198071"/>
      <w:r>
        <w:rPr>
          <w:rFonts w:ascii="Times New Roman" w:hAnsi="Times New Roman" w:cs="Times New Roman"/>
        </w:rPr>
        <w:t>4 建设目标与布局</w:t>
      </w:r>
      <w:bookmarkEnd w:id="28"/>
      <w:bookmarkEnd w:id="29"/>
      <w:bookmarkEnd w:id="30"/>
    </w:p>
    <w:p>
      <w:pPr>
        <w:pStyle w:val="3"/>
        <w:autoSpaceDE w:val="0"/>
        <w:autoSpaceDN w:val="0"/>
        <w:spacing w:before="160" w:after="160" w:line="360" w:lineRule="auto"/>
        <w:jc w:val="left"/>
        <w:rPr>
          <w:rFonts w:ascii="Times New Roman" w:hAnsi="Times New Roman" w:eastAsia="黑体" w:cs="Times New Roman"/>
        </w:rPr>
      </w:pPr>
      <w:bookmarkStart w:id="31" w:name="_Toc518679326"/>
      <w:bookmarkStart w:id="32" w:name="_Toc14198072"/>
      <w:bookmarkStart w:id="33" w:name="_Toc528761188"/>
      <w:bookmarkStart w:id="34" w:name="_Toc532311795"/>
      <w:bookmarkStart w:id="35" w:name="_Toc457459559"/>
      <w:bookmarkStart w:id="36" w:name="_Toc436402784"/>
      <w:bookmarkStart w:id="37" w:name="_Toc49241525"/>
      <w:bookmarkStart w:id="38" w:name="_Toc24033766"/>
      <w:bookmarkStart w:id="39" w:name="_Toc451323814"/>
      <w:r>
        <w:rPr>
          <w:rFonts w:ascii="Times New Roman" w:hAnsi="Times New Roman" w:eastAsia="黑体" w:cs="Times New Roman"/>
        </w:rPr>
        <w:t>4.1 指导思想</w:t>
      </w:r>
      <w:bookmarkEnd w:id="31"/>
      <w:bookmarkEnd w:id="32"/>
      <w:bookmarkEnd w:id="33"/>
      <w:bookmarkEnd w:id="34"/>
      <w:bookmarkEnd w:id="35"/>
      <w:bookmarkEnd w:id="36"/>
      <w:bookmarkEnd w:id="37"/>
      <w:bookmarkEnd w:id="38"/>
      <w:bookmarkEnd w:id="39"/>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以习近平新时代中国特色社会主义思想为指导，全面贯彻落实党的十九大精神，牢固树立“绿水青山就是金山银山”的发展理念，秉承“让森林走进城市，让城市拥抱森林”的宗旨，以构建广东省“一核一带一区”的区域发展新格局为契机，充分发挥乐昌市的资源优势、生态优势，积极融入韶关城市经济圈，主动融入珠三角、粤港澳大湾区，构筑粤北生态发展区，通过建设森林生态体系、森林服务体系、森林产业体系、生态文化体系、生态安全保障体系，不断提升乐昌市生态承载力，提高生态服务水平，提供更多优质生态产品，满足人民群众日益增长的优美生态环境需要，实现人与自然和谐共生。</w:t>
      </w:r>
    </w:p>
    <w:p>
      <w:pPr>
        <w:pStyle w:val="3"/>
        <w:autoSpaceDE w:val="0"/>
        <w:autoSpaceDN w:val="0"/>
        <w:spacing w:before="160" w:after="160" w:line="360" w:lineRule="auto"/>
        <w:jc w:val="left"/>
        <w:rPr>
          <w:rFonts w:ascii="Times New Roman" w:hAnsi="Times New Roman" w:eastAsia="黑体" w:cs="Times New Roman"/>
        </w:rPr>
      </w:pPr>
      <w:bookmarkStart w:id="40" w:name="_Toc518679327"/>
      <w:bookmarkStart w:id="41" w:name="_Toc532311796"/>
      <w:bookmarkStart w:id="42" w:name="_Toc528761189"/>
      <w:bookmarkStart w:id="43" w:name="_Toc14198073"/>
      <w:bookmarkStart w:id="44" w:name="_Toc24033767"/>
      <w:bookmarkStart w:id="45" w:name="_Toc49241526"/>
      <w:r>
        <w:rPr>
          <w:rFonts w:ascii="Times New Roman" w:hAnsi="Times New Roman" w:eastAsia="黑体" w:cs="Times New Roman"/>
        </w:rPr>
        <w:t xml:space="preserve">4.2 </w:t>
      </w:r>
      <w:bookmarkEnd w:id="40"/>
      <w:r>
        <w:rPr>
          <w:rFonts w:ascii="Times New Roman" w:hAnsi="Times New Roman" w:eastAsia="黑体" w:cs="Times New Roman"/>
        </w:rPr>
        <w:t>规划原则</w:t>
      </w:r>
      <w:bookmarkEnd w:id="41"/>
      <w:bookmarkEnd w:id="42"/>
      <w:bookmarkEnd w:id="43"/>
      <w:bookmarkEnd w:id="44"/>
      <w:bookmarkEnd w:id="45"/>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46" w:name="_Toc14198074"/>
      <w:r>
        <w:rPr>
          <w:rFonts w:ascii="Times New Roman" w:hAnsi="Times New Roman" w:eastAsia="黑体" w:cs="Times New Roman"/>
          <w:b/>
          <w:bCs/>
          <w:kern w:val="28"/>
          <w:sz w:val="30"/>
          <w:szCs w:val="32"/>
        </w:rPr>
        <w:t xml:space="preserve">4.2.1 </w:t>
      </w:r>
      <w:bookmarkEnd w:id="46"/>
      <w:r>
        <w:rPr>
          <w:rFonts w:ascii="Times New Roman" w:hAnsi="Times New Roman" w:eastAsia="黑体" w:cs="Times New Roman"/>
          <w:b/>
          <w:bCs/>
          <w:kern w:val="28"/>
          <w:sz w:val="30"/>
          <w:szCs w:val="32"/>
        </w:rPr>
        <w:t>坚持以人为本</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森林城市建设是一项民生工程，项目规划时应坚持生态惠民、生态利民、生态为民、生态育民，充分发挥森林的功能和效益，不断满足人民日益增长的多种生态需求，最大限度地增强城乡居民的获得感和幸福感。</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4.2.2 坚持生态优先</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位于广东省“一核一带一区”新发展格局中的北部生态发展区，以保护和修复生态环境、提供生态产品为首要任务。在森林城市建设中，应以生态保护为核心，积极开展生态保护修复，全面提高乐昌市生态承载力，促进城市生态系统的健康稳定，为乐昌市实现高质量发展，提供生态支持。</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4.2.3 坚持城乡统筹</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创建国家森林城市以整个市域范围为规划区，郊区和乡村的森林城市建设是创森工作的重要组成部分，要切实破除造林绿化中重城轻乡的做法，综合调配可利用资源，坚持做到城乡统一谋划，统一推进，确保乡村和城区森林城市创建工作同步进行。</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4.2.4 坚持政府主导</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城市建设是改善民生、普惠百姓的公益事业，需要政府承担起组织领导、统筹协调、规划编制、资金投入、指导监督等责任，建立森林城市建设目标责任制和部门分工负责制，组织协调各部门共同开展工作，切实把森林城市建设办成民生工程、德政工程。</w:t>
      </w:r>
    </w:p>
    <w:p>
      <w:pPr>
        <w:pStyle w:val="3"/>
        <w:autoSpaceDE w:val="0"/>
        <w:autoSpaceDN w:val="0"/>
        <w:spacing w:before="160" w:after="160" w:line="360" w:lineRule="auto"/>
        <w:jc w:val="left"/>
        <w:rPr>
          <w:rFonts w:ascii="Times New Roman" w:hAnsi="Times New Roman" w:eastAsia="黑体" w:cs="Times New Roman"/>
        </w:rPr>
      </w:pPr>
      <w:bookmarkStart w:id="47" w:name="_Toc49241527"/>
      <w:r>
        <w:rPr>
          <w:rFonts w:ascii="Times New Roman" w:hAnsi="Times New Roman" w:eastAsia="黑体" w:cs="Times New Roman"/>
        </w:rPr>
        <w:t>4.3 相关规划衔接</w:t>
      </w:r>
      <w:bookmarkEnd w:id="47"/>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4.3.1 《广东省主体功能区规划》</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广东省主体功能区规划》，乐昌市属于南岭山地森林及生物多样性生态功能区粤北部分，有丰富的亚热带植被。《广东省主体功能区规划》要求乐昌市禁止非保护性采伐，保护和恢复植被，涵养水源，保护珍稀动物；推进天然林保护，治理水土流失，加强石漠化治理，维护或重建湿地、森林等生态系统；严格保护具有水源涵养功能的自然植被，禁止无序采矿、毁林开荒等行为；加强植树造林，减少面源污染。</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通过《广东省乐昌市国家森林城市建设总体规划》的实施，可以有效恢复生态环境，保护珍稀动物，维护生物多样性，保持生态系统的完整性，构建生态屏障；还可以巩固岩溶地区石漠化防治成果，加快水土流失地区植被恢复，维持区域生态环境稳定。</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4.3.2 《乐昌市城市总体规划（2016-2035年）》</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城市总体规划（2016-2035年）》明确了乐昌市城市定位：粤北门户城市，粤北重要物流枢纽城市，韶关副中心城市，现代产业强市，滨江生态山水城市。提出了融入珠三角、加强与韶关市区的对接互动，发挥珠三角地区链接内陆桥头堡作用，打造成粤湘开放合作先行区、粤北门户城市、韶关城市经济圈的重要板块的发展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城市总体规划明确了乐昌市生态建设的定位与目标，对乐昌市国家森林城市建设具有指导意义。国家森林城市建设将优化完善乐昌市空间功能布局，提升城乡生态环境质量，增进民生福祉，是实现城市发展目标，树立城市形象，维护区域生态安全的重要支撑与保障。</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4.3.3 《广东省韶关市国家森林城市建设总体规划（2018-2027年）》</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广东省韶关市国家森林城市建设总体规划（2018-2027年）》要求在继续推进粤北生态特别保护区规划建设，积极融入珠三角、服务大湾区和“一带一路”，筑牢广东南岭山地森林及生物多样性生态屏障。乐昌市作为韶关市创建国家森林城市中“一核七星、三屏六廊、多节点”中的“一星”、“一屏”，起到构建网络化、层次化的城区森林体系，建设南岭生态屏障的重要功能</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通过开展国家森林城市建设，大力提高绿化质量，拓展绿化空间，巩固南岭生态屏障，提升城市形象与综合竞争力，助力韶关市构建林水相依、林城相依、林路相依、林村相依、林居相依的森林城市空间格局，形成生态系统稳定、经济可持续发展、宜居宜业宜游、人与自然和谐共处的国家森林城市。</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4.3.4 《乐昌市全域旅游规划（2019-2035年）》</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《乐昌市全域旅游规划（2019-2035年）》提出乐昌市四大重点资源：九峰花海、国家地理标志农产品、金鸡岭、乐昌峡，和六大支撑资源：山林湖泊、美丽田园、花果农产品、乐昌传说、山乡古村、红色故事。</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通过开展国家森林城市建设，改善生态环境，提高市域景观特色，推进生态旅游发展，打造粤湘赣花果山乡旅游目的地，带动旅游主体功能区建设，塑造乐昌旅游整体形象与旅游品牌，推进旅游业供给侧结构性改革，更好完成乐昌市全域旅游发展建设任务，建设全国全域旅游示范新标杆。</w:t>
      </w:r>
    </w:p>
    <w:p>
      <w:pPr>
        <w:pStyle w:val="3"/>
        <w:autoSpaceDE w:val="0"/>
        <w:autoSpaceDN w:val="0"/>
        <w:spacing w:before="160" w:after="160" w:line="360" w:lineRule="auto"/>
        <w:jc w:val="left"/>
        <w:rPr>
          <w:rFonts w:ascii="Times New Roman" w:hAnsi="Times New Roman" w:eastAsia="黑体" w:cs="Times New Roman"/>
        </w:rPr>
      </w:pPr>
      <w:bookmarkStart w:id="48" w:name="_Toc528761163"/>
      <w:bookmarkStart w:id="49" w:name="_Toc24033748"/>
      <w:bookmarkStart w:id="50" w:name="_Toc14197995"/>
      <w:bookmarkStart w:id="51" w:name="_Toc532311770"/>
      <w:bookmarkStart w:id="52" w:name="_Toc518679329"/>
      <w:bookmarkStart w:id="53" w:name="_Toc49241528"/>
      <w:r>
        <w:rPr>
          <w:rFonts w:ascii="Times New Roman" w:hAnsi="Times New Roman" w:eastAsia="黑体" w:cs="Times New Roman"/>
        </w:rPr>
        <w:t>4.4 规划依据</w:t>
      </w:r>
      <w:bookmarkEnd w:id="48"/>
      <w:bookmarkEnd w:id="49"/>
      <w:bookmarkEnd w:id="50"/>
      <w:bookmarkEnd w:id="51"/>
      <w:bookmarkEnd w:id="52"/>
      <w:bookmarkEnd w:id="53"/>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54" w:name="_Toc14197996"/>
      <w:r>
        <w:rPr>
          <w:rFonts w:ascii="Times New Roman" w:hAnsi="Times New Roman" w:eastAsia="黑体" w:cs="Times New Roman"/>
          <w:b/>
          <w:bCs/>
          <w:kern w:val="28"/>
          <w:sz w:val="30"/>
          <w:szCs w:val="32"/>
        </w:rPr>
        <w:t>4.4.1 相关法律法规</w:t>
      </w:r>
      <w:bookmarkEnd w:id="54"/>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《中华人民共和国水土保持法》（2010年修订）；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《中华人民共和国环境保护法》（2014年修订）；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《中华人民共和国野生动物保护法》（2018年修正版）；</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《中华人民共和国森林法》（2019年修订）；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《中华人民共和国自然保护区条例》（2017年修订）；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《城市绿化条例》（2017年修订）；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《植物检疫条例》（2017年修订）；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《广东省森林公园管理条例》（2014年修正版）</w:t>
      </w:r>
      <w:r>
        <w:rPr>
          <w:rFonts w:ascii="Times New Roman" w:hAnsi="Times New Roman" w:eastAsia="仿宋_GB2312" w:cs="Times New Roman"/>
          <w:sz w:val="28"/>
          <w:szCs w:val="24"/>
        </w:rPr>
        <w:t>；</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《广东省城市绿化条例》（2014年修正版）；</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《广东省森林防火条例》（2017年修订）；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《韶关市野外用火管理条例》（2018年）；</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《湿地保护管理规定》（2017年修订）。</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4.4.2 标准规范</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kern w:val="0"/>
          <w:sz w:val="28"/>
        </w:rPr>
        <w:t>森林生态系统服务功能评估规范</w:t>
      </w:r>
      <w:r>
        <w:rPr>
          <w:rFonts w:ascii="Times New Roman" w:hAnsi="Times New Roman" w:eastAsia="仿宋_GB2312" w:cs="Times New Roman"/>
          <w:sz w:val="28"/>
          <w:szCs w:val="28"/>
        </w:rPr>
        <w:t>》（</w:t>
      </w:r>
      <w:r>
        <w:rPr>
          <w:rFonts w:ascii="Times New Roman" w:hAnsi="Times New Roman" w:eastAsia="仿宋_GB2312" w:cs="Times New Roman"/>
          <w:kern w:val="0"/>
          <w:sz w:val="28"/>
        </w:rPr>
        <w:t>LY/T 1721-2008</w:t>
      </w:r>
      <w:r>
        <w:rPr>
          <w:rFonts w:ascii="Times New Roman" w:hAnsi="Times New Roman" w:eastAsia="仿宋_GB2312" w:cs="Times New Roman"/>
          <w:sz w:val="28"/>
          <w:szCs w:val="28"/>
        </w:rPr>
        <w:t>）；</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kern w:val="0"/>
          <w:sz w:val="28"/>
        </w:rPr>
        <w:t>森林资源规划设计调查技术规程</w:t>
      </w:r>
      <w:r>
        <w:rPr>
          <w:rFonts w:ascii="Times New Roman" w:hAnsi="Times New Roman" w:eastAsia="仿宋_GB2312" w:cs="Times New Roman"/>
          <w:sz w:val="28"/>
          <w:szCs w:val="28"/>
        </w:rPr>
        <w:t>》</w:t>
      </w:r>
      <w:r>
        <w:rPr>
          <w:rFonts w:ascii="Times New Roman" w:hAnsi="Times New Roman" w:eastAsia="仿宋_GB2312" w:cs="Times New Roman"/>
          <w:kern w:val="0"/>
          <w:sz w:val="28"/>
        </w:rPr>
        <w:t>（GB/T 26424-2010）</w:t>
      </w:r>
      <w:r>
        <w:rPr>
          <w:rFonts w:ascii="Times New Roman" w:hAnsi="Times New Roman" w:eastAsia="仿宋_GB2312" w:cs="Times New Roman"/>
          <w:sz w:val="28"/>
          <w:szCs w:val="28"/>
        </w:rPr>
        <w:t>；</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《森林抚育规程》（GB/T 15781-2015）；</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《造林技术规程》（GB/T 15776-2016）；</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《公园设计规范》（GB 51192-2016）；</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《森林公园建设指引》（DB44/T 1812-2016）；</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《城市古树名木养护和复壮工程技术规范》（GBT 51168-2016）；</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《低效林改造技术规程》（LY/T 1690-2017）；</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《防护林体系规划技术规程》（LY/T 2827-2017）；</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《自然保护区管理评估规范》（HJ913-2017）；</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《城市绿地分类标准》（CJJ/T 85-2017）；</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《森林资源规划设计调查技术规程》（DB44/T 2149-2018）；</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《森林资源资产评估技术规范》（DB44/T 2150-2018）；</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《国家森林城市评价指标》（GB/T 37342-2019）。</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4.4.3 国家文件与规划</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kern w:val="0"/>
          <w:sz w:val="28"/>
        </w:rPr>
        <w:t>关于加快推进生态文明建设的意见</w:t>
      </w:r>
      <w:r>
        <w:rPr>
          <w:rFonts w:ascii="Times New Roman" w:hAnsi="Times New Roman" w:eastAsia="仿宋_GB2312" w:cs="Times New Roman"/>
          <w:sz w:val="28"/>
          <w:szCs w:val="28"/>
        </w:rPr>
        <w:t>》（2015年）；</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《国务院办公厅关于印发湿地保护修复制度方案的通知》（国办发〔2016〕89号）；</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《国家林业局关于大力推进森林体验和森林养生发展的通知》（林场发〔2016〕3号）；</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《国家林业局关于着力开展森林城市建设的指导意见》（林宣发〔2016〕126号）；</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《全国森林城市发展规划（2018-2025年）》（2018年）；</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《中共中央国务院关于实施乡村振兴战略的意见》（2018年）；</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《全国绿化委员会国家林业和草原局关于积极推进大规模国土绿化行动的意见》（全绿字〔2018〕5号）；</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《关于建立以国家公园为主体的自然保护地体系的指导意见》（中办发〔2019〕42号）。</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55" w:name="_Toc14197998"/>
      <w:r>
        <w:rPr>
          <w:rFonts w:ascii="Times New Roman" w:hAnsi="Times New Roman" w:eastAsia="黑体" w:cs="Times New Roman"/>
          <w:b/>
          <w:bCs/>
          <w:kern w:val="28"/>
          <w:sz w:val="30"/>
          <w:szCs w:val="32"/>
        </w:rPr>
        <w:t xml:space="preserve">4.4.4 </w:t>
      </w:r>
      <w:bookmarkEnd w:id="55"/>
      <w:r>
        <w:rPr>
          <w:rFonts w:ascii="Times New Roman" w:hAnsi="Times New Roman" w:eastAsia="黑体" w:cs="Times New Roman"/>
          <w:b/>
          <w:bCs/>
          <w:kern w:val="28"/>
          <w:sz w:val="30"/>
          <w:szCs w:val="32"/>
        </w:rPr>
        <w:t>相关规划和文件</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《广东省森林城市发展规划（2018-2025年）》；</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《广东省市、县和镇森林公园体系建设指引》（粤林函〔2014〕568号）；</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《广东省林业厅关于印发广东省湿地公园建设指引的通知》（粤林函〔2016〕450号）；</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《广东省森林经营规划（2016-2050年）》；</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《广东省森林防火规划（2017-2025年）》；</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《广东省林业厅关于大力推进森林小镇建设的意见》（粤林〔2017〕75号）；</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《广东省林业厅 广东省住房和城乡建设厅关于严禁移植天然大树进城的通知》（粤林〔2017〕135号）；</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《关于2277个省定贫困村绿化美化工作的指导意见》粤林〔2017〕143号；</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《绿美南粤三年行动计划（2018-2020年）》；</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《广东省“生态广东 美丽乡村”建设行动实施方案》；</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《广东粤北南岭山区山水林田湖草生态保护修复试点实施方案（2018-2021年）》；</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《广东省韶关市国家森林城市建设总体规划（2018-2027年）》；</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《乐昌市土地利用总体规划（2010-2020年）调整完善方案》；</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《乐昌市城市总体规划（2016-2035年）》；</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《乐昌市国民经济和社会发展</w:t>
      </w:r>
      <w:r>
        <w:rPr>
          <w:rFonts w:ascii="Times New Roman" w:hAnsi="Times New Roman" w:eastAsia="仿宋_GB2312" w:cs="Times New Roman"/>
          <w:sz w:val="28"/>
          <w:szCs w:val="28"/>
          <w:u w:val="wave"/>
        </w:rPr>
        <w:t>第十三五个五年</w:t>
      </w:r>
      <w:r>
        <w:rPr>
          <w:rFonts w:ascii="Times New Roman" w:hAnsi="Times New Roman" w:eastAsia="仿宋_GB2312" w:cs="Times New Roman"/>
          <w:sz w:val="28"/>
          <w:szCs w:val="28"/>
        </w:rPr>
        <w:t>规划纲要》；</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《乐昌市“十三五”林业发展规划》；</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《乐昌市全域旅游规划（2019-2035年）》。</w:t>
      </w:r>
    </w:p>
    <w:p>
      <w:pPr>
        <w:pStyle w:val="3"/>
        <w:autoSpaceDE w:val="0"/>
        <w:autoSpaceDN w:val="0"/>
        <w:spacing w:before="160" w:after="160" w:line="360" w:lineRule="auto"/>
        <w:jc w:val="left"/>
        <w:rPr>
          <w:rFonts w:ascii="Times New Roman" w:hAnsi="Times New Roman" w:eastAsia="黑体" w:cs="Times New Roman"/>
        </w:rPr>
      </w:pPr>
      <w:bookmarkStart w:id="56" w:name="_Toc49241529"/>
      <w:r>
        <w:rPr>
          <w:rFonts w:ascii="Times New Roman" w:hAnsi="Times New Roman" w:eastAsia="黑体" w:cs="Times New Roman"/>
        </w:rPr>
        <w:t>4.5 规划愿景</w:t>
      </w:r>
      <w:bookmarkEnd w:id="56"/>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结合乐昌市独特的生态区位、丰富的自然资源、深厚的文化底蕴及城市发展需求，规划提出“</w:t>
      </w:r>
      <w:r>
        <w:rPr>
          <w:rFonts w:ascii="Times New Roman" w:hAnsi="Times New Roman" w:eastAsia="仿宋_GB2312" w:cs="Times New Roman"/>
          <w:b/>
          <w:bCs/>
          <w:sz w:val="28"/>
          <w:szCs w:val="28"/>
        </w:rPr>
        <w:t>生态古城，清和乐昌</w:t>
      </w:r>
      <w:r>
        <w:rPr>
          <w:rFonts w:ascii="Times New Roman" w:hAnsi="Times New Roman" w:eastAsia="仿宋_GB2312" w:cs="Times New Roman"/>
          <w:sz w:val="28"/>
          <w:szCs w:val="28"/>
        </w:rPr>
        <w:t>”的森林城市建设愿景，打造人与自然和谐共处、绿色宜居的美丽乐昌。</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依托乐昌市丰富的山水资源和深厚的历史文化底蕴，通过创建国家森林城市，积极开展城乡一体化城市森林建设，在保护现有自然资源的基础上，逐步扩大城市森林面积，提升城市森林品质，优化森林结构，改善城市生态环境，不断提升生态产品质量，增加人民群众的生活幸福感，将乐昌市建设成景观优美、生态良好的国家森林城市。</w:t>
      </w:r>
    </w:p>
    <w:p>
      <w:pPr>
        <w:pStyle w:val="3"/>
        <w:autoSpaceDE w:val="0"/>
        <w:autoSpaceDN w:val="0"/>
        <w:spacing w:before="160" w:after="160" w:line="360" w:lineRule="auto"/>
        <w:jc w:val="left"/>
        <w:rPr>
          <w:rFonts w:ascii="Times New Roman" w:hAnsi="Times New Roman" w:eastAsia="黑体" w:cs="Times New Roman"/>
        </w:rPr>
      </w:pPr>
      <w:bookmarkStart w:id="57" w:name="_Toc49241530"/>
      <w:bookmarkStart w:id="58" w:name="_Toc513799415"/>
      <w:bookmarkStart w:id="59" w:name="_Toc528761191"/>
      <w:bookmarkStart w:id="60" w:name="_Toc24033768"/>
      <w:bookmarkStart w:id="61" w:name="_Toc14198078"/>
      <w:bookmarkStart w:id="62" w:name="_Toc518679332"/>
      <w:bookmarkStart w:id="63" w:name="_Toc532311798"/>
      <w:r>
        <w:rPr>
          <w:rFonts w:ascii="Times New Roman" w:hAnsi="Times New Roman" w:eastAsia="黑体" w:cs="Times New Roman"/>
        </w:rPr>
        <w:t>4.6 规划期限</w:t>
      </w:r>
      <w:bookmarkEnd w:id="57"/>
      <w:bookmarkEnd w:id="58"/>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规划建设期限为2019年-2028年，其中：近期为2019年-2022年，为创森达标期；中期为2023年-2025年，为创森巩固期；远期为2026年-2028年，为创森深化期。</w:t>
      </w:r>
    </w:p>
    <w:p>
      <w:pPr>
        <w:pStyle w:val="3"/>
        <w:autoSpaceDE w:val="0"/>
        <w:autoSpaceDN w:val="0"/>
        <w:spacing w:before="160" w:after="160" w:line="360" w:lineRule="auto"/>
        <w:jc w:val="left"/>
        <w:rPr>
          <w:rFonts w:ascii="Times New Roman" w:hAnsi="Times New Roman" w:eastAsia="黑体" w:cs="Times New Roman"/>
        </w:rPr>
      </w:pPr>
      <w:bookmarkStart w:id="64" w:name="_Toc49241531"/>
      <w:r>
        <w:rPr>
          <w:rFonts w:ascii="Times New Roman" w:hAnsi="Times New Roman" w:eastAsia="黑体" w:cs="Times New Roman"/>
        </w:rPr>
        <w:t>4.7 规划目标</w:t>
      </w:r>
      <w:bookmarkEnd w:id="59"/>
      <w:bookmarkEnd w:id="60"/>
      <w:bookmarkEnd w:id="61"/>
      <w:bookmarkEnd w:id="62"/>
      <w:bookmarkEnd w:id="63"/>
      <w:bookmarkEnd w:id="64"/>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65" w:name="_Toc14198079"/>
      <w:r>
        <w:rPr>
          <w:rFonts w:ascii="Times New Roman" w:hAnsi="Times New Roman" w:eastAsia="黑体" w:cs="Times New Roman"/>
          <w:b/>
          <w:bCs/>
          <w:kern w:val="28"/>
          <w:sz w:val="30"/>
          <w:szCs w:val="32"/>
        </w:rPr>
        <w:t>4.7.1 总体目标</w:t>
      </w:r>
      <w:bookmarkEnd w:id="65"/>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依托乐昌市丰富的自然资源、深厚的人文历史底蕴，按照“生态古城，</w:t>
      </w:r>
      <w:r>
        <w:rPr>
          <w:rFonts w:hint="eastAsia" w:ascii="Times New Roman" w:hAnsi="Times New Roman" w:eastAsia="仿宋_GB2312" w:cs="Times New Roman"/>
          <w:sz w:val="28"/>
          <w:szCs w:val="28"/>
        </w:rPr>
        <w:t>清和</w:t>
      </w:r>
      <w:r>
        <w:rPr>
          <w:rFonts w:ascii="Times New Roman" w:hAnsi="Times New Roman" w:eastAsia="仿宋_GB2312" w:cs="Times New Roman"/>
          <w:sz w:val="28"/>
          <w:szCs w:val="28"/>
        </w:rPr>
        <w:t>乐昌”的森林城市规划愿景，全面启动森林城市建设。通过建设城区增绿提质建设工程、绿美乡村建设工程、绿色廊道、人工造林扩大森林面积，开展森林抚育，优化森林结构，提高森林质量，改善人居环境，为市民提供更多优质生态产品。至规划期末，全市林木覆盖率提高到70.28%以上，建成区绿化覆盖率达到42.42%以上，人均公园绿地面积达到14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以上，逐步优化森林资源结构，提高森林资源质量，改善城乡生态环境。努力在乐昌</w:t>
      </w:r>
      <w:r>
        <w:rPr>
          <w:rFonts w:ascii="Times New Roman" w:hAnsi="Times New Roman" w:eastAsia="仿宋_GB2312" w:cs="Times New Roman"/>
          <w:sz w:val="28"/>
        </w:rPr>
        <w:t>市域范围内构建起结构完善的森林生态体系、鲜明的森林服务体系、发达的森林产业体系、繁荣的森林生态文化体系和健全的森林支撑体系，形成景观优美、城乡一体的森林景观格局，不断为市民提供宜居的生存环境和良好的生态产品。</w:t>
      </w:r>
      <w:bookmarkStart w:id="66" w:name="_Toc1419808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4.7.2 阶段目标</w:t>
      </w:r>
      <w:bookmarkEnd w:id="66"/>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（1）近期目标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近期为 “创森”的达标期。2022年底，乐昌市各项指标全部达到国家森林城市的建设标准，林木覆盖率稳定维持在70.05%，中心城区建成区绿化覆盖率稳定维持在41.06%以上，人均公园绿地面积达到12.06m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以上，经国家林业和草原局验收，获得“国家森林城市”的称号。</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（2）中期目标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中期为 “创森”的提升期。以提升森林质量、完善生态建设成果、丰富生态文化内涵为主要目标，提升城区绿化水平，加强森林村镇建设，提高道路绿化、水系绿化及乡村绿化等建设力度，优化林分结构，推动城乡环境升级，实现城乡一体化发展。至2025年底，林木覆盖率达70.18%以上，建成区绿化覆盖率达41.99%以上，人均公园绿地面积达到13.60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以上。通过国家林业和草原局的复检。</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（3）远期目标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远期为 “创森”的巩固期。全面深化森林城市建设，巩固生态建设成果，营造良好的生态建设氛围，持续推进生态建设，促进林业经济发展，体现生态惠民价值，在全市建成稳定的森林生态系统。至2028年底，林木覆盖率稳定维持在70.28%以上，建成区绿化覆盖率达42.42%以上，人均公园绿地面积达14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以上，建成完备的森林生态网络、实现森林稳定健康、充分发挥森林生态福利、弘扬森林生态文化。</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67" w:name="_Toc14198081"/>
      <w:r>
        <w:rPr>
          <w:rFonts w:ascii="Times New Roman" w:hAnsi="Times New Roman" w:eastAsia="黑体" w:cs="Times New Roman"/>
          <w:b/>
          <w:bCs/>
          <w:kern w:val="28"/>
          <w:sz w:val="30"/>
          <w:szCs w:val="32"/>
        </w:rPr>
        <w:t xml:space="preserve">4.7.3 </w:t>
      </w:r>
      <w:bookmarkEnd w:id="67"/>
      <w:r>
        <w:rPr>
          <w:rFonts w:ascii="Times New Roman" w:hAnsi="Times New Roman" w:eastAsia="黑体" w:cs="Times New Roman"/>
          <w:b/>
          <w:bCs/>
          <w:kern w:val="28"/>
          <w:sz w:val="30"/>
          <w:szCs w:val="32"/>
        </w:rPr>
        <w:t>指标目标</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szCs w:val="28"/>
        </w:rPr>
        <w:t>在分析乐昌市森林城市建设现状、城市特色、建设布局、建设目标等基础上，对比国家森林城市评价指标，形成“创森”发展指标目标表。如表4-1所示。</w:t>
      </w:r>
    </w:p>
    <w:p>
      <w:pPr>
        <w:spacing w:line="360" w:lineRule="auto"/>
        <w:ind w:firstLine="560" w:firstLineChars="200"/>
        <w:rPr>
          <w:rFonts w:ascii="Times New Roman" w:hAnsi="Times New Roman" w:eastAsia="仿宋_GB2312" w:cs="Times New Roman"/>
          <w:sz w:val="28"/>
          <w:szCs w:val="28"/>
        </w:rPr>
        <w:sectPr>
          <w:headerReference r:id="rId13"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eastAsia="仿宋_GB2312" w:cs="Times New Roman"/>
          <w:b/>
          <w:sz w:val="24"/>
          <w:szCs w:val="20"/>
        </w:rPr>
      </w:pPr>
      <w:bookmarkStart w:id="68" w:name="_Hlk528748503"/>
      <w:r>
        <w:rPr>
          <w:rFonts w:ascii="Times New Roman" w:hAnsi="Times New Roman" w:eastAsia="仿宋_GB2312" w:cs="Times New Roman"/>
          <w:b/>
          <w:sz w:val="24"/>
          <w:szCs w:val="20"/>
        </w:rPr>
        <w:t>表4-1 乐昌市国家森林城市建设指标体系目标表</w:t>
      </w:r>
    </w:p>
    <w:tbl>
      <w:tblPr>
        <w:tblStyle w:val="471"/>
        <w:tblW w:w="143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371"/>
        <w:gridCol w:w="6521"/>
        <w:gridCol w:w="708"/>
        <w:gridCol w:w="1418"/>
        <w:gridCol w:w="992"/>
        <w:gridCol w:w="992"/>
        <w:gridCol w:w="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 w:hRule="atLeast"/>
          <w:tblHeader/>
          <w:jc w:val="center"/>
        </w:trPr>
        <w:tc>
          <w:tcPr>
            <w:tcW w:w="2797" w:type="dxa"/>
            <w:gridSpan w:val="2"/>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指标内容</w:t>
            </w:r>
          </w:p>
        </w:tc>
        <w:tc>
          <w:tcPr>
            <w:tcW w:w="6521" w:type="dxa"/>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国家森林城市标准</w:t>
            </w:r>
          </w:p>
        </w:tc>
        <w:tc>
          <w:tcPr>
            <w:tcW w:w="708" w:type="dxa"/>
            <w:shd w:val="clear" w:color="auto" w:fill="auto"/>
            <w:vAlign w:val="center"/>
          </w:tcPr>
          <w:p>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单位</w:t>
            </w:r>
          </w:p>
        </w:tc>
        <w:tc>
          <w:tcPr>
            <w:tcW w:w="1418" w:type="dxa"/>
            <w:shd w:val="clear" w:color="auto" w:fill="auto"/>
            <w:vAlign w:val="center"/>
          </w:tcPr>
          <w:p>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2018年现状</w:t>
            </w:r>
          </w:p>
        </w:tc>
        <w:tc>
          <w:tcPr>
            <w:tcW w:w="992" w:type="dxa"/>
            <w:shd w:val="clear" w:color="auto" w:fill="auto"/>
            <w:vAlign w:val="center"/>
          </w:tcPr>
          <w:p>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2022年</w:t>
            </w:r>
          </w:p>
        </w:tc>
        <w:tc>
          <w:tcPr>
            <w:tcW w:w="992" w:type="dxa"/>
            <w:shd w:val="clear" w:color="auto" w:fill="auto"/>
            <w:vAlign w:val="center"/>
          </w:tcPr>
          <w:p>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2025年</w:t>
            </w:r>
          </w:p>
        </w:tc>
        <w:tc>
          <w:tcPr>
            <w:tcW w:w="908" w:type="dxa"/>
            <w:shd w:val="clear" w:color="auto" w:fill="auto"/>
            <w:vAlign w:val="center"/>
          </w:tcPr>
          <w:p>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2028年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426" w:type="dxa"/>
            <w:vMerge w:val="restart"/>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森林网络</w:t>
            </w: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林木覆盖率</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年降水量800mm以上的县（市），林木覆盖率达到35%以上。湿地及水域面积占国土总面积10%以上的县（市），林木覆盖率达25%以上。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69.94</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70.05</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70.18</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70.28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城区绿化覆盖率</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城区绿化覆盖率达40%以上。</w:t>
            </w:r>
          </w:p>
        </w:tc>
        <w:tc>
          <w:tcPr>
            <w:tcW w:w="708"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39.36</w:t>
            </w:r>
          </w:p>
        </w:tc>
        <w:tc>
          <w:tcPr>
            <w:tcW w:w="992" w:type="dxa"/>
            <w:shd w:val="clear" w:color="auto" w:fill="auto"/>
            <w:vAlign w:val="center"/>
          </w:tcPr>
          <w:p>
            <w:pPr>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41.06</w:t>
            </w:r>
          </w:p>
        </w:tc>
        <w:tc>
          <w:tcPr>
            <w:tcW w:w="992" w:type="dxa"/>
            <w:shd w:val="clear" w:color="auto" w:fill="auto"/>
            <w:vAlign w:val="center"/>
          </w:tcPr>
          <w:p>
            <w:pPr>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41.99</w:t>
            </w:r>
          </w:p>
        </w:tc>
        <w:tc>
          <w:tcPr>
            <w:tcW w:w="908" w:type="dxa"/>
            <w:shd w:val="clear" w:color="auto" w:fill="auto"/>
            <w:vAlign w:val="center"/>
          </w:tcPr>
          <w:p>
            <w:pPr>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城区树冠覆盖率</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城区树冠覆盖率达25%以上。</w:t>
            </w:r>
          </w:p>
        </w:tc>
        <w:tc>
          <w:tcPr>
            <w:tcW w:w="708"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27</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27</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27.5</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城区人均公园绿地面积</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城区人均公园绿地面积达12m</w:t>
            </w:r>
            <w:r>
              <w:rPr>
                <w:rFonts w:ascii="Times New Roman" w:hAnsi="Times New Roman" w:eastAsia="仿宋_GB2312" w:cs="Times New Roman"/>
                <w:color w:val="000000"/>
                <w:szCs w:val="21"/>
                <w:vertAlign w:val="superscript"/>
              </w:rPr>
              <w:t>2</w:t>
            </w:r>
            <w:r>
              <w:rPr>
                <w:rFonts w:ascii="Times New Roman" w:hAnsi="Times New Roman" w:eastAsia="仿宋_GB2312" w:cs="Times New Roman"/>
                <w:color w:val="000000"/>
                <w:szCs w:val="21"/>
              </w:rPr>
              <w:t>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m</w:t>
            </w:r>
            <w:r>
              <w:rPr>
                <w:rFonts w:ascii="Times New Roman" w:hAnsi="Times New Roman" w:eastAsia="仿宋_GB2312" w:cs="Times New Roman"/>
                <w:kern w:val="0"/>
                <w:sz w:val="18"/>
                <w:szCs w:val="18"/>
                <w:vertAlign w:val="superscript"/>
              </w:rPr>
              <w:t>2</w:t>
            </w:r>
            <w:r>
              <w:rPr>
                <w:rFonts w:ascii="Times New Roman" w:hAnsi="Times New Roman" w:eastAsia="仿宋_GB2312" w:cs="Times New Roman"/>
                <w:kern w:val="0"/>
                <w:sz w:val="18"/>
                <w:szCs w:val="18"/>
              </w:rPr>
              <w:t>/人</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11.72</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12.06</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13.60</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城区林荫道路率</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城区主干路、次干路林荫道路率达60%以上。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76.45</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77.82</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80.11</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83.92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城郊成片森林、湿地</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建设20公顷以上的成片森林或湿地2处以上。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处</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3</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3</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4</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乡镇绿化</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乡镇建成区绿化覆盖率达30%以上，建有2000平方米以上公园绿地1处以上。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29.89</w:t>
            </w:r>
          </w:p>
        </w:tc>
        <w:tc>
          <w:tcPr>
            <w:tcW w:w="992" w:type="dxa"/>
            <w:shd w:val="clear" w:color="auto" w:fill="auto"/>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30.29</w:t>
            </w:r>
          </w:p>
        </w:tc>
        <w:tc>
          <w:tcPr>
            <w:tcW w:w="992" w:type="dxa"/>
            <w:shd w:val="clear" w:color="auto" w:fill="auto"/>
            <w:vAlign w:val="center"/>
          </w:tcPr>
          <w:p>
            <w:pPr>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31.09</w:t>
            </w:r>
          </w:p>
        </w:tc>
        <w:tc>
          <w:tcPr>
            <w:tcW w:w="908" w:type="dxa"/>
            <w:shd w:val="clear" w:color="auto" w:fill="auto"/>
            <w:vAlign w:val="center"/>
          </w:tcPr>
          <w:p>
            <w:pPr>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村庄绿化</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林木绿化率达30%以上，村旁、路旁、水旁、宅旁全部绿化美化，建设1处以上公共休闲绿地</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39.55</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39.74</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40</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40.18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道路绿化</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铁路、乡级以上道路绿化注重与周边自然、人文景观相协调，适宜绿化的道路绿化率达85％以上。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94.20</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95.17</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95.62</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96.01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水岸绿化</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注重江、河、湖、库等水体沿岸生态保护和修复，水体岸线自然化率达85%以上，适宜绿化的水岸绿化率达85%以上。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92.61</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93.16</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93.52</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93.72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农田林网</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按照GB/T 18337.3 要求建设农田林网。</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992"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992"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908"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受损弃置地生态修复</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受损弃置地生态修复率达80%以上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83.63</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26" w:type="dxa"/>
            <w:vMerge w:val="restart"/>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森林健康</w:t>
            </w: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树种多样性</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城市森林树种丰富多样，形成多树种、多层次、多色彩的森林景观，城区某一个树种的栽植数量不超过树木总数量的20%。</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17.83</w:t>
            </w:r>
          </w:p>
        </w:tc>
        <w:tc>
          <w:tcPr>
            <w:tcW w:w="2892" w:type="dxa"/>
            <w:gridSpan w:val="3"/>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sz w:val="18"/>
                <w:szCs w:val="18"/>
              </w:rPr>
              <w:t>单一树种栽植数量不超过20%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乡土树种使用率</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城区、乡镇建成区、农村居民点乡土树种使用率达80%以上。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81.01</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81.50</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82</w:t>
            </w:r>
          </w:p>
        </w:tc>
        <w:tc>
          <w:tcPr>
            <w:tcW w:w="90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苗木使用</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注重乡土树种苗木培育，使用良种壮苗，提倡实生苗、容器苗、全冠苗造林，严禁移植天然大树。</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在城乡绿化建设中坚持培育乡土树种优良苗木，严禁移植天然大树。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生态养护</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避免过度的人工干预，增加绿地有机覆盖，实现森林、绿地的近自然管护。</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实现森林、绿地的近自然管护，进一步增加绿地有机覆盖。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森林质量提升</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注重森林质量精准提升，每年完成需提升面积的10%以上，培育优质高效城市森林。</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待建指标</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11.34</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11.34</w:t>
            </w:r>
          </w:p>
        </w:tc>
        <w:tc>
          <w:tcPr>
            <w:tcW w:w="90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11.34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动物生境营造</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保护和选用留鸟引鸟、食源蜜源植物，大型森林、湿地等生态斑块通过生态廊道实现有效连接。</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实现大型森林、湿地等生态斑块通过生态廊道有效连接。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森林灾害防控</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建立完善的有害生物和森林火灾防控体系。</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2892" w:type="dxa"/>
            <w:gridSpan w:val="3"/>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进一步完善有害生物和森林火灾防控体系。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资源保护</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有效保护乡村风水林和风景林，未发生重大涉林犯罪案件和公共事件。</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有效保护乡村风水林和风景林，确保不发生重大涉林犯罪案件。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26" w:type="dxa"/>
            <w:vMerge w:val="restart"/>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生态福利</w:t>
            </w: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城区公园绿地服务</w:t>
            </w:r>
          </w:p>
        </w:tc>
        <w:tc>
          <w:tcPr>
            <w:tcW w:w="6521" w:type="dxa"/>
            <w:shd w:val="clear" w:color="auto" w:fill="auto"/>
            <w:vAlign w:val="center"/>
          </w:tcPr>
          <w:p>
            <w:pPr>
              <w:spacing w:line="276"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公园绿地500米服务半径对城区覆盖达80%以上。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73.49</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82</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83</w:t>
            </w:r>
          </w:p>
        </w:tc>
        <w:tc>
          <w:tcPr>
            <w:tcW w:w="90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生态休闲场所服务</w:t>
            </w:r>
          </w:p>
        </w:tc>
        <w:tc>
          <w:tcPr>
            <w:tcW w:w="6521" w:type="dxa"/>
            <w:shd w:val="clear" w:color="auto" w:fill="auto"/>
            <w:vAlign w:val="center"/>
          </w:tcPr>
          <w:p>
            <w:pPr>
              <w:spacing w:line="276"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建有森林公园、湿地公园等大型生态休闲场所，10公里服务半径对县域覆盖达70%以上。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89.55</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90</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90</w:t>
            </w:r>
          </w:p>
        </w:tc>
        <w:tc>
          <w:tcPr>
            <w:tcW w:w="90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公园免费开放</w:t>
            </w:r>
          </w:p>
        </w:tc>
        <w:tc>
          <w:tcPr>
            <w:tcW w:w="6521" w:type="dxa"/>
            <w:shd w:val="clear" w:color="auto" w:fill="auto"/>
            <w:vAlign w:val="center"/>
          </w:tcPr>
          <w:p>
            <w:pPr>
              <w:spacing w:line="276"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财政投资建设的公园向公众免费开放。</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坚持财政投资建设的公园免费开放。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绿地网络</w:t>
            </w:r>
          </w:p>
        </w:tc>
        <w:tc>
          <w:tcPr>
            <w:tcW w:w="6521" w:type="dxa"/>
            <w:shd w:val="clear" w:color="auto" w:fill="auto"/>
            <w:vAlign w:val="center"/>
          </w:tcPr>
          <w:p>
            <w:pPr>
              <w:spacing w:line="276"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城镇建有绿道网络，居民每万人拥有的绿道长度达0.5公里以上。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Km/万人</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0.67</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1.41</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1.64</w:t>
            </w:r>
          </w:p>
        </w:tc>
        <w:tc>
          <w:tcPr>
            <w:tcW w:w="90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生态产业</w:t>
            </w:r>
          </w:p>
        </w:tc>
        <w:tc>
          <w:tcPr>
            <w:tcW w:w="6521" w:type="dxa"/>
            <w:shd w:val="clear" w:color="auto" w:fill="auto"/>
            <w:vAlign w:val="center"/>
          </w:tcPr>
          <w:p>
            <w:pPr>
              <w:spacing w:line="276"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发展森林旅游、休闲、康养、食品等绿色生态产业，促进农民增收致富。</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992"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992"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9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6" w:type="dxa"/>
            <w:vMerge w:val="restart"/>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生态文化</w:t>
            </w: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生态科普教育</w:t>
            </w:r>
          </w:p>
        </w:tc>
        <w:tc>
          <w:tcPr>
            <w:tcW w:w="6521" w:type="dxa"/>
            <w:shd w:val="clear" w:color="auto" w:fill="auto"/>
            <w:vAlign w:val="center"/>
          </w:tcPr>
          <w:p>
            <w:pPr>
              <w:spacing w:line="276"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建有参与式、体验式的生态课堂、生态场馆等生态科普教育场所5处以上。在城镇居民集中活动的场所，建有森林、湿地等生态标识系统</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处</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c>
          <w:tcPr>
            <w:tcW w:w="90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spacing w:line="360"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生态宣传活动</w:t>
            </w:r>
          </w:p>
        </w:tc>
        <w:tc>
          <w:tcPr>
            <w:tcW w:w="6521" w:type="dxa"/>
            <w:shd w:val="clear" w:color="auto" w:fill="auto"/>
            <w:vAlign w:val="center"/>
          </w:tcPr>
          <w:p>
            <w:pPr>
              <w:spacing w:line="360"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广泛开展森林城市主题宣传，每年举办县级活动5次以上。</w:t>
            </w:r>
          </w:p>
        </w:tc>
        <w:tc>
          <w:tcPr>
            <w:tcW w:w="708" w:type="dxa"/>
            <w:shd w:val="clear" w:color="auto" w:fill="auto"/>
            <w:vAlign w:val="center"/>
          </w:tcPr>
          <w:p>
            <w:pPr>
              <w:widowControl/>
              <w:snapToGrid w:val="0"/>
              <w:spacing w:line="36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次</w:t>
            </w:r>
          </w:p>
        </w:tc>
        <w:tc>
          <w:tcPr>
            <w:tcW w:w="1418"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待建指标</w:t>
            </w:r>
          </w:p>
        </w:tc>
        <w:tc>
          <w:tcPr>
            <w:tcW w:w="992"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c>
          <w:tcPr>
            <w:tcW w:w="992"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c>
          <w:tcPr>
            <w:tcW w:w="908"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spacing w:line="360"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古树名木</w:t>
            </w:r>
          </w:p>
        </w:tc>
        <w:tc>
          <w:tcPr>
            <w:tcW w:w="6521" w:type="dxa"/>
            <w:shd w:val="clear" w:color="auto" w:fill="auto"/>
            <w:vAlign w:val="center"/>
          </w:tcPr>
          <w:p>
            <w:pPr>
              <w:spacing w:line="360"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古树名木管理规范，档案齐全，保护措施科学到位，保护率达100%。</w:t>
            </w:r>
          </w:p>
        </w:tc>
        <w:tc>
          <w:tcPr>
            <w:tcW w:w="708" w:type="dxa"/>
            <w:shd w:val="clear" w:color="auto" w:fill="auto"/>
            <w:vAlign w:val="center"/>
          </w:tcPr>
          <w:p>
            <w:pPr>
              <w:widowControl/>
              <w:snapToGrid w:val="0"/>
              <w:spacing w:line="36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100</w:t>
            </w:r>
          </w:p>
        </w:tc>
        <w:tc>
          <w:tcPr>
            <w:tcW w:w="992"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100</w:t>
            </w:r>
          </w:p>
        </w:tc>
        <w:tc>
          <w:tcPr>
            <w:tcW w:w="992"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100</w:t>
            </w:r>
          </w:p>
        </w:tc>
        <w:tc>
          <w:tcPr>
            <w:tcW w:w="908"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spacing w:line="360"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公众态度</w:t>
            </w:r>
          </w:p>
        </w:tc>
        <w:tc>
          <w:tcPr>
            <w:tcW w:w="6521" w:type="dxa"/>
            <w:shd w:val="clear" w:color="auto" w:fill="auto"/>
            <w:vAlign w:val="center"/>
          </w:tcPr>
          <w:p>
            <w:pPr>
              <w:spacing w:line="360"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公众对森林城市建设的知晓率、支持率和满意度达90%以上。</w:t>
            </w:r>
          </w:p>
        </w:tc>
        <w:tc>
          <w:tcPr>
            <w:tcW w:w="708" w:type="dxa"/>
            <w:shd w:val="clear" w:color="auto" w:fill="auto"/>
            <w:vAlign w:val="center"/>
          </w:tcPr>
          <w:p>
            <w:pPr>
              <w:widowControl/>
              <w:snapToGrid w:val="0"/>
              <w:spacing w:line="36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待建指标</w:t>
            </w:r>
          </w:p>
        </w:tc>
        <w:tc>
          <w:tcPr>
            <w:tcW w:w="992"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w:t>
            </w:r>
          </w:p>
        </w:tc>
        <w:tc>
          <w:tcPr>
            <w:tcW w:w="992"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w:t>
            </w:r>
          </w:p>
        </w:tc>
        <w:tc>
          <w:tcPr>
            <w:tcW w:w="908"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26" w:type="dxa"/>
            <w:vMerge w:val="restart"/>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组织管理</w:t>
            </w:r>
          </w:p>
        </w:tc>
        <w:tc>
          <w:tcPr>
            <w:tcW w:w="2371" w:type="dxa"/>
            <w:shd w:val="clear" w:color="auto" w:fill="auto"/>
            <w:vAlign w:val="center"/>
          </w:tcPr>
          <w:p>
            <w:pPr>
              <w:spacing w:line="360"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建设备案</w:t>
            </w:r>
          </w:p>
        </w:tc>
        <w:tc>
          <w:tcPr>
            <w:tcW w:w="6521" w:type="dxa"/>
            <w:shd w:val="clear" w:color="auto" w:fill="auto"/>
            <w:vAlign w:val="center"/>
          </w:tcPr>
          <w:p>
            <w:pPr>
              <w:spacing w:line="360"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在国家森林城市建设主管部门正式备案2年以上</w:t>
            </w:r>
          </w:p>
        </w:tc>
        <w:tc>
          <w:tcPr>
            <w:tcW w:w="708" w:type="dxa"/>
            <w:shd w:val="clear" w:color="auto" w:fill="auto"/>
            <w:vAlign w:val="center"/>
          </w:tcPr>
          <w:p>
            <w:pPr>
              <w:widowControl/>
              <w:snapToGrid w:val="0"/>
              <w:spacing w:line="36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spacing w:line="36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正在实施</w:t>
            </w:r>
          </w:p>
        </w:tc>
        <w:tc>
          <w:tcPr>
            <w:tcW w:w="2892" w:type="dxa"/>
            <w:gridSpan w:val="3"/>
            <w:shd w:val="clear" w:color="auto" w:fill="auto"/>
            <w:vAlign w:val="center"/>
          </w:tcPr>
          <w:p>
            <w:pPr>
              <w:widowControl/>
              <w:snapToGrid w:val="0"/>
              <w:spacing w:line="36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严格遵守备案时间，开展创森工作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规划编制</w:t>
            </w:r>
          </w:p>
        </w:tc>
        <w:tc>
          <w:tcPr>
            <w:tcW w:w="6521" w:type="dxa"/>
            <w:shd w:val="clear" w:color="auto" w:fill="auto"/>
            <w:vAlign w:val="center"/>
          </w:tcPr>
          <w:p>
            <w:pPr>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编制规划期限10年以上的国家森林城市建设总体规划，并批准实施2年以上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正在实施</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按批准的国家森林城市建设总体规划建设实施。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示范活动</w:t>
            </w:r>
          </w:p>
        </w:tc>
        <w:tc>
          <w:tcPr>
            <w:tcW w:w="6521" w:type="dxa"/>
            <w:shd w:val="clear" w:color="auto" w:fill="auto"/>
            <w:vAlign w:val="center"/>
          </w:tcPr>
          <w:p>
            <w:pPr>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积极开展森林社区、森林单位、森林乡镇、森林村庄、森林人家等多种形式示范活动。</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正在实施</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坚持开展森林小镇、森林社区、森林村庄、森林人家等示范活动。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档案管理</w:t>
            </w:r>
          </w:p>
        </w:tc>
        <w:tc>
          <w:tcPr>
            <w:tcW w:w="6521" w:type="dxa"/>
            <w:shd w:val="clear" w:color="auto" w:fill="auto"/>
            <w:vAlign w:val="center"/>
          </w:tcPr>
          <w:p>
            <w:pPr>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档案完整规范，相关技术图件齐备，实现科学化、信息化管理。</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正在实施</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及时整理、归档相关文件，建设信息化管理平台。</w:t>
            </w:r>
          </w:p>
        </w:tc>
      </w:tr>
    </w:tbl>
    <w:p>
      <w:pPr>
        <w:spacing w:line="360" w:lineRule="auto"/>
        <w:jc w:val="center"/>
        <w:rPr>
          <w:rFonts w:ascii="Times New Roman" w:hAnsi="Times New Roman" w:eastAsia="仿宋_GB2312" w:cs="Times New Roman"/>
          <w:b/>
          <w:szCs w:val="21"/>
        </w:rPr>
      </w:pPr>
    </w:p>
    <w:bookmarkEnd w:id="68"/>
    <w:p>
      <w:pPr>
        <w:keepNext/>
        <w:keepLines/>
        <w:autoSpaceDE w:val="0"/>
        <w:autoSpaceDN w:val="0"/>
        <w:spacing w:before="160" w:after="160" w:line="360" w:lineRule="auto"/>
        <w:outlineLvl w:val="1"/>
        <w:rPr>
          <w:rFonts w:ascii="Times New Roman" w:hAnsi="Times New Roman" w:eastAsia="仿宋_GB2312" w:cs="Times New Roman"/>
          <w:b/>
          <w:bCs/>
          <w:sz w:val="32"/>
          <w:szCs w:val="32"/>
          <w:lang w:val="zh-CN"/>
        </w:rPr>
        <w:sectPr>
          <w:headerReference r:id="rId14" w:type="default"/>
          <w:pgSz w:w="16838" w:h="11906" w:orient="landscape"/>
          <w:pgMar w:top="1800" w:right="1440" w:bottom="1800" w:left="1440" w:header="708" w:footer="708" w:gutter="0"/>
          <w:cols w:space="708" w:num="1"/>
          <w:docGrid w:linePitch="360" w:charSpace="0"/>
        </w:sectPr>
      </w:pPr>
      <w:bookmarkStart w:id="69" w:name="_Toc518679333"/>
    </w:p>
    <w:p>
      <w:pPr>
        <w:pStyle w:val="3"/>
        <w:autoSpaceDE w:val="0"/>
        <w:autoSpaceDN w:val="0"/>
        <w:spacing w:before="160" w:after="160" w:line="360" w:lineRule="auto"/>
        <w:jc w:val="left"/>
        <w:rPr>
          <w:rFonts w:ascii="Times New Roman" w:hAnsi="Times New Roman" w:cs="Times New Roman"/>
          <w:bCs w:val="0"/>
        </w:rPr>
      </w:pPr>
      <w:bookmarkStart w:id="70" w:name="_Toc528761192"/>
      <w:bookmarkStart w:id="71" w:name="_Toc49241532"/>
      <w:bookmarkStart w:id="72" w:name="_Toc14198082"/>
      <w:bookmarkStart w:id="73" w:name="_Toc24033769"/>
      <w:bookmarkStart w:id="74" w:name="_Toc532311799"/>
      <w:bookmarkStart w:id="75" w:name="_Hlk29900939"/>
      <w:r>
        <w:rPr>
          <w:rFonts w:ascii="Times New Roman" w:hAnsi="Times New Roman" w:cs="Times New Roman"/>
        </w:rPr>
        <w:t>4.8 建设布局</w:t>
      </w:r>
      <w:bookmarkEnd w:id="69"/>
      <w:bookmarkEnd w:id="70"/>
      <w:bookmarkEnd w:id="71"/>
      <w:bookmarkEnd w:id="72"/>
      <w:bookmarkEnd w:id="73"/>
      <w:bookmarkEnd w:id="74"/>
    </w:p>
    <w:p>
      <w:p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乐昌市地处南岭山脉南麓，属广东省北部生态发展区，是广东的北大门，是粤港澳大湾区建设宜居宜业宜游优质生活圈的重要生态支撑，是广东省北部生态屏障。根据全市的自然资源条件、生态区位、区域发展方向等因素，参照《乐昌市城市总体规划（2016-2035年）》、《乐昌市“十三五”林业生态发展规划》等相关规划，规划乐昌市创建国家森林城市建设空间布局为“</w:t>
      </w:r>
      <w:r>
        <w:rPr>
          <w:rFonts w:ascii="Times New Roman" w:hAnsi="Times New Roman" w:eastAsia="仿宋_GB2312" w:cs="Times New Roman"/>
          <w:b/>
          <w:sz w:val="28"/>
          <w:szCs w:val="24"/>
        </w:rPr>
        <w:t>一核、三区、多廊、多点</w:t>
      </w:r>
      <w:r>
        <w:rPr>
          <w:rFonts w:ascii="Times New Roman" w:hAnsi="Times New Roman" w:eastAsia="仿宋_GB2312" w:cs="Times New Roman"/>
          <w:sz w:val="28"/>
          <w:szCs w:val="24"/>
        </w:rPr>
        <w:t xml:space="preserve">”。 </w:t>
      </w:r>
    </w:p>
    <w:p>
      <w:pPr>
        <w:autoSpaceDE w:val="0"/>
        <w:autoSpaceDN w:val="0"/>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“一核”</w:t>
      </w:r>
      <w:r>
        <w:rPr>
          <w:rFonts w:ascii="Times New Roman" w:hAnsi="Times New Roman" w:eastAsia="仿宋_GB2312" w:cs="Times New Roman"/>
          <w:sz w:val="28"/>
          <w:szCs w:val="24"/>
        </w:rPr>
        <w:t>：</w:t>
      </w:r>
      <w:r>
        <w:rPr>
          <w:rFonts w:ascii="Times New Roman" w:hAnsi="Times New Roman" w:eastAsia="仿宋_GB2312" w:cs="Times New Roman"/>
          <w:sz w:val="28"/>
        </w:rPr>
        <w:t>指乐昌市建成区生态绿核。在建成区高标准实施城市公园绿地建设、附属绿地建设、防护绿地建设、林荫道路建设等，拓展城区绿化空间，增加城区公园、游园等绿地面积，优化城区绿化格局，提升城区绿化档次，打造布局合理、景观优美、特色鲜明、功能完善的建成区森林生态体系，并结合深厚的历史文化底蕴开展城市生态文化建设</w:t>
      </w:r>
      <w:r>
        <w:rPr>
          <w:rFonts w:ascii="Times New Roman" w:hAnsi="Times New Roman" w:eastAsia="仿宋_GB2312" w:cs="Times New Roman"/>
          <w:sz w:val="28"/>
          <w:szCs w:val="24"/>
        </w:rPr>
        <w:t>。</w:t>
      </w:r>
    </w:p>
    <w:p>
      <w:pPr>
        <w:autoSpaceDE w:val="0"/>
        <w:autoSpaceDN w:val="0"/>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“三区”</w:t>
      </w:r>
      <w:r>
        <w:rPr>
          <w:rFonts w:ascii="Times New Roman" w:hAnsi="Times New Roman" w:eastAsia="仿宋_GB2312" w:cs="Times New Roman"/>
          <w:sz w:val="28"/>
          <w:szCs w:val="24"/>
        </w:rPr>
        <w:t>：指东部生态旅游发展区、中部生态涵养区、西部生态修复发展区。</w:t>
      </w:r>
    </w:p>
    <w:p>
      <w:p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东部生态旅游发展区：包括九峰镇、五山镇、廊田镇、长来镇、乐城街道、北乡镇、大源镇。依托该区域丰富的生态旅游资源，开展森林康养、森林旅游建设工程，充分发挥森林观光休闲、科普宣教等多种功能，创新森林康养新业态，构建以森林景观、休闲体验为核心的生态产品。</w:t>
      </w:r>
    </w:p>
    <w:p>
      <w:p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中部生态涵养区：是指以大瑶山为主体，范围包括大源镇、两江镇、白石镇、庆云镇、坪石镇、梅花镇、乐城街道。该区域以生态保护为主，重点实施人工造林、森林质量提升、自然保护地建设等生态工程。坚持生态涵养功能定位，强化生态涵养和水源保护功能，提高森林保持水土、涵养水源的能力，提升森林质量，建立山区良性循环的生态系统。</w:t>
      </w:r>
    </w:p>
    <w:p>
      <w:p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西部生态修复发展区：包括白石镇、黄圃镇、庆云镇、坪石镇、三溪镇、梅花镇、秀水镇、云岩镇、沙坪镇。该区域是乐昌市石漠化最为严重的区域，通过开展石漠化综合治理工程、封山育林工程，修复该区域石漠化土地。</w:t>
      </w:r>
    </w:p>
    <w:p>
      <w:pPr>
        <w:autoSpaceDE w:val="0"/>
        <w:autoSpaceDN w:val="0"/>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 xml:space="preserve"> “多廊”：</w:t>
      </w:r>
      <w:r>
        <w:rPr>
          <w:rFonts w:ascii="Times New Roman" w:hAnsi="Times New Roman" w:eastAsia="仿宋_GB2312" w:cs="Times New Roman"/>
          <w:sz w:val="28"/>
          <w:szCs w:val="24"/>
        </w:rPr>
        <w:t>指水系绿色廊道和道路绿色廊道。以武江、</w:t>
      </w:r>
      <w:r>
        <w:rPr>
          <w:rFonts w:ascii="Times New Roman" w:hAnsi="Times New Roman" w:eastAsia="仿宋_GB2312" w:cs="Times New Roman"/>
          <w:sz w:val="28"/>
        </w:rPr>
        <w:t>廊田水、田头水、南花溪、九峰河等河</w:t>
      </w:r>
      <w:r>
        <w:rPr>
          <w:rFonts w:ascii="Times New Roman" w:hAnsi="Times New Roman" w:eastAsia="仿宋_GB2312" w:cs="Times New Roman"/>
          <w:bCs/>
          <w:sz w:val="28"/>
        </w:rPr>
        <w:t>流水系及</w:t>
      </w:r>
      <w:r>
        <w:rPr>
          <w:rFonts w:ascii="Times New Roman" w:hAnsi="Times New Roman" w:eastAsia="仿宋_GB2312" w:cs="Times New Roman"/>
          <w:sz w:val="28"/>
        </w:rPr>
        <w:t>京港澳高速、乐广高速、国道107线</w:t>
      </w:r>
      <w:r>
        <w:rPr>
          <w:rFonts w:ascii="Times New Roman" w:hAnsi="Times New Roman" w:eastAsia="仿宋_GB2312" w:cs="Times New Roman"/>
          <w:bCs/>
          <w:sz w:val="28"/>
        </w:rPr>
        <w:t>等道路两侧绿化形成的绿色廊道。</w:t>
      </w:r>
      <w:r>
        <w:rPr>
          <w:rFonts w:ascii="Times New Roman" w:hAnsi="Times New Roman" w:eastAsia="仿宋_GB2312" w:cs="Times New Roman"/>
          <w:sz w:val="28"/>
        </w:rPr>
        <w:t>通过廊道绿化提升工程，统筹考虑树种的生态、景观、经济价值，改造提升现有路网、水网绿化质量。</w:t>
      </w:r>
    </w:p>
    <w:p>
      <w:pPr>
        <w:tabs>
          <w:tab w:val="right" w:leader="dot" w:pos="9629"/>
        </w:tabs>
        <w:autoSpaceDE w:val="0"/>
        <w:autoSpaceDN w:val="0"/>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“多点”：</w:t>
      </w:r>
      <w:r>
        <w:rPr>
          <w:rFonts w:ascii="Times New Roman" w:hAnsi="Times New Roman" w:eastAsia="仿宋_GB2312" w:cs="Times New Roman"/>
          <w:sz w:val="28"/>
          <w:szCs w:val="24"/>
        </w:rPr>
        <w:t>指以</w:t>
      </w:r>
      <w:r>
        <w:rPr>
          <w:rFonts w:ascii="Times New Roman" w:hAnsi="Times New Roman" w:eastAsia="仿宋_GB2312" w:cs="Times New Roman"/>
          <w:sz w:val="28"/>
        </w:rPr>
        <w:t>市域范围内的自然保护区、森林公园、湿地公园、旅游风景区、森林乡镇、绿色示范村、科普教育基地、旅游目的地等呈点状分布的生态建设地点为基础，不断提升基础设施和绿化质量，积极开展斑块状森林建设、标识系统建设、生态文化保护、休闲场所建设等，不断提升城乡人居环境，提供生态休闲去处，传播生态文化，让公众真正享受到森林城市建设的绿色福祉。</w:t>
      </w:r>
      <w:bookmarkEnd w:id="75"/>
    </w:p>
    <w:p>
      <w:pPr>
        <w:spacing w:line="360" w:lineRule="auto"/>
        <w:ind w:firstLine="560" w:firstLineChars="200"/>
        <w:rPr>
          <w:rFonts w:ascii="Times New Roman" w:hAnsi="Times New Roman" w:eastAsia="仿宋_GB2312" w:cs="Times New Roman"/>
          <w:sz w:val="28"/>
          <w:szCs w:val="24"/>
        </w:rPr>
        <w:sectPr>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76" w:name="_Toc24033770"/>
      <w:bookmarkStart w:id="77" w:name="_Toc14198083"/>
      <w:bookmarkStart w:id="78" w:name="_Toc49241533"/>
      <w:r>
        <w:rPr>
          <w:rFonts w:ascii="Times New Roman" w:hAnsi="Times New Roman" w:cs="Times New Roman"/>
        </w:rPr>
        <w:t>5 森林生态体系建设</w:t>
      </w:r>
      <w:bookmarkEnd w:id="76"/>
      <w:bookmarkEnd w:id="77"/>
      <w:r>
        <w:rPr>
          <w:rFonts w:ascii="Times New Roman" w:hAnsi="Times New Roman" w:cs="Times New Roman"/>
        </w:rPr>
        <w:t>规划</w:t>
      </w:r>
      <w:bookmarkEnd w:id="78"/>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79" w:name="_Toc14198084"/>
      <w:bookmarkStart w:id="80" w:name="_Toc532311801"/>
      <w:bookmarkStart w:id="81" w:name="_Toc24033771"/>
      <w:bookmarkStart w:id="82" w:name="_Toc49241534"/>
      <w:r>
        <w:rPr>
          <w:rFonts w:ascii="Times New Roman" w:hAnsi="Times New Roman" w:eastAsia="黑体" w:cs="Times New Roman"/>
          <w:b/>
          <w:bCs/>
          <w:sz w:val="32"/>
          <w:szCs w:val="32"/>
        </w:rPr>
        <w:t>5.1</w:t>
      </w:r>
      <w:bookmarkEnd w:id="79"/>
      <w:bookmarkEnd w:id="80"/>
      <w:bookmarkEnd w:id="81"/>
      <w:r>
        <w:rPr>
          <w:rFonts w:ascii="Times New Roman" w:hAnsi="Times New Roman" w:eastAsia="黑体" w:cs="Times New Roman"/>
          <w:b/>
          <w:bCs/>
          <w:sz w:val="32"/>
          <w:szCs w:val="32"/>
        </w:rPr>
        <w:t>城区增绿提质建设工程</w:t>
      </w:r>
      <w:bookmarkEnd w:id="82"/>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83" w:name="_Toc14198085"/>
      <w:bookmarkStart w:id="84" w:name="_Hlk21892674"/>
      <w:r>
        <w:rPr>
          <w:rFonts w:ascii="Times New Roman" w:hAnsi="Times New Roman" w:eastAsia="黑体" w:cs="Times New Roman"/>
          <w:b/>
          <w:bCs/>
          <w:kern w:val="28"/>
          <w:sz w:val="30"/>
          <w:szCs w:val="32"/>
        </w:rPr>
        <w:t xml:space="preserve">5.1.1 </w:t>
      </w:r>
      <w:bookmarkEnd w:id="83"/>
      <w:r>
        <w:rPr>
          <w:rFonts w:ascii="Times New Roman" w:hAnsi="Times New Roman" w:eastAsia="黑体" w:cs="Times New Roman"/>
          <w:b/>
          <w:bCs/>
          <w:kern w:val="28"/>
          <w:sz w:val="30"/>
          <w:szCs w:val="32"/>
        </w:rPr>
        <w:t>建设范围</w:t>
      </w:r>
    </w:p>
    <w:bookmarkEnd w:id="84"/>
    <w:p>
      <w:pPr>
        <w:spacing w:line="360" w:lineRule="auto"/>
        <w:ind w:firstLine="560" w:firstLineChars="200"/>
        <w:rPr>
          <w:rFonts w:ascii="Times New Roman" w:hAnsi="Times New Roman" w:eastAsia="仿宋_GB2312" w:cs="Times New Roman"/>
          <w:sz w:val="28"/>
          <w:szCs w:val="20"/>
        </w:rPr>
      </w:pPr>
      <w:r>
        <w:rPr>
          <w:rFonts w:ascii="Times New Roman" w:hAnsi="Times New Roman" w:eastAsia="仿宋_GB2312" w:cs="Times New Roman"/>
          <w:sz w:val="28"/>
          <w:szCs w:val="28"/>
        </w:rPr>
        <w:t>乐昌市建成区范围南起</w:t>
      </w:r>
      <w:r>
        <w:rPr>
          <w:rFonts w:ascii="Times New Roman" w:hAnsi="Times New Roman" w:eastAsia="仿宋_GB2312" w:cs="Times New Roman"/>
          <w:sz w:val="28"/>
          <w:szCs w:val="20"/>
        </w:rPr>
        <w:t>马头山、北至麒麟山、西以乐广高速公路为界、东至横岭村，</w:t>
      </w:r>
      <w:r>
        <w:rPr>
          <w:rFonts w:ascii="Times New Roman" w:hAnsi="Times New Roman" w:eastAsia="仿宋_GB2312" w:cs="Times New Roman"/>
          <w:sz w:val="28"/>
          <w:szCs w:val="28"/>
        </w:rPr>
        <w:t>包括乐城街道辖区以及长来镇、廊田镇和北乡镇的部分区域，</w:t>
      </w:r>
      <w:r>
        <w:rPr>
          <w:rFonts w:ascii="Times New Roman" w:hAnsi="Times New Roman" w:eastAsia="仿宋_GB2312" w:cs="Times New Roman"/>
          <w:sz w:val="28"/>
          <w:szCs w:val="20"/>
        </w:rPr>
        <w:t>面积1220hm</w:t>
      </w:r>
      <w:r>
        <w:rPr>
          <w:rFonts w:ascii="Times New Roman" w:hAnsi="Times New Roman" w:eastAsia="仿宋_GB2312" w:cs="Times New Roman"/>
          <w:sz w:val="28"/>
          <w:szCs w:val="20"/>
          <w:vertAlign w:val="superscript"/>
        </w:rPr>
        <w:t>2</w:t>
      </w:r>
      <w:r>
        <w:rPr>
          <w:rFonts w:ascii="Times New Roman" w:hAnsi="Times New Roman" w:eastAsia="仿宋_GB2312" w:cs="Times New Roman"/>
          <w:sz w:val="28"/>
          <w:szCs w:val="20"/>
        </w:rPr>
        <w:t>。</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5.1.2 建设现状</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截至2018年底，乐昌市建成区已建成绿地面积455.72hm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，绿化覆盖面积480.19hm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，城区绿化覆盖率39.36%。建成区内建有人民公园、竹林公园、昌盛公园等8处综合公园、街旁公园，公园绿地面积137.83hm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，常住人口达11.76万人，人均公园绿地面积11.72m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/人。乐昌市建成区绿地资源现状详见表5-1，乐昌市建成区公园绿地现状详见表5-2。</w:t>
      </w:r>
    </w:p>
    <w:p>
      <w:pPr>
        <w:pStyle w:val="109"/>
        <w:spacing w:beforeLines="0" w:afterLines="0"/>
        <w:ind w:firstLine="0" w:firstLineChars="0"/>
        <w:rPr>
          <w:rFonts w:cs="Times New Roman"/>
          <w:color w:val="auto"/>
        </w:rPr>
      </w:pPr>
      <w:r>
        <w:rPr>
          <w:rFonts w:cs="Times New Roman"/>
          <w:color w:val="auto"/>
        </w:rPr>
        <w:t>表5-1 乐昌市城市建成区绿地资源现状统计表</w:t>
      </w:r>
    </w:p>
    <w:tbl>
      <w:tblPr>
        <w:tblStyle w:val="471"/>
        <w:tblW w:w="822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473"/>
        <w:gridCol w:w="1472"/>
        <w:gridCol w:w="1544"/>
        <w:gridCol w:w="1245"/>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070" w:type="dxa"/>
            <w:vMerge w:val="restart"/>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统计单位</w:t>
            </w:r>
          </w:p>
        </w:tc>
        <w:tc>
          <w:tcPr>
            <w:tcW w:w="5734" w:type="dxa"/>
            <w:gridSpan w:val="4"/>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各类绿地面积（hm</w:t>
            </w:r>
            <w:r>
              <w:rPr>
                <w:rFonts w:ascii="Times New Roman" w:hAnsi="Times New Roman" w:eastAsia="仿宋_GB2312" w:cs="Times New Roman"/>
                <w:b/>
                <w:kern w:val="0"/>
                <w:szCs w:val="21"/>
                <w:vertAlign w:val="superscript"/>
              </w:rPr>
              <w:t>2</w:t>
            </w:r>
            <w:r>
              <w:rPr>
                <w:rFonts w:ascii="Times New Roman" w:hAnsi="Times New Roman" w:eastAsia="仿宋_GB2312" w:cs="Times New Roman"/>
                <w:b/>
                <w:kern w:val="0"/>
                <w:szCs w:val="21"/>
              </w:rPr>
              <w:t>）</w:t>
            </w:r>
          </w:p>
        </w:tc>
        <w:tc>
          <w:tcPr>
            <w:tcW w:w="1418" w:type="dxa"/>
            <w:vMerge w:val="restart"/>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绿地总面积</w:t>
            </w:r>
          </w:p>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（hm</w:t>
            </w:r>
            <w:r>
              <w:rPr>
                <w:rFonts w:ascii="Times New Roman" w:hAnsi="Times New Roman" w:eastAsia="仿宋_GB2312" w:cs="Times New Roman"/>
                <w:b/>
                <w:kern w:val="0"/>
                <w:szCs w:val="21"/>
                <w:vertAlign w:val="superscript"/>
              </w:rPr>
              <w:t>2</w:t>
            </w:r>
            <w:r>
              <w:rPr>
                <w:rFonts w:ascii="Times New Roman" w:hAnsi="Times New Roman" w:eastAsia="仿宋_GB2312" w:cs="Times New Roman"/>
                <w:b/>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070" w:type="dxa"/>
            <w:vMerge w:val="continue"/>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p>
        </w:tc>
        <w:tc>
          <w:tcPr>
            <w:tcW w:w="1473"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公园绿地</w:t>
            </w:r>
          </w:p>
        </w:tc>
        <w:tc>
          <w:tcPr>
            <w:tcW w:w="1472"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防护绿地</w:t>
            </w:r>
          </w:p>
        </w:tc>
        <w:tc>
          <w:tcPr>
            <w:tcW w:w="1544"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附属绿地</w:t>
            </w:r>
          </w:p>
        </w:tc>
        <w:tc>
          <w:tcPr>
            <w:tcW w:w="1245"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区域绿地</w:t>
            </w:r>
          </w:p>
        </w:tc>
        <w:tc>
          <w:tcPr>
            <w:tcW w:w="1418" w:type="dxa"/>
            <w:vMerge w:val="continue"/>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070" w:type="dxa"/>
            <w:shd w:val="clear" w:color="auto" w:fill="auto"/>
            <w:vAlign w:val="center"/>
          </w:tcPr>
          <w:p>
            <w:pPr>
              <w:adjustRightInd w:val="0"/>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乐昌市</w:t>
            </w:r>
          </w:p>
        </w:tc>
        <w:tc>
          <w:tcPr>
            <w:tcW w:w="1473"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szCs w:val="21"/>
              </w:rPr>
              <w:t>137.83</w:t>
            </w:r>
          </w:p>
        </w:tc>
        <w:tc>
          <w:tcPr>
            <w:tcW w:w="1472"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42.70</w:t>
            </w:r>
          </w:p>
        </w:tc>
        <w:tc>
          <w:tcPr>
            <w:tcW w:w="1544"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153.21</w:t>
            </w:r>
          </w:p>
        </w:tc>
        <w:tc>
          <w:tcPr>
            <w:tcW w:w="1245"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121.98</w:t>
            </w:r>
          </w:p>
        </w:tc>
        <w:tc>
          <w:tcPr>
            <w:tcW w:w="1418"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455.72</w:t>
            </w:r>
          </w:p>
        </w:tc>
      </w:tr>
    </w:tbl>
    <w:p>
      <w:pPr>
        <w:pStyle w:val="109"/>
        <w:spacing w:beforeLines="0" w:afterLines="0"/>
        <w:ind w:firstLine="0" w:firstLineChars="0"/>
        <w:rPr>
          <w:rFonts w:cs="Times New Roman"/>
          <w:color w:val="auto"/>
        </w:rPr>
      </w:pPr>
      <w:r>
        <w:rPr>
          <w:rFonts w:cs="Times New Roman"/>
          <w:color w:val="auto"/>
        </w:rPr>
        <w:t>表5-2 乐昌市城市建成区公园绿地统计表</w:t>
      </w:r>
    </w:p>
    <w:tbl>
      <w:tblPr>
        <w:tblStyle w:val="471"/>
        <w:tblW w:w="832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564"/>
        <w:gridCol w:w="3362"/>
        <w:gridCol w:w="12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tblHeader/>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b/>
                <w:bCs/>
                <w:color w:val="000000"/>
              </w:rPr>
            </w:pPr>
            <w:r>
              <w:rPr>
                <w:rFonts w:ascii="Times New Roman" w:hAnsi="Times New Roman" w:eastAsia="仿宋_GB2312" w:cs="Times New Roman"/>
                <w:b/>
                <w:bCs/>
                <w:color w:val="000000"/>
              </w:rPr>
              <w:t>序号</w:t>
            </w:r>
          </w:p>
        </w:tc>
        <w:tc>
          <w:tcPr>
            <w:tcW w:w="2564" w:type="dxa"/>
            <w:shd w:val="clear" w:color="auto" w:fill="auto"/>
            <w:vAlign w:val="center"/>
          </w:tcPr>
          <w:p>
            <w:pPr>
              <w:autoSpaceDN w:val="0"/>
              <w:spacing w:line="360" w:lineRule="auto"/>
              <w:jc w:val="center"/>
              <w:textAlignment w:val="center"/>
              <w:rPr>
                <w:rFonts w:ascii="Times New Roman" w:hAnsi="Times New Roman" w:eastAsia="仿宋_GB2312" w:cs="Times New Roman"/>
                <w:b/>
                <w:bCs/>
                <w:color w:val="000000"/>
              </w:rPr>
            </w:pPr>
            <w:r>
              <w:rPr>
                <w:rFonts w:ascii="Times New Roman" w:hAnsi="Times New Roman" w:eastAsia="仿宋_GB2312" w:cs="Times New Roman"/>
                <w:b/>
                <w:bCs/>
                <w:color w:val="000000"/>
              </w:rPr>
              <w:t>名   称</w:t>
            </w:r>
          </w:p>
        </w:tc>
        <w:tc>
          <w:tcPr>
            <w:tcW w:w="3362" w:type="dxa"/>
            <w:shd w:val="clear" w:color="auto" w:fill="auto"/>
            <w:vAlign w:val="center"/>
          </w:tcPr>
          <w:p>
            <w:pPr>
              <w:autoSpaceDN w:val="0"/>
              <w:spacing w:line="360" w:lineRule="auto"/>
              <w:jc w:val="center"/>
              <w:textAlignment w:val="center"/>
              <w:rPr>
                <w:rFonts w:ascii="Times New Roman" w:hAnsi="Times New Roman" w:eastAsia="仿宋_GB2312" w:cs="Times New Roman"/>
                <w:b/>
                <w:bCs/>
                <w:color w:val="000000"/>
              </w:rPr>
            </w:pPr>
            <w:r>
              <w:rPr>
                <w:rFonts w:ascii="Times New Roman" w:hAnsi="Times New Roman" w:eastAsia="仿宋_GB2312" w:cs="Times New Roman"/>
                <w:b/>
                <w:bCs/>
                <w:color w:val="000000"/>
              </w:rPr>
              <w:t>公园类别</w:t>
            </w:r>
          </w:p>
        </w:tc>
        <w:tc>
          <w:tcPr>
            <w:tcW w:w="1281" w:type="dxa"/>
            <w:shd w:val="clear" w:color="auto" w:fill="auto"/>
            <w:vAlign w:val="center"/>
          </w:tcPr>
          <w:p>
            <w:pPr>
              <w:autoSpaceDN w:val="0"/>
              <w:spacing w:line="360" w:lineRule="auto"/>
              <w:jc w:val="center"/>
              <w:textAlignment w:val="center"/>
              <w:rPr>
                <w:rFonts w:ascii="Times New Roman" w:hAnsi="Times New Roman" w:eastAsia="仿宋_GB2312" w:cs="Times New Roman"/>
                <w:b/>
                <w:bCs/>
                <w:color w:val="000000"/>
              </w:rPr>
            </w:pPr>
            <w:r>
              <w:rPr>
                <w:rFonts w:ascii="Times New Roman" w:hAnsi="Times New Roman" w:eastAsia="仿宋_GB2312" w:cs="Times New Roman"/>
                <w:b/>
                <w:bCs/>
                <w:color w:val="000000"/>
              </w:rPr>
              <w:t>面积</w:t>
            </w:r>
            <w:r>
              <w:rPr>
                <w:rFonts w:ascii="Times New Roman" w:hAnsi="Times New Roman" w:eastAsia="仿宋_GB2312" w:cs="Times New Roman"/>
                <w:b/>
                <w:kern w:val="0"/>
                <w:szCs w:val="21"/>
              </w:rPr>
              <w:t>（hm</w:t>
            </w:r>
            <w:r>
              <w:rPr>
                <w:rFonts w:ascii="Times New Roman" w:hAnsi="Times New Roman" w:eastAsia="仿宋_GB2312" w:cs="Times New Roman"/>
                <w:b/>
                <w:kern w:val="0"/>
                <w:szCs w:val="21"/>
                <w:vertAlign w:val="superscript"/>
              </w:rPr>
              <w:t>2</w:t>
            </w:r>
            <w:r>
              <w:rPr>
                <w:rFonts w:ascii="Times New Roman" w:hAnsi="Times New Roman" w:eastAsia="仿宋_GB2312" w:cs="Times New Roman"/>
                <w:b/>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人民公园</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专类公园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竹林公园</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综合公园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3.19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府前公园</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街旁绿地</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文化广场</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综合公园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昌盛公园</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综合公园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14.30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武江河堤广场</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综合公园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82.07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南塔公园</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综合公园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32.50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高铁站广场</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综合公园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0.94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8" w:type="dxa"/>
            <w:gridSpan w:val="3"/>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1281" w:type="dxa"/>
            <w:shd w:val="clear" w:color="auto" w:fill="auto"/>
            <w:vAlign w:val="center"/>
          </w:tcPr>
          <w:p>
            <w:pPr>
              <w:spacing w:line="360" w:lineRule="auto"/>
              <w:ind w:right="-1"/>
              <w:jc w:val="center"/>
              <w:rPr>
                <w:rFonts w:ascii="Times New Roman" w:hAnsi="Times New Roman" w:eastAsia="仿宋_GB2312" w:cs="Times New Roman"/>
                <w:b/>
                <w:szCs w:val="21"/>
              </w:rPr>
            </w:pPr>
            <w:r>
              <w:rPr>
                <w:rFonts w:ascii="Times New Roman" w:hAnsi="Times New Roman" w:eastAsia="仿宋_GB2312" w:cs="Times New Roman"/>
                <w:b/>
                <w:szCs w:val="21"/>
              </w:rPr>
              <w:t>137.83</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5.1.3 建设目标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据统计，目前乐昌市建成区面积1220hm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、常住人口11.76万人。结合《乐昌市城市总体规划（2016-2035年）》确定的城市规模和人口发展速度，以及近年来实际的递增趋势推算，2022年底建成区面积将达到1266hm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，建成区常住人口达12.33万人；2025年底建成区面积将达到1316hm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，建成区常住人口达1273万人；2028年底建成区面积将达到1341hm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，建成区常住人口达13.21万人。</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规划期内，重点实施各类公园绿地建设和绿地提升工程，达到国家森林城市指标要求，实现公园绿地均衡发展，公园绿地500m服务半径率达80%以上。</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到2022年，乐昌市建成区绿化覆盖率达到41.06%，人均公园绿地面积达到12.06m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，完善各种绿地系统、提高已建设绿地的质量；到2025年，乐昌市建成区绿化覆盖率达到41.99%，人均公园绿地面积达到13.60m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；到2028年，乐昌市建成区绿化覆盖率稳定维持在42.42%以上，人均公园绿地面积稳定维持在14m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。乐昌市建成区绿化指标见表5-3。</w:t>
      </w:r>
    </w:p>
    <w:p>
      <w:pPr>
        <w:autoSpaceDE w:val="0"/>
        <w:autoSpaceDN w:val="0"/>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表5-3 乐昌市建成区绿化指标目标表</w:t>
      </w:r>
    </w:p>
    <w:tbl>
      <w:tblPr>
        <w:tblStyle w:val="46"/>
        <w:tblW w:w="83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5" w:type="dxa"/>
          <w:bottom w:w="0" w:type="dxa"/>
          <w:right w:w="15" w:type="dxa"/>
        </w:tblCellMar>
      </w:tblPr>
      <w:tblGrid>
        <w:gridCol w:w="724"/>
        <w:gridCol w:w="2410"/>
        <w:gridCol w:w="609"/>
        <w:gridCol w:w="1074"/>
        <w:gridCol w:w="1150"/>
        <w:gridCol w:w="1185"/>
        <w:gridCol w:w="11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tblHeader/>
          <w:jc w:val="center"/>
        </w:trPr>
        <w:tc>
          <w:tcPr>
            <w:tcW w:w="724" w:type="dxa"/>
            <w:vAlign w:val="center"/>
          </w:tcPr>
          <w:p>
            <w:pPr>
              <w:spacing w:line="360" w:lineRule="auto"/>
              <w:rPr>
                <w:rFonts w:ascii="Times New Roman" w:hAnsi="Times New Roman" w:eastAsia="仿宋_GB2312" w:cs="Times New Roman"/>
                <w:b/>
                <w:szCs w:val="24"/>
              </w:rPr>
            </w:pPr>
            <w:r>
              <w:rPr>
                <w:rFonts w:ascii="Times New Roman" w:hAnsi="Times New Roman" w:eastAsia="仿宋_GB2312" w:cs="Times New Roman"/>
                <w:b/>
                <w:szCs w:val="24"/>
              </w:rPr>
              <w:t>统计</w:t>
            </w:r>
          </w:p>
          <w:p>
            <w:pPr>
              <w:spacing w:line="360" w:lineRule="auto"/>
              <w:rPr>
                <w:rFonts w:ascii="Times New Roman" w:hAnsi="Times New Roman" w:eastAsia="仿宋_GB2312" w:cs="Times New Roman"/>
                <w:b/>
                <w:szCs w:val="24"/>
              </w:rPr>
            </w:pPr>
            <w:r>
              <w:rPr>
                <w:rFonts w:ascii="Times New Roman" w:hAnsi="Times New Roman" w:eastAsia="仿宋_GB2312" w:cs="Times New Roman"/>
                <w:b/>
                <w:szCs w:val="24"/>
              </w:rPr>
              <w:t>范围</w:t>
            </w:r>
          </w:p>
        </w:tc>
        <w:tc>
          <w:tcPr>
            <w:tcW w:w="2410" w:type="dxa"/>
            <w:tcBorders>
              <w:tl2br w:val="single" w:color="auto" w:sz="12" w:space="0"/>
            </w:tcBorders>
            <w:shd w:val="clear" w:color="auto" w:fill="auto"/>
            <w:vAlign w:val="center"/>
          </w:tcPr>
          <w:p>
            <w:pPr>
              <w:wordWrap w:val="0"/>
              <w:spacing w:line="360" w:lineRule="auto"/>
              <w:jc w:val="right"/>
              <w:rPr>
                <w:rFonts w:ascii="Times New Roman" w:hAnsi="Times New Roman" w:eastAsia="仿宋_GB2312" w:cs="Times New Roman"/>
                <w:b/>
                <w:szCs w:val="24"/>
              </w:rPr>
            </w:pPr>
            <w:r>
              <w:rPr>
                <w:rFonts w:ascii="Times New Roman" w:hAnsi="Times New Roman" w:eastAsia="仿宋_GB2312" w:cs="Times New Roman"/>
                <w:b/>
                <w:szCs w:val="24"/>
              </w:rPr>
              <w:t xml:space="preserve">年份  </w:t>
            </w:r>
          </w:p>
          <w:p>
            <w:pPr>
              <w:spacing w:line="360" w:lineRule="auto"/>
              <w:ind w:firstLine="210" w:firstLineChars="100"/>
              <w:rPr>
                <w:rFonts w:ascii="Times New Roman" w:hAnsi="Times New Roman" w:eastAsia="仿宋_GB2312" w:cs="Times New Roman"/>
                <w:b/>
                <w:szCs w:val="24"/>
              </w:rPr>
            </w:pPr>
            <w:r>
              <w:rPr>
                <w:rFonts w:ascii="Times New Roman" w:hAnsi="Times New Roman" w:eastAsia="仿宋_GB2312" w:cs="Times New Roman"/>
                <w:b/>
                <w:szCs w:val="24"/>
              </w:rPr>
              <w:t>指标</w:t>
            </w:r>
          </w:p>
        </w:tc>
        <w:tc>
          <w:tcPr>
            <w:tcW w:w="609" w:type="dxa"/>
            <w:shd w:val="clear" w:color="auto" w:fill="auto"/>
            <w:vAlign w:val="center"/>
          </w:tcPr>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标准</w:t>
            </w:r>
          </w:p>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要求</w:t>
            </w:r>
          </w:p>
        </w:tc>
        <w:tc>
          <w:tcPr>
            <w:tcW w:w="1074" w:type="dxa"/>
            <w:shd w:val="clear" w:color="auto" w:fill="auto"/>
            <w:vAlign w:val="center"/>
          </w:tcPr>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2018年</w:t>
            </w:r>
          </w:p>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（现状）</w:t>
            </w:r>
          </w:p>
        </w:tc>
        <w:tc>
          <w:tcPr>
            <w:tcW w:w="1150" w:type="dxa"/>
            <w:shd w:val="clear" w:color="auto" w:fill="auto"/>
            <w:vAlign w:val="center"/>
          </w:tcPr>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2022年</w:t>
            </w:r>
          </w:p>
        </w:tc>
        <w:tc>
          <w:tcPr>
            <w:tcW w:w="1185" w:type="dxa"/>
            <w:shd w:val="clear" w:color="auto" w:fill="auto"/>
            <w:vAlign w:val="center"/>
          </w:tcPr>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2025年</w:t>
            </w:r>
          </w:p>
        </w:tc>
        <w:tc>
          <w:tcPr>
            <w:tcW w:w="1184" w:type="dxa"/>
            <w:shd w:val="clear" w:color="auto" w:fill="auto"/>
            <w:vAlign w:val="center"/>
          </w:tcPr>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2028年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jc w:val="center"/>
        </w:trPr>
        <w:tc>
          <w:tcPr>
            <w:tcW w:w="724" w:type="dxa"/>
            <w:vMerge w:val="restart"/>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建成区</w:t>
            </w: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建成区面积（hm</w:t>
            </w:r>
            <w:r>
              <w:rPr>
                <w:rFonts w:ascii="Times New Roman" w:hAnsi="Times New Roman" w:eastAsia="仿宋_GB2312" w:cs="Times New Roman"/>
                <w:szCs w:val="24"/>
                <w:vertAlign w:val="superscript"/>
              </w:rPr>
              <w:t>2</w:t>
            </w:r>
            <w:r>
              <w:rPr>
                <w:rFonts w:ascii="Times New Roman" w:hAnsi="Times New Roman" w:eastAsia="仿宋_GB2312" w:cs="Times New Roman"/>
                <w:szCs w:val="24"/>
              </w:rPr>
              <w:t>）</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1220</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color w:val="000000"/>
                <w:szCs w:val="21"/>
              </w:rPr>
              <w:t>1266</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color w:val="000000"/>
                <w:szCs w:val="21"/>
              </w:rPr>
              <w:t>1316</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color w:val="000000"/>
                <w:szCs w:val="21"/>
              </w:rPr>
              <w:t>1341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jc w:val="center"/>
        </w:trPr>
        <w:tc>
          <w:tcPr>
            <w:tcW w:w="724" w:type="dxa"/>
            <w:vMerge w:val="continue"/>
            <w:vAlign w:val="center"/>
          </w:tcPr>
          <w:p>
            <w:pPr>
              <w:spacing w:line="360" w:lineRule="auto"/>
              <w:rPr>
                <w:rFonts w:ascii="Times New Roman" w:hAnsi="Times New Roman" w:eastAsia="仿宋_GB2312" w:cs="Times New Roman"/>
                <w:szCs w:val="24"/>
              </w:rPr>
            </w:pP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城区人口（万人）</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11.76</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color w:val="000000"/>
                <w:szCs w:val="21"/>
              </w:rPr>
              <w:t>12.33</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color w:val="000000"/>
                <w:szCs w:val="21"/>
              </w:rPr>
              <w:t>12.73</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color w:val="000000"/>
                <w:szCs w:val="21"/>
              </w:rPr>
              <w:t>13.21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724" w:type="dxa"/>
            <w:vMerge w:val="continue"/>
            <w:vAlign w:val="center"/>
          </w:tcPr>
          <w:p>
            <w:pPr>
              <w:spacing w:line="360" w:lineRule="auto"/>
              <w:rPr>
                <w:rFonts w:ascii="Times New Roman" w:hAnsi="Times New Roman" w:eastAsia="仿宋_GB2312" w:cs="Times New Roman"/>
                <w:szCs w:val="24"/>
              </w:rPr>
            </w:pP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公园绿地面积（hm</w:t>
            </w:r>
            <w:r>
              <w:rPr>
                <w:rFonts w:ascii="Times New Roman" w:hAnsi="Times New Roman" w:eastAsia="仿宋_GB2312" w:cs="Times New Roman"/>
                <w:szCs w:val="24"/>
                <w:vertAlign w:val="superscript"/>
              </w:rPr>
              <w:t>2</w:t>
            </w:r>
            <w:r>
              <w:rPr>
                <w:rFonts w:ascii="Times New Roman" w:hAnsi="Times New Roman" w:eastAsia="仿宋_GB2312" w:cs="Times New Roman"/>
                <w:szCs w:val="24"/>
              </w:rPr>
              <w:t>）</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137.83</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161.08</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173.11</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184.98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jc w:val="center"/>
        </w:trPr>
        <w:tc>
          <w:tcPr>
            <w:tcW w:w="724" w:type="dxa"/>
            <w:vMerge w:val="continue"/>
            <w:vAlign w:val="center"/>
          </w:tcPr>
          <w:p>
            <w:pPr>
              <w:spacing w:line="360" w:lineRule="auto"/>
              <w:rPr>
                <w:rFonts w:ascii="Times New Roman" w:hAnsi="Times New Roman" w:eastAsia="仿宋_GB2312" w:cs="Times New Roman"/>
                <w:szCs w:val="24"/>
              </w:rPr>
            </w:pP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城区绿化覆盖面积（hm</w:t>
            </w:r>
            <w:r>
              <w:rPr>
                <w:rFonts w:ascii="Times New Roman" w:hAnsi="Times New Roman" w:eastAsia="仿宋_GB2312" w:cs="Times New Roman"/>
                <w:szCs w:val="24"/>
                <w:vertAlign w:val="superscript"/>
              </w:rPr>
              <w:t>2</w:t>
            </w:r>
            <w:r>
              <w:rPr>
                <w:rFonts w:ascii="Times New Roman" w:hAnsi="Times New Roman" w:eastAsia="仿宋_GB2312" w:cs="Times New Roman"/>
                <w:szCs w:val="24"/>
              </w:rPr>
              <w:t>）</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480.19</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519.87</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552.57</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568.83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jc w:val="center"/>
        </w:trPr>
        <w:tc>
          <w:tcPr>
            <w:tcW w:w="724" w:type="dxa"/>
            <w:vMerge w:val="continue"/>
            <w:vAlign w:val="center"/>
          </w:tcPr>
          <w:p>
            <w:pPr>
              <w:spacing w:line="360" w:lineRule="auto"/>
              <w:rPr>
                <w:rFonts w:ascii="Times New Roman" w:hAnsi="Times New Roman" w:eastAsia="仿宋_GB2312" w:cs="Times New Roman"/>
                <w:szCs w:val="24"/>
              </w:rPr>
            </w:pP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城区绿化覆盖率（%）</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40</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39.36</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41.06</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41.99</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42.42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jc w:val="center"/>
        </w:trPr>
        <w:tc>
          <w:tcPr>
            <w:tcW w:w="724" w:type="dxa"/>
            <w:vMerge w:val="continue"/>
            <w:vAlign w:val="center"/>
          </w:tcPr>
          <w:p>
            <w:pPr>
              <w:spacing w:line="360" w:lineRule="auto"/>
              <w:rPr>
                <w:rFonts w:ascii="Times New Roman" w:hAnsi="Times New Roman" w:eastAsia="仿宋_GB2312" w:cs="Times New Roman"/>
                <w:szCs w:val="24"/>
              </w:rPr>
            </w:pP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城区人均公园绿地（m</w:t>
            </w:r>
            <w:r>
              <w:rPr>
                <w:rFonts w:ascii="Times New Roman" w:hAnsi="Times New Roman" w:eastAsia="仿宋_GB2312" w:cs="Times New Roman"/>
                <w:szCs w:val="24"/>
                <w:vertAlign w:val="superscript"/>
              </w:rPr>
              <w:t>2</w:t>
            </w:r>
            <w:r>
              <w:rPr>
                <w:rFonts w:ascii="Times New Roman" w:hAnsi="Times New Roman" w:eastAsia="仿宋_GB2312" w:cs="Times New Roman"/>
                <w:szCs w:val="24"/>
              </w:rPr>
              <w:t>）</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12</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11.72</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12.06</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13.60</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724" w:type="dxa"/>
            <w:vMerge w:val="continue"/>
            <w:vAlign w:val="center"/>
          </w:tcPr>
          <w:p>
            <w:pPr>
              <w:spacing w:line="360" w:lineRule="auto"/>
              <w:rPr>
                <w:rFonts w:ascii="Times New Roman" w:hAnsi="Times New Roman" w:eastAsia="仿宋_GB2312" w:cs="Times New Roman"/>
                <w:szCs w:val="24"/>
              </w:rPr>
            </w:pP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城区林荫道路率（%）</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60</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76.45</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77.82</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80.11</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83.92</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5.1.4 建设内容</w:t>
      </w:r>
    </w:p>
    <w:p>
      <w:pPr>
        <w:pStyle w:val="5"/>
        <w:widowControl w:val="0"/>
        <w:spacing w:before="62" w:beforeLines="20" w:after="62" w:afterLines="20"/>
        <w:rPr>
          <w:rFonts w:cs="Times New Roman"/>
        </w:rPr>
      </w:pPr>
      <w:r>
        <w:rPr>
          <w:rFonts w:cs="Times New Roman"/>
        </w:rPr>
        <w:t>5.1.4.1 公园绿地</w:t>
      </w:r>
    </w:p>
    <w:p>
      <w:pPr>
        <w:autoSpaceDE w:val="0"/>
        <w:autoSpaceDN w:val="0"/>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规划在乐昌市新城片区，因地制宜科学合理布局各类城市绿地，点、线、面有机结合，形成功能完善、指标先进、布局合理、生态良好的城市绿地系统。结合《乐昌市城市总体规划（2016-2035年）》，加快城南公园、乐山公园、东环公园、练塘公园建设。</w:t>
      </w:r>
    </w:p>
    <w:p>
      <w:pPr>
        <w:autoSpaceDE w:val="0"/>
        <w:autoSpaceDN w:val="0"/>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在老城区注重对现状绿地的保护和提升，以竹林公园和人民公园为基础，增设小型公园绿地，对沿街空地采取拆墙透绿、见缝插绿的措施，增加街头绿地。</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至规划期末建成区新增公园绿地面积47.15hm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，其中，近期新增23.25hm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、中期新增12.03hm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、远期新增11.87hm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，具体建设见表5-4。</w:t>
      </w:r>
    </w:p>
    <w:p>
      <w:pPr>
        <w:spacing w:line="360" w:lineRule="auto"/>
        <w:ind w:firstLine="560" w:firstLineChars="200"/>
        <w:rPr>
          <w:rFonts w:ascii="Times New Roman" w:hAnsi="Times New Roman" w:eastAsia="仿宋_GB2312" w:cs="Times New Roman"/>
          <w:bCs/>
          <w:sz w:val="28"/>
        </w:rPr>
      </w:pPr>
    </w:p>
    <w:p>
      <w:pPr>
        <w:spacing w:line="360" w:lineRule="auto"/>
        <w:ind w:firstLine="560" w:firstLineChars="200"/>
        <w:rPr>
          <w:rFonts w:ascii="Times New Roman" w:hAnsi="Times New Roman" w:eastAsia="仿宋_GB2312" w:cs="Times New Roman"/>
          <w:bCs/>
          <w:sz w:val="28"/>
        </w:rPr>
      </w:pPr>
    </w:p>
    <w:p>
      <w:pPr>
        <w:pStyle w:val="109"/>
        <w:spacing w:before="312" w:beforeLines="100" w:afterLines="0"/>
        <w:ind w:firstLine="0" w:firstLineChars="0"/>
        <w:rPr>
          <w:rFonts w:cs="Times New Roman"/>
          <w:color w:val="auto"/>
        </w:rPr>
      </w:pPr>
      <w:r>
        <w:rPr>
          <w:rFonts w:cs="Times New Roman"/>
          <w:color w:val="auto"/>
        </w:rPr>
        <w:t>表5-4 乐昌市城区公园绿地建设规划表</w:t>
      </w:r>
    </w:p>
    <w:tbl>
      <w:tblPr>
        <w:tblStyle w:val="471"/>
        <w:tblW w:w="836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2693"/>
        <w:gridCol w:w="993"/>
        <w:gridCol w:w="708"/>
        <w:gridCol w:w="709"/>
        <w:gridCol w:w="709"/>
        <w:gridCol w:w="7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vMerge w:val="restart"/>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序号</w:t>
            </w:r>
          </w:p>
        </w:tc>
        <w:tc>
          <w:tcPr>
            <w:tcW w:w="1134" w:type="dxa"/>
            <w:vMerge w:val="restart"/>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名称</w:t>
            </w:r>
          </w:p>
        </w:tc>
        <w:tc>
          <w:tcPr>
            <w:tcW w:w="2693" w:type="dxa"/>
            <w:vMerge w:val="restart"/>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位置</w:t>
            </w:r>
          </w:p>
        </w:tc>
        <w:tc>
          <w:tcPr>
            <w:tcW w:w="993" w:type="dxa"/>
            <w:vMerge w:val="restart"/>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面积</w:t>
            </w:r>
          </w:p>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（hm</w:t>
            </w:r>
            <w:r>
              <w:rPr>
                <w:rFonts w:ascii="Times New Roman" w:hAnsi="Times New Roman" w:eastAsia="仿宋_GB2312" w:cs="Times New Roman"/>
                <w:b/>
                <w:bCs/>
                <w:szCs w:val="21"/>
                <w:vertAlign w:val="superscript"/>
              </w:rPr>
              <w:t>2</w:t>
            </w:r>
            <w:r>
              <w:rPr>
                <w:rFonts w:ascii="Times New Roman" w:hAnsi="Times New Roman" w:eastAsia="仿宋_GB2312" w:cs="Times New Roman"/>
                <w:b/>
                <w:bCs/>
                <w:szCs w:val="21"/>
              </w:rPr>
              <w:t>）</w:t>
            </w:r>
          </w:p>
        </w:tc>
        <w:tc>
          <w:tcPr>
            <w:tcW w:w="708" w:type="dxa"/>
            <w:vMerge w:val="restart"/>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建设性质</w:t>
            </w:r>
          </w:p>
        </w:tc>
        <w:tc>
          <w:tcPr>
            <w:tcW w:w="2127" w:type="dxa"/>
            <w:gridSpan w:val="3"/>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建设时间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vMerge w:val="continue"/>
            <w:shd w:val="clear" w:color="auto" w:fill="auto"/>
            <w:vAlign w:val="center"/>
          </w:tcPr>
          <w:p>
            <w:pPr>
              <w:widowControl/>
              <w:spacing w:line="360" w:lineRule="auto"/>
              <w:jc w:val="center"/>
              <w:rPr>
                <w:rFonts w:ascii="Times New Roman" w:hAnsi="Times New Roman" w:eastAsia="仿宋_GB2312" w:cs="Times New Roman"/>
                <w:b/>
                <w:bCs/>
                <w:szCs w:val="21"/>
              </w:rPr>
            </w:pPr>
          </w:p>
        </w:tc>
        <w:tc>
          <w:tcPr>
            <w:tcW w:w="1134" w:type="dxa"/>
            <w:vMerge w:val="continue"/>
            <w:shd w:val="clear" w:color="auto" w:fill="auto"/>
            <w:vAlign w:val="center"/>
          </w:tcPr>
          <w:p>
            <w:pPr>
              <w:widowControl/>
              <w:spacing w:line="360" w:lineRule="auto"/>
              <w:jc w:val="center"/>
              <w:rPr>
                <w:rFonts w:ascii="Times New Roman" w:hAnsi="Times New Roman" w:eastAsia="仿宋_GB2312" w:cs="Times New Roman"/>
                <w:b/>
                <w:bCs/>
                <w:szCs w:val="21"/>
              </w:rPr>
            </w:pPr>
          </w:p>
        </w:tc>
        <w:tc>
          <w:tcPr>
            <w:tcW w:w="2693" w:type="dxa"/>
            <w:vMerge w:val="continue"/>
            <w:shd w:val="clear" w:color="auto" w:fill="auto"/>
            <w:vAlign w:val="center"/>
          </w:tcPr>
          <w:p>
            <w:pPr>
              <w:widowControl/>
              <w:spacing w:line="360" w:lineRule="auto"/>
              <w:jc w:val="center"/>
              <w:rPr>
                <w:rFonts w:ascii="Times New Roman" w:hAnsi="Times New Roman" w:eastAsia="仿宋_GB2312" w:cs="Times New Roman"/>
                <w:b/>
                <w:bCs/>
                <w:szCs w:val="21"/>
              </w:rPr>
            </w:pPr>
          </w:p>
        </w:tc>
        <w:tc>
          <w:tcPr>
            <w:tcW w:w="993" w:type="dxa"/>
            <w:vMerge w:val="continue"/>
            <w:shd w:val="clear" w:color="auto" w:fill="auto"/>
            <w:vAlign w:val="center"/>
          </w:tcPr>
          <w:p>
            <w:pPr>
              <w:widowControl/>
              <w:spacing w:line="360" w:lineRule="auto"/>
              <w:jc w:val="center"/>
              <w:rPr>
                <w:rFonts w:ascii="Times New Roman" w:hAnsi="Times New Roman" w:eastAsia="仿宋_GB2312" w:cs="Times New Roman"/>
                <w:b/>
                <w:bCs/>
                <w:szCs w:val="21"/>
              </w:rPr>
            </w:pPr>
          </w:p>
        </w:tc>
        <w:tc>
          <w:tcPr>
            <w:tcW w:w="708" w:type="dxa"/>
            <w:vMerge w:val="continue"/>
            <w:shd w:val="clear" w:color="auto" w:fill="auto"/>
            <w:vAlign w:val="center"/>
          </w:tcPr>
          <w:p>
            <w:pPr>
              <w:widowControl/>
              <w:spacing w:line="360" w:lineRule="auto"/>
              <w:jc w:val="center"/>
              <w:rPr>
                <w:rFonts w:ascii="Times New Roman" w:hAnsi="Times New Roman" w:eastAsia="仿宋_GB2312" w:cs="Times New Roman"/>
                <w:b/>
                <w:bCs/>
                <w:szCs w:val="21"/>
              </w:rPr>
            </w:pPr>
          </w:p>
        </w:tc>
        <w:tc>
          <w:tcPr>
            <w:tcW w:w="709" w:type="dxa"/>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近期</w:t>
            </w:r>
          </w:p>
        </w:tc>
        <w:tc>
          <w:tcPr>
            <w:tcW w:w="709" w:type="dxa"/>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中期</w:t>
            </w:r>
          </w:p>
        </w:tc>
        <w:tc>
          <w:tcPr>
            <w:tcW w:w="709" w:type="dxa"/>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城南公园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位于乐昌新城东南部</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5.86</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shd w:val="clear" w:color="FFFFFF" w:fill="D9D9D9"/>
              </w:rPr>
            </w:pPr>
            <w:r>
              <w:rPr>
                <w:rFonts w:ascii="Times New Roman" w:hAnsi="Times New Roman" w:eastAsia="仿宋_GB2312" w:cs="Times New Roman"/>
                <w:kern w:val="0"/>
                <w:szCs w:val="21"/>
              </w:rPr>
              <w:t>城东公园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位于高铁东站片区中部</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10.35</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shd w:val="clear" w:color="FFFFFF" w:fill="D9D9D9"/>
              </w:rPr>
            </w:pPr>
            <w:r>
              <w:rPr>
                <w:rFonts w:ascii="Times New Roman" w:hAnsi="Times New Roman" w:eastAsia="仿宋_GB2312" w:cs="Times New Roman"/>
                <w:kern w:val="0"/>
                <w:szCs w:val="21"/>
              </w:rPr>
              <w:t>乐山公园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位于人民南路以西</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1.54</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城北公园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位于城北京广铁路以北</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7.04</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东环公园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位于东环路与榴练路交汇处西北侧</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4.75</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练塘公园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位于京广铁路以西</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10.49</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北岭公园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位于乐昌产业转移园西北部</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7.12</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36" w:type="dxa"/>
            <w:gridSpan w:val="3"/>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合计</w:t>
            </w:r>
          </w:p>
        </w:tc>
        <w:tc>
          <w:tcPr>
            <w:tcW w:w="993" w:type="dxa"/>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47.15</w:t>
            </w:r>
          </w:p>
        </w:tc>
        <w:tc>
          <w:tcPr>
            <w:tcW w:w="708" w:type="dxa"/>
            <w:shd w:val="clear" w:color="auto" w:fill="auto"/>
            <w:vAlign w:val="center"/>
          </w:tcPr>
          <w:p>
            <w:pPr>
              <w:spacing w:line="360" w:lineRule="auto"/>
              <w:jc w:val="center"/>
              <w:rPr>
                <w:rFonts w:ascii="Times New Roman" w:hAnsi="Times New Roman" w:eastAsia="仿宋_GB2312" w:cs="Times New Roman"/>
                <w:b/>
                <w:bCs/>
                <w:color w:val="000000"/>
                <w:szCs w:val="21"/>
              </w:rPr>
            </w:pPr>
          </w:p>
        </w:tc>
        <w:tc>
          <w:tcPr>
            <w:tcW w:w="709" w:type="dxa"/>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23.25</w:t>
            </w:r>
          </w:p>
        </w:tc>
        <w:tc>
          <w:tcPr>
            <w:tcW w:w="709" w:type="dxa"/>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12.03</w:t>
            </w:r>
          </w:p>
        </w:tc>
        <w:tc>
          <w:tcPr>
            <w:tcW w:w="709" w:type="dxa"/>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11.87</w:t>
            </w:r>
          </w:p>
        </w:tc>
      </w:tr>
    </w:tbl>
    <w:p>
      <w:pPr>
        <w:pStyle w:val="5"/>
        <w:widowControl w:val="0"/>
        <w:spacing w:before="62" w:beforeLines="20" w:after="62" w:afterLines="20"/>
        <w:rPr>
          <w:rFonts w:cs="Times New Roman"/>
        </w:rPr>
      </w:pPr>
      <w:r>
        <w:rPr>
          <w:rFonts w:cs="Times New Roman"/>
        </w:rPr>
        <w:t>5.1.4.2防护绿地</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乐昌市城区防护绿地主要包括道路防护绿带、高压走廊防护绿带、水体防护林、卫生防护隔离绿带。按照《广东省城市绿化条例》城市干道需要建造道路绿化隔离带，其中京广高速铁路绿化隔离带宽度≥50m；京广铁路两侧防护绿带≥30m；乐广高速公路两侧防护绿带≥30m。220kV高压线走廊下安全隔离绿化带宽度为30-40m，110kV的安全隔离绿化带宽度为15-25m。城区段武江两岸的防护绿化带宽度每侧≥30m。目前建成区内部分防护绿地尚未达到规范要求。“创森”期间，进一步完善城区防护绿地建设，</w:t>
      </w:r>
      <w:r>
        <w:rPr>
          <w:rFonts w:ascii="Times New Roman" w:hAnsi="Times New Roman" w:eastAsia="仿宋_GB2312" w:cs="Times New Roman"/>
          <w:sz w:val="28"/>
        </w:rPr>
        <w:t>规划期内，城区内增加防护绿地</w:t>
      </w:r>
      <w:r>
        <w:rPr>
          <w:rFonts w:ascii="Times New Roman" w:hAnsi="Times New Roman" w:eastAsia="仿宋_GB2312" w:cs="Times New Roman"/>
          <w:bCs/>
          <w:sz w:val="28"/>
        </w:rPr>
        <w:t>44.14hm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，其中近期13.42hm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，中期18.29hm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，远期12.43hm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w:t>
      </w:r>
    </w:p>
    <w:p>
      <w:pPr>
        <w:pStyle w:val="5"/>
        <w:widowControl w:val="0"/>
        <w:spacing w:before="62" w:beforeLines="20" w:after="62" w:afterLines="20"/>
        <w:rPr>
          <w:rFonts w:cs="Times New Roman"/>
        </w:rPr>
      </w:pPr>
      <w:r>
        <w:rPr>
          <w:rFonts w:cs="Times New Roman"/>
        </w:rPr>
        <w:t>5.1.4.3附属绿地</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附属绿地主要包括居住区附属绿地、单位附属绿地和道路附属绿地。附属绿地是城市最为普遍及贴近人民群众生活的绿地，其绿地面积及质量直接影响着城市生态环境及城市景观。规划期内，重点加强居住区附属绿地，单位附属绿地、道路附属绿地的建设工作。加强对旧城区的改造和拆建，根据实际情况拆墙透绿、见缝插绿，巩固现有绿化基础，大力推广立体绿化。新建居住小区严格实施高标准绿化，使绿地面积比例≥30%。</w:t>
      </w:r>
      <w:r>
        <w:rPr>
          <w:rFonts w:ascii="Times New Roman" w:hAnsi="Times New Roman" w:eastAsia="仿宋_GB2312" w:cs="Times New Roman"/>
          <w:sz w:val="28"/>
          <w:szCs w:val="28"/>
        </w:rPr>
        <w:t>行政办公用地的绿地率</w:t>
      </w:r>
      <w:r>
        <w:rPr>
          <w:rFonts w:ascii="Times New Roman" w:hAnsi="Times New Roman" w:eastAsia="仿宋_GB2312" w:cs="Times New Roman"/>
          <w:bCs/>
          <w:sz w:val="28"/>
        </w:rPr>
        <w:t>≥</w:t>
      </w:r>
      <w:r>
        <w:rPr>
          <w:rFonts w:ascii="Times New Roman" w:hAnsi="Times New Roman" w:eastAsia="仿宋_GB2312" w:cs="Times New Roman"/>
          <w:sz w:val="28"/>
          <w:szCs w:val="28"/>
        </w:rPr>
        <w:t>35%；商业金融用地的绿地率</w:t>
      </w:r>
      <w:r>
        <w:rPr>
          <w:rFonts w:ascii="Times New Roman" w:hAnsi="Times New Roman" w:eastAsia="仿宋_GB2312" w:cs="Times New Roman"/>
          <w:bCs/>
          <w:sz w:val="28"/>
        </w:rPr>
        <w:t>≥</w:t>
      </w:r>
      <w:r>
        <w:rPr>
          <w:rFonts w:ascii="Times New Roman" w:hAnsi="Times New Roman" w:eastAsia="仿宋_GB2312" w:cs="Times New Roman"/>
          <w:sz w:val="28"/>
          <w:szCs w:val="28"/>
        </w:rPr>
        <w:t>20%；文化娱乐用地、体育用地、医疗卫生用地、教育科研用地以及其他公共设施的绿地率</w:t>
      </w:r>
      <w:r>
        <w:rPr>
          <w:rFonts w:ascii="Times New Roman" w:hAnsi="Times New Roman" w:eastAsia="仿宋_GB2312" w:cs="Times New Roman"/>
          <w:bCs/>
          <w:sz w:val="28"/>
        </w:rPr>
        <w:t>≥</w:t>
      </w:r>
      <w:r>
        <w:rPr>
          <w:rFonts w:ascii="Times New Roman" w:hAnsi="Times New Roman" w:eastAsia="仿宋_GB2312" w:cs="Times New Roman"/>
          <w:sz w:val="28"/>
          <w:szCs w:val="28"/>
        </w:rPr>
        <w:t>35%。</w:t>
      </w:r>
      <w:r>
        <w:rPr>
          <w:rFonts w:ascii="Times New Roman" w:hAnsi="Times New Roman" w:eastAsia="仿宋_GB2312" w:cs="Times New Roman"/>
          <w:bCs/>
          <w:sz w:val="28"/>
        </w:rPr>
        <w:t>红线宽度＞50m的道路绿地率≥30%，红线宽度在40m-50m的道路绿地率≥25%，红线宽度小于40m的道路绿地率≥20%。采取立体绿化方式，配置常绿与落叶相结合的乔灌花草植被，建设道路生态景观绿廊。</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至规划期末，城区新增附属绿地4.25hm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，其中近期新增2.42hm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，中期新增1hm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，远期新增0.83hm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w:t>
      </w:r>
      <w:r>
        <w:rPr>
          <w:rFonts w:ascii="Times New Roman" w:hAnsi="Times New Roman" w:eastAsia="仿宋_GB2312" w:cs="Times New Roman"/>
          <w:b/>
          <w:kern w:val="0"/>
          <w:sz w:val="24"/>
        </w:rPr>
        <w:t xml:space="preserve">   </w:t>
      </w:r>
    </w:p>
    <w:p>
      <w:pPr>
        <w:pStyle w:val="5"/>
        <w:widowControl w:val="0"/>
        <w:spacing w:before="62" w:beforeLines="20" w:after="62" w:afterLines="20"/>
        <w:rPr>
          <w:rFonts w:cs="Times New Roman"/>
        </w:rPr>
      </w:pPr>
      <w:r>
        <w:rPr>
          <w:rFonts w:cs="Times New Roman"/>
        </w:rPr>
        <w:t>5.1.4.4林荫道路建设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bCs/>
          <w:sz w:val="28"/>
        </w:rPr>
        <w:t>乐昌市建成区现有主干路、次干路43条，长度50.52km，</w:t>
      </w:r>
      <w:r>
        <w:rPr>
          <w:rFonts w:ascii="Times New Roman" w:hAnsi="Times New Roman" w:eastAsia="仿宋_GB2312" w:cs="Times New Roman"/>
          <w:sz w:val="28"/>
          <w:szCs w:val="28"/>
        </w:rPr>
        <w:t>其中林荫道路长度38.62km，林荫道路率76.45%。规划加强现有</w:t>
      </w:r>
      <w:r>
        <w:rPr>
          <w:rFonts w:ascii="Times New Roman" w:hAnsi="Times New Roman" w:eastAsia="仿宋_GB2312" w:cs="Times New Roman"/>
          <w:bCs/>
          <w:sz w:val="28"/>
        </w:rPr>
        <w:t>主干路、次干路的绿化景观提升，</w:t>
      </w:r>
      <w:r>
        <w:rPr>
          <w:rFonts w:ascii="Times New Roman" w:hAnsi="Times New Roman" w:eastAsia="仿宋_GB2312" w:cs="Times New Roman"/>
          <w:sz w:val="28"/>
          <w:szCs w:val="28"/>
        </w:rPr>
        <w:t>补植补造道路沿线绿化断档区域，栽植树冠冠幅大的乡土树种。规划期内，提升新村街、竹林新村、大东街、建设街等道路两侧绿化，新增林荫道路3.77hm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，其中近期新增0.71hm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；中期新增1.27hm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；远期新增1.79hm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表5-5 乐昌市城区林荫道路规划表</w:t>
      </w:r>
    </w:p>
    <w:tbl>
      <w:tblPr>
        <w:tblStyle w:val="471"/>
        <w:tblW w:w="47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637"/>
        <w:gridCol w:w="1645"/>
        <w:gridCol w:w="1213"/>
        <w:gridCol w:w="1212"/>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tblHeader/>
          <w:jc w:val="center"/>
        </w:trPr>
        <w:tc>
          <w:tcPr>
            <w:tcW w:w="644"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1005"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道路名称</w:t>
            </w:r>
          </w:p>
        </w:tc>
        <w:tc>
          <w:tcPr>
            <w:tcW w:w="3351" w:type="pct"/>
            <w:gridSpan w:val="4"/>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644"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1005"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101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745"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744"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85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站前路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0.15</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0.15</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解放路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0.16</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0.16</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新村街</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0.05</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0.05</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公主下路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0.15</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金融路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0.10</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0.10</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竹林新村</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0.12</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0.12</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大东街</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0.10</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0.10</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人民南路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0.46</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人民中路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0.55</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人民北路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0.27</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0.27</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建设街</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0.06</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0.06</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河南街</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0.13</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0.13</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乐棉路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0.08</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0.08</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西石岩路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0.27</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0.27</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鹅湾路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0.48</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矮石路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0.37</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0.37</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氮肥厂路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0.12</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0.12</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中山岭路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0.15</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49" w:type="pct"/>
            <w:gridSpan w:val="2"/>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01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3.77</w:t>
            </w:r>
          </w:p>
        </w:tc>
        <w:tc>
          <w:tcPr>
            <w:tcW w:w="745" w:type="pct"/>
            <w:shd w:val="clear" w:color="auto" w:fill="auto"/>
            <w:vAlign w:val="center"/>
          </w:tcPr>
          <w:p>
            <w:pPr>
              <w:widowControl/>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0.71</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1.27</w:t>
            </w:r>
          </w:p>
        </w:tc>
        <w:tc>
          <w:tcPr>
            <w:tcW w:w="85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1.79</w:t>
            </w:r>
          </w:p>
        </w:tc>
      </w:tr>
    </w:tbl>
    <w:p>
      <w:pPr>
        <w:pStyle w:val="5"/>
        <w:widowControl w:val="0"/>
        <w:spacing w:before="62" w:beforeLines="20" w:after="62" w:afterLines="20"/>
        <w:rPr>
          <w:rFonts w:cs="Times New Roman"/>
        </w:rPr>
      </w:pPr>
      <w:bookmarkStart w:id="85" w:name="_Toc24033772"/>
      <w:bookmarkStart w:id="86" w:name="_Toc14198088"/>
      <w:bookmarkStart w:id="87" w:name="_Toc532311802"/>
      <w:r>
        <w:rPr>
          <w:rFonts w:cs="Times New Roman"/>
        </w:rPr>
        <w:t>5.1.4.5“创森”示范单位</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“创森”期间，为增加公众对森林城市建设的关注度、支持度和参与度，现依托乐昌市绿化基础较好的单位、社区等开展“创森”示范单位建设，从而营造全民参与乐昌市国家森林城市建设的良好氛围。</w:t>
      </w:r>
      <w:r>
        <w:rPr>
          <w:rFonts w:ascii="Times New Roman" w:hAnsi="Times New Roman" w:eastAsia="仿宋_GB2312" w:cs="Times New Roman"/>
          <w:sz w:val="28"/>
          <w:szCs w:val="28"/>
        </w:rPr>
        <w:t>充分利用社区、单位的可用空间，积极开展“创森”示范社区、单位建设。坚持坚持师法自然，因地制宜，乔、灌、花、草搭配，利用攀援植物注重立体绿化建设，营造各具特色的近自然的森林景观，让森林走进家园，满足群众对森林的多样化需求，改善社区居民的生活环境，提高生活质量，增强人民群众的幸福感。</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规划建设“创森”示范单位12个，示范社区6个。</w:t>
      </w:r>
      <w:r>
        <w:rPr>
          <w:rFonts w:ascii="Times New Roman" w:hAnsi="Times New Roman" w:eastAsia="仿宋_GB2312" w:cs="Times New Roman"/>
          <w:sz w:val="28"/>
          <w:szCs w:val="28"/>
        </w:rPr>
        <w:t>其中近期建设</w:t>
      </w:r>
      <w:r>
        <w:rPr>
          <w:rFonts w:ascii="Times New Roman" w:hAnsi="Times New Roman" w:eastAsia="仿宋_GB2312" w:cs="Times New Roman"/>
          <w:bCs/>
          <w:sz w:val="28"/>
        </w:rPr>
        <w:t>“创森”示范单位4个，示范社区2个；</w:t>
      </w:r>
      <w:r>
        <w:rPr>
          <w:rFonts w:ascii="Times New Roman" w:hAnsi="Times New Roman" w:eastAsia="仿宋_GB2312" w:cs="Times New Roman"/>
          <w:sz w:val="28"/>
          <w:szCs w:val="28"/>
        </w:rPr>
        <w:t>中建设</w:t>
      </w:r>
      <w:r>
        <w:rPr>
          <w:rFonts w:ascii="Times New Roman" w:hAnsi="Times New Roman" w:eastAsia="仿宋_GB2312" w:cs="Times New Roman"/>
          <w:bCs/>
          <w:sz w:val="28"/>
        </w:rPr>
        <w:t>“创森”示范单位4个，示范社区2个；</w:t>
      </w:r>
      <w:r>
        <w:rPr>
          <w:rFonts w:ascii="Times New Roman" w:hAnsi="Times New Roman" w:eastAsia="仿宋_GB2312" w:cs="Times New Roman"/>
          <w:sz w:val="28"/>
          <w:szCs w:val="28"/>
        </w:rPr>
        <w:t>远期建设</w:t>
      </w:r>
      <w:r>
        <w:rPr>
          <w:rFonts w:ascii="Times New Roman" w:hAnsi="Times New Roman" w:eastAsia="仿宋_GB2312" w:cs="Times New Roman"/>
          <w:bCs/>
          <w:sz w:val="28"/>
        </w:rPr>
        <w:t>“创森”示范单位4个，示范社区2个。</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88" w:name="_Toc49241535"/>
      <w:r>
        <w:rPr>
          <w:rFonts w:ascii="Times New Roman" w:hAnsi="Times New Roman" w:eastAsia="黑体" w:cs="Times New Roman"/>
          <w:b/>
          <w:bCs/>
          <w:sz w:val="32"/>
          <w:szCs w:val="32"/>
        </w:rPr>
        <w:t>5.2</w:t>
      </w:r>
      <w:bookmarkEnd w:id="85"/>
      <w:bookmarkEnd w:id="86"/>
      <w:r>
        <w:rPr>
          <w:rFonts w:ascii="Times New Roman" w:hAnsi="Times New Roman" w:eastAsia="黑体" w:cs="Times New Roman"/>
          <w:b/>
          <w:bCs/>
          <w:sz w:val="32"/>
          <w:szCs w:val="32"/>
        </w:rPr>
        <w:t xml:space="preserve"> 绿美乡村建设工程</w:t>
      </w:r>
      <w:bookmarkEnd w:id="88"/>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89" w:name="_Toc14198089"/>
      <w:r>
        <w:rPr>
          <w:rFonts w:ascii="Times New Roman" w:hAnsi="Times New Roman" w:eastAsia="黑体" w:cs="Times New Roman"/>
          <w:b/>
          <w:bCs/>
          <w:kern w:val="28"/>
          <w:sz w:val="30"/>
          <w:szCs w:val="32"/>
        </w:rPr>
        <w:t xml:space="preserve">5.2.1 </w:t>
      </w:r>
      <w:bookmarkEnd w:id="89"/>
      <w:r>
        <w:rPr>
          <w:rFonts w:ascii="Times New Roman" w:hAnsi="Times New Roman" w:eastAsia="黑体" w:cs="Times New Roman"/>
          <w:b/>
          <w:bCs/>
          <w:kern w:val="28"/>
          <w:sz w:val="30"/>
          <w:szCs w:val="32"/>
        </w:rPr>
        <w:t>建设现状</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近年来，乐昌市以改善人居环境为目标，以建设广东省森林小镇、乡村绿化美化示范村为契机，全面推进乡村绿化美化进程。至2018年底，</w:t>
      </w:r>
      <w:r>
        <w:rPr>
          <w:rFonts w:ascii="Times New Roman" w:hAnsi="Times New Roman" w:eastAsia="仿宋_GB2312" w:cs="Times New Roman"/>
          <w:sz w:val="28"/>
        </w:rPr>
        <w:t>全市农村人居生态环境得到明显改善，村镇绿化美化水平显著提升，村庄生态建设工作取得较大成效。</w:t>
      </w:r>
      <w:r>
        <w:rPr>
          <w:rFonts w:ascii="Times New Roman" w:hAnsi="Times New Roman" w:eastAsia="仿宋_GB2312" w:cs="Times New Roman"/>
          <w:bCs/>
          <w:sz w:val="28"/>
        </w:rPr>
        <w:t>已建成广东省森林小镇1处，乡村绿化美化示范村30个，其中省级17个，市级13个。据统计，全市村庄绿化覆盖面积</w:t>
      </w:r>
      <w:r>
        <w:rPr>
          <w:rFonts w:ascii="Times New Roman" w:hAnsi="Times New Roman" w:eastAsia="仿宋_GB2312" w:cs="Times New Roman"/>
          <w:bCs/>
          <w:sz w:val="28"/>
          <w:szCs w:val="28"/>
        </w:rPr>
        <w:t>2530.13hm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bCs/>
          <w:sz w:val="28"/>
          <w:szCs w:val="28"/>
        </w:rPr>
        <w:t>，村庄绿化覆盖率39.55%。</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5.2.2 建设目标</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规划期内，不断提升村镇绿化水平，因地制宜、突出特色，重点打造一批高标准的森林小镇和乡村绿化美化示范点，带动乐昌乡村绿化建设水平全面提高，实现村庄的绿化、美化、净化，乡村人居环境大幅提升，农民幸福指数显著提高，人与自然更加和谐。</w:t>
      </w:r>
    </w:p>
    <w:p>
      <w:pPr>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“创森”期间，乐昌市创建</w:t>
      </w:r>
      <w:r>
        <w:rPr>
          <w:rFonts w:hint="eastAsia" w:ascii="Times New Roman" w:hAnsi="Times New Roman" w:eastAsia="仿宋_GB2312" w:cs="Times New Roman"/>
          <w:color w:val="000000" w:themeColor="text1"/>
          <w:sz w:val="28"/>
          <w:szCs w:val="28"/>
          <w14:textFill>
            <w14:solidFill>
              <w14:schemeClr w14:val="tx1"/>
            </w14:solidFill>
          </w14:textFill>
        </w:rPr>
        <w:t>7</w:t>
      </w:r>
      <w:r>
        <w:rPr>
          <w:rFonts w:ascii="Times New Roman" w:hAnsi="Times New Roman" w:eastAsia="仿宋_GB2312" w:cs="Times New Roman"/>
          <w:color w:val="000000" w:themeColor="text1"/>
          <w:sz w:val="28"/>
          <w:szCs w:val="28"/>
          <w14:textFill>
            <w14:solidFill>
              <w14:schemeClr w14:val="tx1"/>
            </w14:solidFill>
          </w14:textFill>
        </w:rPr>
        <w:t>个省级森林小镇，</w:t>
      </w:r>
      <w:r>
        <w:rPr>
          <w:rFonts w:hint="eastAsia" w:ascii="Times New Roman" w:hAnsi="Times New Roman" w:eastAsia="仿宋_GB2312" w:cs="Times New Roman"/>
          <w:color w:val="000000" w:themeColor="text1"/>
          <w:sz w:val="28"/>
          <w:szCs w:val="28"/>
          <w14:textFill>
            <w14:solidFill>
              <w14:schemeClr w14:val="tx1"/>
            </w14:solidFill>
          </w14:textFill>
        </w:rPr>
        <w:t>30</w:t>
      </w:r>
      <w:r>
        <w:rPr>
          <w:rFonts w:ascii="Times New Roman" w:hAnsi="Times New Roman" w:eastAsia="仿宋_GB2312" w:cs="Times New Roman"/>
          <w:color w:val="000000" w:themeColor="text1"/>
          <w:sz w:val="28"/>
          <w:szCs w:val="28"/>
          <w14:textFill>
            <w14:solidFill>
              <w14:schemeClr w14:val="tx1"/>
            </w14:solidFill>
          </w14:textFill>
        </w:rPr>
        <w:t>个</w:t>
      </w:r>
      <w:r>
        <w:rPr>
          <w:rFonts w:ascii="Times New Roman" w:hAnsi="Times New Roman" w:eastAsia="仿宋_GB2312" w:cs="Times New Roman"/>
          <w:bCs/>
          <w:sz w:val="28"/>
        </w:rPr>
        <w:t>乡村绿化美化示范村</w:t>
      </w:r>
      <w:r>
        <w:rPr>
          <w:rFonts w:ascii="Times New Roman" w:hAnsi="Times New Roman" w:eastAsia="仿宋_GB2312" w:cs="Times New Roman"/>
          <w:color w:val="000000" w:themeColor="text1"/>
          <w:sz w:val="28"/>
          <w:szCs w:val="28"/>
          <w14:textFill>
            <w14:solidFill>
              <w14:schemeClr w14:val="tx1"/>
            </w14:solidFill>
          </w14:textFill>
        </w:rPr>
        <w:t>。</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5.2.3 建设内容</w:t>
      </w:r>
    </w:p>
    <w:p>
      <w:pPr>
        <w:pStyle w:val="5"/>
        <w:widowControl w:val="0"/>
        <w:spacing w:before="62" w:beforeLines="20" w:after="62" w:afterLines="20"/>
        <w:rPr>
          <w:rFonts w:cs="Times New Roman"/>
        </w:rPr>
      </w:pPr>
      <w:r>
        <w:rPr>
          <w:rFonts w:cs="Times New Roman"/>
        </w:rPr>
        <w:t>5.2.3.1森林小镇建设</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以创建“广东省森林小镇”为抓</w:t>
      </w:r>
      <w:r>
        <w:rPr>
          <w:rFonts w:ascii="Times New Roman" w:hAnsi="Times New Roman" w:eastAsia="仿宋_GB2312" w:cs="Times New Roman"/>
          <w:sz w:val="28"/>
        </w:rPr>
        <w:t>手，不断推进乡镇绿化建设，提高乡镇建成区绿化覆盖率、村庄林木绿化率，增加城镇绿量，保护自然资源，改善人居环境。根据各乡镇的资源特色和文化特点，选定创建休闲宜居型和生态旅游型森林小镇。规划期内，创建广东省森林小镇7个，其中近期2个，中期3个，远期2个，详见表5-6。</w:t>
      </w:r>
    </w:p>
    <w:p>
      <w:pPr>
        <w:pStyle w:val="109"/>
        <w:spacing w:beforeLines="0" w:afterLines="0"/>
        <w:ind w:firstLine="0" w:firstLineChars="0"/>
        <w:rPr>
          <w:rFonts w:cs="Times New Roman"/>
          <w:color w:val="auto"/>
        </w:rPr>
      </w:pPr>
      <w:r>
        <w:rPr>
          <w:rFonts w:cs="Times New Roman"/>
          <w:color w:val="auto"/>
        </w:rPr>
        <w:t>表5-6 乐昌市森林小镇建设规划表</w:t>
      </w:r>
    </w:p>
    <w:tbl>
      <w:tblPr>
        <w:tblStyle w:val="47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559"/>
        <w:gridCol w:w="1985"/>
        <w:gridCol w:w="1347"/>
        <w:gridCol w:w="1347"/>
        <w:gridCol w:w="13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color w:val="000000"/>
                <w:kern w:val="0"/>
                <w:szCs w:val="21"/>
              </w:rPr>
              <w:t>序号</w:t>
            </w:r>
          </w:p>
        </w:tc>
        <w:tc>
          <w:tcPr>
            <w:tcW w:w="1559"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乡镇</w:t>
            </w:r>
          </w:p>
        </w:tc>
        <w:tc>
          <w:tcPr>
            <w:tcW w:w="1985"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森林小镇类型</w:t>
            </w:r>
          </w:p>
        </w:tc>
        <w:tc>
          <w:tcPr>
            <w:tcW w:w="4042" w:type="dxa"/>
            <w:gridSpan w:val="3"/>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规划任务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vMerge w:val="continue"/>
            <w:shd w:val="clear" w:color="auto" w:fill="auto"/>
            <w:vAlign w:val="center"/>
          </w:tcPr>
          <w:p>
            <w:pPr>
              <w:spacing w:line="360" w:lineRule="auto"/>
              <w:jc w:val="center"/>
              <w:rPr>
                <w:rFonts w:ascii="Times New Roman" w:hAnsi="Times New Roman" w:eastAsia="仿宋_GB2312" w:cs="Times New Roman"/>
                <w:b/>
                <w:color w:val="000000"/>
                <w:kern w:val="0"/>
                <w:szCs w:val="21"/>
              </w:rPr>
            </w:pPr>
          </w:p>
        </w:tc>
        <w:tc>
          <w:tcPr>
            <w:tcW w:w="1559" w:type="dxa"/>
            <w:vMerge w:val="continue"/>
            <w:shd w:val="clear" w:color="auto" w:fill="auto"/>
            <w:vAlign w:val="center"/>
          </w:tcPr>
          <w:p>
            <w:pPr>
              <w:spacing w:line="360" w:lineRule="auto"/>
              <w:jc w:val="center"/>
              <w:rPr>
                <w:rFonts w:ascii="Times New Roman" w:hAnsi="Times New Roman" w:eastAsia="仿宋_GB2312" w:cs="Times New Roman"/>
                <w:b/>
                <w:szCs w:val="21"/>
              </w:rPr>
            </w:pPr>
          </w:p>
        </w:tc>
        <w:tc>
          <w:tcPr>
            <w:tcW w:w="1985" w:type="dxa"/>
            <w:vMerge w:val="continue"/>
            <w:shd w:val="clear" w:color="auto" w:fill="auto"/>
            <w:vAlign w:val="center"/>
          </w:tcPr>
          <w:p>
            <w:pPr>
              <w:spacing w:line="360" w:lineRule="auto"/>
              <w:jc w:val="center"/>
              <w:rPr>
                <w:rFonts w:ascii="Times New Roman" w:hAnsi="Times New Roman" w:eastAsia="仿宋_GB2312" w:cs="Times New Roman"/>
                <w:b/>
                <w:szCs w:val="21"/>
              </w:rPr>
            </w:pPr>
          </w:p>
        </w:tc>
        <w:tc>
          <w:tcPr>
            <w:tcW w:w="134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近期</w:t>
            </w:r>
          </w:p>
        </w:tc>
        <w:tc>
          <w:tcPr>
            <w:tcW w:w="134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中期</w:t>
            </w:r>
          </w:p>
        </w:tc>
        <w:tc>
          <w:tcPr>
            <w:tcW w:w="1348"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 w:cs="Times New Roman"/>
                <w:color w:val="000000"/>
                <w:kern w:val="0"/>
                <w:szCs w:val="21"/>
              </w:rPr>
              <w:t>1</w:t>
            </w:r>
          </w:p>
        </w:tc>
        <w:tc>
          <w:tcPr>
            <w:tcW w:w="1559"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 w:cs="Times New Roman"/>
                <w:color w:val="000000"/>
                <w:szCs w:val="21"/>
              </w:rPr>
              <w:t>五山镇</w:t>
            </w:r>
          </w:p>
        </w:tc>
        <w:tc>
          <w:tcPr>
            <w:tcW w:w="1985"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 w:cs="Times New Roman"/>
                <w:color w:val="000000"/>
                <w:szCs w:val="21"/>
              </w:rPr>
              <w:t>生态旅游型</w:t>
            </w:r>
          </w:p>
        </w:tc>
        <w:tc>
          <w:tcPr>
            <w:tcW w:w="1347"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lang w:val="en-GB"/>
              </w:rPr>
              <w:t>√</w:t>
            </w:r>
          </w:p>
        </w:tc>
        <w:tc>
          <w:tcPr>
            <w:tcW w:w="1347" w:type="dxa"/>
            <w:shd w:val="clear" w:color="auto" w:fill="auto"/>
            <w:vAlign w:val="center"/>
          </w:tcPr>
          <w:p>
            <w:pPr>
              <w:spacing w:line="360" w:lineRule="auto"/>
              <w:jc w:val="center"/>
              <w:rPr>
                <w:rFonts w:ascii="Times New Roman" w:hAnsi="Times New Roman" w:eastAsia="仿宋_GB2312" w:cs="Times New Roman"/>
                <w:szCs w:val="21"/>
              </w:rPr>
            </w:pPr>
          </w:p>
        </w:tc>
        <w:tc>
          <w:tcPr>
            <w:tcW w:w="1348" w:type="dxa"/>
            <w:shd w:val="clear" w:color="auto" w:fill="auto"/>
            <w:vAlign w:val="center"/>
          </w:tcPr>
          <w:p>
            <w:pPr>
              <w:spacing w:line="360" w:lineRule="auto"/>
              <w:jc w:val="center"/>
              <w:rPr>
                <w:rFonts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 w:cs="Times New Roman"/>
                <w:color w:val="000000"/>
                <w:kern w:val="0"/>
                <w:szCs w:val="21"/>
              </w:rPr>
              <w:t>2</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黄圃镇</w:t>
            </w:r>
          </w:p>
        </w:tc>
        <w:tc>
          <w:tcPr>
            <w:tcW w:w="1985"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生态旅游型</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w:t>
            </w:r>
          </w:p>
        </w:tc>
        <w:tc>
          <w:tcPr>
            <w:tcW w:w="1348" w:type="dxa"/>
            <w:shd w:val="clear" w:color="auto" w:fill="auto"/>
            <w:vAlign w:val="center"/>
          </w:tcPr>
          <w:p>
            <w:pPr>
              <w:spacing w:line="360" w:lineRule="auto"/>
              <w:jc w:val="center"/>
              <w:rPr>
                <w:rFonts w:ascii="Times New Roman" w:hAnsi="Times New Roman" w:eastAsia="仿宋_GB2312" w:cs="Times New Roman"/>
                <w:szCs w:val="21"/>
                <w:lang w:val="en-G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 w:cs="Times New Roman"/>
                <w:color w:val="000000"/>
                <w:kern w:val="0"/>
                <w:szCs w:val="21"/>
              </w:rPr>
              <w:t>3</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白石镇</w:t>
            </w:r>
          </w:p>
        </w:tc>
        <w:tc>
          <w:tcPr>
            <w:tcW w:w="1985"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休闲宜居型</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w:t>
            </w:r>
          </w:p>
        </w:tc>
        <w:tc>
          <w:tcPr>
            <w:tcW w:w="1348" w:type="dxa"/>
            <w:shd w:val="clear" w:color="auto" w:fill="auto"/>
            <w:vAlign w:val="center"/>
          </w:tcPr>
          <w:p>
            <w:pPr>
              <w:spacing w:line="360" w:lineRule="auto"/>
              <w:jc w:val="center"/>
              <w:rPr>
                <w:rFonts w:ascii="Times New Roman" w:hAnsi="Times New Roman" w:eastAsia="仿宋_GB2312" w:cs="Times New Roman"/>
                <w:szCs w:val="21"/>
                <w:lang w:val="en-G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 w:cs="Times New Roman"/>
                <w:color w:val="000000"/>
                <w:kern w:val="0"/>
                <w:szCs w:val="21"/>
              </w:rPr>
              <w:t>4</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三溪镇</w:t>
            </w:r>
          </w:p>
        </w:tc>
        <w:tc>
          <w:tcPr>
            <w:tcW w:w="1985"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生态旅游型</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w:t>
            </w:r>
          </w:p>
        </w:tc>
        <w:tc>
          <w:tcPr>
            <w:tcW w:w="1348" w:type="dxa"/>
            <w:shd w:val="clear" w:color="auto" w:fill="auto"/>
            <w:vAlign w:val="center"/>
          </w:tcPr>
          <w:p>
            <w:pPr>
              <w:spacing w:line="360" w:lineRule="auto"/>
              <w:jc w:val="center"/>
              <w:rPr>
                <w:rFonts w:ascii="Times New Roman" w:hAnsi="Times New Roman" w:eastAsia="仿宋_GB2312" w:cs="Times New Roman"/>
                <w:szCs w:val="21"/>
                <w:lang w:val="en-G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 w:cs="Times New Roman"/>
                <w:color w:val="000000"/>
                <w:kern w:val="0"/>
                <w:szCs w:val="21"/>
              </w:rPr>
              <w:t>5</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秀水镇</w:t>
            </w:r>
          </w:p>
        </w:tc>
        <w:tc>
          <w:tcPr>
            <w:tcW w:w="1985"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生态旅游型</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6</w:t>
            </w:r>
          </w:p>
        </w:tc>
        <w:tc>
          <w:tcPr>
            <w:tcW w:w="1559" w:type="dxa"/>
            <w:shd w:val="clear" w:color="auto" w:fill="auto"/>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廊田镇</w:t>
            </w:r>
          </w:p>
        </w:tc>
        <w:tc>
          <w:tcPr>
            <w:tcW w:w="1985" w:type="dxa"/>
            <w:shd w:val="clear" w:color="auto" w:fill="auto"/>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休闲宜居型</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8" w:type="dxa"/>
            <w:shd w:val="clear" w:color="auto" w:fill="auto"/>
            <w:vAlign w:val="center"/>
          </w:tcPr>
          <w:p>
            <w:pPr>
              <w:spacing w:line="360" w:lineRule="auto"/>
              <w:jc w:val="center"/>
              <w:rPr>
                <w:rFonts w:ascii="Times New Roman" w:hAnsi="Times New Roman" w:eastAsia="仿宋_GB2312" w:cs="Times New Roman"/>
                <w:szCs w:val="21"/>
                <w:lang w:val="en-G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7</w:t>
            </w:r>
          </w:p>
        </w:tc>
        <w:tc>
          <w:tcPr>
            <w:tcW w:w="1559" w:type="dxa"/>
            <w:shd w:val="clear" w:color="auto" w:fill="auto"/>
            <w:vAlign w:val="center"/>
          </w:tcPr>
          <w:p>
            <w:pPr>
              <w:spacing w:line="360" w:lineRule="auto"/>
              <w:jc w:val="center"/>
              <w:rPr>
                <w:rFonts w:ascii="Times New Roman" w:hAnsi="Times New Roman" w:eastAsia="仿宋" w:cs="Times New Roman"/>
                <w:color w:val="000000"/>
                <w:szCs w:val="21"/>
              </w:rPr>
            </w:pPr>
            <w:r>
              <w:fldChar w:fldCharType="begin"/>
            </w:r>
            <w:r>
              <w:instrText xml:space="preserve"> HYPERLINK "https://baike.baidu.com/item/%E5%BA%86%E4%BA%91%E9%95%87" \t "_blank" </w:instrText>
            </w:r>
            <w:r>
              <w:fldChar w:fldCharType="separate"/>
            </w:r>
            <w:r>
              <w:rPr>
                <w:rFonts w:ascii="Times New Roman" w:hAnsi="Times New Roman" w:eastAsia="仿宋_GB2312" w:cs="Times New Roman"/>
                <w:szCs w:val="21"/>
                <w:lang w:val="en-GB"/>
              </w:rPr>
              <w:t>庆云镇</w:t>
            </w:r>
            <w:r>
              <w:rPr>
                <w:rFonts w:ascii="Times New Roman" w:hAnsi="Times New Roman" w:eastAsia="仿宋_GB2312" w:cs="Times New Roman"/>
                <w:szCs w:val="21"/>
                <w:lang w:val="en-GB"/>
              </w:rPr>
              <w:fldChar w:fldCharType="end"/>
            </w:r>
          </w:p>
        </w:tc>
        <w:tc>
          <w:tcPr>
            <w:tcW w:w="1985" w:type="dxa"/>
            <w:shd w:val="clear" w:color="auto" w:fill="auto"/>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生态旅游型</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w:t>
            </w:r>
          </w:p>
        </w:tc>
      </w:tr>
    </w:tbl>
    <w:p>
      <w:pPr>
        <w:pStyle w:val="5"/>
        <w:widowControl w:val="0"/>
        <w:spacing w:before="62" w:beforeLines="20" w:after="62" w:afterLines="20"/>
        <w:rPr>
          <w:rFonts w:cs="Times New Roman"/>
        </w:rPr>
      </w:pPr>
      <w:r>
        <w:rPr>
          <w:rFonts w:cs="Times New Roman"/>
        </w:rPr>
        <w:t>5.2.3.2乡镇绿化建设</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bCs/>
          <w:sz w:val="28"/>
        </w:rPr>
        <w:t>结合全域乡村和村庄整治建设工程，因地制宜地开展乡镇绿化建设工作。不断提升乡镇驻地公园绿地的质量，配备健身设施、文化娱乐设施、科普宣教设施等，为城镇居民提供休闲、健身、娱乐场所。结合乡镇街道绿化建设微型公园、小游园等公共休闲绿地，不断拓宽绿化空间，增加乡镇绿量，改善环境质量。在乡镇驻地外围利用空闲隙地、道路河渠两侧等建设围镇林，构建绿色屏障。</w:t>
      </w:r>
      <w:r>
        <w:rPr>
          <w:rFonts w:ascii="Times New Roman" w:hAnsi="Times New Roman" w:eastAsia="仿宋_GB2312" w:cs="Times New Roman"/>
          <w:sz w:val="28"/>
        </w:rPr>
        <w:t>规划期内，新建乡镇绿化建设面积16.59hm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，其中近期3.69hm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；中期7.37hm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；远期5.53hm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。提升公园绿地面积60.40hm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，其中近期4.50hm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；中期44.60hm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；远期11.30hm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。详见表5-7、表5-8。</w:t>
      </w:r>
    </w:p>
    <w:p>
      <w:pPr>
        <w:pStyle w:val="109"/>
        <w:spacing w:beforeLines="0" w:afterLines="0"/>
        <w:ind w:firstLine="0" w:firstLineChars="0"/>
        <w:rPr>
          <w:rFonts w:cs="Times New Roman"/>
          <w:color w:val="auto"/>
        </w:rPr>
      </w:pPr>
      <w:r>
        <w:rPr>
          <w:rFonts w:cs="Times New Roman"/>
          <w:color w:val="auto"/>
        </w:rPr>
        <w:t>表5-7 乐昌市各乡镇公园提升建设规划表</w:t>
      </w:r>
    </w:p>
    <w:tbl>
      <w:tblPr>
        <w:tblStyle w:val="47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631"/>
        <w:gridCol w:w="1276"/>
        <w:gridCol w:w="1559"/>
        <w:gridCol w:w="1418"/>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4" w:type="dxa"/>
            <w:vMerge w:val="restart"/>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序号</w:t>
            </w:r>
          </w:p>
        </w:tc>
        <w:tc>
          <w:tcPr>
            <w:tcW w:w="1631" w:type="dxa"/>
            <w:vMerge w:val="restart"/>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乡镇</w:t>
            </w:r>
          </w:p>
        </w:tc>
        <w:tc>
          <w:tcPr>
            <w:tcW w:w="5529" w:type="dxa"/>
            <w:gridSpan w:val="4"/>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规划任务（hm</w:t>
            </w:r>
            <w:r>
              <w:rPr>
                <w:rFonts w:cs="Times New Roman"/>
                <w:color w:val="auto"/>
                <w:sz w:val="21"/>
                <w:szCs w:val="21"/>
                <w:vertAlign w:val="superscript"/>
              </w:rPr>
              <w:t>2</w:t>
            </w:r>
            <w:r>
              <w:rPr>
                <w:rFonts w:cs="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4" w:type="dxa"/>
            <w:vMerge w:val="continue"/>
            <w:shd w:val="clear" w:color="auto" w:fill="auto"/>
            <w:vAlign w:val="center"/>
          </w:tcPr>
          <w:p>
            <w:pPr>
              <w:pStyle w:val="109"/>
              <w:spacing w:beforeLines="0" w:afterLines="0"/>
              <w:ind w:firstLine="0" w:firstLineChars="0"/>
              <w:rPr>
                <w:rFonts w:cs="Times New Roman"/>
                <w:color w:val="auto"/>
                <w:sz w:val="21"/>
                <w:szCs w:val="21"/>
              </w:rPr>
            </w:pPr>
          </w:p>
        </w:tc>
        <w:tc>
          <w:tcPr>
            <w:tcW w:w="1631" w:type="dxa"/>
            <w:vMerge w:val="continue"/>
            <w:shd w:val="clear" w:color="auto" w:fill="auto"/>
            <w:vAlign w:val="center"/>
          </w:tcPr>
          <w:p>
            <w:pPr>
              <w:pStyle w:val="109"/>
              <w:spacing w:beforeLines="0" w:afterLines="0"/>
              <w:ind w:firstLine="0" w:firstLineChars="0"/>
              <w:rPr>
                <w:rFonts w:cs="Times New Roman"/>
                <w:color w:val="auto"/>
                <w:sz w:val="21"/>
                <w:szCs w:val="21"/>
              </w:rPr>
            </w:pPr>
          </w:p>
        </w:tc>
        <w:tc>
          <w:tcPr>
            <w:tcW w:w="1276"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合计</w:t>
            </w:r>
          </w:p>
        </w:tc>
        <w:tc>
          <w:tcPr>
            <w:tcW w:w="1559"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近期</w:t>
            </w:r>
          </w:p>
        </w:tc>
        <w:tc>
          <w:tcPr>
            <w:tcW w:w="1418"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中期</w:t>
            </w:r>
          </w:p>
        </w:tc>
        <w:tc>
          <w:tcPr>
            <w:tcW w:w="1276"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"https://baike.baidu.com/item/%E5%8C%97%E4%B9%A1%E9%95%87" \t "_blank" </w:instrText>
            </w:r>
            <w:r>
              <w:fldChar w:fldCharType="separate"/>
            </w:r>
            <w:r>
              <w:rPr>
                <w:rFonts w:ascii="Times New Roman" w:hAnsi="Times New Roman" w:eastAsia="仿宋_GB2312" w:cs="Times New Roman"/>
                <w:szCs w:val="21"/>
                <w:lang w:val="en-GB"/>
              </w:rPr>
              <w:t>北乡镇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2.20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2.20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"https://baike.baidu.com/item/%E4%B9%9D%E5%B3%B0%E9%95%87" \t "_blank" </w:instrText>
            </w:r>
            <w:r>
              <w:fldChar w:fldCharType="separate"/>
            </w:r>
            <w:r>
              <w:rPr>
                <w:rFonts w:ascii="Times New Roman" w:hAnsi="Times New Roman" w:eastAsia="仿宋_GB2312" w:cs="Times New Roman"/>
                <w:szCs w:val="21"/>
                <w:lang w:val="en-GB"/>
              </w:rPr>
              <w:t>九峰镇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4</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4</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"https://baike.baidu.com/item/%E5%BB%8A%E7%94%B0%E9%95%87" \t "_blank" </w:instrText>
            </w:r>
            <w:r>
              <w:fldChar w:fldCharType="separate"/>
            </w:r>
            <w:r>
              <w:rPr>
                <w:rFonts w:ascii="Times New Roman" w:hAnsi="Times New Roman" w:eastAsia="仿宋_GB2312" w:cs="Times New Roman"/>
                <w:szCs w:val="21"/>
                <w:lang w:val="en-GB"/>
              </w:rPr>
              <w:t>廊田镇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4</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"https://baike.baidu.com/item/%E9%95%BF%E6%9D%A5%E9%95%87" \t "_blank" </w:instrText>
            </w:r>
            <w:r>
              <w:fldChar w:fldCharType="separate"/>
            </w:r>
            <w:r>
              <w:rPr>
                <w:rFonts w:ascii="Times New Roman" w:hAnsi="Times New Roman" w:eastAsia="仿宋_GB2312" w:cs="Times New Roman"/>
                <w:szCs w:val="21"/>
                <w:lang w:val="en-GB"/>
              </w:rPr>
              <w:t>长来镇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5</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"https://baike.baidu.com/item/%E6%A2%85%E8%8A%B1%E9%95%87" \t "_blank" </w:instrText>
            </w:r>
            <w:r>
              <w:fldChar w:fldCharType="separate"/>
            </w:r>
            <w:r>
              <w:rPr>
                <w:rFonts w:ascii="Times New Roman" w:hAnsi="Times New Roman" w:eastAsia="仿宋_GB2312" w:cs="Times New Roman"/>
                <w:szCs w:val="21"/>
                <w:lang w:val="en-GB"/>
              </w:rPr>
              <w:t>梅花镇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6</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"https://baike.baidu.com/item/%E4%B8%89%E6%BA%AA%E9%95%87" \t "_blank" </w:instrText>
            </w:r>
            <w:r>
              <w:fldChar w:fldCharType="separate"/>
            </w:r>
            <w:r>
              <w:rPr>
                <w:rFonts w:ascii="Times New Roman" w:hAnsi="Times New Roman" w:eastAsia="仿宋_GB2312" w:cs="Times New Roman"/>
                <w:szCs w:val="21"/>
                <w:lang w:val="en-GB"/>
              </w:rPr>
              <w:t>三溪镇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7</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"https://baike.baidu.com/item/%E5%9D%AA%E7%9F%B3%E9%95%87" \t "_blank" </w:instrText>
            </w:r>
            <w:r>
              <w:fldChar w:fldCharType="separate"/>
            </w:r>
            <w:r>
              <w:rPr>
                <w:rFonts w:ascii="Times New Roman" w:hAnsi="Times New Roman" w:eastAsia="仿宋_GB2312" w:cs="Times New Roman"/>
                <w:szCs w:val="21"/>
                <w:lang w:val="en-GB"/>
              </w:rPr>
              <w:t>坪石镇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40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40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8</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"https://baike.baidu.com/item/%E9%BB%84%E5%9C%83%E9%95%87" \t "_blank" </w:instrText>
            </w:r>
            <w:r>
              <w:fldChar w:fldCharType="separate"/>
            </w:r>
            <w:r>
              <w:rPr>
                <w:rFonts w:ascii="Times New Roman" w:hAnsi="Times New Roman" w:eastAsia="仿宋_GB2312" w:cs="Times New Roman"/>
                <w:szCs w:val="21"/>
                <w:lang w:val="en-GB"/>
              </w:rPr>
              <w:t>黄圃镇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9</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"https://baike.baidu.com/item/%E4%BA%94%E5%B1%B1%E9%95%87" \t "_blank" </w:instrText>
            </w:r>
            <w:r>
              <w:fldChar w:fldCharType="separate"/>
            </w:r>
            <w:r>
              <w:rPr>
                <w:rFonts w:ascii="Times New Roman" w:hAnsi="Times New Roman" w:eastAsia="仿宋_GB2312" w:cs="Times New Roman"/>
                <w:szCs w:val="21"/>
                <w:lang w:val="en-GB"/>
              </w:rPr>
              <w:t>五山镇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3.20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10</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"https://baike.baidu.com/item/%E4%B8%A4%E6%B1%9F%E9%95%87" \t "_blank" </w:instrText>
            </w:r>
            <w:r>
              <w:fldChar w:fldCharType="separate"/>
            </w:r>
            <w:r>
              <w:rPr>
                <w:rFonts w:ascii="Times New Roman" w:hAnsi="Times New Roman" w:eastAsia="仿宋_GB2312" w:cs="Times New Roman"/>
                <w:szCs w:val="21"/>
                <w:lang w:val="en-GB"/>
              </w:rPr>
              <w:t>两江镇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11</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"https://baike.baidu.com/item/%E6%B2%99%E5%9D%AA%E9%95%87" \t "_blank" </w:instrText>
            </w:r>
            <w:r>
              <w:fldChar w:fldCharType="separate"/>
            </w:r>
            <w:r>
              <w:rPr>
                <w:rFonts w:ascii="Times New Roman" w:hAnsi="Times New Roman" w:eastAsia="仿宋_GB2312" w:cs="Times New Roman"/>
                <w:szCs w:val="21"/>
                <w:lang w:val="en-GB"/>
              </w:rPr>
              <w:t>沙坪镇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12</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"https://baike.baidu.com/item/%E4%BA%91%E5%B2%A9%E9%95%87" \t "_blank" </w:instrText>
            </w:r>
            <w:r>
              <w:fldChar w:fldCharType="separate"/>
            </w:r>
            <w:r>
              <w:rPr>
                <w:rFonts w:ascii="Times New Roman" w:hAnsi="Times New Roman" w:eastAsia="仿宋_GB2312" w:cs="Times New Roman"/>
                <w:szCs w:val="21"/>
                <w:lang w:val="en-GB"/>
              </w:rPr>
              <w:t>云岩镇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13</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"https://baike.baidu.com/item/%E7%A7%80%E6%B0%B4%E9%95%87" \t "_blank" </w:instrText>
            </w:r>
            <w:r>
              <w:fldChar w:fldCharType="separate"/>
            </w:r>
            <w:r>
              <w:rPr>
                <w:rFonts w:ascii="Times New Roman" w:hAnsi="Times New Roman" w:eastAsia="仿宋_GB2312" w:cs="Times New Roman"/>
                <w:szCs w:val="21"/>
                <w:lang w:val="en-GB"/>
              </w:rPr>
              <w:t>秀水镇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14</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"https://baike.baidu.com/item/%E5%A4%A7%E6%BA%90%E9%95%87" \t "_blank" </w:instrText>
            </w:r>
            <w:r>
              <w:fldChar w:fldCharType="separate"/>
            </w:r>
            <w:r>
              <w:rPr>
                <w:rFonts w:ascii="Times New Roman" w:hAnsi="Times New Roman" w:eastAsia="仿宋_GB2312" w:cs="Times New Roman"/>
                <w:szCs w:val="21"/>
                <w:lang w:val="en-GB"/>
              </w:rPr>
              <w:t>大源镇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15</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"https://baike.baidu.com/item/%E5%BA%86%E4%BA%91%E9%95%87" \t "_blank" </w:instrText>
            </w:r>
            <w:r>
              <w:fldChar w:fldCharType="separate"/>
            </w:r>
            <w:r>
              <w:rPr>
                <w:rFonts w:ascii="Times New Roman" w:hAnsi="Times New Roman" w:eastAsia="仿宋_GB2312" w:cs="Times New Roman"/>
                <w:szCs w:val="21"/>
                <w:lang w:val="en-GB"/>
              </w:rPr>
              <w:t>庆云镇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1.30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1.30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16</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"https://baike.baidu.com/item/%E7%99%BD%E7%9F%B3%E9%95%87" \t "_blank" </w:instrText>
            </w:r>
            <w:r>
              <w:fldChar w:fldCharType="separate"/>
            </w:r>
            <w:r>
              <w:rPr>
                <w:rFonts w:ascii="Times New Roman" w:hAnsi="Times New Roman" w:eastAsia="仿宋_GB2312" w:cs="Times New Roman"/>
                <w:szCs w:val="21"/>
                <w:lang w:val="en-GB"/>
              </w:rPr>
              <w:t>白石镇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0.60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0.60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gridSpan w:val="2"/>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szCs w:val="21"/>
                <w:lang w:val="en-GB"/>
              </w:rPr>
              <w:t>合计</w:t>
            </w:r>
          </w:p>
        </w:tc>
        <w:tc>
          <w:tcPr>
            <w:tcW w:w="1276"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60.4</w:t>
            </w:r>
          </w:p>
        </w:tc>
        <w:tc>
          <w:tcPr>
            <w:tcW w:w="1559"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4.5</w:t>
            </w:r>
          </w:p>
        </w:tc>
        <w:tc>
          <w:tcPr>
            <w:tcW w:w="1418"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44.6</w:t>
            </w:r>
          </w:p>
        </w:tc>
        <w:tc>
          <w:tcPr>
            <w:tcW w:w="1276"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11.3</w:t>
            </w:r>
          </w:p>
        </w:tc>
      </w:tr>
    </w:tbl>
    <w:p>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表5-8 乐昌市各乡镇绿化建设规划表</w:t>
      </w:r>
    </w:p>
    <w:tbl>
      <w:tblPr>
        <w:tblStyle w:val="471"/>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631"/>
        <w:gridCol w:w="1276"/>
        <w:gridCol w:w="1559"/>
        <w:gridCol w:w="1418"/>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1204" w:type="dxa"/>
            <w:vMerge w:val="restart"/>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序号</w:t>
            </w:r>
          </w:p>
        </w:tc>
        <w:tc>
          <w:tcPr>
            <w:tcW w:w="1631" w:type="dxa"/>
            <w:vMerge w:val="restart"/>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乡镇</w:t>
            </w:r>
          </w:p>
        </w:tc>
        <w:tc>
          <w:tcPr>
            <w:tcW w:w="5529" w:type="dxa"/>
            <w:gridSpan w:val="4"/>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规划任务（hm</w:t>
            </w:r>
            <w:r>
              <w:rPr>
                <w:rFonts w:cs="Times New Roman"/>
                <w:color w:val="auto"/>
                <w:sz w:val="21"/>
                <w:szCs w:val="21"/>
                <w:vertAlign w:val="superscript"/>
              </w:rPr>
              <w:t>2</w:t>
            </w:r>
            <w:r>
              <w:rPr>
                <w:rFonts w:cs="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1204" w:type="dxa"/>
            <w:vMerge w:val="continue"/>
            <w:shd w:val="clear" w:color="auto" w:fill="auto"/>
            <w:vAlign w:val="center"/>
          </w:tcPr>
          <w:p>
            <w:pPr>
              <w:pStyle w:val="109"/>
              <w:spacing w:beforeLines="0" w:afterLines="0"/>
              <w:ind w:firstLine="0" w:firstLineChars="0"/>
              <w:rPr>
                <w:rFonts w:cs="Times New Roman"/>
                <w:color w:val="auto"/>
                <w:sz w:val="21"/>
                <w:szCs w:val="21"/>
              </w:rPr>
            </w:pPr>
          </w:p>
        </w:tc>
        <w:tc>
          <w:tcPr>
            <w:tcW w:w="1631" w:type="dxa"/>
            <w:vMerge w:val="continue"/>
            <w:shd w:val="clear" w:color="auto" w:fill="auto"/>
            <w:vAlign w:val="center"/>
          </w:tcPr>
          <w:p>
            <w:pPr>
              <w:pStyle w:val="109"/>
              <w:spacing w:beforeLines="0" w:afterLines="0"/>
              <w:ind w:firstLine="0" w:firstLineChars="0"/>
              <w:rPr>
                <w:rFonts w:cs="Times New Roman"/>
                <w:color w:val="auto"/>
                <w:sz w:val="21"/>
                <w:szCs w:val="21"/>
              </w:rPr>
            </w:pPr>
          </w:p>
        </w:tc>
        <w:tc>
          <w:tcPr>
            <w:tcW w:w="1276"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合计</w:t>
            </w:r>
          </w:p>
        </w:tc>
        <w:tc>
          <w:tcPr>
            <w:tcW w:w="1559"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近期</w:t>
            </w:r>
          </w:p>
        </w:tc>
        <w:tc>
          <w:tcPr>
            <w:tcW w:w="1418"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中期</w:t>
            </w:r>
          </w:p>
        </w:tc>
        <w:tc>
          <w:tcPr>
            <w:tcW w:w="1276"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"https://baike.baidu.com/item/%E5%8C%97%E4%B9%A1%E9%95%87" \t "_blank" </w:instrText>
            </w:r>
            <w:r>
              <w:fldChar w:fldCharType="separate"/>
            </w:r>
            <w:r>
              <w:rPr>
                <w:rFonts w:ascii="Times New Roman" w:hAnsi="Times New Roman" w:eastAsia="仿宋_GB2312" w:cs="Times New Roman"/>
                <w:szCs w:val="21"/>
                <w:lang w:val="en-GB"/>
              </w:rPr>
              <w:t>北乡镇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0.73</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0.16</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0.33</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"https://baike.baidu.com/item/%E4%B9%9D%E5%B3%B0%E9%95%87" \t "_blank" </w:instrText>
            </w:r>
            <w:r>
              <w:fldChar w:fldCharType="separate"/>
            </w:r>
            <w:r>
              <w:rPr>
                <w:rFonts w:ascii="Times New Roman" w:hAnsi="Times New Roman" w:eastAsia="仿宋_GB2312" w:cs="Times New Roman"/>
                <w:szCs w:val="21"/>
                <w:lang w:val="en-GB"/>
              </w:rPr>
              <w:t>九峰镇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1.94</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0.43</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0.86</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"https://baike.baidu.com/item/%E5%BB%8A%E7%94%B0%E9%95%87" \t "_blank" </w:instrText>
            </w:r>
            <w:r>
              <w:fldChar w:fldCharType="separate"/>
            </w:r>
            <w:r>
              <w:rPr>
                <w:rFonts w:ascii="Times New Roman" w:hAnsi="Times New Roman" w:eastAsia="仿宋_GB2312" w:cs="Times New Roman"/>
                <w:szCs w:val="21"/>
                <w:lang w:val="en-GB"/>
              </w:rPr>
              <w:t>廊田镇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1.08</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0.24</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0.48</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4</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"https://baike.baidu.com/item/%E9%95%BF%E6%9D%A5%E9%95%87" \t "_blank" </w:instrText>
            </w:r>
            <w:r>
              <w:fldChar w:fldCharType="separate"/>
            </w:r>
            <w:r>
              <w:rPr>
                <w:rFonts w:ascii="Times New Roman" w:hAnsi="Times New Roman" w:eastAsia="仿宋_GB2312" w:cs="Times New Roman"/>
                <w:szCs w:val="21"/>
                <w:lang w:val="en-GB"/>
              </w:rPr>
              <w:t>长来镇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0.09</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0.18</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5</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"https://baike.baidu.com/item/%E6%A2%85%E8%8A%B1%E9%95%87" \t "_blank" </w:instrText>
            </w:r>
            <w:r>
              <w:fldChar w:fldCharType="separate"/>
            </w:r>
            <w:r>
              <w:rPr>
                <w:rFonts w:ascii="Times New Roman" w:hAnsi="Times New Roman" w:eastAsia="仿宋_GB2312" w:cs="Times New Roman"/>
                <w:szCs w:val="21"/>
                <w:lang w:val="en-GB"/>
              </w:rPr>
              <w:t>梅花镇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1.13</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0.25</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6</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"https://baike.baidu.com/item/%E4%B8%89%E6%BA%AA%E9%95%87" \t "_blank" </w:instrText>
            </w:r>
            <w:r>
              <w:fldChar w:fldCharType="separate"/>
            </w:r>
            <w:r>
              <w:rPr>
                <w:rFonts w:ascii="Times New Roman" w:hAnsi="Times New Roman" w:eastAsia="仿宋_GB2312" w:cs="Times New Roman"/>
                <w:szCs w:val="21"/>
                <w:lang w:val="en-GB"/>
              </w:rPr>
              <w:t>三溪镇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0.59</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0.13</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0.26</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7</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"https://baike.baidu.com/item/%E5%9D%AA%E7%9F%B3%E9%95%87" \t "_blank" </w:instrText>
            </w:r>
            <w:r>
              <w:fldChar w:fldCharType="separate"/>
            </w:r>
            <w:r>
              <w:rPr>
                <w:rFonts w:ascii="Times New Roman" w:hAnsi="Times New Roman" w:eastAsia="仿宋_GB2312" w:cs="Times New Roman"/>
                <w:szCs w:val="21"/>
                <w:lang w:val="en-GB"/>
              </w:rPr>
              <w:t>坪石镇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2.13</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0.47</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0.95</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8</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"https://baike.baidu.com/item/%E9%BB%84%E5%9C%83%E9%95%87" \t "_blank" </w:instrText>
            </w:r>
            <w:r>
              <w:fldChar w:fldCharType="separate"/>
            </w:r>
            <w:r>
              <w:rPr>
                <w:rFonts w:ascii="Times New Roman" w:hAnsi="Times New Roman" w:eastAsia="仿宋_GB2312" w:cs="Times New Roman"/>
                <w:szCs w:val="21"/>
                <w:lang w:val="en-GB"/>
              </w:rPr>
              <w:t>黄圃镇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0.45</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9</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"https://baike.baidu.com/item/%E4%BA%94%E5%B1%B1%E9%95%87" \t "_blank" </w:instrText>
            </w:r>
            <w:r>
              <w:fldChar w:fldCharType="separate"/>
            </w:r>
            <w:r>
              <w:rPr>
                <w:rFonts w:ascii="Times New Roman" w:hAnsi="Times New Roman" w:eastAsia="仿宋_GB2312" w:cs="Times New Roman"/>
                <w:szCs w:val="21"/>
                <w:lang w:val="en-GB"/>
              </w:rPr>
              <w:t>五山镇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1.69</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0.38</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0.75</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10</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"https://baike.baidu.com/item/%E4%B8%A4%E6%B1%9F%E9%95%87" \t "_blank" </w:instrText>
            </w:r>
            <w:r>
              <w:fldChar w:fldCharType="separate"/>
            </w:r>
            <w:r>
              <w:rPr>
                <w:rFonts w:ascii="Times New Roman" w:hAnsi="Times New Roman" w:eastAsia="仿宋_GB2312" w:cs="Times New Roman"/>
                <w:szCs w:val="21"/>
                <w:lang w:val="en-GB"/>
              </w:rPr>
              <w:t>两江镇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1.28</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0.28</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0.57</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11</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"https://baike.baidu.com/item/%E6%B2%99%E5%9D%AA%E9%95%87" \t "_blank" </w:instrText>
            </w:r>
            <w:r>
              <w:fldChar w:fldCharType="separate"/>
            </w:r>
            <w:r>
              <w:rPr>
                <w:rFonts w:ascii="Times New Roman" w:hAnsi="Times New Roman" w:eastAsia="仿宋_GB2312" w:cs="Times New Roman"/>
                <w:szCs w:val="21"/>
                <w:lang w:val="en-GB"/>
              </w:rPr>
              <w:t>沙坪镇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0.54</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0.12</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0.24</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12</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"https://baike.baidu.com/item/%E4%BA%91%E5%B2%A9%E9%95%87" \t "_blank" </w:instrText>
            </w:r>
            <w:r>
              <w:fldChar w:fldCharType="separate"/>
            </w:r>
            <w:r>
              <w:rPr>
                <w:rFonts w:ascii="Times New Roman" w:hAnsi="Times New Roman" w:eastAsia="仿宋_GB2312" w:cs="Times New Roman"/>
                <w:szCs w:val="21"/>
                <w:lang w:val="en-GB"/>
              </w:rPr>
              <w:t>云岩镇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0.07</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0.13</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13</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"https://baike.baidu.com/item/%E7%A7%80%E6%B0%B4%E9%95%87" \t "_blank" </w:instrText>
            </w:r>
            <w:r>
              <w:fldChar w:fldCharType="separate"/>
            </w:r>
            <w:r>
              <w:rPr>
                <w:rFonts w:ascii="Times New Roman" w:hAnsi="Times New Roman" w:eastAsia="仿宋_GB2312" w:cs="Times New Roman"/>
                <w:szCs w:val="21"/>
                <w:lang w:val="en-GB"/>
              </w:rPr>
              <w:t>秀水镇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0.27</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0.06</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0.12</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14</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"https://baike.baidu.com/item/%E5%A4%A7%E6%BA%90%E9%95%87" \t "_blank" </w:instrText>
            </w:r>
            <w:r>
              <w:fldChar w:fldCharType="separate"/>
            </w:r>
            <w:r>
              <w:rPr>
                <w:rFonts w:ascii="Times New Roman" w:hAnsi="Times New Roman" w:eastAsia="仿宋_GB2312" w:cs="Times New Roman"/>
                <w:szCs w:val="21"/>
                <w:lang w:val="en-GB"/>
              </w:rPr>
              <w:t>大源镇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3.13</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0.70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1.39</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15</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"https://baike.baidu.com/item/%E5%BA%86%E4%BA%91%E9%95%87" \t "_blank" </w:instrText>
            </w:r>
            <w:r>
              <w:fldChar w:fldCharType="separate"/>
            </w:r>
            <w:r>
              <w:rPr>
                <w:rFonts w:ascii="Times New Roman" w:hAnsi="Times New Roman" w:eastAsia="仿宋_GB2312" w:cs="Times New Roman"/>
                <w:szCs w:val="21"/>
                <w:lang w:val="en-GB"/>
              </w:rPr>
              <w:t>庆云镇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0.57</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0.13</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0.25</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16</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"https://baike.baidu.com/item/%E7%99%BD%E7%9F%B3%E9%95%87" \t "_blank" </w:instrText>
            </w:r>
            <w:r>
              <w:fldChar w:fldCharType="separate"/>
            </w:r>
            <w:r>
              <w:rPr>
                <w:rFonts w:ascii="Times New Roman" w:hAnsi="Times New Roman" w:eastAsia="仿宋_GB2312" w:cs="Times New Roman"/>
                <w:szCs w:val="21"/>
                <w:lang w:val="en-GB"/>
              </w:rPr>
              <w:t>白石镇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0.36</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0.08</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0.16</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35" w:type="dxa"/>
            <w:gridSpan w:val="2"/>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szCs w:val="21"/>
                <w:lang w:val="en-GB"/>
              </w:rPr>
              <w:t>合计</w:t>
            </w:r>
          </w:p>
        </w:tc>
        <w:tc>
          <w:tcPr>
            <w:tcW w:w="1276"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16.59</w:t>
            </w:r>
          </w:p>
        </w:tc>
        <w:tc>
          <w:tcPr>
            <w:tcW w:w="1559"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3.69</w:t>
            </w:r>
          </w:p>
        </w:tc>
        <w:tc>
          <w:tcPr>
            <w:tcW w:w="1418"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7.37</w:t>
            </w:r>
          </w:p>
        </w:tc>
        <w:tc>
          <w:tcPr>
            <w:tcW w:w="1276"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5.53</w:t>
            </w:r>
          </w:p>
        </w:tc>
      </w:tr>
    </w:tbl>
    <w:p>
      <w:pPr>
        <w:pStyle w:val="5"/>
        <w:widowControl w:val="0"/>
        <w:spacing w:before="62" w:beforeLines="20" w:after="62" w:afterLines="20"/>
        <w:rPr>
          <w:rFonts w:cs="Times New Roman"/>
        </w:rPr>
      </w:pPr>
      <w:r>
        <w:rPr>
          <w:rFonts w:cs="Times New Roman"/>
        </w:rPr>
        <w:t>5.2.3.3村庄绿化美化建设</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1）“创森”期间，充分结合乐昌市乡村绿化美化示范村建设工程、根据各村自然景观、文化特色等，因地制宜地开展乡村绿化美化工作。在乡村的宗祠、水塘、河道旁及风水林等建设公共休闲绿地，配套健身设施、文化娱乐设施、科普教育设施等。每个行政村建有公共休闲绿地不少于1处，面积不低于500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按照“宜林则林，宜果则果”、“一路一景”的要求，积极推进乡村道路绿化，绿化植物以当地优良乡土树种为主，合理配置花灌木和地被植物，形成层次明显、色彩丰富的景观带。乡村交通干道以及村庄主要出入口，因地制宜建设景观小品节点，设计塑造既鲜明又朴素自然、与周边环境融为一体的整体风貌，突出地域特色。</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（3）充分利用房前屋后闲置地，结合乡村环境整治，积极引导村民种植名特优经济树种、珍贵树种和绿化树种，实现房前屋后美化绿化。</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规划期内，建设乡村绿化美化示范村30个，其中近期9个，中期12个，远期9个。新增绿化面积40hm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，其中近期12hm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；中期16hm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；远期12hm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。绿化美化示范村规划任务详见表5-9，村庄绿化建设规划详见表5-10。</w:t>
      </w:r>
    </w:p>
    <w:p>
      <w:pPr>
        <w:spacing w:line="360" w:lineRule="auto"/>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表5-9 乐昌市绿化美化示范村建设规划表</w:t>
      </w:r>
    </w:p>
    <w:tbl>
      <w:tblPr>
        <w:tblStyle w:val="471"/>
        <w:tblW w:w="81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843"/>
        <w:gridCol w:w="1417"/>
        <w:gridCol w:w="1418"/>
        <w:gridCol w:w="1417"/>
        <w:gridCol w:w="12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blHeader/>
          <w:jc w:val="center"/>
        </w:trPr>
        <w:tc>
          <w:tcPr>
            <w:tcW w:w="727"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序号</w:t>
            </w:r>
          </w:p>
        </w:tc>
        <w:tc>
          <w:tcPr>
            <w:tcW w:w="1843"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镇（办事处）</w:t>
            </w:r>
          </w:p>
        </w:tc>
        <w:tc>
          <w:tcPr>
            <w:tcW w:w="5548" w:type="dxa"/>
            <w:gridSpan w:val="4"/>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乡村绿化美化示范村规划任务（个）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blHeader/>
          <w:jc w:val="center"/>
        </w:trPr>
        <w:tc>
          <w:tcPr>
            <w:tcW w:w="727" w:type="dxa"/>
            <w:vMerge w:val="continue"/>
            <w:shd w:val="clear" w:color="auto" w:fill="auto"/>
            <w:vAlign w:val="center"/>
          </w:tcPr>
          <w:p>
            <w:pPr>
              <w:spacing w:line="360" w:lineRule="auto"/>
              <w:jc w:val="center"/>
              <w:rPr>
                <w:rFonts w:ascii="Times New Roman" w:hAnsi="Times New Roman" w:eastAsia="仿宋_GB2312" w:cs="Times New Roman"/>
                <w:b/>
                <w:szCs w:val="21"/>
              </w:rPr>
            </w:pPr>
          </w:p>
        </w:tc>
        <w:tc>
          <w:tcPr>
            <w:tcW w:w="1843" w:type="dxa"/>
            <w:vMerge w:val="continue"/>
            <w:shd w:val="clear" w:color="auto" w:fill="auto"/>
            <w:vAlign w:val="center"/>
          </w:tcPr>
          <w:p>
            <w:pPr>
              <w:spacing w:line="360" w:lineRule="auto"/>
              <w:jc w:val="center"/>
              <w:rPr>
                <w:rFonts w:ascii="Times New Roman" w:hAnsi="Times New Roman" w:eastAsia="仿宋_GB2312" w:cs="Times New Roman"/>
                <w:b/>
                <w:szCs w:val="21"/>
              </w:rPr>
            </w:pP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近期</w:t>
            </w:r>
          </w:p>
        </w:tc>
        <w:tc>
          <w:tcPr>
            <w:tcW w:w="1418"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中期</w:t>
            </w: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远期</w:t>
            </w:r>
          </w:p>
        </w:tc>
        <w:tc>
          <w:tcPr>
            <w:tcW w:w="1296"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2570" w:type="dxa"/>
            <w:gridSpan w:val="2"/>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9</w:t>
            </w:r>
          </w:p>
        </w:tc>
        <w:tc>
          <w:tcPr>
            <w:tcW w:w="1418"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12</w:t>
            </w: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9</w:t>
            </w:r>
          </w:p>
        </w:tc>
        <w:tc>
          <w:tcPr>
            <w:tcW w:w="1296"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843"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乐城办事处</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长来镇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北乡镇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廊田镇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五山镇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大源镇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九峰镇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两江镇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坪石镇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三溪镇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黄圃镇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庆云镇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白石镇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梅花镇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秀水镇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云岩镇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17</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沙坪镇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bl>
    <w:p>
      <w:pPr>
        <w:spacing w:line="360" w:lineRule="auto"/>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表5-10 乐昌市村庄绿化建设规划表</w:t>
      </w:r>
    </w:p>
    <w:tbl>
      <w:tblPr>
        <w:tblStyle w:val="471"/>
        <w:tblW w:w="81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1417"/>
        <w:gridCol w:w="1418"/>
        <w:gridCol w:w="1417"/>
        <w:gridCol w:w="1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blHeader/>
          <w:jc w:val="center"/>
        </w:trPr>
        <w:tc>
          <w:tcPr>
            <w:tcW w:w="709"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序号</w:t>
            </w:r>
          </w:p>
        </w:tc>
        <w:tc>
          <w:tcPr>
            <w:tcW w:w="1701"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镇（办事处）</w:t>
            </w:r>
          </w:p>
        </w:tc>
        <w:tc>
          <w:tcPr>
            <w:tcW w:w="5771" w:type="dxa"/>
            <w:gridSpan w:val="4"/>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村庄绿化面积（hm</w:t>
            </w:r>
            <w:r>
              <w:rPr>
                <w:rFonts w:ascii="Times New Roman" w:hAnsi="Times New Roman" w:eastAsia="仿宋_GB2312" w:cs="Times New Roman"/>
                <w:b/>
                <w:szCs w:val="21"/>
                <w:vertAlign w:val="superscript"/>
              </w:rPr>
              <w:t>2</w:t>
            </w:r>
            <w:r>
              <w:rPr>
                <w:rFonts w:ascii="Times New Roman" w:hAnsi="Times New Roman" w:eastAsia="仿宋_GB2312" w:cs="Times New Roman"/>
                <w:b/>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blHeader/>
          <w:jc w:val="center"/>
        </w:trPr>
        <w:tc>
          <w:tcPr>
            <w:tcW w:w="709" w:type="dxa"/>
            <w:vMerge w:val="continue"/>
            <w:shd w:val="clear" w:color="auto" w:fill="auto"/>
            <w:vAlign w:val="center"/>
          </w:tcPr>
          <w:p>
            <w:pPr>
              <w:spacing w:line="360" w:lineRule="auto"/>
              <w:jc w:val="center"/>
              <w:rPr>
                <w:rFonts w:ascii="Times New Roman" w:hAnsi="Times New Roman" w:eastAsia="仿宋_GB2312" w:cs="Times New Roman"/>
                <w:b/>
                <w:szCs w:val="21"/>
              </w:rPr>
            </w:pPr>
          </w:p>
        </w:tc>
        <w:tc>
          <w:tcPr>
            <w:tcW w:w="1701" w:type="dxa"/>
            <w:vMerge w:val="continue"/>
            <w:shd w:val="clear" w:color="auto" w:fill="auto"/>
            <w:vAlign w:val="center"/>
          </w:tcPr>
          <w:p>
            <w:pPr>
              <w:spacing w:line="360" w:lineRule="auto"/>
              <w:jc w:val="center"/>
              <w:rPr>
                <w:rFonts w:ascii="Times New Roman" w:hAnsi="Times New Roman" w:eastAsia="仿宋_GB2312" w:cs="Times New Roman"/>
                <w:b/>
                <w:szCs w:val="21"/>
              </w:rPr>
            </w:pP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近期</w:t>
            </w:r>
          </w:p>
        </w:tc>
        <w:tc>
          <w:tcPr>
            <w:tcW w:w="1418"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中期</w:t>
            </w: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远期</w:t>
            </w:r>
          </w:p>
        </w:tc>
        <w:tc>
          <w:tcPr>
            <w:tcW w:w="1519"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2410" w:type="dxa"/>
            <w:gridSpan w:val="2"/>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12</w:t>
            </w:r>
          </w:p>
        </w:tc>
        <w:tc>
          <w:tcPr>
            <w:tcW w:w="1418"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16</w:t>
            </w: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12</w:t>
            </w:r>
          </w:p>
        </w:tc>
        <w:tc>
          <w:tcPr>
            <w:tcW w:w="1519"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乐城办事处</w:t>
            </w:r>
          </w:p>
        </w:tc>
        <w:tc>
          <w:tcPr>
            <w:tcW w:w="1417" w:type="dxa"/>
            <w:shd w:val="clear" w:color="auto" w:fill="auto"/>
            <w:vAlign w:val="center"/>
          </w:tcPr>
          <w:p>
            <w:pPr>
              <w:widowControl/>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1.03</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长来镇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0.38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0.52</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0.38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北乡镇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0.19</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0.26</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0.19</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廊田镇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1.03</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五山镇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0.97</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1.29</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0.97</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3.23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大源镇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1.03</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九峰镇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0.96</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1.29</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0.96</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两江镇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0.77</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1.03</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0.77</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2.57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坪石镇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0.96</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1.29</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0.96</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三溪镇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0.77</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黄圃镇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0.77</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庆云镇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0.39</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0.52</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0.39</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白石镇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0.97</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1.29</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0.97</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3.23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梅花镇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1.03</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秀水镇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0.97</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1.29</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0.97</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3.23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云岩镇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0.39</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0.52</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0.39</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17</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沙坪镇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0.77</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1.04</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0.77</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2.58</w:t>
            </w:r>
          </w:p>
        </w:tc>
      </w:tr>
      <w:bookmarkEnd w:id="87"/>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90" w:name="_Toc49241536"/>
      <w:r>
        <w:rPr>
          <w:rFonts w:ascii="Times New Roman" w:hAnsi="Times New Roman" w:eastAsia="黑体" w:cs="Times New Roman"/>
          <w:b/>
          <w:bCs/>
          <w:sz w:val="32"/>
          <w:szCs w:val="32"/>
        </w:rPr>
        <w:t>5.3 绿色廊道建设工程</w:t>
      </w:r>
      <w:bookmarkEnd w:id="9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5.3.1 道路绿化</w:t>
      </w:r>
    </w:p>
    <w:p>
      <w:pPr>
        <w:pStyle w:val="5"/>
        <w:widowControl w:val="0"/>
        <w:spacing w:before="62" w:beforeLines="20" w:after="62" w:afterLines="20"/>
        <w:rPr>
          <w:rFonts w:cs="Times New Roman"/>
        </w:rPr>
      </w:pPr>
      <w:r>
        <w:rPr>
          <w:rFonts w:cs="Times New Roman"/>
        </w:rPr>
        <w:t>5.3.1.1建设现状</w:t>
      </w:r>
    </w:p>
    <w:p>
      <w:p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乐昌市拥有优越的道路交通条件，京港澳高速、乐广高速、武广高铁、京广铁路贯穿乐昌全境，基本形成以高速公路、铁路为主动脉，国省干线公路为骨架，县、乡公路为辅的道路交通网络。据统计，乐昌市境内</w:t>
      </w:r>
      <w:r>
        <w:rPr>
          <w:rFonts w:ascii="Times New Roman" w:hAnsi="Times New Roman" w:eastAsia="仿宋_GB2312" w:cs="Times New Roman"/>
          <w:sz w:val="28"/>
          <w:szCs w:val="28"/>
        </w:rPr>
        <w:t>铁路、乡级以上公路适宜绿化长度431.33km，已绿化406.33km，道路绿化率达94.20%。</w:t>
      </w:r>
    </w:p>
    <w:p>
      <w:pPr>
        <w:pStyle w:val="5"/>
        <w:widowControl w:val="0"/>
        <w:spacing w:before="62" w:beforeLines="20" w:after="62" w:afterLines="20"/>
        <w:rPr>
          <w:rFonts w:cs="Times New Roman"/>
        </w:rPr>
      </w:pPr>
      <w:r>
        <w:rPr>
          <w:rFonts w:cs="Times New Roman"/>
        </w:rPr>
        <w:t>5.3.1.2 建设目标</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提升铁路、高速公路、国省道、县乡道的绿化档次和质量，以乡土乔木树种为主，优化树种配置，增加道路绿化层次，扩大道路绿化空间，提升道路绿化景观效果。</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规划期内，新增道路绿化面积38.65hm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，其中近期30hm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；中期2.83hm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；远期5.82hm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。提升道路绿化面积131.05hm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，其中近期54.84hm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；中期38.90hm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；远期37.31hm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。道路绿化增绿工程规划见表5-11</w:t>
      </w:r>
      <w:r>
        <w:rPr>
          <w:rFonts w:ascii="Times New Roman" w:hAnsi="Times New Roman" w:eastAsia="仿宋_GB2312" w:cs="Times New Roman"/>
          <w:bCs/>
          <w:sz w:val="28"/>
          <w:szCs w:val="24"/>
        </w:rPr>
        <w:t>。</w:t>
      </w:r>
    </w:p>
    <w:p>
      <w:pPr>
        <w:pStyle w:val="5"/>
        <w:widowControl w:val="0"/>
        <w:spacing w:before="62" w:beforeLines="20" w:after="62" w:afterLines="20"/>
        <w:rPr>
          <w:rFonts w:cs="Times New Roman"/>
        </w:rPr>
      </w:pPr>
      <w:r>
        <w:rPr>
          <w:rFonts w:cs="Times New Roman"/>
        </w:rPr>
        <w:t>5.3.1.3建设内容</w:t>
      </w:r>
    </w:p>
    <w:p>
      <w:p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（1）高速公路、国省道</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结合生态景观林带建设，不断提升高速公路、国省道两侧绿化带质量，对公路两侧绿化断档区域进行补植，因地制宜地配置花灌木及地被景观植物，提高道路绿化水平，提升景观效果。</w:t>
      </w:r>
    </w:p>
    <w:p>
      <w:p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（2）县、乡道路</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根据具体情况调整绿化带宽度，以乡土乔木为骨干树种，采取近自然绿化方式，形成与周边环境相协调的道路景观。绿化树种应结合地方特色，选用防护性能好、抗性强的乡土树种，</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兼具美观或具有较大经济价值的树种</w:t>
      </w:r>
      <w:r>
        <w:rPr>
          <w:rFonts w:ascii="Times New Roman" w:hAnsi="Times New Roman" w:eastAsia="仿宋_GB2312" w:cs="Times New Roman"/>
          <w:bCs/>
          <w:sz w:val="28"/>
        </w:rPr>
        <w:t>。</w:t>
      </w:r>
    </w:p>
    <w:p>
      <w:p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（3）景观节点</w:t>
      </w:r>
    </w:p>
    <w:p>
      <w:pPr>
        <w:numPr>
          <w:ilvl w:val="255"/>
          <w:numId w:val="0"/>
        </w:num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在高速公路、国省道等交通主干道沿线的出入口，城市出入口、城镇村居、收费站、立交互通等景观节点，选择景观多样的乔木、灌木和地被，采用多种形式的造景手法，建设精致、美观的景观节点。</w:t>
      </w:r>
    </w:p>
    <w:p>
      <w:pPr>
        <w:numPr>
          <w:ilvl w:val="255"/>
          <w:numId w:val="0"/>
        </w:num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（4）生态景观带</w:t>
      </w:r>
    </w:p>
    <w:p>
      <w:pPr>
        <w:numPr>
          <w:ilvl w:val="255"/>
          <w:numId w:val="0"/>
        </w:num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在高速公路、国省道等交通主干道两侧1km内可视范围山地，选用花色树种、观景树种和观赏灌木搭配方式进行造林绿化，不断更新改造景观效果较差的人造纯林，建设大尺度、大色调的森林生态景观。</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表5-11  道路绿化规划表</w:t>
      </w:r>
    </w:p>
    <w:tbl>
      <w:tblPr>
        <w:tblStyle w:val="471"/>
        <w:tblW w:w="831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53"/>
        <w:gridCol w:w="849"/>
        <w:gridCol w:w="851"/>
        <w:gridCol w:w="992"/>
        <w:gridCol w:w="851"/>
        <w:gridCol w:w="992"/>
        <w:gridCol w:w="992"/>
        <w:gridCol w:w="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tblHeader/>
        </w:trPr>
        <w:tc>
          <w:tcPr>
            <w:tcW w:w="683" w:type="pct"/>
            <w:vMerge w:val="restart"/>
            <w:shd w:val="clear" w:color="auto" w:fill="auto"/>
            <w:vAlign w:val="center"/>
          </w:tcPr>
          <w:p>
            <w:pPr>
              <w:spacing w:line="360" w:lineRule="auto"/>
              <w:jc w:val="center"/>
              <w:rPr>
                <w:rFonts w:ascii="Times New Roman" w:hAnsi="Times New Roman" w:eastAsia="仿宋_GB2312" w:cs="Times New Roman"/>
                <w:b/>
                <w:kern w:val="0"/>
                <w:szCs w:val="16"/>
              </w:rPr>
            </w:pPr>
            <w:r>
              <w:rPr>
                <w:rFonts w:ascii="Times New Roman" w:hAnsi="Times New Roman" w:eastAsia="仿宋_GB2312" w:cs="Times New Roman"/>
                <w:b/>
                <w:color w:val="000000"/>
                <w:kern w:val="0"/>
                <w:szCs w:val="21"/>
              </w:rPr>
              <w:t>道路类型</w:t>
            </w:r>
          </w:p>
        </w:tc>
        <w:tc>
          <w:tcPr>
            <w:tcW w:w="1024" w:type="pct"/>
            <w:gridSpan w:val="2"/>
            <w:shd w:val="clear" w:color="auto" w:fill="auto"/>
            <w:vAlign w:val="center"/>
          </w:tcPr>
          <w:p>
            <w:pPr>
              <w:spacing w:line="360" w:lineRule="auto"/>
              <w:jc w:val="center"/>
              <w:rPr>
                <w:rFonts w:ascii="Times New Roman" w:hAnsi="Times New Roman" w:eastAsia="仿宋_GB2312" w:cs="Times New Roman"/>
                <w:b/>
                <w:kern w:val="0"/>
                <w:szCs w:val="16"/>
              </w:rPr>
            </w:pPr>
            <w:r>
              <w:rPr>
                <w:rFonts w:ascii="Times New Roman" w:hAnsi="Times New Roman" w:eastAsia="仿宋_GB2312" w:cs="Times New Roman"/>
                <w:b/>
                <w:kern w:val="0"/>
                <w:szCs w:val="16"/>
              </w:rPr>
              <w:t>合计（hm</w:t>
            </w:r>
            <w:r>
              <w:rPr>
                <w:rFonts w:ascii="Times New Roman" w:hAnsi="Times New Roman" w:eastAsia="仿宋_GB2312" w:cs="Times New Roman"/>
                <w:b/>
                <w:kern w:val="0"/>
                <w:szCs w:val="16"/>
                <w:vertAlign w:val="superscript"/>
              </w:rPr>
              <w:t>2</w:t>
            </w:r>
            <w:r>
              <w:rPr>
                <w:rFonts w:ascii="Times New Roman" w:hAnsi="Times New Roman" w:eastAsia="仿宋_GB2312" w:cs="Times New Roman"/>
                <w:b/>
                <w:kern w:val="0"/>
                <w:szCs w:val="16"/>
              </w:rPr>
              <w:t>）</w:t>
            </w:r>
          </w:p>
        </w:tc>
        <w:tc>
          <w:tcPr>
            <w:tcW w:w="1109" w:type="pct"/>
            <w:gridSpan w:val="2"/>
            <w:shd w:val="clear" w:color="auto" w:fill="auto"/>
            <w:vAlign w:val="center"/>
          </w:tcPr>
          <w:p>
            <w:pPr>
              <w:spacing w:line="360" w:lineRule="auto"/>
              <w:jc w:val="center"/>
              <w:rPr>
                <w:rFonts w:ascii="Times New Roman" w:hAnsi="Times New Roman" w:eastAsia="仿宋_GB2312" w:cs="Times New Roman"/>
                <w:b/>
                <w:kern w:val="0"/>
                <w:szCs w:val="16"/>
              </w:rPr>
            </w:pPr>
            <w:r>
              <w:rPr>
                <w:rFonts w:ascii="Times New Roman" w:hAnsi="Times New Roman" w:eastAsia="仿宋_GB2312" w:cs="Times New Roman"/>
                <w:b/>
                <w:kern w:val="0"/>
                <w:szCs w:val="16"/>
              </w:rPr>
              <w:t>近期（hm</w:t>
            </w:r>
            <w:r>
              <w:rPr>
                <w:rFonts w:ascii="Times New Roman" w:hAnsi="Times New Roman" w:eastAsia="仿宋_GB2312" w:cs="Times New Roman"/>
                <w:b/>
                <w:kern w:val="0"/>
                <w:szCs w:val="16"/>
                <w:vertAlign w:val="superscript"/>
              </w:rPr>
              <w:t>2</w:t>
            </w:r>
            <w:r>
              <w:rPr>
                <w:rFonts w:ascii="Times New Roman" w:hAnsi="Times New Roman" w:eastAsia="仿宋_GB2312" w:cs="Times New Roman"/>
                <w:b/>
                <w:kern w:val="0"/>
                <w:szCs w:val="16"/>
              </w:rPr>
              <w:t>）</w:t>
            </w:r>
          </w:p>
        </w:tc>
        <w:tc>
          <w:tcPr>
            <w:tcW w:w="1109" w:type="pct"/>
            <w:gridSpan w:val="2"/>
            <w:shd w:val="clear" w:color="auto" w:fill="auto"/>
            <w:vAlign w:val="center"/>
          </w:tcPr>
          <w:p>
            <w:pPr>
              <w:spacing w:line="360" w:lineRule="auto"/>
              <w:jc w:val="center"/>
              <w:rPr>
                <w:rFonts w:ascii="Times New Roman" w:hAnsi="Times New Roman" w:eastAsia="仿宋_GB2312" w:cs="Times New Roman"/>
                <w:b/>
                <w:kern w:val="0"/>
                <w:szCs w:val="16"/>
              </w:rPr>
            </w:pPr>
            <w:r>
              <w:rPr>
                <w:rFonts w:ascii="Times New Roman" w:hAnsi="Times New Roman" w:eastAsia="仿宋_GB2312" w:cs="Times New Roman"/>
                <w:b/>
                <w:kern w:val="0"/>
                <w:szCs w:val="16"/>
              </w:rPr>
              <w:t>中期（hm</w:t>
            </w:r>
            <w:r>
              <w:rPr>
                <w:rFonts w:ascii="Times New Roman" w:hAnsi="Times New Roman" w:eastAsia="仿宋_GB2312" w:cs="Times New Roman"/>
                <w:b/>
                <w:kern w:val="0"/>
                <w:szCs w:val="16"/>
                <w:vertAlign w:val="superscript"/>
              </w:rPr>
              <w:t>2</w:t>
            </w:r>
            <w:r>
              <w:rPr>
                <w:rFonts w:ascii="Times New Roman" w:hAnsi="Times New Roman" w:eastAsia="仿宋_GB2312" w:cs="Times New Roman"/>
                <w:b/>
                <w:kern w:val="0"/>
                <w:szCs w:val="16"/>
              </w:rPr>
              <w:t>）</w:t>
            </w:r>
          </w:p>
        </w:tc>
        <w:tc>
          <w:tcPr>
            <w:tcW w:w="1075" w:type="pct"/>
            <w:gridSpan w:val="2"/>
            <w:shd w:val="clear" w:color="auto" w:fill="auto"/>
            <w:vAlign w:val="center"/>
          </w:tcPr>
          <w:p>
            <w:pPr>
              <w:spacing w:line="360" w:lineRule="auto"/>
              <w:jc w:val="center"/>
              <w:rPr>
                <w:rFonts w:ascii="Times New Roman" w:hAnsi="Times New Roman" w:eastAsia="仿宋_GB2312" w:cs="Times New Roman"/>
                <w:b/>
                <w:kern w:val="0"/>
                <w:szCs w:val="16"/>
              </w:rPr>
            </w:pPr>
            <w:r>
              <w:rPr>
                <w:rFonts w:ascii="Times New Roman" w:hAnsi="Times New Roman" w:eastAsia="仿宋_GB2312" w:cs="Times New Roman"/>
                <w:b/>
                <w:kern w:val="0"/>
                <w:szCs w:val="16"/>
              </w:rPr>
              <w:t>远期（hm</w:t>
            </w:r>
            <w:r>
              <w:rPr>
                <w:rFonts w:ascii="Times New Roman" w:hAnsi="Times New Roman" w:eastAsia="仿宋_GB2312" w:cs="Times New Roman"/>
                <w:b/>
                <w:kern w:val="0"/>
                <w:szCs w:val="16"/>
                <w:vertAlign w:val="superscript"/>
              </w:rPr>
              <w:t>2</w:t>
            </w:r>
            <w:r>
              <w:rPr>
                <w:rFonts w:ascii="Times New Roman" w:hAnsi="Times New Roman" w:eastAsia="仿宋_GB2312" w:cs="Times New Roman"/>
                <w:b/>
                <w:kern w:val="0"/>
                <w:szCs w:val="16"/>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blHeader/>
        </w:trPr>
        <w:tc>
          <w:tcPr>
            <w:tcW w:w="683" w:type="pct"/>
            <w:vMerge w:val="continue"/>
            <w:shd w:val="clear" w:color="auto" w:fill="auto"/>
            <w:vAlign w:val="center"/>
          </w:tcPr>
          <w:p>
            <w:pPr>
              <w:spacing w:line="360" w:lineRule="auto"/>
              <w:jc w:val="center"/>
              <w:rPr>
                <w:rFonts w:ascii="Times New Roman" w:hAnsi="Times New Roman" w:eastAsia="仿宋_GB2312" w:cs="Times New Roman"/>
                <w:kern w:val="0"/>
                <w:szCs w:val="16"/>
              </w:rPr>
            </w:pPr>
          </w:p>
        </w:tc>
        <w:tc>
          <w:tcPr>
            <w:tcW w:w="513"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新建</w:t>
            </w:r>
          </w:p>
        </w:tc>
        <w:tc>
          <w:tcPr>
            <w:tcW w:w="511"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提升</w:t>
            </w:r>
          </w:p>
        </w:tc>
        <w:tc>
          <w:tcPr>
            <w:tcW w:w="512"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新建</w:t>
            </w:r>
          </w:p>
        </w:tc>
        <w:tc>
          <w:tcPr>
            <w:tcW w:w="597"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提升</w:t>
            </w:r>
          </w:p>
        </w:tc>
        <w:tc>
          <w:tcPr>
            <w:tcW w:w="512"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新建</w:t>
            </w:r>
          </w:p>
        </w:tc>
        <w:tc>
          <w:tcPr>
            <w:tcW w:w="597"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提升</w:t>
            </w:r>
          </w:p>
        </w:tc>
        <w:tc>
          <w:tcPr>
            <w:tcW w:w="597"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新建</w:t>
            </w:r>
          </w:p>
        </w:tc>
        <w:tc>
          <w:tcPr>
            <w:tcW w:w="478"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提升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3"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513"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38.65</w:t>
            </w:r>
          </w:p>
        </w:tc>
        <w:tc>
          <w:tcPr>
            <w:tcW w:w="511"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131.05</w:t>
            </w:r>
          </w:p>
        </w:tc>
        <w:tc>
          <w:tcPr>
            <w:tcW w:w="512"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30</w:t>
            </w:r>
          </w:p>
        </w:tc>
        <w:tc>
          <w:tcPr>
            <w:tcW w:w="597"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54.84</w:t>
            </w:r>
          </w:p>
        </w:tc>
        <w:tc>
          <w:tcPr>
            <w:tcW w:w="512"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2.83</w:t>
            </w:r>
          </w:p>
        </w:tc>
        <w:tc>
          <w:tcPr>
            <w:tcW w:w="597"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38.90</w:t>
            </w:r>
          </w:p>
        </w:tc>
        <w:tc>
          <w:tcPr>
            <w:tcW w:w="597"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5.82</w:t>
            </w:r>
          </w:p>
        </w:tc>
        <w:tc>
          <w:tcPr>
            <w:tcW w:w="478"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37.31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高速公路</w:t>
            </w:r>
          </w:p>
        </w:tc>
        <w:tc>
          <w:tcPr>
            <w:tcW w:w="51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11"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21.26</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6.13</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8.42</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478"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国道</w:t>
            </w:r>
          </w:p>
        </w:tc>
        <w:tc>
          <w:tcPr>
            <w:tcW w:w="51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8.65</w:t>
            </w:r>
          </w:p>
        </w:tc>
        <w:tc>
          <w:tcPr>
            <w:tcW w:w="511"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29.59</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10.36</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2.83</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5.82</w:t>
            </w:r>
          </w:p>
        </w:tc>
        <w:tc>
          <w:tcPr>
            <w:tcW w:w="478"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省道</w:t>
            </w:r>
          </w:p>
        </w:tc>
        <w:tc>
          <w:tcPr>
            <w:tcW w:w="51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11"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24.97</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8.35</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6.45</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478"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县乡道路</w:t>
            </w:r>
          </w:p>
        </w:tc>
        <w:tc>
          <w:tcPr>
            <w:tcW w:w="51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w:t>
            </w:r>
          </w:p>
        </w:tc>
        <w:tc>
          <w:tcPr>
            <w:tcW w:w="511"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55.23</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13.03</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478"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12.20</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91" w:name="_Toc14198098"/>
      <w:r>
        <w:rPr>
          <w:rFonts w:ascii="Times New Roman" w:hAnsi="Times New Roman" w:eastAsia="黑体" w:cs="Times New Roman"/>
          <w:b/>
          <w:bCs/>
          <w:kern w:val="28"/>
          <w:sz w:val="30"/>
          <w:szCs w:val="32"/>
        </w:rPr>
        <w:t>5.3.2 水系绿化</w:t>
      </w:r>
      <w:bookmarkEnd w:id="91"/>
    </w:p>
    <w:p>
      <w:pPr>
        <w:pStyle w:val="5"/>
        <w:widowControl w:val="0"/>
        <w:spacing w:before="62" w:beforeLines="20" w:after="62" w:afterLines="20"/>
        <w:rPr>
          <w:rFonts w:cs="Times New Roman"/>
        </w:rPr>
      </w:pPr>
      <w:r>
        <w:rPr>
          <w:rFonts w:cs="Times New Roman"/>
        </w:rPr>
        <w:t>5.3.2.1建设现状</w:t>
      </w:r>
    </w:p>
    <w:p>
      <w:pPr>
        <w:spacing w:line="360" w:lineRule="auto"/>
        <w:ind w:firstLine="560" w:firstLineChars="200"/>
        <w:rPr>
          <w:rFonts w:ascii="Times New Roman" w:hAnsi="Times New Roman" w:eastAsia="仿宋_GB2312" w:cs="Times New Roman"/>
          <w:bCs/>
          <w:sz w:val="28"/>
          <w:szCs w:val="24"/>
        </w:rPr>
      </w:pPr>
      <w:bookmarkStart w:id="92" w:name="_Hlk528164134"/>
      <w:r>
        <w:rPr>
          <w:rFonts w:ascii="Times New Roman" w:hAnsi="Times New Roman" w:eastAsia="仿宋_GB2312" w:cs="Times New Roman"/>
          <w:bCs/>
          <w:sz w:val="28"/>
          <w:szCs w:val="24"/>
        </w:rPr>
        <w:t>乐昌市境内河流密布，集雨面积100km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以上的河流有武江、南花溪等8条。全市河流总长度443.43km，适宜绿化河岸长度386.90km，已绿化河岸长度358.30km，林木绿化率达92.61%。近年来，乐昌市依托广东省山区五市中小河流治理工程，加强水岸绿化，提高河道综合治理能力。经过多年的水系绿化建设，乐昌市已经基本形成了有效、稳定的水系防护林体系。</w:t>
      </w:r>
    </w:p>
    <w:bookmarkEnd w:id="92"/>
    <w:p>
      <w:pPr>
        <w:pStyle w:val="5"/>
        <w:widowControl w:val="0"/>
        <w:spacing w:before="62" w:beforeLines="20" w:after="62" w:afterLines="20"/>
        <w:rPr>
          <w:rFonts w:cs="Times New Roman"/>
        </w:rPr>
      </w:pPr>
      <w:r>
        <w:rPr>
          <w:rFonts w:cs="Times New Roman"/>
        </w:rPr>
        <w:t>5.3.2.2建设目标</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在不影响行洪安全和河床稳定的前提下，尽可能采用近自然模式开展水岸绿化。充分利用水岸沿线的可造林地块建设防护林带，并衔接周边的道路林网，形成贯通全境的绿色网络。规划期内，实现全市境内水系全面绿化美化，形成林水相映的水系森林网络。</w:t>
      </w:r>
    </w:p>
    <w:p>
      <w:pPr>
        <w:pStyle w:val="5"/>
        <w:widowControl w:val="0"/>
        <w:spacing w:before="62" w:beforeLines="20" w:after="62" w:afterLines="20"/>
        <w:rPr>
          <w:rFonts w:cs="Times New Roman"/>
        </w:rPr>
      </w:pPr>
      <w:r>
        <w:rPr>
          <w:rFonts w:cs="Times New Roman"/>
        </w:rPr>
        <w:t>5.3.2.3建设内容</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完善市域内主要水系河流的绿化，以近自然的乔灌草配置模式，提高绿化质量，打造景观优美、防护效果好、可达性强的滨水景观绿化带。在流经城市建成区、镇区或其他重要区段的河流，要结合不同地形地势，因地制宜，建设滨水带状公园、湿地公园、休闲游憩地等，为居民提供更多近水游憩、休闲、健身的场所。滨水景观绿化带宽度应不低于30m。</w:t>
      </w:r>
    </w:p>
    <w:p>
      <w:pPr>
        <w:spacing w:line="360" w:lineRule="auto"/>
        <w:ind w:firstLine="560" w:firstLineChars="200"/>
        <w:rPr>
          <w:rFonts w:ascii="Times New Roman" w:hAnsi="Times New Roman" w:eastAsia="仿宋_GB2312" w:cs="Times New Roman"/>
          <w:b/>
          <w:sz w:val="24"/>
          <w:szCs w:val="24"/>
        </w:rPr>
      </w:pPr>
      <w:r>
        <w:rPr>
          <w:rFonts w:ascii="Times New Roman" w:hAnsi="Times New Roman" w:eastAsia="仿宋_GB2312" w:cs="Times New Roman"/>
          <w:bCs/>
          <w:sz w:val="28"/>
        </w:rPr>
        <w:t>至规划期末，新增水系绿化面积14.3hm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，其中近期5.7hm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；中期5.45hm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；远期3.15hm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。水系绿化增绿工程规划见表5-12。</w:t>
      </w:r>
    </w:p>
    <w:p>
      <w:pPr>
        <w:spacing w:line="360" w:lineRule="auto"/>
        <w:jc w:val="center"/>
        <w:rPr>
          <w:rFonts w:ascii="Times New Roman" w:hAnsi="Times New Roman" w:eastAsia="仿宋_GB2312" w:cs="Times New Roman"/>
          <w:b/>
          <w:sz w:val="24"/>
          <w:szCs w:val="24"/>
        </w:rPr>
        <w:sectPr>
          <w:headerReference r:id="rId15"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
          <w:sz w:val="24"/>
          <w:szCs w:val="20"/>
        </w:rPr>
      </w:pPr>
      <w:r>
        <w:rPr>
          <w:rFonts w:ascii="Times New Roman" w:hAnsi="Times New Roman" w:cs="Times New Roman"/>
          <w:b/>
          <w:sz w:val="24"/>
          <w:szCs w:val="20"/>
        </w:rPr>
        <w:t>表5-12 水系绿化工程规划表</w:t>
      </w:r>
    </w:p>
    <w:tbl>
      <w:tblPr>
        <w:tblStyle w:val="471"/>
        <w:tblW w:w="1406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96"/>
        <w:gridCol w:w="1333"/>
        <w:gridCol w:w="928"/>
        <w:gridCol w:w="1069"/>
        <w:gridCol w:w="1333"/>
        <w:gridCol w:w="934"/>
        <w:gridCol w:w="1331"/>
        <w:gridCol w:w="934"/>
        <w:gridCol w:w="1333"/>
        <w:gridCol w:w="1201"/>
        <w:gridCol w:w="16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54" w:type="pct"/>
            <w:vMerge w:val="restart"/>
            <w:shd w:val="clear" w:color="auto" w:fill="auto"/>
            <w:vAlign w:val="center"/>
          </w:tcPr>
          <w:p>
            <w:pPr>
              <w:spacing w:line="36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序号</w:t>
            </w:r>
          </w:p>
        </w:tc>
        <w:tc>
          <w:tcPr>
            <w:tcW w:w="354" w:type="pct"/>
            <w:vMerge w:val="restart"/>
            <w:shd w:val="clear" w:color="auto" w:fill="auto"/>
            <w:vAlign w:val="center"/>
          </w:tcPr>
          <w:p>
            <w:pPr>
              <w:spacing w:line="36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河流名称</w:t>
            </w:r>
          </w:p>
        </w:tc>
        <w:tc>
          <w:tcPr>
            <w:tcW w:w="474" w:type="pct"/>
            <w:vMerge w:val="restart"/>
            <w:shd w:val="clear" w:color="auto" w:fill="auto"/>
            <w:vAlign w:val="center"/>
          </w:tcPr>
          <w:p>
            <w:pPr>
              <w:spacing w:line="36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适宜绿化长度</w:t>
            </w:r>
          </w:p>
        </w:tc>
        <w:tc>
          <w:tcPr>
            <w:tcW w:w="330" w:type="pct"/>
            <w:vMerge w:val="restart"/>
            <w:shd w:val="clear" w:color="auto" w:fill="auto"/>
            <w:vAlign w:val="center"/>
          </w:tcPr>
          <w:p>
            <w:pPr>
              <w:spacing w:line="36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已绿化长度</w:t>
            </w:r>
          </w:p>
        </w:tc>
        <w:tc>
          <w:tcPr>
            <w:tcW w:w="854" w:type="pct"/>
            <w:gridSpan w:val="2"/>
            <w:shd w:val="clear" w:color="auto" w:fill="auto"/>
            <w:vAlign w:val="center"/>
          </w:tcPr>
          <w:p>
            <w:pPr>
              <w:spacing w:line="36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6"/>
              </w:rPr>
              <w:t>近期</w:t>
            </w:r>
          </w:p>
        </w:tc>
        <w:tc>
          <w:tcPr>
            <w:tcW w:w="805" w:type="pct"/>
            <w:gridSpan w:val="2"/>
            <w:shd w:val="clear" w:color="auto" w:fill="auto"/>
            <w:vAlign w:val="center"/>
          </w:tcPr>
          <w:p>
            <w:pPr>
              <w:spacing w:line="360" w:lineRule="auto"/>
              <w:jc w:val="center"/>
              <w:rPr>
                <w:rFonts w:ascii="Times New Roman" w:hAnsi="Times New Roman" w:eastAsia="仿宋_GB2312" w:cs="Times New Roman"/>
                <w:b/>
                <w:kern w:val="0"/>
                <w:sz w:val="18"/>
                <w:szCs w:val="16"/>
              </w:rPr>
            </w:pPr>
            <w:r>
              <w:rPr>
                <w:rFonts w:ascii="Times New Roman" w:hAnsi="Times New Roman" w:eastAsia="仿宋_GB2312" w:cs="Times New Roman"/>
                <w:b/>
                <w:kern w:val="0"/>
                <w:sz w:val="18"/>
                <w:szCs w:val="16"/>
              </w:rPr>
              <w:t>中期</w:t>
            </w:r>
          </w:p>
        </w:tc>
        <w:tc>
          <w:tcPr>
            <w:tcW w:w="806" w:type="pct"/>
            <w:gridSpan w:val="2"/>
            <w:shd w:val="clear" w:color="auto" w:fill="auto"/>
            <w:vAlign w:val="center"/>
          </w:tcPr>
          <w:p>
            <w:pPr>
              <w:spacing w:line="360" w:lineRule="auto"/>
              <w:jc w:val="center"/>
              <w:rPr>
                <w:rFonts w:ascii="Times New Roman" w:hAnsi="Times New Roman" w:eastAsia="仿宋_GB2312" w:cs="Times New Roman"/>
                <w:b/>
                <w:kern w:val="0"/>
                <w:sz w:val="18"/>
                <w:szCs w:val="16"/>
              </w:rPr>
            </w:pPr>
            <w:r>
              <w:rPr>
                <w:rFonts w:ascii="Times New Roman" w:hAnsi="Times New Roman" w:eastAsia="仿宋_GB2312" w:cs="Times New Roman"/>
                <w:b/>
                <w:kern w:val="0"/>
                <w:sz w:val="18"/>
                <w:szCs w:val="16"/>
              </w:rPr>
              <w:t>远期</w:t>
            </w:r>
          </w:p>
        </w:tc>
        <w:tc>
          <w:tcPr>
            <w:tcW w:w="1023" w:type="pct"/>
            <w:gridSpan w:val="2"/>
            <w:shd w:val="clear" w:color="auto" w:fill="auto"/>
            <w:vAlign w:val="center"/>
          </w:tcPr>
          <w:p>
            <w:pPr>
              <w:spacing w:line="360" w:lineRule="auto"/>
              <w:jc w:val="center"/>
              <w:rPr>
                <w:rFonts w:ascii="Times New Roman" w:hAnsi="Times New Roman" w:eastAsia="仿宋_GB2312" w:cs="Times New Roman"/>
                <w:b/>
                <w:kern w:val="0"/>
                <w:sz w:val="18"/>
                <w:szCs w:val="16"/>
              </w:rPr>
            </w:pPr>
            <w:r>
              <w:rPr>
                <w:rFonts w:ascii="Times New Roman" w:hAnsi="Times New Roman" w:eastAsia="仿宋_GB2312" w:cs="Times New Roman"/>
                <w:b/>
                <w:kern w:val="0"/>
                <w:sz w:val="18"/>
                <w:szCs w:val="16"/>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4" w:type="pct"/>
            <w:vMerge w:val="continue"/>
            <w:shd w:val="clear" w:color="auto" w:fill="auto"/>
            <w:vAlign w:val="center"/>
          </w:tcPr>
          <w:p>
            <w:pPr>
              <w:spacing w:line="360" w:lineRule="auto"/>
              <w:jc w:val="center"/>
              <w:rPr>
                <w:rFonts w:ascii="Times New Roman" w:hAnsi="Times New Roman" w:eastAsia="仿宋_GB2312" w:cs="Times New Roman"/>
                <w:b/>
                <w:kern w:val="0"/>
                <w:sz w:val="18"/>
                <w:szCs w:val="18"/>
              </w:rPr>
            </w:pPr>
          </w:p>
        </w:tc>
        <w:tc>
          <w:tcPr>
            <w:tcW w:w="354" w:type="pct"/>
            <w:vMerge w:val="continue"/>
            <w:shd w:val="clear" w:color="auto" w:fill="auto"/>
            <w:vAlign w:val="center"/>
          </w:tcPr>
          <w:p>
            <w:pPr>
              <w:spacing w:line="360" w:lineRule="auto"/>
              <w:jc w:val="center"/>
              <w:rPr>
                <w:rFonts w:ascii="Times New Roman" w:hAnsi="Times New Roman" w:eastAsia="仿宋_GB2312" w:cs="Times New Roman"/>
                <w:b/>
                <w:kern w:val="0"/>
                <w:sz w:val="18"/>
                <w:szCs w:val="18"/>
              </w:rPr>
            </w:pPr>
          </w:p>
        </w:tc>
        <w:tc>
          <w:tcPr>
            <w:tcW w:w="474" w:type="pct"/>
            <w:vMerge w:val="continue"/>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p>
        </w:tc>
        <w:tc>
          <w:tcPr>
            <w:tcW w:w="330" w:type="pct"/>
            <w:vMerge w:val="continue"/>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p>
        </w:tc>
        <w:tc>
          <w:tcPr>
            <w:tcW w:w="380"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长度（km）</w:t>
            </w:r>
          </w:p>
        </w:tc>
        <w:tc>
          <w:tcPr>
            <w:tcW w:w="474"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折合面积（hm</w:t>
            </w:r>
            <w:r>
              <w:rPr>
                <w:rFonts w:ascii="Times New Roman" w:hAnsi="Times New Roman" w:eastAsia="仿宋_GB2312" w:cs="Times New Roman"/>
                <w:b/>
                <w:kern w:val="0"/>
                <w:sz w:val="16"/>
                <w:szCs w:val="16"/>
                <w:vertAlign w:val="superscript"/>
              </w:rPr>
              <w:t>2</w:t>
            </w:r>
            <w:r>
              <w:rPr>
                <w:rFonts w:ascii="Times New Roman" w:hAnsi="Times New Roman" w:eastAsia="仿宋_GB2312" w:cs="Times New Roman"/>
                <w:b/>
                <w:kern w:val="0"/>
                <w:sz w:val="16"/>
                <w:szCs w:val="16"/>
              </w:rPr>
              <w:t>）</w:t>
            </w:r>
          </w:p>
        </w:tc>
        <w:tc>
          <w:tcPr>
            <w:tcW w:w="332"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长度（km）</w:t>
            </w:r>
          </w:p>
        </w:tc>
        <w:tc>
          <w:tcPr>
            <w:tcW w:w="473"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折合面积（hm</w:t>
            </w:r>
            <w:r>
              <w:rPr>
                <w:rFonts w:ascii="Times New Roman" w:hAnsi="Times New Roman" w:eastAsia="仿宋_GB2312" w:cs="Times New Roman"/>
                <w:b/>
                <w:kern w:val="0"/>
                <w:sz w:val="16"/>
                <w:szCs w:val="16"/>
                <w:vertAlign w:val="superscript"/>
              </w:rPr>
              <w:t>2</w:t>
            </w:r>
            <w:r>
              <w:rPr>
                <w:rFonts w:ascii="Times New Roman" w:hAnsi="Times New Roman" w:eastAsia="仿宋_GB2312" w:cs="Times New Roman"/>
                <w:b/>
                <w:kern w:val="0"/>
                <w:sz w:val="16"/>
                <w:szCs w:val="16"/>
              </w:rPr>
              <w:t>）</w:t>
            </w:r>
          </w:p>
        </w:tc>
        <w:tc>
          <w:tcPr>
            <w:tcW w:w="332"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长度（km）</w:t>
            </w:r>
          </w:p>
        </w:tc>
        <w:tc>
          <w:tcPr>
            <w:tcW w:w="474"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折合面积（hm</w:t>
            </w:r>
            <w:r>
              <w:rPr>
                <w:rFonts w:ascii="Times New Roman" w:hAnsi="Times New Roman" w:eastAsia="仿宋_GB2312" w:cs="Times New Roman"/>
                <w:b/>
                <w:kern w:val="0"/>
                <w:sz w:val="16"/>
                <w:szCs w:val="16"/>
                <w:vertAlign w:val="superscript"/>
              </w:rPr>
              <w:t>2</w:t>
            </w:r>
            <w:r>
              <w:rPr>
                <w:rFonts w:ascii="Times New Roman" w:hAnsi="Times New Roman" w:eastAsia="仿宋_GB2312" w:cs="Times New Roman"/>
                <w:b/>
                <w:kern w:val="0"/>
                <w:sz w:val="16"/>
                <w:szCs w:val="16"/>
              </w:rPr>
              <w:t>）</w:t>
            </w:r>
          </w:p>
        </w:tc>
        <w:tc>
          <w:tcPr>
            <w:tcW w:w="427"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长度（km）</w:t>
            </w:r>
          </w:p>
        </w:tc>
        <w:tc>
          <w:tcPr>
            <w:tcW w:w="596"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折合面积（hm</w:t>
            </w:r>
            <w:r>
              <w:rPr>
                <w:rFonts w:ascii="Times New Roman" w:hAnsi="Times New Roman" w:eastAsia="仿宋_GB2312" w:cs="Times New Roman"/>
                <w:b/>
                <w:kern w:val="0"/>
                <w:sz w:val="16"/>
                <w:szCs w:val="16"/>
                <w:vertAlign w:val="superscript"/>
              </w:rPr>
              <w:t>2</w:t>
            </w:r>
            <w:r>
              <w:rPr>
                <w:rFonts w:ascii="Times New Roman" w:hAnsi="Times New Roman" w:eastAsia="仿宋_GB2312" w:cs="Times New Roman"/>
                <w:b/>
                <w:kern w:val="0"/>
                <w:sz w:val="16"/>
                <w:szCs w:val="16"/>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4" w:type="pct"/>
            <w:shd w:val="clear" w:color="auto" w:fill="auto"/>
            <w:vAlign w:val="center"/>
          </w:tcPr>
          <w:p>
            <w:pPr>
              <w:widowControl/>
              <w:spacing w:line="360" w:lineRule="auto"/>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354" w:type="pct"/>
            <w:shd w:val="clear" w:color="auto" w:fill="auto"/>
            <w:vAlign w:val="center"/>
          </w:tcPr>
          <w:p>
            <w:pPr>
              <w:widowControl/>
              <w:spacing w:line="360" w:lineRule="auto"/>
              <w:jc w:val="center"/>
              <w:textAlignment w:val="center"/>
              <w:rPr>
                <w:rFonts w:ascii="Times New Roman" w:hAnsi="Times New Roman" w:eastAsia="仿宋_GB2312" w:cs="Times New Roman"/>
                <w:kern w:val="0"/>
                <w:szCs w:val="21"/>
              </w:rPr>
            </w:pPr>
            <w:r>
              <w:rPr>
                <w:rFonts w:ascii="Times New Roman" w:hAnsi="Times New Roman" w:eastAsia="仿宋_GB2312" w:cs="Times New Roman"/>
                <w:szCs w:val="21"/>
              </w:rPr>
              <w:t>武江</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105.46</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96.50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2.96</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1.48</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8.96</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廊田水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44.33</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0.33</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0.16</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4.33</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西坑水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17.06</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0.06</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0.03</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1.06</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九峰河</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51.18</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48.50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0.68</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0.34</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2.68</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王坪水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23.84</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22.30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0.04</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0.02</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1.54</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太平水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30.61</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28.50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0.06</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2.11</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田头水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40.10</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38.70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梅花水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33.10</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0.55</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辽思水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30.45</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0.45</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0.22</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2.45</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宜章水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10.77</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9.80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0.17</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0.09</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0.97</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08" w:type="pct"/>
            <w:gridSpan w:val="2"/>
            <w:shd w:val="clear" w:color="auto" w:fill="auto"/>
            <w:vAlign w:val="center"/>
          </w:tcPr>
          <w:p>
            <w:pPr>
              <w:spacing w:line="360" w:lineRule="auto"/>
              <w:jc w:val="center"/>
              <w:rPr>
                <w:rFonts w:ascii="Times New Roman" w:hAnsi="Times New Roman" w:eastAsia="仿宋_GB2312" w:cs="Times New Roman"/>
                <w:b/>
                <w:kern w:val="0"/>
                <w:sz w:val="18"/>
                <w:szCs w:val="16"/>
              </w:rPr>
            </w:pPr>
            <w:r>
              <w:rPr>
                <w:rFonts w:ascii="Times New Roman" w:hAnsi="Times New Roman" w:eastAsia="仿宋_GB2312" w:cs="Times New Roman"/>
                <w:b/>
                <w:kern w:val="0"/>
                <w:sz w:val="18"/>
                <w:szCs w:val="16"/>
              </w:rPr>
              <w:t>合计</w:t>
            </w:r>
          </w:p>
        </w:tc>
        <w:tc>
          <w:tcPr>
            <w:tcW w:w="474"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386.9</w:t>
            </w:r>
          </w:p>
        </w:tc>
        <w:tc>
          <w:tcPr>
            <w:tcW w:w="330"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358.3</w:t>
            </w:r>
          </w:p>
        </w:tc>
        <w:tc>
          <w:tcPr>
            <w:tcW w:w="380"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11.4</w:t>
            </w:r>
          </w:p>
        </w:tc>
        <w:tc>
          <w:tcPr>
            <w:tcW w:w="474"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5.7</w:t>
            </w:r>
          </w:p>
        </w:tc>
        <w:tc>
          <w:tcPr>
            <w:tcW w:w="332"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10.9</w:t>
            </w:r>
          </w:p>
        </w:tc>
        <w:tc>
          <w:tcPr>
            <w:tcW w:w="473"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5.45</w:t>
            </w:r>
          </w:p>
        </w:tc>
        <w:tc>
          <w:tcPr>
            <w:tcW w:w="332"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6.3</w:t>
            </w:r>
          </w:p>
        </w:tc>
        <w:tc>
          <w:tcPr>
            <w:tcW w:w="474"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3.15</w:t>
            </w:r>
          </w:p>
        </w:tc>
        <w:tc>
          <w:tcPr>
            <w:tcW w:w="427"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28.6</w:t>
            </w:r>
          </w:p>
        </w:tc>
        <w:tc>
          <w:tcPr>
            <w:tcW w:w="596"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14.3</w:t>
            </w:r>
          </w:p>
        </w:tc>
      </w:tr>
    </w:tbl>
    <w:p>
      <w:pPr>
        <w:spacing w:line="360" w:lineRule="auto"/>
        <w:jc w:val="center"/>
        <w:rPr>
          <w:rFonts w:ascii="Times New Roman" w:hAnsi="Times New Roman" w:eastAsia="仿宋_GB2312" w:cs="Times New Roman"/>
          <w:b/>
          <w:sz w:val="24"/>
          <w:szCs w:val="24"/>
        </w:rPr>
      </w:pPr>
    </w:p>
    <w:p>
      <w:pPr>
        <w:keepNext/>
        <w:keepLines/>
        <w:autoSpaceDE w:val="0"/>
        <w:autoSpaceDN w:val="0"/>
        <w:spacing w:before="160" w:after="160" w:line="360" w:lineRule="auto"/>
        <w:outlineLvl w:val="1"/>
        <w:rPr>
          <w:rFonts w:ascii="Times New Roman" w:hAnsi="Times New Roman" w:eastAsia="仿宋_GB2312" w:cs="Times New Roman"/>
          <w:b/>
          <w:bCs/>
          <w:sz w:val="32"/>
          <w:szCs w:val="32"/>
        </w:rPr>
        <w:sectPr>
          <w:pgSz w:w="16838" w:h="11906" w:orient="landscape"/>
          <w:pgMar w:top="1800" w:right="1440" w:bottom="1800" w:left="1440" w:header="851" w:footer="992" w:gutter="0"/>
          <w:cols w:space="425" w:num="1"/>
          <w:docGrid w:type="lines" w:linePitch="312" w:charSpace="0"/>
        </w:sectPr>
      </w:pP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93" w:name="_Toc49241537"/>
      <w:r>
        <w:rPr>
          <w:rFonts w:ascii="Times New Roman" w:hAnsi="Times New Roman" w:eastAsia="黑体" w:cs="Times New Roman"/>
          <w:b/>
          <w:bCs/>
          <w:sz w:val="32"/>
          <w:szCs w:val="32"/>
        </w:rPr>
        <w:t>5.4 人工造林工程</w:t>
      </w:r>
      <w:bookmarkEnd w:id="93"/>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5.4.1 建设现状</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bCs/>
          <w:sz w:val="28"/>
          <w:szCs w:val="24"/>
        </w:rPr>
        <w:t>近年来，乐昌市积极开展生态景观林带建设、碳汇造林工程建设、珠江防护林建设工程、石漠化综合治理工程等生态林建设工程，经过多年的</w:t>
      </w:r>
      <w:r>
        <w:rPr>
          <w:rFonts w:ascii="Times New Roman" w:hAnsi="Times New Roman" w:eastAsia="仿宋_GB2312" w:cs="Times New Roman"/>
          <w:sz w:val="28"/>
          <w:szCs w:val="28"/>
        </w:rPr>
        <w:t>资源保护与造林绿化，截至2018年底，全市有林地面积达</w:t>
      </w:r>
      <w:r>
        <w:rPr>
          <w:rFonts w:ascii="Times New Roman" w:hAnsi="Times New Roman" w:eastAsia="仿宋_GB2312" w:cs="Times New Roman"/>
          <w:sz w:val="28"/>
        </w:rPr>
        <w:t>149405.97hm</w:t>
      </w:r>
      <w:r>
        <w:rPr>
          <w:rFonts w:ascii="Times New Roman" w:hAnsi="Times New Roman" w:eastAsia="仿宋_GB2312" w:cs="Times New Roman"/>
          <w:sz w:val="28"/>
          <w:vertAlign w:val="superscript"/>
        </w:rPr>
        <w:t>2</w:t>
      </w:r>
      <w:r>
        <w:rPr>
          <w:rFonts w:ascii="Times New Roman" w:hAnsi="Times New Roman" w:eastAsia="仿宋_GB2312" w:cs="Times New Roman"/>
          <w:sz w:val="28"/>
          <w:szCs w:val="28"/>
        </w:rPr>
        <w:t>，全市林木覆盖率已达69.94%。</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5.4.2 建设目标</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规划期内，继续开展人工造林工程建设，选用生态功能强、综合效益高、景观效果好的乡土树种，营造和恢复地带性森林群落，扩大森林面积，提高森林质量，在保障森林生态安全的基础上，注重营林景观效果。</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5.4.3 建设内容</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bCs/>
          <w:sz w:val="28"/>
          <w:szCs w:val="24"/>
        </w:rPr>
        <w:t>充分利用乐昌市现有</w:t>
      </w:r>
      <w:r>
        <w:rPr>
          <w:rFonts w:ascii="Times New Roman" w:hAnsi="Times New Roman" w:eastAsia="仿宋_GB2312" w:cs="Times New Roman"/>
          <w:bCs/>
          <w:sz w:val="28"/>
        </w:rPr>
        <w:t>无立木林地、宜林地、未成林地等宜林空间，依托碳汇造林工程、生态景观林带建设工程、珠江防护林工程等开展</w:t>
      </w:r>
      <w:r>
        <w:rPr>
          <w:rFonts w:ascii="Times New Roman" w:hAnsi="Times New Roman" w:eastAsia="仿宋_GB2312" w:cs="Times New Roman"/>
          <w:bCs/>
          <w:sz w:val="28"/>
          <w:szCs w:val="24"/>
        </w:rPr>
        <w:t>人工造林</w:t>
      </w:r>
      <w:r>
        <w:rPr>
          <w:rFonts w:ascii="Times New Roman" w:hAnsi="Times New Roman" w:eastAsia="仿宋_GB2312" w:cs="Times New Roman"/>
          <w:bCs/>
          <w:sz w:val="28"/>
        </w:rPr>
        <w:t>工程，增加市域内绿化面积，提高绿化水平，</w:t>
      </w:r>
      <w:r>
        <w:rPr>
          <w:rFonts w:ascii="Times New Roman" w:hAnsi="Times New Roman" w:eastAsia="仿宋_GB2312" w:cs="Times New Roman"/>
          <w:sz w:val="28"/>
          <w:szCs w:val="28"/>
        </w:rPr>
        <w:t>增加森林蓄积量</w:t>
      </w:r>
      <w:r>
        <w:rPr>
          <w:rFonts w:ascii="Times New Roman" w:hAnsi="Times New Roman" w:eastAsia="仿宋_GB2312" w:cs="Times New Roman"/>
          <w:bCs/>
          <w:sz w:val="28"/>
        </w:rPr>
        <w:t>。规划期内完成人工造林</w:t>
      </w:r>
      <w:r>
        <w:rPr>
          <w:rFonts w:ascii="Times New Roman" w:hAnsi="Times New Roman" w:eastAsia="仿宋_GB2312" w:cs="Times New Roman"/>
          <w:sz w:val="28"/>
        </w:rPr>
        <w:t>630hm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，其中近期完成189hm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，中期完成252hm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，远期完成189hm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，详见表5-13。</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表5-13 乐昌市人工造林工程规划表</w:t>
      </w:r>
    </w:p>
    <w:tbl>
      <w:tblPr>
        <w:tblStyle w:val="471"/>
        <w:tblW w:w="81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689"/>
        <w:gridCol w:w="1688"/>
        <w:gridCol w:w="1350"/>
        <w:gridCol w:w="1182"/>
        <w:gridCol w:w="10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blHeader/>
          <w:jc w:val="center"/>
        </w:trPr>
        <w:tc>
          <w:tcPr>
            <w:tcW w:w="1234" w:type="dxa"/>
            <w:vMerge w:val="restar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689" w:type="dxa"/>
            <w:vMerge w:val="restart"/>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color w:val="000000"/>
                <w:kern w:val="0"/>
                <w:szCs w:val="21"/>
              </w:rPr>
              <w:t>乡镇</w:t>
            </w:r>
          </w:p>
        </w:tc>
        <w:tc>
          <w:tcPr>
            <w:tcW w:w="5268" w:type="dxa"/>
            <w:gridSpan w:val="4"/>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sz w:val="24"/>
                <w:szCs w:val="20"/>
              </w:rPr>
              <w:t>人工造林面积（hm</w:t>
            </w:r>
            <w:r>
              <w:rPr>
                <w:rFonts w:ascii="Times New Roman" w:hAnsi="Times New Roman" w:eastAsia="仿宋_GB2312" w:cs="Times New Roman"/>
                <w:b/>
                <w:sz w:val="24"/>
                <w:szCs w:val="20"/>
                <w:vertAlign w:val="superscript"/>
              </w:rPr>
              <w:t>2</w:t>
            </w:r>
            <w:r>
              <w:rPr>
                <w:rFonts w:ascii="Times New Roman" w:hAnsi="Times New Roman" w:eastAsia="仿宋_GB2312" w:cs="Times New Roman"/>
                <w:b/>
                <w:sz w:val="24"/>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blHeader/>
          <w:jc w:val="center"/>
        </w:trPr>
        <w:tc>
          <w:tcPr>
            <w:tcW w:w="1234" w:type="dxa"/>
            <w:vMerge w:val="continue"/>
            <w:shd w:val="clear" w:color="auto" w:fill="auto"/>
            <w:vAlign w:val="center"/>
          </w:tcPr>
          <w:p>
            <w:pPr>
              <w:spacing w:line="360" w:lineRule="auto"/>
              <w:jc w:val="center"/>
              <w:rPr>
                <w:rFonts w:ascii="Times New Roman" w:hAnsi="Times New Roman" w:eastAsia="仿宋_GB2312" w:cs="Times New Roman"/>
                <w:b/>
              </w:rPr>
            </w:pPr>
          </w:p>
        </w:tc>
        <w:tc>
          <w:tcPr>
            <w:tcW w:w="1689" w:type="dxa"/>
            <w:vMerge w:val="continue"/>
            <w:shd w:val="clear" w:color="auto" w:fill="auto"/>
            <w:vAlign w:val="center"/>
          </w:tcPr>
          <w:p>
            <w:pPr>
              <w:spacing w:line="360" w:lineRule="auto"/>
              <w:jc w:val="center"/>
              <w:rPr>
                <w:rFonts w:ascii="Times New Roman" w:hAnsi="Times New Roman" w:eastAsia="仿宋_GB2312" w:cs="Times New Roman"/>
                <w:b/>
              </w:rPr>
            </w:pPr>
          </w:p>
        </w:tc>
        <w:tc>
          <w:tcPr>
            <w:tcW w:w="1688"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合计</w:t>
            </w:r>
          </w:p>
        </w:tc>
        <w:tc>
          <w:tcPr>
            <w:tcW w:w="1350"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近期</w:t>
            </w:r>
          </w:p>
        </w:tc>
        <w:tc>
          <w:tcPr>
            <w:tcW w:w="1182"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中期</w:t>
            </w:r>
          </w:p>
        </w:tc>
        <w:tc>
          <w:tcPr>
            <w:tcW w:w="1048"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1</w:t>
            </w:r>
          </w:p>
        </w:tc>
        <w:tc>
          <w:tcPr>
            <w:tcW w:w="1689"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乐昌市</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630</w:t>
            </w:r>
          </w:p>
        </w:tc>
        <w:tc>
          <w:tcPr>
            <w:tcW w:w="1350" w:type="dxa"/>
            <w:shd w:val="clear" w:color="auto" w:fill="auto"/>
            <w:vAlign w:val="center"/>
          </w:tcPr>
          <w:p>
            <w:pPr>
              <w:spacing w:line="360" w:lineRule="auto"/>
              <w:jc w:val="center"/>
              <w:rPr>
                <w:rFonts w:ascii="Times New Roman" w:hAnsi="Times New Roman" w:eastAsia="宋体" w:cs="Times New Roman"/>
                <w:b/>
                <w:color w:val="000000"/>
                <w:szCs w:val="21"/>
              </w:rPr>
            </w:pPr>
            <w:r>
              <w:rPr>
                <w:rFonts w:ascii="Times New Roman" w:hAnsi="Times New Roman" w:eastAsia="仿宋_GB2312" w:cs="Times New Roman"/>
                <w:b/>
                <w:color w:val="000000"/>
                <w:szCs w:val="21"/>
              </w:rPr>
              <w:t>189</w:t>
            </w:r>
          </w:p>
        </w:tc>
        <w:tc>
          <w:tcPr>
            <w:tcW w:w="1182" w:type="dxa"/>
            <w:shd w:val="clear" w:color="auto" w:fill="auto"/>
            <w:vAlign w:val="center"/>
          </w:tcPr>
          <w:p>
            <w:pPr>
              <w:spacing w:line="360" w:lineRule="auto"/>
              <w:jc w:val="center"/>
              <w:rPr>
                <w:rFonts w:ascii="Times New Roman" w:hAnsi="Times New Roman" w:eastAsia="宋体" w:cs="Times New Roman"/>
                <w:b/>
                <w:color w:val="000000"/>
                <w:szCs w:val="21"/>
              </w:rPr>
            </w:pPr>
            <w:r>
              <w:rPr>
                <w:rFonts w:ascii="Times New Roman" w:hAnsi="Times New Roman" w:eastAsia="仿宋_GB2312" w:cs="Times New Roman"/>
                <w:b/>
                <w:color w:val="000000"/>
                <w:szCs w:val="21"/>
              </w:rPr>
              <w:t>252</w:t>
            </w:r>
          </w:p>
        </w:tc>
        <w:tc>
          <w:tcPr>
            <w:tcW w:w="1048" w:type="dxa"/>
            <w:shd w:val="clear" w:color="auto" w:fill="auto"/>
            <w:vAlign w:val="center"/>
          </w:tcPr>
          <w:p>
            <w:pPr>
              <w:spacing w:line="360" w:lineRule="auto"/>
              <w:jc w:val="center"/>
              <w:rPr>
                <w:rFonts w:ascii="Times New Roman" w:hAnsi="Times New Roman" w:eastAsia="宋体" w:cs="Times New Roman"/>
                <w:b/>
                <w:color w:val="000000"/>
                <w:szCs w:val="21"/>
              </w:rPr>
            </w:pPr>
            <w:r>
              <w:rPr>
                <w:rFonts w:ascii="Times New Roman" w:hAnsi="Times New Roman" w:eastAsia="仿宋_GB2312" w:cs="Times New Roman"/>
                <w:b/>
                <w:color w:val="000000"/>
                <w:szCs w:val="21"/>
              </w:rPr>
              <w:t>189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2</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长来镇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45.42</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13.62</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18.18</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13.62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3</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大源镇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25.14</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7.54</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10.06</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7.54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4</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坪石镇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31.11</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9.33</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12.45</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9.33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5</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三溪镇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30.87</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9.26</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12.35</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9.26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6</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黄圃镇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56.37</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16.91</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22.55</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16.91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7</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庆云镇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63.99</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19.21</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25.57</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8</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白石镇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91.68</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27.51</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36.66</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9</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梅花镇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98.28</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29.48</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39.32</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29.48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10</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秀水镇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39.57</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11.87</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15.83</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11.87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11</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云岩镇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71.58</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21.47</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28.64</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12</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沙坪镇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75.99</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22.79</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30.41</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22.79</w:t>
            </w: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94" w:name="_Toc49241538"/>
      <w:r>
        <w:rPr>
          <w:rFonts w:ascii="Times New Roman" w:hAnsi="Times New Roman" w:eastAsia="黑体" w:cs="Times New Roman"/>
          <w:b/>
          <w:bCs/>
          <w:sz w:val="32"/>
          <w:szCs w:val="32"/>
        </w:rPr>
        <w:t>5.5 森林质量提升工程</w:t>
      </w:r>
      <w:bookmarkEnd w:id="94"/>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5.5.1 建设现状</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近年来，乐昌市在市域范围内加强了对新造林、低质低效林的抚育、管护和改造，在有条件的林地灌溉和施肥，促进幼树尽早郁闭成林，一定程度上提高了林地生产力，促进了森林质量的提升。由于中幼林造林密度过大、郁闭度过高并缺乏及时抚育，造成林木生长缓慢，影响成林时间，降低森林生态功能。据初步统计，截至2018年底，乐昌市森林质量有待提升的林地面积约为54657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5.5.2 建设目标</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结合各项林业重点工程，继续开展森林抚育，提高森林质量和林地生产力，完善乐昌市森林生态系统，提升生态功能。围绕</w:t>
      </w:r>
      <w:r>
        <w:rPr>
          <w:rFonts w:ascii="Times New Roman" w:hAnsi="Times New Roman" w:eastAsia="仿宋_GB2312" w:cs="Times New Roman"/>
          <w:bCs/>
          <w:color w:val="000000"/>
          <w:sz w:val="28"/>
        </w:rPr>
        <w:t>乐昌市的各类低质低效林、退化防护林、低产用材林以及低产经济林等，以及难以通过自然更新恢复的林地采取干预措施，</w:t>
      </w:r>
      <w:r>
        <w:rPr>
          <w:rFonts w:ascii="Times New Roman" w:hAnsi="Times New Roman" w:eastAsia="仿宋_GB2312" w:cs="Times New Roman"/>
          <w:sz w:val="28"/>
        </w:rPr>
        <w:t>选用乡土树种，</w:t>
      </w:r>
      <w:r>
        <w:rPr>
          <w:rFonts w:ascii="Times New Roman" w:hAnsi="Times New Roman" w:eastAsia="仿宋_GB2312" w:cs="Times New Roman"/>
          <w:bCs/>
          <w:color w:val="000000"/>
          <w:sz w:val="28"/>
        </w:rPr>
        <w:t>有计划、有步骤地改善林分结构和生境，提高林分质量，恢复和提升森林生态功能和效益。</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5.5.3 建设内容</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对郁闭度过大的中幼龄林，采取透光伐、疏伐、生长伐等方式进行抚育，调整林分结构；对遭受森林火灾、林业有害生物等自然灾害危害的林分，采用卫生伐方式进行抚育；对近年来新成林的有林地，采用割灌、修枝、定株、松土除草等措施进行抚育。</w:t>
      </w:r>
      <w:r>
        <w:rPr>
          <w:rFonts w:ascii="Times New Roman" w:hAnsi="Times New Roman" w:eastAsia="仿宋_GB2312" w:cs="Times New Roman"/>
          <w:bCs/>
          <w:sz w:val="28"/>
        </w:rPr>
        <w:t>规划期内，完成森林抚育面积62000hm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，其中近期完成24800hm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；中期完成18600hm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；远期完成18600hm</w:t>
      </w:r>
      <w:r>
        <w:rPr>
          <w:rFonts w:ascii="Times New Roman" w:hAnsi="Times New Roman" w:eastAsia="仿宋_GB2312" w:cs="Times New Roman"/>
          <w:bCs/>
          <w:sz w:val="28"/>
          <w:vertAlign w:val="superscript"/>
        </w:rPr>
        <w:t>2</w:t>
      </w:r>
      <w:r>
        <w:rPr>
          <w:rFonts w:ascii="Times New Roman" w:hAnsi="Times New Roman" w:eastAsia="仿宋_GB2312" w:cs="Times New Roman"/>
          <w:sz w:val="28"/>
        </w:rPr>
        <w:t>。森林抚育工程规划任务详见表5-14。</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表5-14 乐昌市森林抚育建设规划表</w:t>
      </w:r>
    </w:p>
    <w:tbl>
      <w:tblPr>
        <w:tblStyle w:val="471"/>
        <w:tblW w:w="81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50"/>
        <w:gridCol w:w="1450"/>
        <w:gridCol w:w="1450"/>
        <w:gridCol w:w="1449"/>
        <w:gridCol w:w="14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915" w:type="dxa"/>
            <w:vMerge w:val="restar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450"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color w:val="000000"/>
                <w:kern w:val="0"/>
                <w:szCs w:val="21"/>
              </w:rPr>
              <w:t>乡镇</w:t>
            </w:r>
          </w:p>
        </w:tc>
        <w:tc>
          <w:tcPr>
            <w:tcW w:w="1450"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近期（hm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450"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中期（hm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449"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远期（hm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483"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合计（hm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vMerge w:val="continue"/>
            <w:shd w:val="clear" w:color="auto" w:fill="auto"/>
            <w:vAlign w:val="center"/>
          </w:tcPr>
          <w:p>
            <w:pPr>
              <w:spacing w:line="360" w:lineRule="auto"/>
              <w:jc w:val="center"/>
              <w:rPr>
                <w:rFonts w:ascii="Times New Roman" w:hAnsi="Times New Roman" w:eastAsia="仿宋_GB2312" w:cs="Times New Roman"/>
                <w:b/>
              </w:rPr>
            </w:pPr>
          </w:p>
        </w:tc>
        <w:tc>
          <w:tcPr>
            <w:tcW w:w="1450"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合计</w:t>
            </w:r>
          </w:p>
        </w:tc>
        <w:tc>
          <w:tcPr>
            <w:tcW w:w="1450" w:type="dxa"/>
            <w:shd w:val="clear" w:color="auto" w:fill="auto"/>
            <w:vAlign w:val="center"/>
          </w:tcPr>
          <w:p>
            <w:pPr>
              <w:spacing w:line="360" w:lineRule="auto"/>
              <w:jc w:val="center"/>
              <w:rPr>
                <w:rFonts w:ascii="Times New Roman" w:hAnsi="Times New Roman" w:cs="Times New Roman"/>
                <w:b/>
                <w:color w:val="000000"/>
                <w:sz w:val="22"/>
              </w:rPr>
            </w:pPr>
            <w:r>
              <w:rPr>
                <w:rFonts w:ascii="Times New Roman" w:hAnsi="Times New Roman" w:cs="Times New Roman"/>
                <w:b/>
                <w:color w:val="000000"/>
                <w:sz w:val="22"/>
              </w:rPr>
              <w:t>24800</w:t>
            </w:r>
          </w:p>
        </w:tc>
        <w:tc>
          <w:tcPr>
            <w:tcW w:w="1450" w:type="dxa"/>
            <w:shd w:val="clear" w:color="auto" w:fill="auto"/>
            <w:vAlign w:val="center"/>
          </w:tcPr>
          <w:p>
            <w:pPr>
              <w:spacing w:line="360" w:lineRule="auto"/>
              <w:jc w:val="center"/>
              <w:rPr>
                <w:rFonts w:ascii="Times New Roman" w:hAnsi="Times New Roman" w:cs="Times New Roman"/>
                <w:b/>
                <w:color w:val="000000"/>
                <w:sz w:val="22"/>
              </w:rPr>
            </w:pPr>
            <w:r>
              <w:rPr>
                <w:rFonts w:ascii="Times New Roman" w:hAnsi="Times New Roman" w:cs="Times New Roman"/>
                <w:b/>
                <w:color w:val="000000"/>
                <w:sz w:val="22"/>
              </w:rPr>
              <w:t>18600</w:t>
            </w:r>
          </w:p>
        </w:tc>
        <w:tc>
          <w:tcPr>
            <w:tcW w:w="1449" w:type="dxa"/>
            <w:shd w:val="clear" w:color="auto" w:fill="auto"/>
            <w:vAlign w:val="center"/>
          </w:tcPr>
          <w:p>
            <w:pPr>
              <w:spacing w:line="360" w:lineRule="auto"/>
              <w:jc w:val="center"/>
              <w:rPr>
                <w:rFonts w:ascii="Times New Roman" w:hAnsi="Times New Roman" w:cs="Times New Roman"/>
                <w:b/>
                <w:color w:val="000000"/>
                <w:sz w:val="22"/>
              </w:rPr>
            </w:pPr>
            <w:r>
              <w:rPr>
                <w:rFonts w:ascii="Times New Roman" w:hAnsi="Times New Roman" w:cs="Times New Roman"/>
                <w:b/>
                <w:color w:val="000000"/>
                <w:sz w:val="22"/>
              </w:rPr>
              <w:t>18600</w:t>
            </w:r>
          </w:p>
        </w:tc>
        <w:tc>
          <w:tcPr>
            <w:tcW w:w="1483" w:type="dxa"/>
            <w:shd w:val="clear" w:color="auto" w:fill="auto"/>
            <w:vAlign w:val="center"/>
          </w:tcPr>
          <w:p>
            <w:pPr>
              <w:spacing w:line="360" w:lineRule="auto"/>
              <w:jc w:val="center"/>
              <w:rPr>
                <w:rFonts w:ascii="Times New Roman" w:hAnsi="Times New Roman" w:cs="Times New Roman"/>
                <w:b/>
                <w:color w:val="000000"/>
                <w:sz w:val="22"/>
              </w:rPr>
            </w:pPr>
            <w:r>
              <w:rPr>
                <w:rFonts w:ascii="Times New Roman" w:hAnsi="Times New Roman" w:cs="Times New Roman"/>
                <w:b/>
                <w:color w:val="000000"/>
                <w:sz w:val="22"/>
              </w:rPr>
              <w:t>62000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乐城办事处</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2240.10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1680.10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1680.10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5600.20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长来镇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539.10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404.40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404.40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1347.80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北乡镇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1208.90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906.60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906.60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3022.20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廊田镇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1309.80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982.40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982.40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3274.50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五山镇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1750.20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1312.60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1312.60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4375.50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大源镇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3910.30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2932.70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2932.70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9775.70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九峰镇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2390.90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1793.20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1793.20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5977.30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两江镇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2218.10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1663.60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1663.60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5545.30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坪石镇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3477.80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2608.20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2608.20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8694.60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三溪镇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1116.70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837.50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837.50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2791.70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黄圃镇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605.30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454.00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454.00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1513.20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庆云镇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584.90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438.70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438.70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1462.30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白石镇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584.90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438.70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438.70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1462.30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梅花镇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1756.20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1317.20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1317.20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4390.60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秀水镇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330.50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247.80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247.80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826.10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云岩镇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353.50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265.20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265.20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883.80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17</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沙坪镇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422.80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317.10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317.10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1056.90</w:t>
            </w:r>
          </w:p>
        </w:tc>
      </w:tr>
    </w:tbl>
    <w:p>
      <w:pPr>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采取更替改造、抚育间伐、补植补造等措施，增加珍贵树种、优质高效用材树种，不断优化林分结构，提高林地生产力。规划期内，</w:t>
      </w:r>
      <w:r>
        <w:rPr>
          <w:rFonts w:ascii="Times New Roman" w:hAnsi="Times New Roman" w:eastAsia="仿宋_GB2312" w:cs="Times New Roman"/>
          <w:sz w:val="28"/>
        </w:rPr>
        <w:t>完成低效林改造面积</w:t>
      </w:r>
      <w:r>
        <w:rPr>
          <w:rFonts w:ascii="Times New Roman" w:hAnsi="Times New Roman" w:eastAsia="仿宋_GB2312" w:cs="Times New Roman"/>
          <w:bCs/>
          <w:sz w:val="28"/>
        </w:rPr>
        <w:t>18600hm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，其中近期完成7440hm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；中期完成5580hm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；远期完成5580hm</w:t>
      </w:r>
      <w:r>
        <w:rPr>
          <w:rFonts w:ascii="Times New Roman" w:hAnsi="Times New Roman" w:eastAsia="仿宋_GB2312" w:cs="Times New Roman"/>
          <w:bCs/>
          <w:sz w:val="28"/>
          <w:vertAlign w:val="superscript"/>
        </w:rPr>
        <w:t>2</w:t>
      </w:r>
      <w:r>
        <w:rPr>
          <w:rFonts w:ascii="Times New Roman" w:hAnsi="Times New Roman" w:eastAsia="仿宋_GB2312" w:cs="Times New Roman"/>
          <w:sz w:val="28"/>
        </w:rPr>
        <w:t>，详见表5-15。</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表5-15 乐昌市低效林改造建设规划表</w:t>
      </w:r>
    </w:p>
    <w:tbl>
      <w:tblPr>
        <w:tblStyle w:val="471"/>
        <w:tblW w:w="8154"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1276"/>
        <w:gridCol w:w="1275"/>
        <w:gridCol w:w="1276"/>
        <w:gridCol w:w="19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851" w:type="dxa"/>
            <w:vMerge w:val="restar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559"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color w:val="000000"/>
                <w:kern w:val="0"/>
                <w:szCs w:val="21"/>
              </w:rPr>
              <w:t>乡镇</w:t>
            </w:r>
          </w:p>
        </w:tc>
        <w:tc>
          <w:tcPr>
            <w:tcW w:w="1276"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近期（hm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275"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中期（hm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276"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远期（hm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917"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合计（hm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vMerge w:val="continue"/>
            <w:shd w:val="clear" w:color="auto" w:fill="auto"/>
            <w:vAlign w:val="center"/>
          </w:tcPr>
          <w:p>
            <w:pPr>
              <w:spacing w:line="360" w:lineRule="auto"/>
              <w:jc w:val="center"/>
              <w:rPr>
                <w:rFonts w:ascii="Times New Roman" w:hAnsi="Times New Roman" w:eastAsia="仿宋_GB2312" w:cs="Times New Roman"/>
                <w:b/>
              </w:rPr>
            </w:pPr>
          </w:p>
        </w:tc>
        <w:tc>
          <w:tcPr>
            <w:tcW w:w="1559"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合计</w:t>
            </w:r>
          </w:p>
        </w:tc>
        <w:tc>
          <w:tcPr>
            <w:tcW w:w="1276" w:type="dxa"/>
            <w:shd w:val="clear" w:color="auto" w:fill="auto"/>
            <w:vAlign w:val="center"/>
          </w:tcPr>
          <w:p>
            <w:pPr>
              <w:widowControl/>
              <w:spacing w:line="360" w:lineRule="auto"/>
              <w:jc w:val="center"/>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7440</w:t>
            </w:r>
          </w:p>
        </w:tc>
        <w:tc>
          <w:tcPr>
            <w:tcW w:w="1275" w:type="dxa"/>
            <w:shd w:val="clear" w:color="auto" w:fill="auto"/>
            <w:vAlign w:val="center"/>
          </w:tcPr>
          <w:p>
            <w:pPr>
              <w:widowControl/>
              <w:spacing w:line="360" w:lineRule="auto"/>
              <w:jc w:val="center"/>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5580</w:t>
            </w:r>
          </w:p>
        </w:tc>
        <w:tc>
          <w:tcPr>
            <w:tcW w:w="1276" w:type="dxa"/>
            <w:shd w:val="clear" w:color="auto" w:fill="auto"/>
            <w:vAlign w:val="center"/>
          </w:tcPr>
          <w:p>
            <w:pPr>
              <w:widowControl/>
              <w:spacing w:line="360" w:lineRule="auto"/>
              <w:jc w:val="center"/>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5580</w:t>
            </w:r>
          </w:p>
        </w:tc>
        <w:tc>
          <w:tcPr>
            <w:tcW w:w="1917" w:type="dxa"/>
            <w:shd w:val="clear" w:color="auto" w:fill="auto"/>
            <w:vAlign w:val="center"/>
          </w:tcPr>
          <w:p>
            <w:pPr>
              <w:widowControl/>
              <w:spacing w:line="360" w:lineRule="auto"/>
              <w:jc w:val="center"/>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18600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乐城办事处</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672.02</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504.01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504.01</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1680.05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长来镇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161.74</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121.3</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121.3</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404.33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北乡镇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362.66</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272</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272</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906.66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廊田镇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392.94</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294.71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294.71</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982.36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五山镇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525.06</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393.8</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393.8</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1312.66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大源镇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1173.08</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879.81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879.81</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2932.7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九峰镇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717.28</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537.96</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537.96</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1793.2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两江镇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665.44</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499.08</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499.08</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1663.6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坪石镇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1043.35</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782.51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782.51</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2608.37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三溪镇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335</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251.25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251.25</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837.5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黄圃镇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181.58</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136.19</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136.19</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453.96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庆云镇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175.48</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131.61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131.61</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438.7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白石镇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175.48</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131.61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131.61</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438.7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梅花镇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526.87</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395.15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395.15</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1317.17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秀水镇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99.13</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74.35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74.35</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247.83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云岩镇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106.06</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79.54</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79.54</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265.14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17</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沙坪镇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126.83</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95.12</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95.12</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317.07</w:t>
            </w: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95" w:name="_Toc49241539"/>
      <w:r>
        <w:rPr>
          <w:rFonts w:ascii="Times New Roman" w:hAnsi="Times New Roman" w:eastAsia="黑体" w:cs="Times New Roman"/>
          <w:b/>
          <w:bCs/>
          <w:sz w:val="32"/>
          <w:szCs w:val="32"/>
        </w:rPr>
        <w:t>5.6 石漠化综合治理工程</w:t>
      </w:r>
      <w:bookmarkEnd w:id="95"/>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5.6.1 建设现状</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粤北岩溶山区是石漠化土地演变的典型区域，乐昌市属于峰林平原型石漠化类型，是广东省石灰岩县（市）中石漠化程度最高的县级行政区。乐昌市石漠化地区主要分布在乐昌西北部，集中在梅花、沙坪、秀水、云岩、庆云、黄圃、白石、坪石等8个石灰岩镇。根据广东省岩溶地区第三次石漠化监测结果，乐昌市石漠化土地面积为18030.36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。近年来，乐昌市通过人工造林、封山育林等生态工程，提高森林覆盖率，区域内的裸地显著减少，石漠化土地面积不断减少，石漠化程度不断降低。</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5.6.2 建设任务</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结合人工造林工程、封山育林工程、油茶经济林建设工程，加强石漠化生态脆弱区域的生态修复，恢复</w:t>
      </w:r>
      <w:r>
        <w:rPr>
          <w:rFonts w:ascii="Times New Roman" w:hAnsi="Times New Roman" w:eastAsia="仿宋_GB2312" w:cs="Times New Roman"/>
          <w:sz w:val="28"/>
        </w:rPr>
        <w:t>岩溶地区森林植被，恢复林草植被。</w:t>
      </w:r>
      <w:r>
        <w:rPr>
          <w:rFonts w:ascii="Times New Roman" w:hAnsi="Times New Roman" w:eastAsia="仿宋_GB2312" w:cs="Times New Roman"/>
          <w:bCs/>
          <w:sz w:val="28"/>
          <w:szCs w:val="24"/>
        </w:rPr>
        <w:t>加强植被恢复和水土流失治理，改善石漠化地区的生态环境，提高区域生态承载力。在石灰岩地区优先发展良种油茶、金银花、光皮树等经济树种，实现石漠化治理的同时提升林地产出效益。规划期内，治理石漠化土地面积4720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，其中近期1640hm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，中期1550hm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，远期1530hm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w:t>
      </w:r>
      <w:r>
        <w:rPr>
          <w:rFonts w:ascii="Times New Roman" w:hAnsi="Times New Roman" w:eastAsia="仿宋_GB2312" w:cs="Times New Roman"/>
          <w:sz w:val="28"/>
        </w:rPr>
        <w:t>详见表5-16</w:t>
      </w:r>
      <w:r>
        <w:rPr>
          <w:rFonts w:ascii="Times New Roman" w:hAnsi="Times New Roman" w:eastAsia="仿宋_GB2312" w:cs="Times New Roman"/>
          <w:bCs/>
          <w:sz w:val="28"/>
          <w:szCs w:val="24"/>
        </w:rPr>
        <w:t>。</w:t>
      </w:r>
    </w:p>
    <w:p>
      <w:pPr>
        <w:pStyle w:val="109"/>
        <w:spacing w:beforeLines="0" w:afterLines="0"/>
        <w:ind w:firstLine="0" w:firstLineChars="0"/>
        <w:rPr>
          <w:rFonts w:eastAsia="宋体" w:cs="Times New Roman"/>
          <w:color w:val="auto"/>
        </w:rPr>
      </w:pPr>
      <w:r>
        <w:rPr>
          <w:rFonts w:eastAsia="宋体" w:cs="Times New Roman"/>
          <w:color w:val="auto"/>
        </w:rPr>
        <w:t>表5-16 乐昌市石漠化治理规划表</w:t>
      </w:r>
    </w:p>
    <w:tbl>
      <w:tblPr>
        <w:tblStyle w:val="471"/>
        <w:tblW w:w="81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34"/>
        <w:gridCol w:w="1777"/>
        <w:gridCol w:w="1276"/>
        <w:gridCol w:w="1276"/>
        <w:gridCol w:w="13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序号</w:t>
            </w:r>
          </w:p>
        </w:tc>
        <w:tc>
          <w:tcPr>
            <w:tcW w:w="1134"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乡镇</w:t>
            </w:r>
          </w:p>
        </w:tc>
        <w:tc>
          <w:tcPr>
            <w:tcW w:w="1777"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合计</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276"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近期</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276"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中期</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348"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远期</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梅花镇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1187.78</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412.7</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390.06</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385.02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沙坪镇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1081.16</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375.66</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355.04</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350.46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秀水镇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630.57</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219.15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207.05</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204.37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云岩镇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606.75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210.82</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199.25</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196.68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庆云镇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408.85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142.06</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134.26</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132.53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黄圃镇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330.83</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114.95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108.64</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107.24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白石镇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252.81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87.84</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83.02</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坪石镇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221.25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76.82</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72.68</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71.75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475" w:type="dxa"/>
            <w:gridSpan w:val="2"/>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合计</w:t>
            </w:r>
          </w:p>
        </w:tc>
        <w:tc>
          <w:tcPr>
            <w:tcW w:w="1777"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4720</w:t>
            </w:r>
          </w:p>
        </w:tc>
        <w:tc>
          <w:tcPr>
            <w:tcW w:w="1276"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1640</w:t>
            </w:r>
          </w:p>
        </w:tc>
        <w:tc>
          <w:tcPr>
            <w:tcW w:w="1276"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1550</w:t>
            </w:r>
          </w:p>
        </w:tc>
        <w:tc>
          <w:tcPr>
            <w:tcW w:w="1348"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1530</w:t>
            </w: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96" w:name="_Toc49241540"/>
      <w:r>
        <w:rPr>
          <w:rFonts w:ascii="Times New Roman" w:hAnsi="Times New Roman" w:eastAsia="黑体" w:cs="Times New Roman"/>
          <w:b/>
          <w:bCs/>
          <w:sz w:val="32"/>
          <w:szCs w:val="32"/>
        </w:rPr>
        <w:t>5.7 受损弃置地生态修复</w:t>
      </w:r>
      <w:bookmarkEnd w:id="96"/>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5.7.1 建设现状</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至2018年底，乐昌市发现的主要矿种有煤、铁、钨、铅、锌、锰等20种，其中能源矿产1种，金属矿产6种，非金属固体矿产11种，水气矿产2种。乐昌市停采关闭矿山17个，需复垦绿化面积14.42hm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，已垦绿的停采关闭矿山14个，面积12.06hm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，受损弃置地生态修复率达到83.63%。已复绿的停采矿山，主要位于城区周边和主要交通要道两侧可视范围内。</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97" w:name="_Toc14198100"/>
      <w:r>
        <w:rPr>
          <w:rFonts w:ascii="Times New Roman" w:hAnsi="Times New Roman" w:eastAsia="黑体" w:cs="Times New Roman"/>
          <w:b/>
          <w:bCs/>
          <w:kern w:val="28"/>
          <w:sz w:val="30"/>
          <w:szCs w:val="32"/>
        </w:rPr>
        <w:t>5.7.2 建设</w:t>
      </w:r>
      <w:bookmarkEnd w:id="97"/>
      <w:r>
        <w:rPr>
          <w:rFonts w:ascii="Times New Roman" w:hAnsi="Times New Roman" w:eastAsia="黑体" w:cs="Times New Roman"/>
          <w:b/>
          <w:bCs/>
          <w:kern w:val="28"/>
          <w:sz w:val="30"/>
          <w:szCs w:val="32"/>
        </w:rPr>
        <w:t>目标</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针对矿区、采石场及因修路导致自然生态系统受到破坏的区域，结合营造林工程，采取人工与自然结合的方法，按照自然规律，以地带性植被为参照，逐步修复受损弃置地的森林植被，恢复自然生态系统，改善生态环境。</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98" w:name="_Toc14198102"/>
      <w:r>
        <w:rPr>
          <w:rFonts w:ascii="Times New Roman" w:hAnsi="Times New Roman" w:eastAsia="黑体" w:cs="Times New Roman"/>
          <w:b/>
          <w:bCs/>
          <w:kern w:val="28"/>
          <w:sz w:val="30"/>
          <w:szCs w:val="32"/>
        </w:rPr>
        <w:t>5.7.3 建设内容</w:t>
      </w:r>
      <w:bookmarkEnd w:id="98"/>
    </w:p>
    <w:p>
      <w:pPr>
        <w:spacing w:line="360" w:lineRule="auto"/>
        <w:ind w:firstLine="560" w:firstLineChars="200"/>
        <w:rPr>
          <w:rFonts w:ascii="Times New Roman" w:hAnsi="Times New Roman" w:eastAsia="宋体" w:cs="Times New Roman"/>
          <w:bCs/>
          <w:sz w:val="28"/>
          <w:szCs w:val="24"/>
        </w:rPr>
      </w:pPr>
      <w:r>
        <w:rPr>
          <w:rFonts w:ascii="Times New Roman" w:hAnsi="Times New Roman" w:eastAsia="仿宋_GB2312" w:cs="Times New Roman"/>
          <w:bCs/>
          <w:sz w:val="28"/>
          <w:szCs w:val="24"/>
        </w:rPr>
        <w:t>加快受损弃置地生态修复进程，在综合条件较好的地段，建设矿山公园，将废弃的矿山恢复成景观优美的林地或特色风景游憩区，体现山地原生态景观。矿山修复以生态造林为主，综合利用整地技术、土壤改良技术、混交林营造技术等，对已废弃矿山进行生态修复。由于矿区存在大量碎沙石堆或碎沙石坡，需采用渣坡固定和拦挡工程。同时针对不同的地形条件，采取相应的植被恢复措施。</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规划期内，实施受损弃置地生态修复面积2.36hm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，其中近期</w:t>
      </w:r>
      <w:bookmarkStart w:id="99" w:name="_Hlk17187121"/>
      <w:r>
        <w:rPr>
          <w:rFonts w:ascii="Times New Roman" w:hAnsi="Times New Roman" w:eastAsia="仿宋_GB2312" w:cs="Times New Roman"/>
          <w:bCs/>
          <w:sz w:val="28"/>
          <w:szCs w:val="24"/>
        </w:rPr>
        <w:t>1.26hm</w:t>
      </w:r>
      <w:r>
        <w:rPr>
          <w:rFonts w:ascii="Times New Roman" w:hAnsi="Times New Roman" w:eastAsia="仿宋_GB2312" w:cs="Times New Roman"/>
          <w:bCs/>
          <w:sz w:val="28"/>
          <w:szCs w:val="24"/>
          <w:vertAlign w:val="superscript"/>
        </w:rPr>
        <w:t>2</w:t>
      </w:r>
      <w:bookmarkEnd w:id="99"/>
      <w:r>
        <w:rPr>
          <w:rFonts w:ascii="Times New Roman" w:hAnsi="Times New Roman" w:eastAsia="仿宋_GB2312" w:cs="Times New Roman"/>
          <w:bCs/>
          <w:sz w:val="28"/>
          <w:szCs w:val="24"/>
        </w:rPr>
        <w:t>；中期1.10hm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w:t>
      </w:r>
    </w:p>
    <w:p>
      <w:pPr>
        <w:spacing w:line="360" w:lineRule="auto"/>
        <w:ind w:firstLine="560" w:firstLineChars="200"/>
        <w:rPr>
          <w:rFonts w:ascii="Times New Roman" w:hAnsi="Times New Roman" w:eastAsia="仿宋_GB2312" w:cs="Times New Roman"/>
          <w:sz w:val="28"/>
          <w:szCs w:val="28"/>
        </w:rPr>
        <w:sectPr>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100" w:name="_Toc49241541"/>
      <w:bookmarkStart w:id="101" w:name="_Toc525551887"/>
      <w:r>
        <w:rPr>
          <w:rFonts w:ascii="Times New Roman" w:hAnsi="Times New Roman" w:cs="Times New Roman"/>
        </w:rPr>
        <w:t>6 森林服务体系建设规划</w:t>
      </w:r>
      <w:bookmarkEnd w:id="100"/>
      <w:bookmarkEnd w:id="101"/>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02" w:name="_Toc49241542"/>
      <w:bookmarkStart w:id="103" w:name="_Toc525551894"/>
      <w:r>
        <w:rPr>
          <w:rFonts w:ascii="Times New Roman" w:hAnsi="Times New Roman" w:eastAsia="黑体" w:cs="Times New Roman"/>
          <w:b/>
          <w:bCs/>
          <w:sz w:val="32"/>
          <w:szCs w:val="32"/>
        </w:rPr>
        <w:t>6.1 森林康养服务建设</w:t>
      </w:r>
      <w:bookmarkEnd w:id="102"/>
      <w:bookmarkEnd w:id="103"/>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6.1.1 建设现状</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森林景观秀美，温泉资源丰富，目前乐城、坪石、九峰等乡镇已有发展森林康养的基础条件，梅花镇百臻森林公园、九福兰花公园已朝森林康养建设发展，龙王潭生态旅游区、龙泉度假区等地在景观资源、旅游基础设施方面也具备发展森林康养的优势条件。在此基础上发展森林康养，需避免同质化现象，打造森林康养精品，加大森林康养基地的宣传，提升康养基地的服务设施和接待能力。</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6.1.2 建设目标</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以服务健康中国和促进乡村振兴为目标，以优化森林康养环境、完善康养基础设施、丰富康养产品、建设康养基地、繁荣康养文化、提高康养服务水平为重点，依托乐昌市优美的自然景观、良好的生态环境、健康的森林产品等资源条件，建设一批环境优良、设施齐备、特色突出、服务优良的森林康养基地，向市民提供多种类、高质量的森林康养服务，服务居民身心健康，提高居民幸福指数，不断满足人民群众日益增长的美好生活需要。</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6.1.3 建设内容</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（1）优化森林康养环境</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各类康养基地的建设标准开展基地建设，改造提升基地内需要进行森林抚育、林相改造与景观提升的区域，丰富植被种类，有针对性地营造、补植具有康养功能的树种与花卉等，打造环境优美、功效显著的森林康养环境。</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（2）完善森林康养基础设施</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依托各基地内已有的林间步道、护林防火道和生产性道路建设康养步道和导引系统等基础设施，打造具有乐昌特色的森林游步道，将森林游步道打造成为康养基地的亮点与品牌，起到示范与带动作用。</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（3）丰富森林康养产品</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各基地的发展特色与主题，开展保健养生、康复疗养、健康养老、休闲游憩等森林康养服务项目，大力开发中医药与森林康养服务相结合的产品，培育特色鲜明的优质森林康养产品。在开发产品过程中，应注重与基地特色相结合，避免同质化现象。</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（4）提高森林康养服务水平</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完善服务标准和技术规范，丰富康养标识系统，科学普及康养知识，注重高端医疗康养市场的发展，提升运营能力和管理水平。加强从业人员职业技能培训，提高服务品质。开展森林康养环境监测，实时发布生态及服务数据。加强安全防护和引导，强化应急处置，确保安全运营。</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（5）挖掘与传承康养文化</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将森林康养基地与自然教育相结合，借助基地开展植物认知、森林音乐会等活动，深入梳理与挖掘当地康养文化、森林文化、花卉文化、膳食文化、民俗文化以及乡土文化，开展文化传承与基地宣传，打造特色康养品牌。</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规划期内，建设森林康养基地9处，其中近期</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处，中期</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处，远期2处。具体内容见表6-1。</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表6-1 乐昌市森林康养基地建设规划表</w:t>
      </w:r>
    </w:p>
    <w:tbl>
      <w:tblPr>
        <w:tblStyle w:val="471"/>
        <w:tblW w:w="48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230"/>
        <w:gridCol w:w="1983"/>
        <w:gridCol w:w="1134"/>
        <w:gridCol w:w="22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序号</w:t>
            </w:r>
          </w:p>
        </w:tc>
        <w:tc>
          <w:tcPr>
            <w:tcW w:w="1337"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基地名称</w:t>
            </w:r>
          </w:p>
        </w:tc>
        <w:tc>
          <w:tcPr>
            <w:tcW w:w="1189"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基地类型</w:t>
            </w:r>
          </w:p>
        </w:tc>
        <w:tc>
          <w:tcPr>
            <w:tcW w:w="680"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建设期限</w:t>
            </w:r>
          </w:p>
        </w:tc>
        <w:tc>
          <w:tcPr>
            <w:tcW w:w="1338"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发展主题/特色产品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梅花镇百臻森林公园</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森林养生基地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近期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观光、采摘、体验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九峰镇</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慢生活体验休闲镇</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近期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花海景观、民宿等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龙王潭生态旅游区</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森林养生基地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近期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风景怡人、负离子含量高、红色文化等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广东乐昌</w:t>
            </w:r>
            <w:r>
              <w:rPr>
                <w:rFonts w:hint="eastAsia"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后洞</w:t>
            </w:r>
            <w: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森林康养基地</w:t>
            </w:r>
          </w:p>
        </w:tc>
        <w:tc>
          <w:tcPr>
            <w:tcW w:w="1189" w:type="pct"/>
            <w:shd w:val="clear" w:color="auto" w:fill="auto"/>
            <w:vAlign w:val="center"/>
          </w:tcPr>
          <w:p>
            <w:pPr>
              <w:spacing w:line="360" w:lineRule="auto"/>
              <w:jc w:val="cente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森林体验基地</w:t>
            </w:r>
          </w:p>
        </w:tc>
        <w:tc>
          <w:tcPr>
            <w:tcW w:w="680" w:type="pct"/>
            <w:shd w:val="clear" w:color="auto" w:fill="auto"/>
            <w:vAlign w:val="center"/>
          </w:tcPr>
          <w:p>
            <w:pPr>
              <w:spacing w:line="360" w:lineRule="auto"/>
              <w:jc w:val="cente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中</w:t>
            </w:r>
            <w: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期</w:t>
            </w:r>
          </w:p>
        </w:tc>
        <w:tc>
          <w:tcPr>
            <w:tcW w:w="1338" w:type="pct"/>
            <w:shd w:val="clear" w:color="auto" w:fill="auto"/>
            <w:vAlign w:val="center"/>
          </w:tcPr>
          <w:p>
            <w:pPr>
              <w:spacing w:line="360" w:lineRule="auto"/>
              <w:jc w:val="cente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生态步道、露营体验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九福兰花公园</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森林养生基地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中期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围绕兰花为主题的各类康养服务与设施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龙湖湿地</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森林体验基地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中期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生态步道、露营体验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龙泉度假区</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森林养生基地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中期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温泉度假、康养服务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五山镇长老坑瑶族村</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森林养生基地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远期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瑶族文化为特点的民宿、美食等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竹林度假区</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森林体验基地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远期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竹林木屋、竹林康养中心等</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6.1.4 建设标准</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（1）森林体验基地</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森林体验基地要求具有一定规模、形式多样的特色体验项目与科普宣教设施，拥有绿色健康体验设施，并符合中华人民共和国林业行业标准《森林体验基地质量评定》（LY/T 2788-2017）中规定的基地基本要求与基地质量指标。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（2）森林养生基地</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森林养生基地要求具备健康养生特色鲜明的资源条件与养生产品，并符合中华人民共和国林业行业标准《森林养生基地质量评定》（LY/T 2789-2017）中规定的森林养生基地质量指标。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（3）慢生活体验休闲区、村（镇）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按照资源与旅游基础条件、慢生活系统和项目、接待能力、宣传推广等几方面的要求，打造村（镇）慢生活系统和项目，开展慢生活体验休闲区、村（镇）建设。</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04" w:name="_Toc49241543"/>
      <w:bookmarkStart w:id="105" w:name="_Toc525551895"/>
      <w:r>
        <w:rPr>
          <w:rFonts w:ascii="Times New Roman" w:hAnsi="Times New Roman" w:eastAsia="黑体" w:cs="Times New Roman"/>
          <w:b/>
          <w:bCs/>
          <w:sz w:val="32"/>
          <w:szCs w:val="32"/>
        </w:rPr>
        <w:t>6.2 绿道网络建设</w:t>
      </w:r>
      <w:bookmarkEnd w:id="104"/>
      <w:bookmarkEnd w:id="105"/>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6.2.1 建设现状</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目前，乐昌市依托旅游资源与绿美乡村建设，已开展九峰环镇旅游公路建设，除此之外围绕各类公园、景区内的游步道和乡村道路也开展了绿道建设。截至2018年底，乐昌市绿道总长度17.5km。全市城乡居民总人数为26.14万人，城乡居民每万人拥有的绿道长度为0.67km。</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6.2.2 建设目标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在现有道路系统的基础上，结合乐昌市旅游交通精品线路、南粤古驿道、乡村景观道路的建设，打造以生态型绿道、郊野型绿道与都市型绿道为主体的绿道网络，构建以步行、自行车为主体的慢行系统，串联乐昌市的各类旅游目的地，与各类公共目的地共同构成乐昌市休闲空间体系。至2021年底，乐昌市新建绿道19.5km，城乡居民每万人拥有的绿道长度达1.41km以上。</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6.2.3 建设内容</w:t>
      </w:r>
    </w:p>
    <w:p>
      <w:pPr>
        <w:keepNext/>
        <w:keepLines/>
        <w:spacing w:before="120" w:after="120" w:line="360"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6.2.3.1绿道网络建设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结合《乐昌市城市总体规划》以及各旅游景区、景点、公园的分布，围绕乐城街道和坪石镇打造都市型绿道，作为串联乐昌市城区的绿色开敞空间和运动休闲慢行系统，供市民绿色出行。围绕乐昌市东部九峰镇、廊田镇、北乡镇丰富的景区景点，串联森林康养、森林旅游景点，依托旅游公路等基础设施完善绿道周边景观，增加登山步道、山间绿道、自行车慢行系统等，完善绿道服务和功能。围绕武江、九峰河等河流水系，打造沿江沿河绿道，增加滨水骑行路段，设置亲水步道，丰富游赏体验。</w:t>
      </w:r>
    </w:p>
    <w:p>
      <w:pPr>
        <w:keepNext/>
        <w:keepLines/>
        <w:spacing w:before="120" w:after="120" w:line="360"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6.2.3.2绿道分类</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根据所处区位与周边环境特征不同，乐昌市绿道分为都市型绿道、城郊型绿道、郊野型绿道和三种类型。</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都市型绿道选线应利用乐昌市城区及各乡镇建成区的非机动车道、人行道等，合理疏导人流，满足交通安全、集散及衔接需求。城郊型绿道选线应避开生态保护红线和生态敏感区，按乐昌市自然保护地分布的实际情况串联周边公共目的地，避免干扰野生动植物的生存环境，保护原生态的自然风貌。郊野型绿道选线应依山就势，结合旅游道路专线、景区主干道、登山道等进行新建或改造升级，为乐昌打造不同风格、特色鲜明的郊野绿道。郊野型绿道在满足使用需求的基础上避免随意拓宽。</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规划期内建设绿道36.5km，其中近期19.5km，中期11km，远期6km。具体见表6-2。</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表6-2 乐昌市绿道建设规划表</w:t>
      </w:r>
    </w:p>
    <w:tbl>
      <w:tblPr>
        <w:tblStyle w:val="471"/>
        <w:tblW w:w="48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737"/>
        <w:gridCol w:w="788"/>
        <w:gridCol w:w="851"/>
        <w:gridCol w:w="849"/>
        <w:gridCol w:w="852"/>
        <w:gridCol w:w="851"/>
        <w:gridCol w:w="993"/>
        <w:gridCol w:w="9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blHeader/>
          <w:jc w:val="center"/>
        </w:trPr>
        <w:tc>
          <w:tcPr>
            <w:tcW w:w="259" w:type="pct"/>
            <w:vMerge w:val="restar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序号</w:t>
            </w:r>
          </w:p>
        </w:tc>
        <w:tc>
          <w:tcPr>
            <w:tcW w:w="1052" w:type="pct"/>
            <w:vMerge w:val="restar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乡镇</w:t>
            </w:r>
          </w:p>
        </w:tc>
        <w:tc>
          <w:tcPr>
            <w:tcW w:w="2022" w:type="pct"/>
            <w:gridSpan w:val="4"/>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建设类型（km）</w:t>
            </w:r>
          </w:p>
        </w:tc>
        <w:tc>
          <w:tcPr>
            <w:tcW w:w="1667" w:type="pct"/>
            <w:gridSpan w:val="3"/>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建设任务（km）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259" w:type="pct"/>
            <w:vMerge w:val="continue"/>
            <w:shd w:val="clear" w:color="auto" w:fill="auto"/>
            <w:vAlign w:val="center"/>
          </w:tcPr>
          <w:p>
            <w:pPr>
              <w:spacing w:line="360" w:lineRule="auto"/>
              <w:jc w:val="center"/>
              <w:rPr>
                <w:rFonts w:ascii="Times New Roman" w:hAnsi="Times New Roman" w:cs="Times New Roman"/>
                <w:b/>
                <w:szCs w:val="21"/>
              </w:rPr>
            </w:pPr>
          </w:p>
        </w:tc>
        <w:tc>
          <w:tcPr>
            <w:tcW w:w="1052" w:type="pct"/>
            <w:vMerge w:val="continue"/>
            <w:shd w:val="clear" w:color="auto" w:fill="auto"/>
            <w:vAlign w:val="center"/>
          </w:tcPr>
          <w:p>
            <w:pPr>
              <w:spacing w:line="360" w:lineRule="auto"/>
              <w:jc w:val="center"/>
              <w:rPr>
                <w:rFonts w:ascii="Times New Roman" w:hAnsi="Times New Roman" w:cs="Times New Roman"/>
                <w:b/>
                <w:szCs w:val="21"/>
              </w:rPr>
            </w:pPr>
          </w:p>
        </w:tc>
        <w:tc>
          <w:tcPr>
            <w:tcW w:w="477"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小计</w:t>
            </w:r>
          </w:p>
        </w:tc>
        <w:tc>
          <w:tcPr>
            <w:tcW w:w="515"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都市型</w:t>
            </w:r>
          </w:p>
        </w:tc>
        <w:tc>
          <w:tcPr>
            <w:tcW w:w="514"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城郊型</w:t>
            </w:r>
          </w:p>
        </w:tc>
        <w:tc>
          <w:tcPr>
            <w:tcW w:w="516"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郊野型</w:t>
            </w:r>
          </w:p>
        </w:tc>
        <w:tc>
          <w:tcPr>
            <w:tcW w:w="515"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近期</w:t>
            </w:r>
          </w:p>
        </w:tc>
        <w:tc>
          <w:tcPr>
            <w:tcW w:w="601"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中期</w:t>
            </w:r>
          </w:p>
        </w:tc>
        <w:tc>
          <w:tcPr>
            <w:tcW w:w="551"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9" w:type="pct"/>
            <w:shd w:val="clear" w:color="auto" w:fill="auto"/>
            <w:vAlign w:val="center"/>
          </w:tcPr>
          <w:p>
            <w:pPr>
              <w:numPr>
                <w:ilvl w:val="0"/>
                <w:numId w:val="8"/>
              </w:numPr>
              <w:spacing w:line="360" w:lineRule="auto"/>
              <w:jc w:val="center"/>
              <w:rPr>
                <w:rFonts w:ascii="Times New Roman" w:hAnsi="Times New Roman" w:cs="Times New Roman"/>
                <w:kern w:val="0"/>
                <w:szCs w:val="21"/>
              </w:rPr>
            </w:pPr>
          </w:p>
        </w:tc>
        <w:tc>
          <w:tcPr>
            <w:tcW w:w="1052"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乐城街道办事处</w:t>
            </w:r>
          </w:p>
        </w:tc>
        <w:tc>
          <w:tcPr>
            <w:tcW w:w="477"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5"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4" w:type="pct"/>
            <w:shd w:val="clear" w:color="auto" w:fill="auto"/>
            <w:vAlign w:val="center"/>
          </w:tcPr>
          <w:p>
            <w:pPr>
              <w:spacing w:line="360" w:lineRule="auto"/>
              <w:jc w:val="center"/>
              <w:rPr>
                <w:rFonts w:ascii="Times New Roman" w:hAnsi="Times New Roman" w:cs="Times New Roman"/>
                <w:szCs w:val="21"/>
              </w:rPr>
            </w:pPr>
          </w:p>
        </w:tc>
        <w:tc>
          <w:tcPr>
            <w:tcW w:w="516" w:type="pct"/>
            <w:shd w:val="clear" w:color="auto" w:fill="auto"/>
            <w:vAlign w:val="center"/>
          </w:tcPr>
          <w:p>
            <w:pPr>
              <w:spacing w:line="360" w:lineRule="auto"/>
              <w:jc w:val="center"/>
              <w:rPr>
                <w:rFonts w:ascii="Times New Roman" w:hAnsi="Times New Roman" w:cs="Times New Roman"/>
                <w:szCs w:val="21"/>
              </w:rPr>
            </w:pPr>
          </w:p>
        </w:tc>
        <w:tc>
          <w:tcPr>
            <w:tcW w:w="515"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3</w:t>
            </w:r>
          </w:p>
        </w:tc>
        <w:tc>
          <w:tcPr>
            <w:tcW w:w="601" w:type="pct"/>
            <w:shd w:val="clear" w:color="auto" w:fill="auto"/>
            <w:vAlign w:val="center"/>
          </w:tcPr>
          <w:p>
            <w:pPr>
              <w:spacing w:line="360" w:lineRule="auto"/>
              <w:jc w:val="center"/>
              <w:rPr>
                <w:rFonts w:ascii="Times New Roman" w:hAnsi="Times New Roman" w:cs="Times New Roman"/>
                <w:color w:val="000000"/>
                <w:szCs w:val="21"/>
              </w:rPr>
            </w:pPr>
          </w:p>
        </w:tc>
        <w:tc>
          <w:tcPr>
            <w:tcW w:w="551" w:type="pct"/>
            <w:shd w:val="clear" w:color="auto" w:fill="auto"/>
            <w:vAlign w:val="center"/>
          </w:tcPr>
          <w:p>
            <w:pPr>
              <w:spacing w:line="360" w:lineRule="auto"/>
              <w:jc w:val="center"/>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9" w:type="pct"/>
            <w:shd w:val="clear" w:color="auto" w:fill="auto"/>
            <w:vAlign w:val="center"/>
          </w:tcPr>
          <w:p>
            <w:pPr>
              <w:numPr>
                <w:ilvl w:val="0"/>
                <w:numId w:val="8"/>
              </w:numPr>
              <w:spacing w:line="360" w:lineRule="auto"/>
              <w:jc w:val="center"/>
              <w:rPr>
                <w:rFonts w:ascii="Times New Roman" w:hAnsi="Times New Roman" w:cs="Times New Roman"/>
                <w:kern w:val="0"/>
                <w:szCs w:val="21"/>
              </w:rPr>
            </w:pPr>
          </w:p>
        </w:tc>
        <w:tc>
          <w:tcPr>
            <w:tcW w:w="1052"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北乡镇</w:t>
            </w:r>
          </w:p>
        </w:tc>
        <w:tc>
          <w:tcPr>
            <w:tcW w:w="477"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2.5</w:t>
            </w:r>
          </w:p>
        </w:tc>
        <w:tc>
          <w:tcPr>
            <w:tcW w:w="515" w:type="pct"/>
            <w:shd w:val="clear" w:color="auto" w:fill="auto"/>
            <w:vAlign w:val="center"/>
          </w:tcPr>
          <w:p>
            <w:pPr>
              <w:spacing w:line="360" w:lineRule="auto"/>
              <w:jc w:val="center"/>
              <w:rPr>
                <w:rFonts w:ascii="Times New Roman" w:hAnsi="Times New Roman" w:cs="Times New Roman"/>
                <w:szCs w:val="21"/>
              </w:rPr>
            </w:pPr>
          </w:p>
        </w:tc>
        <w:tc>
          <w:tcPr>
            <w:tcW w:w="514" w:type="pct"/>
            <w:shd w:val="clear" w:color="auto" w:fill="auto"/>
            <w:vAlign w:val="center"/>
          </w:tcPr>
          <w:p>
            <w:pPr>
              <w:spacing w:line="360" w:lineRule="auto"/>
              <w:jc w:val="center"/>
              <w:rPr>
                <w:rFonts w:ascii="Times New Roman" w:hAnsi="Times New Roman" w:cs="Times New Roman"/>
                <w:szCs w:val="21"/>
              </w:rPr>
            </w:pPr>
          </w:p>
        </w:tc>
        <w:tc>
          <w:tcPr>
            <w:tcW w:w="516"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2.5</w:t>
            </w:r>
          </w:p>
        </w:tc>
        <w:tc>
          <w:tcPr>
            <w:tcW w:w="515"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2.5</w:t>
            </w:r>
          </w:p>
        </w:tc>
        <w:tc>
          <w:tcPr>
            <w:tcW w:w="601" w:type="pct"/>
            <w:shd w:val="clear" w:color="auto" w:fill="auto"/>
            <w:vAlign w:val="center"/>
          </w:tcPr>
          <w:p>
            <w:pPr>
              <w:spacing w:line="360" w:lineRule="auto"/>
              <w:jc w:val="center"/>
              <w:rPr>
                <w:rFonts w:ascii="Times New Roman" w:hAnsi="Times New Roman" w:cs="Times New Roman"/>
                <w:color w:val="000000"/>
                <w:szCs w:val="21"/>
              </w:rPr>
            </w:pPr>
          </w:p>
        </w:tc>
        <w:tc>
          <w:tcPr>
            <w:tcW w:w="551" w:type="pct"/>
            <w:shd w:val="clear" w:color="auto" w:fill="auto"/>
            <w:vAlign w:val="center"/>
          </w:tcPr>
          <w:p>
            <w:pPr>
              <w:spacing w:line="360" w:lineRule="auto"/>
              <w:jc w:val="center"/>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9" w:type="pct"/>
            <w:shd w:val="clear" w:color="auto" w:fill="auto"/>
            <w:vAlign w:val="center"/>
          </w:tcPr>
          <w:p>
            <w:pPr>
              <w:numPr>
                <w:ilvl w:val="0"/>
                <w:numId w:val="8"/>
              </w:numPr>
              <w:spacing w:line="360" w:lineRule="auto"/>
              <w:jc w:val="center"/>
              <w:rPr>
                <w:rFonts w:ascii="Times New Roman" w:hAnsi="Times New Roman" w:cs="Times New Roman"/>
                <w:kern w:val="0"/>
                <w:szCs w:val="21"/>
              </w:rPr>
            </w:pPr>
          </w:p>
        </w:tc>
        <w:tc>
          <w:tcPr>
            <w:tcW w:w="1052"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九峰镇</w:t>
            </w:r>
          </w:p>
        </w:tc>
        <w:tc>
          <w:tcPr>
            <w:tcW w:w="477"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8</w:t>
            </w:r>
          </w:p>
        </w:tc>
        <w:tc>
          <w:tcPr>
            <w:tcW w:w="515"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4"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516"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5"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8</w:t>
            </w:r>
          </w:p>
        </w:tc>
        <w:tc>
          <w:tcPr>
            <w:tcW w:w="601" w:type="pct"/>
            <w:shd w:val="clear" w:color="auto" w:fill="auto"/>
            <w:vAlign w:val="center"/>
          </w:tcPr>
          <w:p>
            <w:pPr>
              <w:spacing w:line="360" w:lineRule="auto"/>
              <w:jc w:val="center"/>
              <w:rPr>
                <w:rFonts w:ascii="Times New Roman" w:hAnsi="Times New Roman" w:cs="Times New Roman"/>
                <w:color w:val="000000"/>
                <w:szCs w:val="21"/>
              </w:rPr>
            </w:pPr>
          </w:p>
        </w:tc>
        <w:tc>
          <w:tcPr>
            <w:tcW w:w="551" w:type="pct"/>
            <w:shd w:val="clear" w:color="auto" w:fill="auto"/>
            <w:vAlign w:val="center"/>
          </w:tcPr>
          <w:p>
            <w:pPr>
              <w:spacing w:line="360" w:lineRule="auto"/>
              <w:jc w:val="center"/>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9" w:type="pct"/>
            <w:shd w:val="clear" w:color="auto" w:fill="auto"/>
            <w:vAlign w:val="center"/>
          </w:tcPr>
          <w:p>
            <w:pPr>
              <w:numPr>
                <w:ilvl w:val="0"/>
                <w:numId w:val="8"/>
              </w:numPr>
              <w:spacing w:line="360" w:lineRule="auto"/>
              <w:jc w:val="center"/>
              <w:rPr>
                <w:rFonts w:ascii="Times New Roman" w:hAnsi="Times New Roman" w:cs="Times New Roman"/>
                <w:kern w:val="0"/>
                <w:szCs w:val="21"/>
              </w:rPr>
            </w:pPr>
          </w:p>
        </w:tc>
        <w:tc>
          <w:tcPr>
            <w:tcW w:w="1052"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廊田镇</w:t>
            </w:r>
          </w:p>
        </w:tc>
        <w:tc>
          <w:tcPr>
            <w:tcW w:w="477"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5"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4" w:type="pct"/>
            <w:shd w:val="clear" w:color="auto" w:fill="auto"/>
            <w:vAlign w:val="center"/>
          </w:tcPr>
          <w:p>
            <w:pPr>
              <w:spacing w:line="360" w:lineRule="auto"/>
              <w:jc w:val="center"/>
              <w:rPr>
                <w:rFonts w:ascii="Times New Roman" w:hAnsi="Times New Roman" w:cs="Times New Roman"/>
                <w:szCs w:val="21"/>
              </w:rPr>
            </w:pPr>
          </w:p>
        </w:tc>
        <w:tc>
          <w:tcPr>
            <w:tcW w:w="516" w:type="pct"/>
            <w:shd w:val="clear" w:color="auto" w:fill="auto"/>
            <w:vAlign w:val="center"/>
          </w:tcPr>
          <w:p>
            <w:pPr>
              <w:spacing w:line="360" w:lineRule="auto"/>
              <w:jc w:val="center"/>
              <w:rPr>
                <w:rFonts w:ascii="Times New Roman" w:hAnsi="Times New Roman" w:cs="Times New Roman"/>
                <w:szCs w:val="21"/>
              </w:rPr>
            </w:pPr>
          </w:p>
        </w:tc>
        <w:tc>
          <w:tcPr>
            <w:tcW w:w="515" w:type="pct"/>
            <w:shd w:val="clear" w:color="auto" w:fill="auto"/>
            <w:vAlign w:val="center"/>
          </w:tcPr>
          <w:p>
            <w:pPr>
              <w:spacing w:line="360" w:lineRule="auto"/>
              <w:jc w:val="center"/>
              <w:rPr>
                <w:rFonts w:ascii="Times New Roman" w:hAnsi="Times New Roman" w:cs="Times New Roman"/>
                <w:color w:val="000000"/>
                <w:szCs w:val="21"/>
              </w:rPr>
            </w:pPr>
          </w:p>
        </w:tc>
        <w:tc>
          <w:tcPr>
            <w:tcW w:w="601"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3</w:t>
            </w:r>
          </w:p>
        </w:tc>
        <w:tc>
          <w:tcPr>
            <w:tcW w:w="551" w:type="pct"/>
            <w:shd w:val="clear" w:color="auto" w:fill="auto"/>
            <w:vAlign w:val="center"/>
          </w:tcPr>
          <w:p>
            <w:pPr>
              <w:spacing w:line="360" w:lineRule="auto"/>
              <w:jc w:val="center"/>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9" w:type="pct"/>
            <w:shd w:val="clear" w:color="auto" w:fill="auto"/>
            <w:vAlign w:val="center"/>
          </w:tcPr>
          <w:p>
            <w:pPr>
              <w:numPr>
                <w:ilvl w:val="0"/>
                <w:numId w:val="8"/>
              </w:numPr>
              <w:spacing w:line="360" w:lineRule="auto"/>
              <w:jc w:val="center"/>
              <w:rPr>
                <w:rFonts w:ascii="Times New Roman" w:hAnsi="Times New Roman" w:cs="Times New Roman"/>
                <w:kern w:val="0"/>
                <w:szCs w:val="21"/>
              </w:rPr>
            </w:pPr>
          </w:p>
        </w:tc>
        <w:tc>
          <w:tcPr>
            <w:tcW w:w="1052"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坪石镇</w:t>
            </w:r>
          </w:p>
        </w:tc>
        <w:tc>
          <w:tcPr>
            <w:tcW w:w="477"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10</w:t>
            </w:r>
          </w:p>
        </w:tc>
        <w:tc>
          <w:tcPr>
            <w:tcW w:w="515"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514" w:type="pct"/>
            <w:shd w:val="clear" w:color="auto" w:fill="auto"/>
            <w:vAlign w:val="center"/>
          </w:tcPr>
          <w:p>
            <w:pPr>
              <w:spacing w:line="360" w:lineRule="auto"/>
              <w:jc w:val="center"/>
              <w:rPr>
                <w:rFonts w:ascii="Times New Roman" w:hAnsi="Times New Roman" w:cs="Times New Roman"/>
                <w:szCs w:val="21"/>
              </w:rPr>
            </w:pPr>
          </w:p>
        </w:tc>
        <w:tc>
          <w:tcPr>
            <w:tcW w:w="516"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5"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3</w:t>
            </w:r>
          </w:p>
        </w:tc>
        <w:tc>
          <w:tcPr>
            <w:tcW w:w="601"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4</w:t>
            </w:r>
          </w:p>
        </w:tc>
        <w:tc>
          <w:tcPr>
            <w:tcW w:w="551"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9" w:type="pct"/>
            <w:shd w:val="clear" w:color="auto" w:fill="auto"/>
            <w:vAlign w:val="center"/>
          </w:tcPr>
          <w:p>
            <w:pPr>
              <w:numPr>
                <w:ilvl w:val="0"/>
                <w:numId w:val="8"/>
              </w:numPr>
              <w:spacing w:line="360" w:lineRule="auto"/>
              <w:jc w:val="center"/>
              <w:rPr>
                <w:rFonts w:ascii="Times New Roman" w:hAnsi="Times New Roman" w:cs="Times New Roman"/>
                <w:kern w:val="0"/>
                <w:szCs w:val="21"/>
              </w:rPr>
            </w:pPr>
          </w:p>
        </w:tc>
        <w:tc>
          <w:tcPr>
            <w:tcW w:w="1052"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黄圃镇</w:t>
            </w:r>
          </w:p>
        </w:tc>
        <w:tc>
          <w:tcPr>
            <w:tcW w:w="477"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10</w:t>
            </w:r>
          </w:p>
        </w:tc>
        <w:tc>
          <w:tcPr>
            <w:tcW w:w="515"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4"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516"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5"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3</w:t>
            </w:r>
          </w:p>
        </w:tc>
        <w:tc>
          <w:tcPr>
            <w:tcW w:w="601"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4</w:t>
            </w:r>
          </w:p>
        </w:tc>
        <w:tc>
          <w:tcPr>
            <w:tcW w:w="551"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10" w:type="pct"/>
            <w:gridSpan w:val="2"/>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合计</w:t>
            </w:r>
          </w:p>
        </w:tc>
        <w:tc>
          <w:tcPr>
            <w:tcW w:w="477"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36.5</w:t>
            </w:r>
          </w:p>
        </w:tc>
        <w:tc>
          <w:tcPr>
            <w:tcW w:w="515"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19</w:t>
            </w:r>
          </w:p>
        </w:tc>
        <w:tc>
          <w:tcPr>
            <w:tcW w:w="514"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6</w:t>
            </w:r>
          </w:p>
        </w:tc>
        <w:tc>
          <w:tcPr>
            <w:tcW w:w="516"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11.5</w:t>
            </w:r>
          </w:p>
        </w:tc>
        <w:tc>
          <w:tcPr>
            <w:tcW w:w="515" w:type="pct"/>
            <w:shd w:val="clear" w:color="auto" w:fill="auto"/>
            <w:vAlign w:val="center"/>
          </w:tcPr>
          <w:p>
            <w:pPr>
              <w:spacing w:line="360" w:lineRule="auto"/>
              <w:jc w:val="center"/>
              <w:rPr>
                <w:rFonts w:ascii="Times New Roman" w:hAnsi="Times New Roman" w:cs="Times New Roman"/>
                <w:b/>
                <w:color w:val="000000"/>
                <w:szCs w:val="21"/>
              </w:rPr>
            </w:pPr>
            <w:r>
              <w:rPr>
                <w:rFonts w:ascii="Times New Roman" w:hAnsi="Times New Roman" w:cs="Times New Roman"/>
                <w:b/>
                <w:color w:val="000000"/>
                <w:szCs w:val="21"/>
              </w:rPr>
              <w:t>19.5</w:t>
            </w:r>
          </w:p>
        </w:tc>
        <w:tc>
          <w:tcPr>
            <w:tcW w:w="601" w:type="pct"/>
            <w:shd w:val="clear" w:color="auto" w:fill="auto"/>
            <w:vAlign w:val="center"/>
          </w:tcPr>
          <w:p>
            <w:pPr>
              <w:spacing w:line="360" w:lineRule="auto"/>
              <w:jc w:val="center"/>
              <w:rPr>
                <w:rFonts w:ascii="Times New Roman" w:hAnsi="Times New Roman" w:cs="Times New Roman"/>
                <w:b/>
                <w:color w:val="000000"/>
                <w:szCs w:val="21"/>
              </w:rPr>
            </w:pPr>
            <w:r>
              <w:rPr>
                <w:rFonts w:ascii="Times New Roman" w:hAnsi="Times New Roman" w:cs="Times New Roman"/>
                <w:b/>
                <w:color w:val="000000"/>
                <w:szCs w:val="21"/>
              </w:rPr>
              <w:t>11</w:t>
            </w:r>
          </w:p>
        </w:tc>
        <w:tc>
          <w:tcPr>
            <w:tcW w:w="551" w:type="pct"/>
            <w:shd w:val="clear" w:color="auto" w:fill="auto"/>
            <w:vAlign w:val="center"/>
          </w:tcPr>
          <w:p>
            <w:pPr>
              <w:spacing w:line="360" w:lineRule="auto"/>
              <w:jc w:val="center"/>
              <w:rPr>
                <w:rFonts w:ascii="Times New Roman" w:hAnsi="Times New Roman" w:cs="Times New Roman"/>
                <w:b/>
                <w:color w:val="000000"/>
                <w:szCs w:val="21"/>
              </w:rPr>
            </w:pPr>
            <w:r>
              <w:rPr>
                <w:rFonts w:ascii="Times New Roman" w:hAnsi="Times New Roman" w:cs="Times New Roman"/>
                <w:b/>
                <w:color w:val="000000"/>
                <w:szCs w:val="21"/>
              </w:rPr>
              <w:t>6</w:t>
            </w:r>
          </w:p>
        </w:tc>
      </w:tr>
    </w:tbl>
    <w:p>
      <w:pPr>
        <w:keepNext/>
        <w:keepLines/>
        <w:spacing w:before="120" w:after="120" w:line="360"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6.2.3.2绿道设施</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绿道设施包括服务设施、市政设施、标识设施等。绿道驿站作为绿道服务设施主要载体，应具备绿道管理、综合服务、交通换乘等功能。绿道标识应设置在服务点、驿站、重要节点处，具备引导、指示、解说、命名、禁止、警示、宣传等功能。</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06" w:name="_Toc49241544"/>
      <w:bookmarkStart w:id="107" w:name="_Toc525551896"/>
      <w:r>
        <w:rPr>
          <w:rFonts w:ascii="Times New Roman" w:hAnsi="Times New Roman" w:eastAsia="黑体" w:cs="Times New Roman"/>
          <w:b/>
          <w:bCs/>
          <w:sz w:val="32"/>
          <w:szCs w:val="32"/>
        </w:rPr>
        <w:t>6.3 生态标识系统建设</w:t>
      </w:r>
      <w:bookmarkEnd w:id="106"/>
      <w:bookmarkEnd w:id="107"/>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6.3.1 建设现状</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森林城市建设不仅是城市绿化水平的提升，更是生态理念传播的过程，森林城市生态标识是为大众提供引导指示、解释说明等相关功能的基础设施，对提升城市形象、推进自然教育、弘扬生态文化具有重要意义。</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乐昌市目前的生态标识主要围绕景区景点、各类公园、旅游道路等铺设，但标识分布不均，缺乏系统性，尤其是在通道连接点的生态标识较少，未能展现城市特色，部分生态导向标识对公众服务作用不强，生态科普标识的内容有待深入，标识的设计应用和生态宣传关联不够紧密。</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6.3.2 建设目标</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合理布局乐昌市生态标识系统，推进生态标识系统在森林城市中的应用与推广，在生态标识系统中融入地域文化特征，提高生态标识的科普性和连贯性，全面提升生态标识在传播生态理念、发挥生态功能、完善生态服务等方面的功能，切实增强森林城市的惠民水平，彰显乐昌山水文化的魅力。</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6.3.3 建设内容</w:t>
      </w:r>
    </w:p>
    <w:p>
      <w:pPr>
        <w:keepNext/>
        <w:keepLines/>
        <w:spacing w:before="120" w:after="120" w:line="360"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6.3.3.1国家森林城市形象标识系统</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通过举办征集大赛等方式，设计乐昌国家森林城市LOGO与形象宣传标识，突出乐昌地域文化特色，并广泛应用于乐昌市道路节点、公共目的地、“创森”宣传活动、媒体平台、纪念品等与“创森”相关的各类宣传媒介上，打造“创森”整体形象。除此之外还应精选3-5条森林城市宣传口号，在城市各展示媒介与“创森”活动中应用，烘托“创森”气氛。在城区出入口节点位置放置国家森林城市永久性LOGO宣传标识，突出国家森林城市形象。</w:t>
      </w:r>
    </w:p>
    <w:p>
      <w:pPr>
        <w:keepNext/>
        <w:keepLines/>
        <w:spacing w:before="120" w:after="120" w:line="360"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6.3.2.2生态科普宣教标识系统</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在乐昌市森林小镇、森林乡村等一系列建设中融入生态科普标识的布设，将乐昌山水文化特色以文字、图形、符号等视觉要素形象体现在标识牌设计当中，在标识设计中体现森林城市生态建设成果与绿色惠民理念。另外在各类公园绿地、景区景点等生态场所增加与该区域相对应的科普标识，规范科普标识的科学性、教育性和趣味性。</w:t>
      </w:r>
    </w:p>
    <w:p>
      <w:pPr>
        <w:keepNext/>
        <w:keepLines/>
        <w:spacing w:before="120" w:after="120" w:line="360"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6.3.2.3生态导向标识系统</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结合乐昌旅游公路标识、古驿道标识以及现有的景区景点标识，合理布局生态导向标识，在乐昌市高速公路、国省道入口位置增设引导性的生态导向标识，在生态场所出入口增加地图类生态导向标识，介绍区域信息分布、历史文化等内容，也可以加入二维码等技术，增加交互体验。指向类生态导向标识以指示方向、说明距离为主，一种布设在城市道路的交叉口等位置，指示各生态场所的方向；另一种布局于公园、景区内部的入口、交叉口等，指示内部各景点的方向、距离。详情见表6-3。</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表6-3 生态标识系统建设规划表</w:t>
      </w:r>
    </w:p>
    <w:tbl>
      <w:tblPr>
        <w:tblStyle w:val="47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1379"/>
        <w:gridCol w:w="3437"/>
        <w:gridCol w:w="1127"/>
        <w:gridCol w:w="716"/>
        <w:gridCol w:w="716"/>
        <w:gridCol w:w="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 w:hRule="atLeast"/>
          <w:tblHeader/>
        </w:trPr>
        <w:tc>
          <w:tcPr>
            <w:tcW w:w="252" w:type="pct"/>
            <w:vMerge w:val="restar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序号</w:t>
            </w:r>
          </w:p>
        </w:tc>
        <w:tc>
          <w:tcPr>
            <w:tcW w:w="809" w:type="pct"/>
            <w:vMerge w:val="restar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类型</w:t>
            </w:r>
          </w:p>
        </w:tc>
        <w:tc>
          <w:tcPr>
            <w:tcW w:w="2016" w:type="pct"/>
            <w:vMerge w:val="restar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应用</w:t>
            </w:r>
          </w:p>
        </w:tc>
        <w:tc>
          <w:tcPr>
            <w:tcW w:w="661" w:type="pct"/>
            <w:vMerge w:val="restar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数量（块、次）</w:t>
            </w:r>
          </w:p>
        </w:tc>
        <w:tc>
          <w:tcPr>
            <w:tcW w:w="1261" w:type="pct"/>
            <w:gridSpan w:val="3"/>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建设期限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blHeader/>
        </w:trPr>
        <w:tc>
          <w:tcPr>
            <w:tcW w:w="252" w:type="pct"/>
            <w:vMerge w:val="continue"/>
            <w:shd w:val="clear" w:color="auto" w:fill="auto"/>
            <w:vAlign w:val="center"/>
          </w:tcPr>
          <w:p>
            <w:pPr>
              <w:spacing w:line="360" w:lineRule="auto"/>
              <w:jc w:val="center"/>
              <w:rPr>
                <w:rFonts w:ascii="Times New Roman" w:hAnsi="Times New Roman" w:cs="Times New Roman"/>
                <w:b/>
                <w:szCs w:val="21"/>
              </w:rPr>
            </w:pPr>
          </w:p>
        </w:tc>
        <w:tc>
          <w:tcPr>
            <w:tcW w:w="809" w:type="pct"/>
            <w:vMerge w:val="continue"/>
            <w:shd w:val="clear" w:color="auto" w:fill="auto"/>
            <w:vAlign w:val="center"/>
          </w:tcPr>
          <w:p>
            <w:pPr>
              <w:spacing w:line="360" w:lineRule="auto"/>
              <w:jc w:val="center"/>
              <w:rPr>
                <w:rFonts w:ascii="Times New Roman" w:hAnsi="Times New Roman" w:cs="Times New Roman"/>
                <w:b/>
                <w:szCs w:val="21"/>
              </w:rPr>
            </w:pPr>
          </w:p>
        </w:tc>
        <w:tc>
          <w:tcPr>
            <w:tcW w:w="2016" w:type="pct"/>
            <w:vMerge w:val="continue"/>
            <w:shd w:val="clear" w:color="auto" w:fill="auto"/>
            <w:vAlign w:val="center"/>
          </w:tcPr>
          <w:p>
            <w:pPr>
              <w:spacing w:line="360" w:lineRule="auto"/>
              <w:jc w:val="center"/>
              <w:rPr>
                <w:rFonts w:ascii="Times New Roman" w:hAnsi="Times New Roman" w:cs="Times New Roman"/>
                <w:b/>
                <w:szCs w:val="21"/>
              </w:rPr>
            </w:pPr>
          </w:p>
        </w:tc>
        <w:tc>
          <w:tcPr>
            <w:tcW w:w="661" w:type="pct"/>
            <w:vMerge w:val="continue"/>
            <w:shd w:val="clear" w:color="auto" w:fill="auto"/>
            <w:vAlign w:val="center"/>
          </w:tcPr>
          <w:p>
            <w:pPr>
              <w:spacing w:line="360" w:lineRule="auto"/>
              <w:jc w:val="center"/>
              <w:rPr>
                <w:rFonts w:ascii="Times New Roman" w:hAnsi="Times New Roman" w:cs="Times New Roman"/>
                <w:b/>
                <w:szCs w:val="21"/>
              </w:rPr>
            </w:pPr>
          </w:p>
        </w:tc>
        <w:tc>
          <w:tcPr>
            <w:tcW w:w="420"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近期</w:t>
            </w:r>
          </w:p>
        </w:tc>
        <w:tc>
          <w:tcPr>
            <w:tcW w:w="420"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中期</w:t>
            </w:r>
          </w:p>
        </w:tc>
        <w:tc>
          <w:tcPr>
            <w:tcW w:w="421"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2"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809"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国家森林城市形象标识</w:t>
            </w:r>
          </w:p>
        </w:tc>
        <w:tc>
          <w:tcPr>
            <w:tcW w:w="2016" w:type="pct"/>
            <w:shd w:val="clear" w:color="auto" w:fill="auto"/>
            <w:vAlign w:val="center"/>
          </w:tcPr>
          <w:p>
            <w:pPr>
              <w:spacing w:line="276" w:lineRule="auto"/>
              <w:jc w:val="center"/>
              <w:rPr>
                <w:rFonts w:ascii="Times New Roman" w:hAnsi="Times New Roman" w:cs="Times New Roman"/>
              </w:rPr>
            </w:pPr>
            <w:r>
              <w:rPr>
                <w:rFonts w:ascii="Times New Roman" w:hAnsi="Times New Roman" w:cs="Times New Roman"/>
                <w:szCs w:val="21"/>
              </w:rPr>
              <w:t>城市道路节点、公共目的地、“创森”宣传活动、媒体平台、纪念品等</w:t>
            </w:r>
          </w:p>
        </w:tc>
        <w:tc>
          <w:tcPr>
            <w:tcW w:w="661"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800</w:t>
            </w:r>
          </w:p>
        </w:tc>
        <w:tc>
          <w:tcPr>
            <w:tcW w:w="420"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400</w:t>
            </w:r>
          </w:p>
        </w:tc>
        <w:tc>
          <w:tcPr>
            <w:tcW w:w="420"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200</w:t>
            </w:r>
          </w:p>
        </w:tc>
        <w:tc>
          <w:tcPr>
            <w:tcW w:w="421"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2"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809"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生态科普宣教标识</w:t>
            </w:r>
          </w:p>
        </w:tc>
        <w:tc>
          <w:tcPr>
            <w:tcW w:w="2016"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森林小镇、森林乡村、古树公园、各类公园绿地、景区景点等</w:t>
            </w:r>
          </w:p>
        </w:tc>
        <w:tc>
          <w:tcPr>
            <w:tcW w:w="661"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1200</w:t>
            </w:r>
          </w:p>
        </w:tc>
        <w:tc>
          <w:tcPr>
            <w:tcW w:w="420"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400</w:t>
            </w:r>
          </w:p>
        </w:tc>
        <w:tc>
          <w:tcPr>
            <w:tcW w:w="420"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400</w:t>
            </w:r>
          </w:p>
        </w:tc>
        <w:tc>
          <w:tcPr>
            <w:tcW w:w="421"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2"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809"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生态导向标识</w:t>
            </w:r>
          </w:p>
        </w:tc>
        <w:tc>
          <w:tcPr>
            <w:tcW w:w="2016" w:type="pct"/>
            <w:shd w:val="clear" w:color="auto" w:fill="auto"/>
            <w:vAlign w:val="center"/>
          </w:tcPr>
          <w:p>
            <w:pPr>
              <w:spacing w:line="276" w:lineRule="auto"/>
              <w:jc w:val="center"/>
              <w:rPr>
                <w:rFonts w:ascii="Times New Roman" w:hAnsi="Times New Roman" w:cs="Times New Roman"/>
              </w:rPr>
            </w:pPr>
            <w:r>
              <w:rPr>
                <w:rFonts w:ascii="Times New Roman" w:hAnsi="Times New Roman" w:cs="Times New Roman"/>
                <w:szCs w:val="21"/>
              </w:rPr>
              <w:t>旅游公路、古驿道、生态场所出入口、公园、景区内部的交叉口等</w:t>
            </w:r>
          </w:p>
        </w:tc>
        <w:tc>
          <w:tcPr>
            <w:tcW w:w="661"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100</w:t>
            </w:r>
          </w:p>
        </w:tc>
        <w:tc>
          <w:tcPr>
            <w:tcW w:w="420"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50</w:t>
            </w:r>
          </w:p>
        </w:tc>
        <w:tc>
          <w:tcPr>
            <w:tcW w:w="420"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50</w:t>
            </w:r>
          </w:p>
        </w:tc>
        <w:tc>
          <w:tcPr>
            <w:tcW w:w="421" w:type="pct"/>
            <w:shd w:val="clear" w:color="auto" w:fill="auto"/>
            <w:vAlign w:val="center"/>
          </w:tcPr>
          <w:p>
            <w:pPr>
              <w:spacing w:line="276" w:lineRule="auto"/>
              <w:jc w:val="center"/>
              <w:rPr>
                <w:rFonts w:ascii="Times New Roman" w:hAnsi="Times New Roman" w:cs="Times New Roman"/>
                <w:szCs w:val="21"/>
              </w:rPr>
            </w:pPr>
          </w:p>
        </w:tc>
      </w:tr>
    </w:tbl>
    <w:p>
      <w:pPr>
        <w:spacing w:line="360" w:lineRule="auto"/>
        <w:ind w:firstLine="560" w:firstLineChars="200"/>
        <w:rPr>
          <w:rFonts w:ascii="Times New Roman" w:hAnsi="Times New Roman" w:eastAsia="仿宋_GB2312" w:cs="Times New Roman"/>
          <w:sz w:val="28"/>
          <w:szCs w:val="28"/>
        </w:rPr>
        <w:sectPr>
          <w:headerReference r:id="rId16" w:type="default"/>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108" w:name="_Toc4169235"/>
      <w:bookmarkStart w:id="109" w:name="_Toc49241545"/>
      <w:r>
        <w:rPr>
          <w:rFonts w:ascii="Times New Roman" w:hAnsi="Times New Roman" w:cs="Times New Roman"/>
        </w:rPr>
        <w:t>7 森林产业体系建设规划</w:t>
      </w:r>
      <w:bookmarkEnd w:id="108"/>
      <w:bookmarkEnd w:id="109"/>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10" w:name="_Toc49241546"/>
      <w:bookmarkStart w:id="111" w:name="_Toc4169236"/>
      <w:r>
        <w:rPr>
          <w:rFonts w:ascii="Times New Roman" w:hAnsi="Times New Roman" w:eastAsia="黑体" w:cs="Times New Roman"/>
          <w:b/>
          <w:bCs/>
          <w:sz w:val="32"/>
          <w:szCs w:val="32"/>
        </w:rPr>
        <w:t>7.1 森林生态旅游建设</w:t>
      </w:r>
      <w:bookmarkEnd w:id="11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7.1.1 建设现状</w:t>
      </w:r>
    </w:p>
    <w:p>
      <w:pPr>
        <w:pStyle w:val="97"/>
      </w:pPr>
      <w:r>
        <w:t>乐昌市高度重视生态旅游产业，依托全市丰富的自然资源和深厚的人文底蕴，不断发展自然观光、休闲度假等生态旅游产品。2018年桃花节期间，全市接待总人数47.39万人次，同比增长5.03%，旅游综合收入2.77亿元，同比增长6.13%。</w:t>
      </w:r>
    </w:p>
    <w:p>
      <w:pPr>
        <w:pStyle w:val="97"/>
      </w:pPr>
      <w:r>
        <w:t>乐昌市森林旅游资源总量大，类型丰富，共有3处自然保护区，17处森林公园，1处地质公园，1处湿地公园，2处风景名胜区。从全域旅游角度分析，全市缺乏亮点森林旅游区域，且与乡村休闲旅游融合度还不高。</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7.1.2 建设目标</w:t>
      </w:r>
    </w:p>
    <w:p>
      <w:pPr>
        <w:pStyle w:val="97"/>
      </w:pPr>
      <w:r>
        <w:t>以乐昌市丰富的生态旅游资源为依托，以市场需求为导向，以科学保护、合理利用森林、湿地等景观资源为重点，进一步加强生态旅游基础建设。同时结合乡村旅游品牌积极发展特色森林旅游形式，打造亮点工程，开发森林康养、森林体验、自然教育等服务产品，带动全市森林旅游与乡村休闲旅游融合发展。</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7.1.3 建设内容</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乐昌市森林旅游资源总量大，缺乏亮点。规划期内，重点推进九峰镇、长来镇、北乡镇、梅花镇、坪石镇、两江镇、大源镇七个乡镇森林生态旅游发展，形成地域品牌特色，带动周边乡镇共同发展。具体规划内容见下表7-1。</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（2）加大对全市范围内森林旅游景区公共服务设施的建设和投入力度，增加解说标识系统，提升接待服务质量，改善森林旅游接待环境，增强综合吸引力，满足不同层次的游客需求。</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（3）结合《乐昌市全域旅游规划（2019-2035年）》，不断完善生态旅游基础设施建设，鼓励和支持有条件的森林公园、湿地公园等森林旅游景区推进森林康养、森林体验、自然教育等产品发展。</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表7-1 乐昌市森林生态旅游建设规划表</w:t>
      </w:r>
    </w:p>
    <w:tbl>
      <w:tblPr>
        <w:tblStyle w:val="471"/>
        <w:tblW w:w="48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382"/>
        <w:gridCol w:w="3798"/>
        <w:gridCol w:w="10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645" w:type="pc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名称</w:t>
            </w:r>
          </w:p>
        </w:tc>
        <w:tc>
          <w:tcPr>
            <w:tcW w:w="1430" w:type="pc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可利用资源</w:t>
            </w:r>
          </w:p>
        </w:tc>
        <w:tc>
          <w:tcPr>
            <w:tcW w:w="2280" w:type="pc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建设内容</w:t>
            </w:r>
          </w:p>
        </w:tc>
        <w:tc>
          <w:tcPr>
            <w:tcW w:w="645" w:type="pc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建设期限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九峰森林小镇</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九峰花海、水果节、森林运动、茶料村等</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依托九峰镇花海品牌和森林小镇品牌，深入发掘九峰镇潜在的旅游资源，大力发展森林体验、森林康养等产品。加速推进九峰镇环镇旅游公路建设，并制定科学的旅游路线，串联区域内特色旅游资源，延长游客游玩、休憩时间，引导森林旅游民宿建设，增加当地居民收入。</w:t>
            </w:r>
          </w:p>
        </w:tc>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近期、中期、远期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北乡镇九福兰花公园</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植物科普、兰花食府等</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借助九福兰花公园评为国家AAA国家级旅游景区的影响力，以韶关市文化旅游融合发展示范区为抓手，继续完善公园内基础设施和景观打造，力争成为乐昌市自然教育亮点区域。</w:t>
            </w:r>
          </w:p>
        </w:tc>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近期、中期、远期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72"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长来镇和村旅游区</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千年古樟林、醉美乡村路等</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和村毗邻乐昌高铁站和广乐高速出入口，是展示城市形象的窗口。规划期内在交通节点增加指引标识，加大和村宣传力度，继续扩大影响力，打造乡村旅游模板，为其他村庄森林生态旅游提供可供参考的经验</w:t>
            </w:r>
          </w:p>
        </w:tc>
        <w:tc>
          <w:tcPr>
            <w:tcW w:w="645" w:type="pct"/>
            <w:shd w:val="clear" w:color="auto" w:fill="auto"/>
            <w:noWrap/>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梅花镇百臻县级森林公园</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百臻科技农业园、红七军烈士纪念园</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 w:cs="Times New Roman"/>
                <w:color w:val="000000"/>
                <w:kern w:val="0"/>
                <w:szCs w:val="21"/>
              </w:rPr>
              <w:t>加强百臻县级森林公园基础建设，改造提升公园内休闲步道两侧森林景观，增加休憩空间。充分发挥百臻科技农业园在休闲采摘、度假养生等方面优势，带动当地产业融合，促进森林旅游业发展。</w:t>
            </w:r>
          </w:p>
        </w:tc>
        <w:tc>
          <w:tcPr>
            <w:tcW w:w="645" w:type="pct"/>
            <w:shd w:val="clear" w:color="auto" w:fill="auto"/>
            <w:noWrap/>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坪石镇金鸡岭省级风景名胜区</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皈塘森林公园、皈塘古村</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改造提升金鸡岭省级风景名胜区内森林景观，结合绿道工程，串联风景名胜区、森林公园和古村落，丰富森林旅游内容，延长游客驻足时间。</w:t>
            </w:r>
          </w:p>
        </w:tc>
        <w:tc>
          <w:tcPr>
            <w:tcW w:w="645" w:type="pct"/>
            <w:shd w:val="clear" w:color="auto" w:fill="auto"/>
            <w:noWrap/>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两江镇古树公园</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古树公园、绿美古树乡村</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以两江镇绿美古树乡村和古树公园建设为抓手，完善乡村绿道和标识系统，在严格保护古树的前提下，提供可供观赏的平台，让游客能进入森林、亲近自然。同时鼓励森林人家建设，充分发挥森林资源优势，带动当地产业融合，增加当地居民收入。</w:t>
            </w:r>
          </w:p>
        </w:tc>
        <w:tc>
          <w:tcPr>
            <w:tcW w:w="645" w:type="pct"/>
            <w:shd w:val="clear" w:color="auto" w:fill="auto"/>
            <w:noWrap/>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大源镇乐昌峡湿地公园</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大瑶山峡谷、客家文化</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境内山水资源丰富，森林景观优美。协调相关部门，共同解决乐昌峡开展旅游所遇到的有关问题。以乐昌峡旅游开发为中心，辐射带动周边乡村发展民宿等旅游产品，提高林农收入，降低生态公益林管护压力，有效解决生态保护与社会发展之间的矛盾。</w:t>
            </w:r>
          </w:p>
        </w:tc>
        <w:tc>
          <w:tcPr>
            <w:tcW w:w="645" w:type="pct"/>
            <w:shd w:val="clear" w:color="auto" w:fill="auto"/>
            <w:noWrap/>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中期、远期</w:t>
            </w:r>
          </w:p>
        </w:tc>
      </w:tr>
      <w:bookmarkEnd w:id="111"/>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12" w:name="_Toc49241547"/>
      <w:r>
        <w:rPr>
          <w:rFonts w:ascii="Times New Roman" w:hAnsi="Times New Roman" w:eastAsia="黑体" w:cs="Times New Roman"/>
          <w:b/>
          <w:bCs/>
          <w:sz w:val="32"/>
          <w:szCs w:val="32"/>
        </w:rPr>
        <w:t>7.2 特色经济林产业建设</w:t>
      </w:r>
      <w:bookmarkEnd w:id="112"/>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7.2.1 油茶产业</w:t>
      </w:r>
    </w:p>
    <w:p>
      <w:pPr>
        <w:pStyle w:val="99"/>
      </w:pPr>
      <w:r>
        <w:t>7.2.1.1建设现状</w:t>
      </w:r>
    </w:p>
    <w:p>
      <w:pPr>
        <w:pStyle w:val="97"/>
      </w:pPr>
      <w:r>
        <w:t>近年来，乐昌市委、市政府高度重视油茶产业发展，把油茶产业作为强市富民的绿色生态经济重大支柱产业来抓，结合石漠化治理等项目扶持机制，引导和培育油茶产业走向市场化经营发展。截止2018年，全市油茶种植面积3800hm</w:t>
      </w:r>
      <w:r>
        <w:rPr>
          <w:vertAlign w:val="superscript"/>
        </w:rPr>
        <w:t>2</w:t>
      </w:r>
      <w:r>
        <w:t>，油茶果产量达7000吨，产值达3500万元。</w:t>
      </w:r>
    </w:p>
    <w:p>
      <w:pPr>
        <w:pStyle w:val="99"/>
      </w:pPr>
      <w:r>
        <w:t xml:space="preserve">7.2.1.2建设目标 </w:t>
      </w:r>
    </w:p>
    <w:p>
      <w:pPr>
        <w:pStyle w:val="97"/>
      </w:pPr>
      <w:r>
        <w:t>乐昌市属于油茶林适宜栽培区，结合韶关市油茶产业带建设要求，推进油茶项目建设。至2028年，全市油茶种植面积达到5333.33hm</w:t>
      </w:r>
      <w:r>
        <w:rPr>
          <w:vertAlign w:val="superscript"/>
        </w:rPr>
        <w:t>2</w:t>
      </w:r>
      <w:r>
        <w:t>，建设油茶良种繁育基地26.67hm</w:t>
      </w:r>
      <w:r>
        <w:rPr>
          <w:vertAlign w:val="superscript"/>
        </w:rPr>
        <w:t>2</w:t>
      </w:r>
      <w:r>
        <w:t>，使油茶产业发展真正成为惠及民生的现代林业产业。</w:t>
      </w:r>
    </w:p>
    <w:p>
      <w:pPr>
        <w:pStyle w:val="99"/>
      </w:pPr>
      <w:r>
        <w:t xml:space="preserve">7.2.1.3建设内容 </w:t>
      </w:r>
    </w:p>
    <w:p>
      <w:pPr>
        <w:pStyle w:val="97"/>
      </w:pPr>
      <w:r>
        <w:t>（1）油茶种植</w:t>
      </w:r>
    </w:p>
    <w:p>
      <w:pPr>
        <w:pStyle w:val="63"/>
        <w:spacing w:line="240" w:lineRule="auto"/>
        <w:jc w:val="left"/>
        <w:rPr>
          <w:rFonts w:ascii="Times New Roman" w:hAnsi="Times New Roman"/>
          <w:b/>
          <w:color w:val="auto"/>
          <w:sz w:val="24"/>
          <w:szCs w:val="24"/>
        </w:rPr>
      </w:pPr>
      <w:r>
        <w:rPr>
          <w:rFonts w:ascii="Times New Roman" w:hAnsi="Times New Roman"/>
        </w:rPr>
        <w:t>依托梅花镇、云岩镇、秀水镇、沙坪镇、黄圃镇和白石镇油茶产业发展优势，以及石灰岩山区种植油茶林的成功经验，结合项目造林，合理种植，科学管理。规划期内新建油茶基地1533.33hm</w:t>
      </w:r>
      <w:r>
        <w:rPr>
          <w:rFonts w:ascii="Times New Roman" w:hAnsi="Times New Roman"/>
          <w:vertAlign w:val="superscript"/>
        </w:rPr>
        <w:t>2</w:t>
      </w:r>
      <w:r>
        <w:rPr>
          <w:rFonts w:ascii="Times New Roman" w:hAnsi="Times New Roman"/>
        </w:rPr>
        <w:t>，其中近期600hm</w:t>
      </w:r>
      <w:r>
        <w:rPr>
          <w:rFonts w:ascii="Times New Roman" w:hAnsi="Times New Roman"/>
          <w:vertAlign w:val="superscript"/>
        </w:rPr>
        <w:t>2</w:t>
      </w:r>
      <w:r>
        <w:rPr>
          <w:rFonts w:ascii="Times New Roman" w:hAnsi="Times New Roman"/>
        </w:rPr>
        <w:t>，中期400hm</w:t>
      </w:r>
      <w:r>
        <w:rPr>
          <w:rFonts w:ascii="Times New Roman" w:hAnsi="Times New Roman"/>
          <w:vertAlign w:val="superscript"/>
        </w:rPr>
        <w:t>2</w:t>
      </w:r>
      <w:r>
        <w:rPr>
          <w:rFonts w:ascii="Times New Roman" w:hAnsi="Times New Roman"/>
        </w:rPr>
        <w:t>，远期533.33hm</w:t>
      </w:r>
      <w:r>
        <w:rPr>
          <w:rFonts w:ascii="Times New Roman" w:hAnsi="Times New Roman"/>
          <w:vertAlign w:val="superscript"/>
        </w:rPr>
        <w:t>2</w:t>
      </w:r>
      <w:r>
        <w:rPr>
          <w:rFonts w:ascii="Times New Roman" w:hAnsi="Times New Roman"/>
        </w:rPr>
        <w:t>。</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表7-2 乐昌市油茶基地建设规划表</w:t>
      </w:r>
    </w:p>
    <w:tbl>
      <w:tblPr>
        <w:tblStyle w:val="471"/>
        <w:tblW w:w="4937"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417"/>
        <w:gridCol w:w="1558"/>
        <w:gridCol w:w="1419"/>
        <w:gridCol w:w="1415"/>
        <w:gridCol w:w="16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842"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乡镇</w:t>
            </w:r>
          </w:p>
        </w:tc>
        <w:tc>
          <w:tcPr>
            <w:tcW w:w="926"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2641"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842"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26"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84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84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300.00</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84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黄圃镇</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266.67</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84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沙坪镇</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233.33</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84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秀水镇</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266.67</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84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白石镇</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233.33</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84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云岩镇</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233.33</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33" w:type="pct"/>
            <w:gridSpan w:val="2"/>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1533.33</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600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400</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533.33</w:t>
            </w:r>
          </w:p>
        </w:tc>
      </w:tr>
    </w:tbl>
    <w:p>
      <w:pPr>
        <w:pStyle w:val="97"/>
      </w:pPr>
      <w:r>
        <w:t>（2）油茶良种苗木培育</w:t>
      </w:r>
    </w:p>
    <w:p>
      <w:pPr>
        <w:pStyle w:val="97"/>
      </w:pPr>
      <w:r>
        <w:t>为促进乐昌市油茶产业更好的发展，“创森”期间加大油茶良种苗木培育，加强龙山林场、乐昌市林科所和其他育苗单位、个人培育良种油茶，改良油茶苗木品种，提高油茶产量。规划期内建设油茶良种繁育基地26.67hm</w:t>
      </w:r>
      <w:r>
        <w:rPr>
          <w:vertAlign w:val="superscript"/>
        </w:rPr>
        <w:t>2</w:t>
      </w:r>
      <w:r>
        <w:t>，为油茶产业高质量发展奠定基础。</w:t>
      </w:r>
    </w:p>
    <w:p>
      <w:pPr>
        <w:pStyle w:val="97"/>
      </w:pP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表7-3 乐昌市油茶良种培育基地建设规划表</w:t>
      </w:r>
    </w:p>
    <w:tbl>
      <w:tblPr>
        <w:tblStyle w:val="471"/>
        <w:tblW w:w="487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1441"/>
        <w:gridCol w:w="1441"/>
        <w:gridCol w:w="1441"/>
        <w:gridCol w:w="14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7"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单位</w:t>
            </w:r>
          </w:p>
        </w:tc>
        <w:tc>
          <w:tcPr>
            <w:tcW w:w="868"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2605"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7"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868"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86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龙山林场</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3.33</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3.33</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乐昌市林科所</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3.33</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3.33</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其他育苗单位、个人</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20.01</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6.67</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6.67</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7"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26.67</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13.33</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6.67</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6.67</w:t>
            </w:r>
          </w:p>
        </w:tc>
      </w:tr>
    </w:tbl>
    <w:p>
      <w:pPr>
        <w:pStyle w:val="97"/>
      </w:pPr>
      <w:r>
        <w:t>（3）油茶加工产业发展</w:t>
      </w:r>
    </w:p>
    <w:p>
      <w:pPr>
        <w:pStyle w:val="97"/>
      </w:pPr>
      <w:r>
        <w:t>充分发挥凌峰油茶种植经济合作社、百臻有机种养专业合作社、广东碧春晖农业有限公司、乐昌市银河农业有限公司等龙头企业的引领示范作用，加大扶持力度，通过引入社会资本增加集油茶种植、加工和销售服务于一体的企业，形成稳定的“龙头企业+专业合作社+油茶基地+农户”的产业化运行机制。“创森”期间，拓宽油茶产品领域，包括高等级保健油茶开发、化妆品茶油深加工、茶枯茶壳综合利用等，提高产品附加值。</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7.2.2 特色水果产业</w:t>
      </w:r>
    </w:p>
    <w:p>
      <w:pPr>
        <w:pStyle w:val="99"/>
      </w:pPr>
      <w:r>
        <w:t xml:space="preserve">7.2.2.1建设现状 </w:t>
      </w:r>
    </w:p>
    <w:p>
      <w:pPr>
        <w:pStyle w:val="97"/>
      </w:pPr>
      <w:r>
        <w:t>近年来，乐昌市已经形成了以九峰镇为核心的优质特产水果基地，主要种植有奈李、柑桔、桃、梨、橙等果树。2018年全市水果种植面积达5000hm</w:t>
      </w:r>
      <w:r>
        <w:rPr>
          <w:vertAlign w:val="superscript"/>
        </w:rPr>
        <w:t>2</w:t>
      </w:r>
      <w:r>
        <w:t>，产量超过10万吨。</w:t>
      </w:r>
    </w:p>
    <w:p>
      <w:pPr>
        <w:pStyle w:val="99"/>
      </w:pPr>
      <w:r>
        <w:t xml:space="preserve">7.2.2.2建设目标 </w:t>
      </w:r>
    </w:p>
    <w:p>
      <w:pPr>
        <w:pStyle w:val="97"/>
      </w:pPr>
      <w:r>
        <w:t>以黄金奈李等名牌产品为重点，促进区域专业化、规模化集中连片发展，提高水果产量和质量。</w:t>
      </w:r>
    </w:p>
    <w:p>
      <w:pPr>
        <w:pStyle w:val="99"/>
      </w:pPr>
      <w:r>
        <w:t>7.2.2.3建设内容</w:t>
      </w:r>
    </w:p>
    <w:p>
      <w:pPr>
        <w:pStyle w:val="97"/>
      </w:pPr>
      <w:r>
        <w:t>（1）依托九峰镇优质特产水果基地的品牌效益，辐射带动周边乡镇发展特色水果产业，包括五山镇、两江镇、北乡镇、大源镇，重点建设200hm</w:t>
      </w:r>
      <w:r>
        <w:rPr>
          <w:vertAlign w:val="superscript"/>
        </w:rPr>
        <w:t>2</w:t>
      </w:r>
      <w:r>
        <w:t>水果核心示范基地。</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表7-4 乐昌市特色水果基地建设规划表</w:t>
      </w:r>
    </w:p>
    <w:tbl>
      <w:tblPr>
        <w:tblStyle w:val="471"/>
        <w:tblW w:w="48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635"/>
        <w:gridCol w:w="1635"/>
        <w:gridCol w:w="1635"/>
        <w:gridCol w:w="1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乡镇</w:t>
            </w:r>
          </w:p>
        </w:tc>
        <w:tc>
          <w:tcPr>
            <w:tcW w:w="981"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2998"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81"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103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五山镇</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0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6" w:hRule="atLeast"/>
          <w:jc w:val="center"/>
        </w:trPr>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两江镇</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10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0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10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200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40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70</w:t>
            </w:r>
          </w:p>
        </w:tc>
        <w:tc>
          <w:tcPr>
            <w:tcW w:w="103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90</w:t>
            </w:r>
          </w:p>
        </w:tc>
      </w:tr>
    </w:tbl>
    <w:p>
      <w:pPr>
        <w:pStyle w:val="97"/>
      </w:pPr>
      <w:r>
        <w:t>（2）以优质水果基地为基础，通过招商引资引进水果深加工企业，聚焦专业化、高端化等各类细分市场，延长水果产业链，促进区域规模化发展，提高水果的价值。</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7.2.3 茶叶产业</w:t>
      </w:r>
    </w:p>
    <w:p>
      <w:pPr>
        <w:pStyle w:val="99"/>
      </w:pPr>
      <w:r>
        <w:t>7.2.3.1建设现状</w:t>
      </w:r>
    </w:p>
    <w:p>
      <w:pPr>
        <w:pStyle w:val="97"/>
      </w:pPr>
      <w:r>
        <w:t>乐昌市地处南岭山脉，种茶自然地理环境优越，沿溪山白毛尖更是获得国家地理标志产品认证，通过“南岭茶叶产业带”实施，使得乐昌市茶产业充满生机，带动更多的茶农、茶企增收致富。</w:t>
      </w:r>
    </w:p>
    <w:p>
      <w:pPr>
        <w:pStyle w:val="99"/>
      </w:pPr>
      <w:r>
        <w:t xml:space="preserve">7.2.3.2建设目标 </w:t>
      </w:r>
    </w:p>
    <w:p>
      <w:pPr>
        <w:pStyle w:val="97"/>
      </w:pPr>
      <w:r>
        <w:t>依托乐昌白毛尖特有品种，推动发展茶叶产业，对部分低质低效茶叶林进行改培、改造，打造乐昌茶叶基地优良品牌，提高茶叶产业产量和质量。</w:t>
      </w:r>
    </w:p>
    <w:p>
      <w:pPr>
        <w:pStyle w:val="99"/>
      </w:pPr>
      <w:r>
        <w:t xml:space="preserve">7.2.3.3建设内容 </w:t>
      </w:r>
    </w:p>
    <w:p>
      <w:pPr>
        <w:pStyle w:val="97"/>
        <w:rPr>
          <w:b/>
          <w:sz w:val="24"/>
          <w:szCs w:val="24"/>
        </w:rPr>
      </w:pPr>
      <w:r>
        <w:t>（1）结合乐昌市茶叶产业发展现状，重点发展高山茶、有机茶等高端茶叶产品。依托沿溪山茶场等龙头企业，拓展茶叶产业的生态休闲、趣味采摘等领域，提升综合经济效益。规划期内，规划新建茶叶基地60hm</w:t>
      </w:r>
      <w:r>
        <w:rPr>
          <w:vertAlign w:val="superscript"/>
        </w:rPr>
        <w:t>2</w:t>
      </w:r>
      <w:r>
        <w:t>，其中近期20hm</w:t>
      </w:r>
      <w:r>
        <w:rPr>
          <w:vertAlign w:val="superscript"/>
        </w:rPr>
        <w:t>2</w:t>
      </w:r>
      <w:r>
        <w:t>，中期25hm</w:t>
      </w:r>
      <w:r>
        <w:rPr>
          <w:vertAlign w:val="superscript"/>
        </w:rPr>
        <w:t>2</w:t>
      </w:r>
      <w:r>
        <w:t>，远期15hm</w:t>
      </w:r>
      <w:r>
        <w:rPr>
          <w:vertAlign w:val="superscript"/>
        </w:rPr>
        <w:t>2</w:t>
      </w:r>
      <w:r>
        <w:t>。</w:t>
      </w:r>
    </w:p>
    <w:p>
      <w:pPr>
        <w:spacing w:line="360" w:lineRule="auto"/>
        <w:jc w:val="center"/>
        <w:rPr>
          <w:rFonts w:ascii="Times New Roman" w:hAnsi="Times New Roman" w:cs="Times New Roman"/>
          <w:b/>
          <w:sz w:val="24"/>
          <w:szCs w:val="24"/>
        </w:rPr>
      </w:pPr>
      <w:r>
        <w:rPr>
          <w:rFonts w:ascii="Times New Roman" w:hAnsi="Times New Roman" w:eastAsia="仿宋_GB2312" w:cs="Times New Roman"/>
          <w:b/>
          <w:sz w:val="24"/>
          <w:szCs w:val="20"/>
        </w:rPr>
        <w:t>表7-5 乐昌市茶叶基地建设规划表</w:t>
      </w:r>
    </w:p>
    <w:tbl>
      <w:tblPr>
        <w:tblStyle w:val="471"/>
        <w:tblW w:w="488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647"/>
        <w:gridCol w:w="1646"/>
        <w:gridCol w:w="1646"/>
        <w:gridCol w:w="17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9"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乡镇</w:t>
            </w:r>
          </w:p>
        </w:tc>
        <w:tc>
          <w:tcPr>
            <w:tcW w:w="989"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3022"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9"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89"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8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九峰镇</w:t>
            </w:r>
          </w:p>
        </w:tc>
        <w:tc>
          <w:tcPr>
            <w:tcW w:w="9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1" w:hRule="atLeast"/>
          <w:jc w:val="center"/>
        </w:trPr>
        <w:tc>
          <w:tcPr>
            <w:tcW w:w="9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w:t>
            </w:r>
          </w:p>
        </w:tc>
        <w:tc>
          <w:tcPr>
            <w:tcW w:w="9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庆云镇</w:t>
            </w:r>
          </w:p>
        </w:tc>
        <w:tc>
          <w:tcPr>
            <w:tcW w:w="9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98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60</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20</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25</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15</w:t>
            </w:r>
          </w:p>
        </w:tc>
      </w:tr>
    </w:tbl>
    <w:p>
      <w:pPr>
        <w:pStyle w:val="97"/>
      </w:pPr>
      <w:r>
        <w:t>（2）加强茶树良种培育，在保护种质资源的前提下，充分开发大源镇野生白毛尖，通过人工育苗种植，形成具有地方特色的品种。</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13" w:name="_Toc49241548"/>
      <w:bookmarkStart w:id="114" w:name="_Hlk15564268"/>
      <w:r>
        <w:rPr>
          <w:rFonts w:ascii="Times New Roman" w:hAnsi="Times New Roman" w:eastAsia="黑体" w:cs="Times New Roman"/>
          <w:b/>
          <w:bCs/>
          <w:sz w:val="32"/>
          <w:szCs w:val="32"/>
        </w:rPr>
        <w:t>7.3 苗木花卉产业建设</w:t>
      </w:r>
      <w:bookmarkEnd w:id="113"/>
    </w:p>
    <w:bookmarkEnd w:id="114"/>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7.3.1 建设现状</w:t>
      </w:r>
    </w:p>
    <w:p>
      <w:pPr>
        <w:pStyle w:val="97"/>
      </w:pPr>
      <w:bookmarkStart w:id="115" w:name="_Hlk15564444"/>
      <w:r>
        <w:t>近年来，乐昌市苗木花卉产业有着较好的发展，重点以杉、松苗以及樟树、乐昌含笑、木荷、枫香、任豆等乡土阔叶树优质苗木为主。据统计，2018年乐昌市造林苗木播种面积43.33hm</w:t>
      </w:r>
      <w:r>
        <w:rPr>
          <w:vertAlign w:val="superscript"/>
        </w:rPr>
        <w:t>2</w:t>
      </w:r>
      <w:r>
        <w:t>，苗圃苗木存苗量达1700万株。</w:t>
      </w:r>
    </w:p>
    <w:bookmarkEnd w:id="115"/>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7.3.2 建设目标</w:t>
      </w:r>
    </w:p>
    <w:p>
      <w:pPr>
        <w:pStyle w:val="97"/>
      </w:pPr>
      <w:r>
        <w:t>依托全市现有苗圃资源，以创建国家森林城市为契机，加快苗木花卉产业发展，逐步形成较为完善的林木良种选育推广、成品供应、执法监管和社会化服务为一体的现代林木种苗体系，实现全市造林苗木良种使用率达95%，基地供种合格率达90%。</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7.3.3 建设内容</w:t>
      </w:r>
    </w:p>
    <w:p>
      <w:pPr>
        <w:pStyle w:val="97"/>
      </w:pPr>
      <w:r>
        <w:t>（1）依托龙山林场、乐昌市林科院苗木花卉产业基础，通过规范化改造，完善道路、灌溉、日光温室等基础设施，建设标准化良种育苗基地，培育一批优良品种和优良无性系。规划期内，新建苗木花卉基地70hm</w:t>
      </w:r>
      <w:r>
        <w:rPr>
          <w:vertAlign w:val="superscript"/>
        </w:rPr>
        <w:t>2</w:t>
      </w:r>
      <w:r>
        <w:t>，其中近期25hm</w:t>
      </w:r>
      <w:r>
        <w:rPr>
          <w:vertAlign w:val="superscript"/>
        </w:rPr>
        <w:t>2</w:t>
      </w:r>
      <w:r>
        <w:t>，中期26.67hm</w:t>
      </w:r>
      <w:r>
        <w:rPr>
          <w:vertAlign w:val="superscript"/>
        </w:rPr>
        <w:t>2</w:t>
      </w:r>
      <w:r>
        <w:t>，远期18.33hm</w:t>
      </w:r>
      <w:r>
        <w:rPr>
          <w:vertAlign w:val="superscript"/>
        </w:rPr>
        <w:t>2</w:t>
      </w:r>
      <w:r>
        <w:t>。</w:t>
      </w:r>
    </w:p>
    <w:p>
      <w:pPr>
        <w:pStyle w:val="97"/>
      </w:pPr>
      <w:r>
        <w:t>（2）整合乐昌市苗木花卉产业基地，积极培育龙头企业，采用“企业+基地+农户”的产业模式，加强带动示范作用，利用实体平台和电子商务平台的综合服务能力，提升苗木花卉基地的经济效益和社会效益，形成集产、销、供于一体的苗木花卉生产经营体系。</w:t>
      </w:r>
    </w:p>
    <w:p>
      <w:pPr>
        <w:pStyle w:val="97"/>
      </w:pPr>
      <w:r>
        <w:t>（3）提高乐昌市苗木花卉产业的科技含量，积极与省林科院、韶关市林科所等科研院所联动，开展科技创新，围绕优良品种培育推广、先进生产栽培技术开发等方面，完善乐昌市苗木花卉产业体系。</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表7-6 乐昌市苗木花卉基地建设规划表</w:t>
      </w:r>
    </w:p>
    <w:tbl>
      <w:tblPr>
        <w:tblStyle w:val="471"/>
        <w:tblW w:w="490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1511"/>
        <w:gridCol w:w="1511"/>
        <w:gridCol w:w="1511"/>
        <w:gridCol w:w="15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单位</w:t>
            </w:r>
          </w:p>
        </w:tc>
        <w:tc>
          <w:tcPr>
            <w:tcW w:w="904"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2711"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04"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龙山林场</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13.33</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13.33</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5" w:hRule="atLeast"/>
          <w:jc w:val="center"/>
        </w:trPr>
        <w:tc>
          <w:tcPr>
            <w:tcW w:w="138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乐昌市林科所</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其他社会苗木花卉基地</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36.67</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6.67</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16.67</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70</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25</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26.67</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18.33</w:t>
            </w: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16" w:name="_Toc49241549"/>
      <w:r>
        <w:rPr>
          <w:rFonts w:ascii="Times New Roman" w:hAnsi="Times New Roman" w:eastAsia="黑体" w:cs="Times New Roman"/>
          <w:b/>
          <w:bCs/>
          <w:sz w:val="32"/>
          <w:szCs w:val="32"/>
        </w:rPr>
        <w:t>7.4 林下经济产业建设</w:t>
      </w:r>
      <w:bookmarkEnd w:id="116"/>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7.4.1 建设现状</w:t>
      </w:r>
    </w:p>
    <w:p>
      <w:pPr>
        <w:pStyle w:val="97"/>
      </w:pPr>
      <w:r>
        <w:t>乐昌市将林下经济发展作为改善民生的重要抓手，加强领导，精心策划、周密部署。截止2018年，全市已发展林下经济面积36533.33hm</w:t>
      </w:r>
      <w:r>
        <w:rPr>
          <w:vertAlign w:val="superscript"/>
        </w:rPr>
        <w:t>2</w:t>
      </w:r>
      <w:r>
        <w:t>，总产值5.16亿元，辐射带动农户14800户，2018年林农来自林下经济年人均收入达3500元。</w:t>
      </w:r>
    </w:p>
    <w:p>
      <w:pPr>
        <w:pStyle w:val="97"/>
      </w:pPr>
      <w:r>
        <w:t>其中，林下种植面积22533.33hm</w:t>
      </w:r>
      <w:r>
        <w:rPr>
          <w:vertAlign w:val="superscript"/>
        </w:rPr>
        <w:t>2</w:t>
      </w:r>
      <w:r>
        <w:t>，主要经营模式有林药、林茶和林竹，产值45069万元；林下养殖34.5万只（箱），主要是猪、羊、牛、鸡、梅花鹿和蜜蜂，产值4840万元；林下经济相关产品采集加工面积14000hm</w:t>
      </w:r>
      <w:r>
        <w:rPr>
          <w:vertAlign w:val="superscript"/>
        </w:rPr>
        <w:t>2</w:t>
      </w:r>
      <w:r>
        <w:t>，主要品种有笋、金银花、野菊花，产值660万元。</w:t>
      </w:r>
    </w:p>
    <w:p>
      <w:pPr>
        <w:pStyle w:val="97"/>
      </w:pPr>
      <w:r>
        <w:t>2016年乐昌市被认定为省级林下经济扶贫示范县；2017年龙山林场被认定为省级林下经济示范基地，完成了林下经济示范林春砂仁、五指毛桃等品种共5.73hm</w:t>
      </w:r>
      <w:r>
        <w:rPr>
          <w:vertAlign w:val="superscript"/>
        </w:rPr>
        <w:t>2</w:t>
      </w:r>
      <w:r>
        <w:t>，林下经济作物长势良好；2018年，沿溪山茶场有限公司、富树山农业科技开发有限公司、银河农业发展有限公司被认定为省级林下经济示范基地，目前正在实施油茶林、茶园的抚育、补植、基础设施建设等内容。</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7.4.2 建设目标</w:t>
      </w:r>
    </w:p>
    <w:p>
      <w:pPr>
        <w:pStyle w:val="97"/>
      </w:pPr>
      <w:r>
        <w:t>巩固乐昌市省级经济扶贫示范县的建设成果，进一步优化林业产业结构，培育一批上规模、有潜力、辐射带动能力强的龙头企业，推动林下经济向规模化、集约化、产业化发展。重点发展以林下种植、林下养殖、采集加工、森林景观利用4大林下经济产业，努力实现山区“生态美、百姓富”的目标。</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7.4.3 建设内容</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在全市积极推广“龙头企业+专业合作社+生产基地+农户”的产业化运作模式，辐射带动周边大力发展地方特色的林茶、林果、观光旅游、采集加工等林下经济产业。</w:t>
      </w:r>
    </w:p>
    <w:p>
      <w:pPr>
        <w:pStyle w:val="99"/>
      </w:pPr>
      <w:r>
        <w:t>7.4.3.1林下种植产业</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乐昌市林下种植产业是林下经济的支柱，是支撑林下经济产值的核心内容，规划期内重点开展以下工作：</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（1）加强现有22533.33hm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林下种植产业的管理维护，重点培育新品种，引进新技术，进一步加大推广和扶持力度，实现更好的产业效益、生态效益和社会效益。</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2）在全市积极推广“龙头企业+专业合作社+生产基地+农户”的产业化运作模式，依托现有的林下经济示范基地和龙头企业，辐射带动周边大力发展地方特色的林茶、林药、林竹等产业，使林农和经营者得到较高的收入，产业发展进入良性循环阶段。</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（3）积极开展林下种植科技服务，搭建企业、合作社、农户与省林科院、韶关市林科所、乐昌市林科所等技术推广单位之间的合作平台，提升林下种植的技术水平，提高林下种植产品的质量和效益。</w:t>
      </w:r>
    </w:p>
    <w:p>
      <w:pPr>
        <w:pStyle w:val="99"/>
      </w:pPr>
      <w:r>
        <w:t>7.4.3.2林下养殖产业</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乐昌市林下养殖产业是林下经济的重要内容，是迎合市场的朝阳产业，“创森”期间重点开展以下工作：</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（1）整合现有小型林下养殖专业户，扩大规模，使其形成一定品牌效应，辐射带动更多养殖专业户、林农参与其中，至2028年，林下养殖数量达到36万只（箱）。</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（2）在种源有充分保障的前提下，依法引导和推动梅花鹿等野生药用动物的驯养繁殖，逐步走向药用野生动物养殖规模化、集约化健康发展。</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（3）加强森林资源保护及管理的法律、法规科普力度，有效解决林畜养殖与生态公益林管理之间、林下养殖基建与占用林地之间存在的问题。</w:t>
      </w:r>
    </w:p>
    <w:p>
      <w:pPr>
        <w:pStyle w:val="99"/>
      </w:pPr>
      <w:r>
        <w:t xml:space="preserve">7.4.3.3林下经济示范基地建设 </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bCs/>
          <w:sz w:val="28"/>
        </w:rPr>
        <w:t>广东省《关于进一步推进林下经济发展的意见》中指出，建设一批发展前景好、辐射带动能力强、经济社会生态效益优的林下经济标准化示范基地，推动林下经济发展。乐昌市在巩固已有示范基地的基础上，发掘地方特色，培育出更多符合条件的示范基地，进一步推动乐昌市林下经济发展。至2028年，新增林下经济示范基地10处，其中近期4处，中期3处，远期3处。</w:t>
      </w:r>
    </w:p>
    <w:p>
      <w:pPr>
        <w:rPr>
          <w:rFonts w:ascii="Times New Roman" w:hAnsi="Times New Roman" w:eastAsia="仿宋_GB2312" w:cs="Times New Roman"/>
        </w:rPr>
        <w:sectPr>
          <w:headerReference r:id="rId17" w:type="default"/>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117" w:name="_Toc49241550"/>
      <w:r>
        <w:rPr>
          <w:rFonts w:ascii="Times New Roman" w:hAnsi="Times New Roman" w:cs="Times New Roman"/>
        </w:rPr>
        <w:t>8 森林生态文化体系建设规划</w:t>
      </w:r>
      <w:bookmarkEnd w:id="117"/>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18" w:name="_Toc49241551"/>
      <w:r>
        <w:rPr>
          <w:rFonts w:ascii="Times New Roman" w:hAnsi="Times New Roman" w:eastAsia="黑体" w:cs="Times New Roman"/>
          <w:b/>
          <w:bCs/>
          <w:sz w:val="32"/>
          <w:szCs w:val="32"/>
        </w:rPr>
        <w:t>8.1 森林生态文化资源分析</w:t>
      </w:r>
      <w:bookmarkEnd w:id="118"/>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8.1.1 发展现状</w:t>
      </w:r>
    </w:p>
    <w:p>
      <w:pPr>
        <w:pStyle w:val="97"/>
      </w:pPr>
      <w:r>
        <w:t>乐昌市近年来充分利用红色文化、书院文化、古村落文化等特点，结合区域内丰富的山水资源和森林资源，建设了类型多样的文化科普场所，打造了一批历史文化村。同时，持续开展义务植树、爱鸟周、湿地日等科普宣传活动，大力弘扬生态文化内涵，让市民共享“生态红利”，生态文化体系逐步完善。</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（1）山水文化</w:t>
      </w:r>
    </w:p>
    <w:p>
      <w:pPr>
        <w:pStyle w:val="97"/>
      </w:pPr>
      <w:r>
        <w:t>乐昌市山清水秀，风光秀美，境内有大东山、大瑶山、九峰山三座主要山脉，构成乐昌独特地质地貌。乐昌市河流水系纵横，大小河流上百条。丰富的山水资源，孕育着区域内成片的森林，境内现在17个森林公园，体现出乐昌市民尊重自然、爱护自然的山水文化特点。</w:t>
      </w:r>
    </w:p>
    <w:p>
      <w:pPr>
        <w:spacing w:line="360" w:lineRule="auto"/>
        <w:ind w:firstLine="560" w:firstLineChars="200"/>
        <w:rPr>
          <w:rFonts w:ascii="Times New Roman" w:hAnsi="Times New Roman" w:cs="Times New Roman"/>
          <w:b/>
          <w:bCs/>
        </w:rPr>
      </w:pPr>
      <w:r>
        <w:rPr>
          <w:rFonts w:ascii="Times New Roman" w:hAnsi="Times New Roman" w:eastAsia="仿宋_GB2312" w:cs="Times New Roman"/>
          <w:color w:val="000000" w:themeColor="text1"/>
          <w:sz w:val="28"/>
          <w:szCs w:val="28"/>
          <w14:textFill>
            <w14:solidFill>
              <w14:schemeClr w14:val="tx1"/>
            </w14:solidFill>
          </w14:textFill>
        </w:rPr>
        <w:t>（2）西京古道文化</w:t>
      </w:r>
    </w:p>
    <w:p>
      <w:pPr>
        <w:pStyle w:val="97"/>
      </w:pPr>
      <w:r>
        <w:t>西京古道始建于西汉建元六年（公元前135年），是汉武帝时期岭南各地通往京都的必经之地，也是中原文化进入岭南的最早古驿道。西京古道促进了岭南地区和中原地区的文化交流，具有重要的保护和利用价值。</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（3）书院文化</w:t>
      </w:r>
    </w:p>
    <w:p>
      <w:pPr>
        <w:pStyle w:val="97"/>
      </w:pPr>
      <w:r>
        <w:t>乐昌市境内有紫气书院、紫阳书院等多处书院，自古就有读书的良好风尚。书院教育注重道德修养，尊德行而道问学，将知识传授、学术研究与品性修养、人格完善有机地结合起来，体现出乐昌市悠久的文化气息。</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（4）古村落文化</w:t>
      </w:r>
    </w:p>
    <w:p>
      <w:pPr>
        <w:pStyle w:val="97"/>
      </w:pPr>
      <w:r>
        <w:t>乐昌市境内有数个保存完好的明清时期的古村建筑群，包括大坪古村、皈塘古村、凰落村、茶料村、户昌山古村等，以及荣登“2017年中国最美古村落榜单”的楼下古村。乐昌市古村落具有深厚的文化底蕴，体现出民风淳朴、人杰地灵等特点。</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（5）红色文化</w:t>
      </w:r>
    </w:p>
    <w:p>
      <w:pPr>
        <w:pStyle w:val="97"/>
      </w:pPr>
      <w:r>
        <w:t>目前，乐昌市境内有五山红军长征指挥所、红七军革命烈士纪念园等多处红色文化基地，红色文化气息浓厚。</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8.1.2 提升方向</w:t>
      </w:r>
    </w:p>
    <w:p>
      <w:pPr>
        <w:pStyle w:val="97"/>
      </w:pPr>
      <w:r>
        <w:t>乐昌市境内文化资源丰富，但与森林资源的融合相对薄弱，且宣传方式相对单一，活动内容还不够丰富。乐昌市在创建国家森林城市过程中，需要加强科普教育基地建设，丰富义务植树尽责形式，鼓励学校、社会团体积极参与自然教育活动。同时充分利用新媒体的群众优势，普及生态文化知识，营造良好的“创森”氛围。</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19" w:name="_Toc49241552"/>
      <w:r>
        <w:rPr>
          <w:rFonts w:ascii="Times New Roman" w:hAnsi="Times New Roman" w:eastAsia="黑体" w:cs="Times New Roman"/>
          <w:b/>
          <w:bCs/>
          <w:sz w:val="32"/>
          <w:szCs w:val="32"/>
        </w:rPr>
        <w:t>8.2 森林生态文化基地建设</w:t>
      </w:r>
      <w:bookmarkEnd w:id="119"/>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8.2.1 森林植物园</w:t>
      </w:r>
    </w:p>
    <w:p>
      <w:pPr>
        <w:pStyle w:val="99"/>
      </w:pPr>
      <w:r>
        <w:t>8.2.1.1建设现状</w:t>
      </w:r>
    </w:p>
    <w:p>
      <w:pPr>
        <w:pStyle w:val="97"/>
      </w:pPr>
      <w:r>
        <w:t>乐昌市林业科学研究所已经完成了植物园前期建园工作，移植地径6cm以上珍贵乡土树种40种共计485棵，对植物园范围内常见的80种树种悬挂标识牌共计280块。</w:t>
      </w:r>
    </w:p>
    <w:p>
      <w:pPr>
        <w:pStyle w:val="97"/>
      </w:pPr>
      <w:r>
        <w:t>植物园内进行了科普大棚建设，利用占地面积2300m</w:t>
      </w:r>
      <w:r>
        <w:rPr>
          <w:vertAlign w:val="superscript"/>
        </w:rPr>
        <w:t>2</w:t>
      </w:r>
      <w:r>
        <w:t>的温室大棚建立简易科普大棚，在科普大棚内利用营养袋种植阴香、乐昌含笑、火力楠等15种植物幼苗共计11470株，收集排版植物知识图文展80多幅，并编写完成《科普教育解说稿》。</w:t>
      </w:r>
    </w:p>
    <w:p>
      <w:pPr>
        <w:pStyle w:val="99"/>
      </w:pPr>
      <w:r>
        <w:t>8.2.1.2建设目标</w:t>
      </w:r>
    </w:p>
    <w:p>
      <w:pPr>
        <w:pStyle w:val="97"/>
      </w:pPr>
      <w:r>
        <w:t>完善植物园以森林为主题建设，提升植物园在保育、科研、科普方面的作用，至规划期末将植物园打造成为向公众普及森林文化知识、开展常规性与专题性自然教育活动的综合场所。</w:t>
      </w:r>
    </w:p>
    <w:p>
      <w:pPr>
        <w:pStyle w:val="99"/>
      </w:pPr>
      <w:r>
        <w:t>8.2.1.3建设内容</w:t>
      </w:r>
    </w:p>
    <w:p>
      <w:pPr>
        <w:pStyle w:val="97"/>
      </w:pPr>
      <w:r>
        <w:t>（1）规划期内，完成森林植物园规划设计，加快科普展示馆、休闲步道、休憩亭、卫生间等基础设施建设，增加标识牌、展示及解说系统，让游客更加深入的了解森林生态文化知识。</w:t>
      </w:r>
    </w:p>
    <w:p>
      <w:pPr>
        <w:pStyle w:val="97"/>
      </w:pPr>
      <w:r>
        <w:t>（2）深入贯彻落实广东省自然教育行动计划，以森林植物园为依托，加强乐昌市青少年自然教育，创新形式，注重亲子教育和互动体验。规划期内，创建森林植物园网站、微信公众号或微博等网络平台，定期发布自然教育活动通知，吸引更多学校和社会团体合作，就自然教育师资、自然教育课程等方面内容共同探讨，充分利用森林植物园内枯枝落叶等自然物品开展活动，既满足了青少年游玩的乐趣，又以更容易接受的方式将森林生态文化传播出去，扩大自然教育影响力，弘扬生态文明。</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8.2.2 科普教育基地</w:t>
      </w:r>
    </w:p>
    <w:p>
      <w:pPr>
        <w:pStyle w:val="99"/>
      </w:pPr>
      <w:r>
        <w:t>8.2.2.1建设现状</w:t>
      </w:r>
    </w:p>
    <w:p>
      <w:pPr>
        <w:pStyle w:val="97"/>
      </w:pPr>
      <w:r>
        <w:t>乐昌市现有6处科普教育基地，分别为杨东山十二度水省级自然保护区自然科普馆、大瑶山省级自然保护区自然科普馆、乐昌市林科所科普大棚、乐昌市龙王潭森林公园、乐昌市九福园林有限公司、乐昌市枝豆农业开发有限公司，通过建立宣传栏等方式，向游客介绍森林生态系统类型、野生动植物生活习性、育苗技术等内容，传播科普知识，普及生态文化。</w:t>
      </w:r>
    </w:p>
    <w:p>
      <w:pPr>
        <w:pStyle w:val="99"/>
      </w:pPr>
      <w:r>
        <w:t>8.2.2.2建设目标</w:t>
      </w:r>
    </w:p>
    <w:p>
      <w:pPr>
        <w:pStyle w:val="97"/>
      </w:pPr>
      <w:r>
        <w:t>依托乐昌市丰富的自然和人文资源，积极开展科普教育基地建设，丰富科普教育基地类型，力争成为韶关市科普教育基地建设典范。规划期内，在完善现有2处市级科普教育基地的基础上，新建6处县级科普教育基地。</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表8-1 乐昌市科普教育基地建设规划表</w:t>
      </w:r>
    </w:p>
    <w:tbl>
      <w:tblPr>
        <w:tblStyle w:val="471"/>
        <w:tblW w:w="48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587"/>
        <w:gridCol w:w="1701"/>
        <w:gridCol w:w="1135"/>
        <w:gridCol w:w="1133"/>
        <w:gridCol w:w="1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1553"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科普教育基地名称</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科普主题</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建设级别</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建设期限</w:t>
            </w:r>
          </w:p>
        </w:tc>
        <w:tc>
          <w:tcPr>
            <w:tcW w:w="681"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杨东山十二度水省级自然保护区自然科普馆</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森林生态系统</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市级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改造提升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大瑶山省级自然保护区自然科普馆</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森林生态系统</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市级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改造提升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乐昌市龙山林场木兰园</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植物百科</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乐昌市博物馆</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历史百科</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乐昌市龙山林场生态建设科普基地（长廊）</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生态建设科普</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华南教育历史坪石研学基地</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历史百科</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南塔县级森林公园</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森林体验</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乐昌峡湿地公园</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湿地生态系统</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r>
    </w:tbl>
    <w:p>
      <w:pPr>
        <w:pStyle w:val="99"/>
      </w:pPr>
      <w:r>
        <w:t xml:space="preserve">8.2.2.3建设内容 </w:t>
      </w:r>
    </w:p>
    <w:p>
      <w:pPr>
        <w:pStyle w:val="97"/>
      </w:pPr>
      <w:r>
        <w:t>（1）历史百科类科普教育基地</w:t>
      </w:r>
    </w:p>
    <w:p>
      <w:pPr>
        <w:pStyle w:val="97"/>
      </w:pPr>
      <w:r>
        <w:t>规划期内，完善乐昌市博物馆、</w:t>
      </w:r>
      <w:r>
        <w:rPr>
          <w:color w:val="000000"/>
          <w:kern w:val="0"/>
          <w:szCs w:val="21"/>
        </w:rPr>
        <w:t>华南教育历史坪石研学基地</w:t>
      </w:r>
      <w:r>
        <w:t>基础设施建设，满足科普教育基地开展宣传教育的要求，提高基地的游客接待能力。在博物馆内增加森林生态文化的宣传内容，将乐昌市林业发展历史以图文、视频的形式展现出来，更好地向公众普及森林文化和乐昌市历史文化。在</w:t>
      </w:r>
      <w:r>
        <w:rPr>
          <w:color w:val="000000"/>
          <w:kern w:val="0"/>
          <w:szCs w:val="21"/>
        </w:rPr>
        <w:t>华南教育历史坪石研学基地增加抗日战争时期历史文化素材，修缮历史建筑，新建旅游服务设施，利用图片、视频影像宣传历史文化。展现中华民族抗战时期坚强的意志和精神。</w:t>
      </w:r>
    </w:p>
    <w:p>
      <w:pPr>
        <w:pStyle w:val="97"/>
      </w:pPr>
      <w:r>
        <w:t>（2）森林、湿地类科普教育基地</w:t>
      </w:r>
    </w:p>
    <w:p>
      <w:pPr>
        <w:pStyle w:val="97"/>
      </w:pPr>
      <w:r>
        <w:t>规划期内，在严格保护自然生态系统的基础上，完善杨东山十二度水省级自然保护区、乐昌市龙山林场、乐昌峡湿地公园等基地内宣传培训中心建设，增设森林生态文化科普教育长廊，展示野生动植物的分布情况、生活习性和保护设施建设情况等内容。同时向周边居民发放宣传手册，加大森林生态文化的宣传力度。</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8.2.3 义务植树基地</w:t>
      </w:r>
    </w:p>
    <w:p>
      <w:pPr>
        <w:pStyle w:val="99"/>
      </w:pPr>
      <w:r>
        <w:t>8.2.3.1建设现状</w:t>
      </w:r>
    </w:p>
    <w:p>
      <w:pPr>
        <w:pStyle w:val="97"/>
      </w:pPr>
      <w:r>
        <w:t>为加快生态文明和美丽乐昌建设，增强全民绿化意识，乐昌市林业局每年组织和发动全市广大干部、群众积极参与植树造林。2018年乐昌市以乐城街道天井岗村张风塘植树点为中心，掀起植树造林热潮，以实际行动守护青山绿水。据统计，2018年全市适龄义务植树人数31万人，累计参加义务植树人数301630人，义务植树尽责率为97.3%。</w:t>
      </w:r>
    </w:p>
    <w:p>
      <w:pPr>
        <w:pStyle w:val="99"/>
      </w:pPr>
      <w:r>
        <w:t>8.2.3.2建设目标</w:t>
      </w:r>
    </w:p>
    <w:p>
      <w:pPr>
        <w:pStyle w:val="97"/>
      </w:pPr>
      <w:r>
        <w:t>“创森”期间，积极倡导社会各界支持和参加义务植树活动，进一步发挥义务植物在国土绿化中的重要作用，提高义务植树尽责率。规划期内，乐昌市义务植树尽责率维持在95%以上。</w:t>
      </w:r>
    </w:p>
    <w:p>
      <w:pPr>
        <w:pStyle w:val="99"/>
      </w:pPr>
      <w:r>
        <w:t>8.2.3.3建设内容</w:t>
      </w:r>
    </w:p>
    <w:p>
      <w:pPr>
        <w:pStyle w:val="97"/>
      </w:pPr>
      <w:r>
        <w:t>（1）传统义务植树基地</w:t>
      </w:r>
    </w:p>
    <w:p>
      <w:pPr>
        <w:pStyle w:val="97"/>
      </w:pPr>
      <w:r>
        <w:t>乐昌市在“创森”期间，大力宣传广泛动员，认真组织全市各界人士参与植树造林活动。每年按照国家相关规定，组织适龄公民参加义务植树活动，并出台相关管理办法，对义务植树活动进行规范管理。同时创新义务植树组织形式和尽责方式，由一季植树变全年尽责，开展春植（造林绿化）、夏养（认种认养）、秋抚（抚育养护）、冬防（防火防病虫害）主题鲜明的义务植树活动。</w:t>
      </w:r>
    </w:p>
    <w:p>
      <w:pPr>
        <w:pStyle w:val="97"/>
      </w:pPr>
      <w:r>
        <w:t>规划期内，结合城区绿化提升、森林乡镇建设、绿色廊道建设等工程，新建义务植树基地20hm</w:t>
      </w:r>
      <w:r>
        <w:rPr>
          <w:vertAlign w:val="superscript"/>
        </w:rPr>
        <w:t>2</w:t>
      </w:r>
      <w:r>
        <w:t>，其中近期5hm</w:t>
      </w:r>
      <w:r>
        <w:rPr>
          <w:vertAlign w:val="superscript"/>
        </w:rPr>
        <w:t>2</w:t>
      </w:r>
      <w:r>
        <w:t>，中期5hm</w:t>
      </w:r>
      <w:r>
        <w:rPr>
          <w:vertAlign w:val="superscript"/>
        </w:rPr>
        <w:t>2</w:t>
      </w:r>
      <w:r>
        <w:t>，远期10hm</w:t>
      </w:r>
      <w:r>
        <w:rPr>
          <w:vertAlign w:val="superscript"/>
        </w:rPr>
        <w:t>2</w:t>
      </w:r>
      <w:r>
        <w:t>。</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表8-2 乐昌市义务植树基地建设规划表</w:t>
      </w:r>
    </w:p>
    <w:tbl>
      <w:tblPr>
        <w:tblStyle w:val="471"/>
        <w:tblW w:w="48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273"/>
        <w:gridCol w:w="1274"/>
        <w:gridCol w:w="1274"/>
        <w:gridCol w:w="1274"/>
        <w:gridCol w:w="1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6"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乡镇</w:t>
            </w:r>
          </w:p>
        </w:tc>
        <w:tc>
          <w:tcPr>
            <w:tcW w:w="763"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性质</w:t>
            </w:r>
          </w:p>
        </w:tc>
        <w:tc>
          <w:tcPr>
            <w:tcW w:w="763"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2289"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建设期限</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6"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763"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763"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76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762"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w:t>
            </w:r>
          </w:p>
        </w:tc>
        <w:tc>
          <w:tcPr>
            <w:tcW w:w="76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76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w:t>
            </w:r>
          </w:p>
        </w:tc>
        <w:tc>
          <w:tcPr>
            <w:tcW w:w="76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w:t>
            </w:r>
          </w:p>
        </w:tc>
        <w:tc>
          <w:tcPr>
            <w:tcW w:w="76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廊田镇</w:t>
            </w:r>
          </w:p>
        </w:tc>
        <w:tc>
          <w:tcPr>
            <w:tcW w:w="76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8" w:type="pct"/>
            <w:gridSpan w:val="2"/>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20</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5</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5</w:t>
            </w:r>
          </w:p>
        </w:tc>
        <w:tc>
          <w:tcPr>
            <w:tcW w:w="762"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10</w:t>
            </w:r>
          </w:p>
        </w:tc>
      </w:tr>
    </w:tbl>
    <w:p>
      <w:pPr>
        <w:pStyle w:val="97"/>
      </w:pPr>
      <w:r>
        <w:t>（2）“互联网+义务植树”基地</w:t>
      </w:r>
    </w:p>
    <w:p>
      <w:pPr>
        <w:pStyle w:val="97"/>
      </w:pPr>
      <w:r>
        <w:t>加大“互联网+义务植树”的推广力度，提高全民护绿播绿的生态保护意识。规划中期，在乐昌市建立1处“互联网+义务植树”基地，通过政府引导，吸引社会资金共同建设。同时，创新“互联网+义务植树”运行平台和模式，通过支付宝、微信等平台，以网络捐款的形式折算植树任务，直接用于国土绿化。加大宣传力度，在乐昌市相关媒体上播放“互联网+义务植树”的宣传内容，开设“互联网+义务植树”论坛，为市民搭建交流平台，营造植绿、护绿的良好社会氛围。</w:t>
      </w:r>
    </w:p>
    <w:p>
      <w:pPr>
        <w:pStyle w:val="97"/>
      </w:pPr>
      <w:r>
        <w:t>同时严格落实义务植树登记卡制度，按照“方便群众、重在参与、不拘形式、灵活多样”的原则，不断丰富、拓展群众“直接参与绿化劳动”和“间接履行义务植树”的实现形式。</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0" w:name="_Toc49241553"/>
      <w:r>
        <w:rPr>
          <w:rFonts w:ascii="Times New Roman" w:hAnsi="Times New Roman" w:eastAsia="黑体" w:cs="Times New Roman"/>
          <w:b/>
          <w:bCs/>
          <w:sz w:val="32"/>
          <w:szCs w:val="32"/>
        </w:rPr>
        <w:t>8.3 森林生态文化保护与传播</w:t>
      </w:r>
      <w:bookmarkEnd w:id="12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8.3.1 古树名木保护</w:t>
      </w:r>
    </w:p>
    <w:p>
      <w:pPr>
        <w:pStyle w:val="99"/>
      </w:pPr>
      <w:r>
        <w:t xml:space="preserve">8.3.1.1建设现状 </w:t>
      </w:r>
    </w:p>
    <w:p>
      <w:pPr>
        <w:pStyle w:val="97"/>
      </w:pPr>
      <w:r>
        <w:t>古树名木被誉为“活古董”，是人类和自然长期发展的产物。乐昌市高度重视古树名木的保护和管理，严格落实《韶关市古树名木保护管理办法》，结合《乐昌市绿化委员会古树名木资源普查建档工作实施方案》任务安排，于2016年6月开始对乐昌市古树名木进行全面普查建档工作，现已顺利完成。据统计，全市现存古树1457株，其中一级古树7株，二级古树239株，三级古树1211株，隶属于26科44属60种，主要为壳斗科、樟科、豆科等树种，以及两江楠木古树群等30个古树群。</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表8-3 乐昌市古树名木统计表</w:t>
      </w:r>
    </w:p>
    <w:tbl>
      <w:tblPr>
        <w:tblStyle w:val="471"/>
        <w:tblW w:w="4936"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63"/>
        <w:gridCol w:w="638"/>
        <w:gridCol w:w="1693"/>
        <w:gridCol w:w="1693"/>
        <w:gridCol w:w="16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673"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929"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乡镇</w:t>
            </w:r>
          </w:p>
        </w:tc>
        <w:tc>
          <w:tcPr>
            <w:tcW w:w="379"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3019"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古树级别（株）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673"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29"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379"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一级古树（株）</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二级古树（株）</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三级古树（株）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乐城街道</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廊田镇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长来镇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200</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59</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三溪镇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132</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坪石镇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183</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黄圃镇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92</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五山镇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147</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两江镇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沙坪镇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云岩镇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97</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秀水镇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89</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庆云镇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白石镇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02" w:type="pct"/>
            <w:gridSpan w:val="2"/>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1457</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7</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239</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1211</w:t>
            </w:r>
          </w:p>
        </w:tc>
      </w:tr>
    </w:tbl>
    <w:p>
      <w:pPr>
        <w:pStyle w:val="99"/>
      </w:pPr>
      <w:r>
        <w:t xml:space="preserve">8.3.1.2建设目标 </w:t>
      </w:r>
    </w:p>
    <w:p>
      <w:pPr>
        <w:pStyle w:val="97"/>
      </w:pPr>
      <w:r>
        <w:t xml:space="preserve">“创森”期间，全面提高乐昌市古树名木保护水平，加大古树名木的宣传力度，使古树名木保护率长期稳定在100%。 </w:t>
      </w:r>
    </w:p>
    <w:p>
      <w:pPr>
        <w:pStyle w:val="99"/>
      </w:pPr>
      <w:r>
        <w:t xml:space="preserve">8.3.1.3建设内容 </w:t>
      </w:r>
    </w:p>
    <w:p>
      <w:pPr>
        <w:pStyle w:val="97"/>
      </w:pPr>
      <w:r>
        <w:t>（1）古树公园建设</w:t>
      </w:r>
    </w:p>
    <w:p>
      <w:pPr>
        <w:pStyle w:val="97"/>
      </w:pPr>
      <w:r>
        <w:t>乐昌市两江镇上长塘古楠木群源于该村李氏先祖明朝永乐六年（公园1408年）栽植，现保存较为完整的楠木群占地约13.33hm</w:t>
      </w:r>
      <w:r>
        <w:rPr>
          <w:vertAlign w:val="superscript"/>
        </w:rPr>
        <w:t>2</w:t>
      </w:r>
      <w:r>
        <w:t>，胸围3米多的古楠木共10余棵，属于广东省稀有的古楠木群。“创森”期间，依托上长塘古楠木群建设古树公园，结合绿美古树乡村项目，建设古树公园牌坊、观景亭、休憩亭、景观平台等设施，打造一个集群众休闲、游玩和生态宣传为一体的场所。</w:t>
      </w:r>
    </w:p>
    <w:p>
      <w:pPr>
        <w:pStyle w:val="97"/>
      </w:pPr>
      <w:r>
        <w:t>（2）普查档案，查漏补缺</w:t>
      </w:r>
    </w:p>
    <w:p>
      <w:pPr>
        <w:pStyle w:val="97"/>
      </w:pPr>
      <w:r>
        <w:t>在原有普查的基础上，将村落的古树名木列入重点普查范围，对全市的古树名木进行查漏补缺、更新、编号以及归档，悬挂具有二维码标识的古树名木牌，增加市民了解古树知识的途径，增强保护古树名木的意识；对于位于景区、村落等人类活动密集的古树名木，需设立保护围栏，避免出现人为破坏；对于生长不良的古树名木实施支撑、复壮等技术措施，促进古树名木的健康生长。</w:t>
      </w:r>
    </w:p>
    <w:p>
      <w:pPr>
        <w:pStyle w:val="97"/>
      </w:pPr>
      <w:r>
        <w:t>（3）健全古树名木管护体系</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组织各乡镇相关单位针对本地区古树名木制定专门的保护古树乡规民约，根据其生长环境和生态习性，进行科学管护。对新建、改建与扩建的工程项目涉及古树名木的，在规划、设计和施工安装中，应采取避让保护措施，避让保护措施由施工单位报古树名木行政主管部门批准，未经批准，不得施工。</w:t>
      </w:r>
    </w:p>
    <w:p>
      <w:pPr>
        <w:pStyle w:val="97"/>
      </w:pPr>
      <w:r>
        <w:t>（4）加强古树名木宣传</w:t>
      </w:r>
    </w:p>
    <w:p>
      <w:pPr>
        <w:spacing w:line="360" w:lineRule="auto"/>
        <w:ind w:firstLine="420" w:firstLineChars="200"/>
        <w:rPr>
          <w:rFonts w:ascii="Times New Roman" w:hAnsi="Times New Roman" w:eastAsia="仿宋_GB2312" w:cs="Times New Roman"/>
          <w:sz w:val="28"/>
        </w:rPr>
      </w:pPr>
      <w:r>
        <w:rPr>
          <w:rFonts w:ascii="Times New Roman" w:hAnsi="Times New Roman" w:eastAsia="仿宋_GB2312" w:cs="Times New Roman"/>
        </w:rPr>
        <w:t xml:space="preserve"> </w:t>
      </w:r>
      <w:r>
        <w:rPr>
          <w:rFonts w:ascii="Times New Roman" w:hAnsi="Times New Roman" w:eastAsia="仿宋_GB2312" w:cs="Times New Roman"/>
          <w:sz w:val="28"/>
        </w:rPr>
        <w:t>“创森”期间，加强古树名木宣传，结合乐昌市传统历史文化，深挖古树名木的背后故事，将保护古树名木与弘扬传统文化相融合，增强民众的保护意识，提高民众保护的积极性；拓宽古树名木宣传渠道，举办“树王评选”、“最美古树评选”、古树画册等与古树名木相关的文艺活动，让公众了解古树名木的科学价值和文化价值，动员全社会关心爱护古树名木。</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8.3.2 市树市花</w:t>
      </w:r>
    </w:p>
    <w:p>
      <w:pPr>
        <w:pStyle w:val="97"/>
      </w:pPr>
      <w:r>
        <w:t>市树市花是城市形象的重要标志，也是城市文化的浓缩和城市繁荣富强的绿色象征，对于塑造城市形象和文化品位具有积极意义。1986年，韶关市通过评选确定了市树为阴香、市花为杜鹃花，但经过多年推广应用，市树阴香无法充分展现韶关文化特色，因此韶关市委、市政府拟组织市树再评选活动，选出能作为韶关城市形象和特征的乡土植物，并在“创森”期间推广应用。</w:t>
      </w:r>
    </w:p>
    <w:p>
      <w:pPr>
        <w:pStyle w:val="97"/>
      </w:pPr>
      <w:r>
        <w:t>乐昌市在“创森”期间，积极配合韶关市完成市树的评选工作，在相关媒体上报道市树评选内容，广泛征集市民意见，并上报韶关市相关单位。确定市树后，在创建国家森林城市过程中，加大市树市花推广应用力度，加大市域范围内市树市花的栽种比例。同时配合韶关市举办以市树市花为主题的文化活动，传播森林生态文化。</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8.3.3 森林文化活动</w:t>
      </w:r>
    </w:p>
    <w:p>
      <w:pPr>
        <w:pStyle w:val="99"/>
      </w:pPr>
      <w:r>
        <w:t>8.3.3.1科普活动</w:t>
      </w:r>
    </w:p>
    <w:p>
      <w:pPr>
        <w:pStyle w:val="97"/>
      </w:pPr>
      <w:r>
        <w:t>规划期内，依托科普教育基地举办“湿地保护日”、“爱鸟周”等类型多样、富有特色的科普教育活动，普及生态科普知识；举办“大地植绿心中播绿”健步行等活动，传播乐昌市森林文化的内涵与价值。规划每年定期举办生态科普活动6次以上。</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表8-4 乐昌市科普活动规划表</w:t>
      </w:r>
    </w:p>
    <w:tbl>
      <w:tblPr>
        <w:tblStyle w:val="47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135"/>
        <w:gridCol w:w="1278"/>
        <w:gridCol w:w="43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9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活动名称</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活动时间</w:t>
            </w:r>
          </w:p>
        </w:tc>
        <w:tc>
          <w:tcPr>
            <w:tcW w:w="75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地点</w:t>
            </w:r>
          </w:p>
        </w:tc>
        <w:tc>
          <w:tcPr>
            <w:tcW w:w="2523"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科普内容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665"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大地植绿心中播绿健步行</w:t>
            </w:r>
          </w:p>
        </w:tc>
        <w:tc>
          <w:tcPr>
            <w:tcW w:w="66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3月</w:t>
            </w:r>
          </w:p>
        </w:tc>
        <w:tc>
          <w:tcPr>
            <w:tcW w:w="750" w:type="pct"/>
            <w:shd w:val="clear" w:color="auto" w:fill="auto"/>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市区</w:t>
            </w:r>
          </w:p>
        </w:tc>
        <w:tc>
          <w:tcPr>
            <w:tcW w:w="2523" w:type="pct"/>
            <w:shd w:val="clear" w:color="auto" w:fill="auto"/>
            <w:vAlign w:val="center"/>
          </w:tcPr>
          <w:p>
            <w:pPr>
              <w:widowControl/>
              <w:spacing w:line="276" w:lineRule="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通过举办健步行活动，发放保护生态环境的宣传资料，引导市民亲近自然，提高保护自然意识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665"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义务植树活动</w:t>
            </w:r>
          </w:p>
        </w:tc>
        <w:tc>
          <w:tcPr>
            <w:tcW w:w="66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3月</w:t>
            </w:r>
          </w:p>
        </w:tc>
        <w:tc>
          <w:tcPr>
            <w:tcW w:w="750" w:type="pct"/>
            <w:shd w:val="clear" w:color="auto" w:fill="auto"/>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义务植树基地</w:t>
            </w:r>
          </w:p>
        </w:tc>
        <w:tc>
          <w:tcPr>
            <w:tcW w:w="2523" w:type="pct"/>
            <w:shd w:val="clear" w:color="auto" w:fill="auto"/>
            <w:vAlign w:val="center"/>
          </w:tcPr>
          <w:p>
            <w:pPr>
              <w:widowControl/>
              <w:spacing w:line="276" w:lineRule="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在全市范围内开展义务植树活动，宣传植树造林对于生态环境的重要意义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665"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爱鸟周主题宣传</w:t>
            </w:r>
          </w:p>
        </w:tc>
        <w:tc>
          <w:tcPr>
            <w:tcW w:w="66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5月</w:t>
            </w:r>
          </w:p>
        </w:tc>
        <w:tc>
          <w:tcPr>
            <w:tcW w:w="750" w:type="pct"/>
            <w:shd w:val="clear" w:color="auto" w:fill="auto"/>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全市各类公园、游园</w:t>
            </w:r>
          </w:p>
        </w:tc>
        <w:tc>
          <w:tcPr>
            <w:tcW w:w="2523" w:type="pct"/>
            <w:shd w:val="clear" w:color="auto" w:fill="auto"/>
            <w:vAlign w:val="center"/>
          </w:tcPr>
          <w:p>
            <w:pPr>
              <w:widowControl/>
              <w:spacing w:line="276" w:lineRule="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制作《观鸟指导手册》、乐昌市常见鸟类等宣传画册进行发放，结合“创森”微博、微信公众号进行宣传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9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665"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“创森”建设中小学生征文比赛活动</w:t>
            </w:r>
          </w:p>
        </w:tc>
        <w:tc>
          <w:tcPr>
            <w:tcW w:w="66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6月</w:t>
            </w:r>
          </w:p>
        </w:tc>
        <w:tc>
          <w:tcPr>
            <w:tcW w:w="75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全市中小学校</w:t>
            </w:r>
          </w:p>
        </w:tc>
        <w:tc>
          <w:tcPr>
            <w:tcW w:w="2523"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开展以“弘扬生态文化，倡导绿色生活，共建生态文明”为主题的中小学生征文比赛，营造“创森”氛围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665"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湿地保护日</w:t>
            </w:r>
          </w:p>
        </w:tc>
        <w:tc>
          <w:tcPr>
            <w:tcW w:w="66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9月第三个星期日</w:t>
            </w:r>
          </w:p>
        </w:tc>
        <w:tc>
          <w:tcPr>
            <w:tcW w:w="750" w:type="pct"/>
            <w:shd w:val="clear" w:color="auto" w:fill="auto"/>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乐昌峡湿地公园</w:t>
            </w:r>
          </w:p>
        </w:tc>
        <w:tc>
          <w:tcPr>
            <w:tcW w:w="2523" w:type="pct"/>
            <w:shd w:val="clear" w:color="auto" w:fill="auto"/>
            <w:vAlign w:val="center"/>
          </w:tcPr>
          <w:p>
            <w:pPr>
              <w:widowControl/>
              <w:spacing w:line="276" w:lineRule="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制作湿地保护相关法律法规形象手册，通过现场宣讲和多媒体展示等形式，使市民进一步认识湿地，提高保护湿地的意识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665"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保护野生动物宣传月</w:t>
            </w:r>
          </w:p>
        </w:tc>
        <w:tc>
          <w:tcPr>
            <w:tcW w:w="66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11月</w:t>
            </w:r>
          </w:p>
        </w:tc>
        <w:tc>
          <w:tcPr>
            <w:tcW w:w="750" w:type="pct"/>
            <w:shd w:val="clear" w:color="auto" w:fill="auto"/>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自然保护区、森林公园类科普教育基地</w:t>
            </w:r>
          </w:p>
        </w:tc>
        <w:tc>
          <w:tcPr>
            <w:tcW w:w="2523" w:type="pct"/>
            <w:shd w:val="clear" w:color="auto" w:fill="auto"/>
            <w:vAlign w:val="center"/>
          </w:tcPr>
          <w:p>
            <w:pPr>
              <w:widowControl/>
              <w:spacing w:line="276" w:lineRule="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通过举办启动仪式、摄影展、书法绘画展、征文比赛等活动，宣传野生动物的生活习性，倡导市民保护野生动物及其生存的环境</w:t>
            </w:r>
          </w:p>
        </w:tc>
      </w:tr>
    </w:tbl>
    <w:p>
      <w:pPr>
        <w:pStyle w:val="99"/>
      </w:pPr>
      <w:r>
        <w:t>8.3.3.2节事活动</w:t>
      </w:r>
    </w:p>
    <w:p>
      <w:pPr>
        <w:pStyle w:val="97"/>
      </w:pPr>
      <w:r>
        <w:t>“创森”期间，充分发掘乐昌市本地文化发展潜力，结合乐昌市特色林业产业发展，继续加大“乐昌市桃花节”的活动规模，丰富活动内容，吸引广大市民和游客参与，展示当地特色资源，传播生态文化，提高生态文化节事活动的影响力。</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表8-5 乐昌市文化节事规划表</w:t>
      </w:r>
    </w:p>
    <w:tbl>
      <w:tblPr>
        <w:tblStyle w:val="471"/>
        <w:tblW w:w="47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64"/>
        <w:gridCol w:w="1309"/>
        <w:gridCol w:w="1455"/>
        <w:gridCol w:w="33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节事名称</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活动时间</w:t>
            </w:r>
          </w:p>
        </w:tc>
        <w:tc>
          <w:tcPr>
            <w:tcW w:w="904"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地点</w:t>
            </w:r>
          </w:p>
        </w:tc>
        <w:tc>
          <w:tcPr>
            <w:tcW w:w="2107"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节事内容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桃花节</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3月</w:t>
            </w:r>
          </w:p>
        </w:tc>
        <w:tc>
          <w:tcPr>
            <w:tcW w:w="90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九峰镇</w:t>
            </w:r>
          </w:p>
        </w:tc>
        <w:tc>
          <w:tcPr>
            <w:tcW w:w="210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以“游花海”为主题，加入森林生态文化内容，引导游客亲近自然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山地马拉松活动</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3月</w:t>
            </w:r>
          </w:p>
        </w:tc>
        <w:tc>
          <w:tcPr>
            <w:tcW w:w="90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九峰镇</w:t>
            </w:r>
          </w:p>
        </w:tc>
        <w:tc>
          <w:tcPr>
            <w:tcW w:w="210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通过马拉松赛事活动，吸引更多的人进入自然，享受自然，同时提高人们保护自然的意识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乡土美食展销节</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3月</w:t>
            </w:r>
          </w:p>
        </w:tc>
        <w:tc>
          <w:tcPr>
            <w:tcW w:w="90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w:t>
            </w:r>
          </w:p>
        </w:tc>
        <w:tc>
          <w:tcPr>
            <w:tcW w:w="210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借助桃花节契机，为当地农户提供集中摆卖点，举行乐昌手信与特色乡土美食展销，同时与特色林业产业相结合，加入“创森”宣传内容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灯光音乐节</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3月</w:t>
            </w:r>
          </w:p>
        </w:tc>
        <w:tc>
          <w:tcPr>
            <w:tcW w:w="90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w:t>
            </w:r>
          </w:p>
        </w:tc>
        <w:tc>
          <w:tcPr>
            <w:tcW w:w="210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以桃花节为契机，在河堤广场举行水幕激光音乐节，期间播放乐昌公主民俗故事，加入“创森”宣传标语和LOGO灯光的投射，将森林生态文化与传统民俗文化相结合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采茶节</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4月</w:t>
            </w:r>
          </w:p>
        </w:tc>
        <w:tc>
          <w:tcPr>
            <w:tcW w:w="90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庆云镇</w:t>
            </w:r>
          </w:p>
        </w:tc>
        <w:tc>
          <w:tcPr>
            <w:tcW w:w="210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开展庆云茶制作工艺及特产馆参观、采茶体验、茶农趣味等活动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水果节</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7月</w:t>
            </w:r>
          </w:p>
        </w:tc>
        <w:tc>
          <w:tcPr>
            <w:tcW w:w="90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全市</w:t>
            </w:r>
          </w:p>
        </w:tc>
        <w:tc>
          <w:tcPr>
            <w:tcW w:w="210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以“黄金奈李”品牌水果采摘为主题，结合特色林业产业，加入“创森”宣传内容，烘托“创森”氛围</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8.3.4 森林城市宣传活动</w:t>
      </w:r>
    </w:p>
    <w:p>
      <w:pPr>
        <w:pStyle w:val="99"/>
      </w:pPr>
      <w:r>
        <w:t>8.3.4.1宣传目标</w:t>
      </w:r>
    </w:p>
    <w:p>
      <w:pPr>
        <w:pStyle w:val="97"/>
      </w:pPr>
      <w:r>
        <w:t>充分利用多方资源，多渠道、多方式地宣传森林城市创建过程。规划以广大市民对“创森”工作的认知度为重点，突出反映森林城市建设对于提高市民生活品质的重要意义。规划近期市民对乐昌市创建国家森林城市的知晓率、支持率和满意度达90%以上。</w:t>
      </w:r>
    </w:p>
    <w:p>
      <w:pPr>
        <w:pStyle w:val="99"/>
      </w:pPr>
      <w:r>
        <w:t>8.3.4.2宣传方式</w:t>
      </w:r>
    </w:p>
    <w:p>
      <w:pPr>
        <w:pStyle w:val="97"/>
      </w:pPr>
      <w:r>
        <w:t>（1）活动宣传</w:t>
      </w:r>
    </w:p>
    <w:p>
      <w:pPr>
        <w:pStyle w:val="97"/>
      </w:pPr>
      <w:r>
        <w:t>以“乐昌市桃花节”、“大地植绿心中播绿健步行活动”以及爱鸟周、湿地日等活动为契机，开展“创森”宣传，将“创森”口号、标语、LOGO等元素融入到活动中，向市民普及“创森”知识，展示“创森”动态。同时制作“创森”宣传手册以及各类生活纪念品，免费发放给市民，扩大“创森”的影响力。</w:t>
      </w:r>
    </w:p>
    <w:p>
      <w:pPr>
        <w:pStyle w:val="97"/>
      </w:pPr>
      <w:r>
        <w:t>（2）传统媒介宣传</w:t>
      </w:r>
    </w:p>
    <w:p>
      <w:pPr>
        <w:pStyle w:val="97"/>
      </w:pPr>
      <w:r>
        <w:t>在报纸、广播、电视等新闻媒体开设森林城市建设专栏，征集市民对“创森”工作的建议。由市创森办收集各乡镇“创森”动态，编制“创森”简报，并向相关媒体推送。</w:t>
      </w:r>
    </w:p>
    <w:p>
      <w:pPr>
        <w:pStyle w:val="97"/>
      </w:pPr>
      <w:r>
        <w:t>根据乐昌市实际情况制定“创森”宣传方案，开展“创森”宣传主题片和公益广告的拍摄，在当地主要媒体滚动播出。在公交站点、标志性建筑物、各大广场等场所显眼位置设立“创森”内容的射灯广告、霓虹灯广告、单立柱广告以及灯箱广告等。</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在高速公路、国省干道沿线和通往景区路口等重点地段设置“创森”大型宣传牌和宣传条幅，宣传“创森”口号和标语。在单位、社区利用墙报、黑板报、橱窗等宣传载体广泛开展“创森”宣传，并及时更新宣传内容。</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（3）网络宣传</w:t>
      </w:r>
    </w:p>
    <w:p>
      <w:pPr>
        <w:ind w:firstLine="560" w:firstLineChars="200"/>
        <w:rPr>
          <w:rFonts w:ascii="Times New Roman" w:hAnsi="Times New Roman" w:eastAsia="仿宋_GB2312" w:cs="Times New Roman"/>
          <w:sz w:val="28"/>
          <w:szCs w:val="28"/>
        </w:rPr>
        <w:sectPr>
          <w:headerReference r:id="rId18"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28"/>
          <w:szCs w:val="28"/>
        </w:rPr>
        <w:t>利用微信公众号、微博、今日头条等网络宣传平台，定期发布“创森”动态，将乐昌市各类生态文化活动与创建国家森林城市相结合，记录“创森”点滴，用更亲民的方式将“创森”动态分享出去，让市民更直观的感受“创森”对于市域生态环境的改善，增强市民荣誉感。同时，利用平台的评论区收集市民对于创建国家森林城市的建议和想法，真真正正将市民合理有效的建议落到实处。</w:t>
      </w:r>
    </w:p>
    <w:p>
      <w:pPr>
        <w:pStyle w:val="43"/>
        <w:spacing w:after="240" w:line="360" w:lineRule="auto"/>
        <w:ind w:firstLine="0" w:firstLineChars="0"/>
        <w:rPr>
          <w:rFonts w:ascii="Times New Roman" w:hAnsi="Times New Roman" w:cs="Times New Roman"/>
        </w:rPr>
      </w:pPr>
      <w:bookmarkStart w:id="121" w:name="_Toc49241554"/>
      <w:r>
        <w:rPr>
          <w:rFonts w:ascii="Times New Roman" w:hAnsi="Times New Roman" w:cs="Times New Roman"/>
        </w:rPr>
        <w:t>9 森林支撑体系建设规划</w:t>
      </w:r>
      <w:bookmarkEnd w:id="121"/>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2" w:name="_Toc49241555"/>
      <w:r>
        <w:rPr>
          <w:rFonts w:ascii="Times New Roman" w:hAnsi="Times New Roman" w:eastAsia="黑体" w:cs="Times New Roman"/>
          <w:b/>
          <w:bCs/>
          <w:sz w:val="32"/>
          <w:szCs w:val="32"/>
        </w:rPr>
        <w:t>9.1 森林防火能力提升</w:t>
      </w:r>
      <w:bookmarkEnd w:id="122"/>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9.1.1 建设现状</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近年来，乐昌市严格按照中央、广东省、韶关市文件的要求，认真履行市委市政府关于森林防火工作决策部署，拉长防火战线，做到了抓实抓细、抓早抓小；开展了形式多样的防火宣传活动，营造了良好森林防火氛围。2018年，全市未发生重大以上森林火灾，未发生人员伤亡事故，森林受害率为0。</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9.1.2 建设目标</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坚持“预防为主，积极消灭”的工作方针，牢记“责任重于泰山”使命，着力补齐工作短板，突出重点，坚决抓好全年森林防火各项措施的落实，确保全市森林火灾受害率控制在0.5‰以内，重要区域不发生森林火灾，不发生重大以上森林火灾，不发生人员伤亡事故，最大限度减少森林火灾损失。</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9.1.3 建设工程</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（1）完善森林火险监测预报系统</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与气象部门开展合作，建立森林火险预报系统与预警联合发布机制，完善乐昌市林火监测预报系统，规划期内，购置林火视频监测系统2套，新建防火</w:t>
      </w:r>
      <w:r>
        <w:rPr>
          <w:rFonts w:ascii="Times New Roman" w:hAnsi="Times New Roman" w:eastAsia="微软雅黑" w:cs="Times New Roman"/>
          <w:sz w:val="28"/>
        </w:rPr>
        <w:t>瞭</w:t>
      </w:r>
      <w:r>
        <w:rPr>
          <w:rFonts w:ascii="Times New Roman" w:hAnsi="Times New Roman" w:eastAsia="仿宋_GB2312" w:cs="Times New Roman"/>
          <w:sz w:val="28"/>
        </w:rPr>
        <w:t>望塔13座，配备高倍望远镜18个。</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（2）完善防火隔离林带</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落实《广东省森林防火条例》、《乐昌市森林防火工作责任追究制度（试行）》等有关森林防火文件，规划期内，修建工程隔离林带55km，生物隔离林带30km，每年维护防火林带70km，保证防火林带隔离效果，保护林业建设成果。</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（3）完善林火扑救体系</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建立森林专业、半专业消防队伍，完善护林员工作绩效考核办法，逐步实行网格化管理，加强护林员和专业、半专业森林消防队员培训，提高队伍战斗力，充分发挥防火队伍在护林防火工作中的作用。完善扑火设施，构建布局合理、装备精良的专业森林消防队伍，提高林火扑救能力。</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（4）加强火源管理</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认真贯彻落实《韶关市野外用火管理条例》，依法对野外火源实施严格管控，明确在全市森林防火区范围内全面实施禁止燃放烟花爆竹和野外其他用火。适时下发禁火令，在进入重点防控区、山头路口，设立临时防火检查站，严控火种入山。各部门合力加强野外火源管理，及时消除森林火灾隐患。规划期内，在片林林边、路口设立明显的森林防火宣传警示标识牌（碑、杆）500块。</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（5）强化宣传教育</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开展防火宣传教育，制定防火工作方案，扎实落实森林防火宣传月和高火险期森林防火宣传系列活动，深入推进森林防火宣传教育进学校、进机关、进企业。制订森林防火村规民约，签订防火履约协议。火险高峰期开展多种形式的宣传活动与工作，提高群众森林防火意识。规划期内，每年开展各种类型的防火宣传活动30次。</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表9-1 乐昌市森林防火能力提升工程规划表</w:t>
      </w:r>
    </w:p>
    <w:tbl>
      <w:tblPr>
        <w:tblStyle w:val="471"/>
        <w:tblW w:w="48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837"/>
        <w:gridCol w:w="852"/>
        <w:gridCol w:w="992"/>
        <w:gridCol w:w="981"/>
        <w:gridCol w:w="1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restar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建设内容</w:t>
            </w:r>
          </w:p>
        </w:tc>
        <w:tc>
          <w:tcPr>
            <w:tcW w:w="1725"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项目名称</w:t>
            </w:r>
          </w:p>
        </w:tc>
        <w:tc>
          <w:tcPr>
            <w:tcW w:w="518"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834" w:type="pct"/>
            <w:gridSpan w:val="3"/>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建设任务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continue"/>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p>
        </w:tc>
        <w:tc>
          <w:tcPr>
            <w:tcW w:w="1725"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518"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603"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597"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634"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restar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森林火险监测预报系统</w:t>
            </w: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林火视频监测系统（套）</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continue"/>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防火</w:t>
            </w:r>
            <w:r>
              <w:rPr>
                <w:rFonts w:ascii="Times New Roman" w:hAnsi="Times New Roman" w:eastAsia="宋体" w:cs="Times New Roman"/>
                <w:color w:val="000000"/>
                <w:kern w:val="0"/>
                <w:szCs w:val="21"/>
              </w:rPr>
              <w:t>瞭</w:t>
            </w:r>
            <w:r>
              <w:rPr>
                <w:rFonts w:ascii="Times New Roman" w:hAnsi="Times New Roman" w:eastAsia="仿宋_GB2312" w:cs="Times New Roman"/>
                <w:color w:val="000000"/>
                <w:kern w:val="0"/>
                <w:szCs w:val="21"/>
              </w:rPr>
              <w:t>望塔（座）</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continue"/>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高倍望远镜（个）</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restar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防火隔离林带</w:t>
            </w: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工程隔离带（km）</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continue"/>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生物隔离带（km）</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continue"/>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维护防火隔离林带（km/年）</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9" w:type="pct"/>
            <w:gridSpan w:val="2"/>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bCs/>
                <w:color w:val="000000"/>
                <w:kern w:val="0"/>
                <w:szCs w:val="21"/>
              </w:rPr>
              <w:t>林火扑救体系（项）</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sym w:font="Wingdings 2" w:char="F050"/>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sym w:font="Wingdings 2" w:char="F050"/>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sym w:font="Wingdings 2" w:char="F050"/>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加强火源管理</w:t>
            </w: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防火宣传标牌（个）</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500</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200</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强化宣传教育</w:t>
            </w: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防火宣传（次）</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300</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120</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3" w:name="_Toc49241556"/>
      <w:r>
        <w:rPr>
          <w:rFonts w:ascii="Times New Roman" w:hAnsi="Times New Roman" w:eastAsia="黑体" w:cs="Times New Roman"/>
          <w:b/>
          <w:bCs/>
          <w:sz w:val="32"/>
          <w:szCs w:val="32"/>
        </w:rPr>
        <w:t>9.2 林业有害生物防治</w:t>
      </w:r>
      <w:bookmarkEnd w:id="123"/>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9.2.1 建设现状</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2018年，乐昌市坚持“预防为主、科学防控、依法处理、促进健康”的工作方针，加强对松材线虫病、食叶害虫的监控和防治，组织开展林业植物检疫执法检查行动，有效的保护了本地森林资源，维护了全市生态安全。2018年，全市林业有害生物监测覆盖率为100%，测报准确率为93%，全市林业有害生物成灾率为0.35‰，无公害防治率95.2%，产地检疫率100%。</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9.2.2 建设目标</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结合近年来乐昌市林业有害生物发生工作情况，精心组织，周密安排，多措并举，狠抓落实，继续加强和完善林业有害生物防治监测预警、检疫御灾、防灾减灾、灾害应急、防治法规和科技支撑等六大体系建设，加强监测预报准确率，提高有害生物防治技能，提高森林健康水平，全面提高对有害生物的综合防控能力。到规划期末，确保全市林业有害生物成灾率控制在0.5‰以下，测报准确率达到95%以上，无公害防治率达到96%以上，种苗产地检疫率达到100%，保障森林资源和环境安全。</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9.2.3 建设内容</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（1）完善林业有害生物监测预警体系</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根据《广东省林业厅办公室关于调整国家级林业有害生物中心测报点的通知》，积极加强测报网点建设，在现有基础上，继续抓好国家级中心测报点测报工作，开展松材线虫病、萧氏松茎象、黄脊竹蝗、刚竹毒蛾、松毛虫等主要检疫性和危险性林业有害生物监测，做到定点、定时、定人监测，保证数据准确、资料完整，全面掌握病虫害发生动态，发布病虫情预报，为防治林业有害生物提供科学依据。</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（2）加强林业植物检验检疫，控制有害生物传播</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继续开展林业植物检疫执法检查行动，制定林业植物检疫执法行动实施方案，组织相关工作人员加强全市木材经营企业监管力度，规范木材和苗木调运产地检疫程序，重点做好松材线虫病疫情的防控工作，防止林业有害生物的扩散；进一步规范种子、苗木、花卉和繁殖材料及木材生产的经营行为，防止林业有害生物人为传播；同时加强检疫宣传力度，提高全民防范意识。</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（3）提升林业病虫害防治能力</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加强林业有害生物防治减灾设施建设，以生物防治、仿生防治为主体，以人工、物理等其他防治措施为辅助，采取飞机防治和人工防治相结合，形成较为成熟的综合防控体系，逐步减少化学农药的使用。有计划地对自然保护区、林场、林业站等单位技术人员进行培训，掌握松材线虫病等检疫性林业有害生物的识别、监测、检疫、处置等防治技术，逐步提高森防检疫工作队伍人员专业技术水平。规划期内，购置小型机动喷雾机8台，每年组织林业有害生物防治培训2次，每年开展飞防1次。</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（4）提高林业有害生物防治的宣传</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通过电视专题、微信公众平台等方式，广泛宣传松材线虫病的危害性及防治工作的必要性、艰巨性，提高广大干部群众对林业有害生物的认识，调动群众参与有害生物防治的积极性，自觉遵守防治和检疫的各项规定，支持各项防治工作的开展。规划期内，制作林业有害生物宣传牌300个，每年开展相关宣传活动3次。</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表9-2 林业有害生物防治工程规划表</w:t>
      </w:r>
    </w:p>
    <w:tbl>
      <w:tblPr>
        <w:tblStyle w:val="471"/>
        <w:tblW w:w="47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3667"/>
        <w:gridCol w:w="908"/>
        <w:gridCol w:w="803"/>
        <w:gridCol w:w="807"/>
        <w:gridCol w:w="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2250"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建设内容</w:t>
            </w:r>
          </w:p>
        </w:tc>
        <w:tc>
          <w:tcPr>
            <w:tcW w:w="557" w:type="pct"/>
            <w:vMerge w:val="restar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545" w:type="pct"/>
            <w:gridSpan w:val="3"/>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建设任务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2250"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557"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493"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495"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557"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2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小型机动喷雾机（台）</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49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49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2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林业有害生物防治培训（次）</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49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49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2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飞防次数（次）</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49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49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2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宣传标牌（个）</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300</w:t>
            </w:r>
          </w:p>
        </w:tc>
        <w:tc>
          <w:tcPr>
            <w:tcW w:w="49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c>
          <w:tcPr>
            <w:tcW w:w="49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120</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2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林业有害生物防治宣传活动（次）</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49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49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5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4" w:name="_Toc49241557"/>
      <w:r>
        <w:rPr>
          <w:rFonts w:ascii="Times New Roman" w:hAnsi="Times New Roman" w:eastAsia="黑体" w:cs="Times New Roman"/>
          <w:b/>
          <w:bCs/>
          <w:sz w:val="32"/>
          <w:szCs w:val="32"/>
        </w:rPr>
        <w:t>9.3 林业科技研究与应用推广</w:t>
      </w:r>
      <w:bookmarkEnd w:id="124"/>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9.3.1 建设现状</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始终坚持科技兴林的发展理念，坚持林业科研和林业生产相结合、杉木为主和多树种并举的发展模式，开展了《杉木精选高效种子园营建技术研究》、《广东杉木良种推广应用》、《油料植物光皮树良种资源收集与无性系选育》等项目，成功收集了7份珍稀的木兰科种质资源。拥有全国唯一一个既是国家杉木良种基地，又是木兰科国家林木种质资源库的县级林场。</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9.3.2 建设目标</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依托国家杉木良种基地，加强对生态质量提升和乡土植物选育、城市森林系统和生物多样性构建等重大课题科技攻关，积极与科研院所开展合作，加强林木良种选育、危害性林业有害生物防治等关键性技术研究和开发，加强基层林业站基础设施和科技人才队伍建设，形成科学化、规范化、制度化的科技推广机制，逐步形成产学研紧密结合的林业科技成果转化格局。</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9.3.3 建设内容</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（1）加快科技攻关</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大力建设和完善龙山林场国家重点林木良种基地，继续开展杉木良种培育，营建杉木示范林，举办杉木良种造林培训班，制作造林技术手册，推广杉木良种种苗。规划期内，扩建杉木良种育苗基地10hm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，培育一批优良品种和优良无性系，夯实造林绿化质量基础，实现全市造林良种使用率达到95%以上，基地供种率达90%以上，商品林造林良种使用率达100%的目标。</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与科研机构合作，继续开展光皮树种质资源的收集、无性系繁育、榨油技术等方面的研究。</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（2）提升科技成果推广应用水平</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选择资源丰富、技术水平高、有典型示范带头作用的地区，建立林业科技示范点，推广林业科技成果。以林业科技富民示范工程、科技成果转化专项资金为载体，提高林业科技成果转化率，使科技进步对林业发展的贡献率进一步提高。逐步完善覆盖全市的林业科技推广体系，进一步强化基础设施和能力建设，初步建立起林业科技推广服务网，提高社会化服务能力。</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（3）加强林业生物安全和遗传资源管理</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加强林业生物遗传资源管理，实行林业生物物种资源优先保护和分级保护措施，与中国科学院华南植物园继续合作，开展木兰科种质资源收集工作，完善乐昌市主题树木园——山地木兰园。同时开展种质资源研究，发挥好木兰科种质资源库的优势，提高种质资源的利用。</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表9-3 林业科技研究与应用推广工程规划表</w:t>
      </w:r>
    </w:p>
    <w:tbl>
      <w:tblPr>
        <w:tblStyle w:val="471"/>
        <w:tblW w:w="83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851"/>
        <w:gridCol w:w="1124"/>
        <w:gridCol w:w="1124"/>
        <w:gridCol w:w="1124"/>
        <w:gridCol w:w="11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2851" w:type="dxa"/>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建设内容</w:t>
            </w:r>
          </w:p>
        </w:tc>
        <w:tc>
          <w:tcPr>
            <w:tcW w:w="1124" w:type="dxa"/>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3372" w:type="dxa"/>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0" w:type="dxa"/>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2851" w:type="dxa"/>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1124" w:type="dxa"/>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1124" w:type="dxa"/>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1124" w:type="dxa"/>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1124" w:type="dxa"/>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2851"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杉木良种育苗基地</w:t>
            </w:r>
          </w:p>
        </w:tc>
        <w:tc>
          <w:tcPr>
            <w:tcW w:w="1124"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124"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124"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124"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5" w:name="_Toc49241558"/>
      <w:r>
        <w:rPr>
          <w:rFonts w:ascii="Times New Roman" w:hAnsi="Times New Roman" w:eastAsia="黑体" w:cs="Times New Roman"/>
          <w:b/>
          <w:bCs/>
          <w:sz w:val="32"/>
          <w:szCs w:val="32"/>
        </w:rPr>
        <w:t>9.4 林政资源管理体系建设</w:t>
      </w:r>
      <w:bookmarkEnd w:id="125"/>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9.4.1 建设现状</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按照“严格保护，积极发展，科学经营，持续利用”的方式，积极宣传贯彻《森林法》、《野生动植物保护法》、《广东省林地管理条例》等法律法规，先后开展“2018红线行动”、“森林督查”等专项行动，严厉打击盗伐滥伐林木犯罪行为。结合广东省森林资源二类调查工作，已全面完成乐昌市省级以上生态公益林区划落界和面积核实工作。此外，还加强了木材采伐源头管理，做好林木采伐服务工作，2018年完成采伐设计发证1766份，采伐作业设计面积916.99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，采伐蓄积量10.48万立方米，出材量7.01万立方米。</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9.4.2 建设目标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严格按照乐昌市林地保护目标、任务、措施和管理政策，实施林地保护利用规划，保护森林资源。推进林业管理体制和管理方式的创新，优化林业行政审批流程，完善林业基层服务，提高资源管理能力。加快森林资源管理信息系统建设，掌握资源动态变化情况，为森林资源保护和可持续经营提供依据。</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9.4.3 建设内容</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（1）加强林地资源保护</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继续按照广东省、韶关市的要求，配合做好粤北生态特别保护区工作，实施乐昌市政策性森林保险项目，完成全市105333.33hm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生态林保险投保任务。严格执行采伐限额监督检查制度，规范木材运输和加工管理，依法打击非法采伐和相关贸易，保持对破坏森林资源违法犯罪活动的高压态势。加强木材检查、林政稽察队伍与基础设施建设，开展森林分类经营和可持续经营，加快森林资源管理信息系统建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（2）加强森林资源综合监测体系建设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建立完善的森林资源信息化监管平台，提高对森林面积、蓄积量等资源的监测效率与精准度，增强对森林健康、生物多样性、森林碳汇和可持续经营状况的调查评估能力。完善乡镇森林资源监测点，配备必要的办公设备，购置森林资源监控无人机，开展森林资源动态监测，定期更新森林资源状况，为林业生态建设和林业生产经营提供信息服务。</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表9-4 林政资源管理体系建设规划表</w:t>
      </w:r>
    </w:p>
    <w:tbl>
      <w:tblPr>
        <w:tblStyle w:val="471"/>
        <w:tblW w:w="472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526"/>
        <w:gridCol w:w="1242"/>
        <w:gridCol w:w="1316"/>
        <w:gridCol w:w="1031"/>
        <w:gridCol w:w="1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2" w:type="pct"/>
            <w:vMerge w:val="restart"/>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序号</w:t>
            </w:r>
          </w:p>
        </w:tc>
        <w:tc>
          <w:tcPr>
            <w:tcW w:w="1570" w:type="pct"/>
            <w:vMerge w:val="restart"/>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建设内容</w:t>
            </w:r>
          </w:p>
        </w:tc>
        <w:tc>
          <w:tcPr>
            <w:tcW w:w="772" w:type="pct"/>
            <w:vMerge w:val="restart"/>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合计</w:t>
            </w:r>
          </w:p>
        </w:tc>
        <w:tc>
          <w:tcPr>
            <w:tcW w:w="2096" w:type="pct"/>
            <w:gridSpan w:val="3"/>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建设任务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2" w:type="pct"/>
            <w:vMerge w:val="continue"/>
            <w:shd w:val="clear" w:color="auto" w:fill="auto"/>
            <w:vAlign w:val="center"/>
          </w:tcPr>
          <w:p>
            <w:pPr>
              <w:spacing w:line="360" w:lineRule="auto"/>
              <w:jc w:val="center"/>
              <w:rPr>
                <w:rFonts w:ascii="Times New Roman" w:hAnsi="Times New Roman" w:eastAsia="仿宋_GB2312" w:cs="Times New Roman"/>
                <w:b/>
                <w:bCs/>
                <w:color w:val="000000"/>
                <w:szCs w:val="21"/>
              </w:rPr>
            </w:pPr>
          </w:p>
        </w:tc>
        <w:tc>
          <w:tcPr>
            <w:tcW w:w="1570" w:type="pct"/>
            <w:vMerge w:val="continue"/>
            <w:shd w:val="clear" w:color="auto" w:fill="auto"/>
            <w:vAlign w:val="center"/>
          </w:tcPr>
          <w:p>
            <w:pPr>
              <w:spacing w:line="360" w:lineRule="auto"/>
              <w:jc w:val="center"/>
              <w:rPr>
                <w:rFonts w:ascii="Times New Roman" w:hAnsi="Times New Roman" w:eastAsia="仿宋_GB2312" w:cs="Times New Roman"/>
                <w:b/>
                <w:bCs/>
                <w:color w:val="000000"/>
                <w:szCs w:val="21"/>
              </w:rPr>
            </w:pPr>
          </w:p>
        </w:tc>
        <w:tc>
          <w:tcPr>
            <w:tcW w:w="772" w:type="pct"/>
            <w:vMerge w:val="continue"/>
            <w:shd w:val="clear" w:color="auto" w:fill="auto"/>
            <w:vAlign w:val="center"/>
          </w:tcPr>
          <w:p>
            <w:pPr>
              <w:spacing w:line="360" w:lineRule="auto"/>
              <w:jc w:val="center"/>
              <w:rPr>
                <w:rFonts w:ascii="Times New Roman" w:hAnsi="Times New Roman" w:eastAsia="仿宋_GB2312" w:cs="Times New Roman"/>
                <w:b/>
                <w:bCs/>
                <w:color w:val="000000"/>
                <w:szCs w:val="21"/>
              </w:rPr>
            </w:pPr>
          </w:p>
        </w:tc>
        <w:tc>
          <w:tcPr>
            <w:tcW w:w="818" w:type="pct"/>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近期</w:t>
            </w:r>
          </w:p>
        </w:tc>
        <w:tc>
          <w:tcPr>
            <w:tcW w:w="641" w:type="pct"/>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中期</w:t>
            </w:r>
          </w:p>
        </w:tc>
        <w:tc>
          <w:tcPr>
            <w:tcW w:w="637" w:type="pct"/>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2"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57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生态林保险（hm</w:t>
            </w:r>
            <w:r>
              <w:rPr>
                <w:rFonts w:ascii="Times New Roman" w:hAnsi="Times New Roman" w:eastAsia="仿宋_GB2312" w:cs="Times New Roman"/>
                <w:color w:val="000000"/>
                <w:szCs w:val="21"/>
                <w:vertAlign w:val="superscript"/>
              </w:rPr>
              <w:t>2</w:t>
            </w:r>
            <w:r>
              <w:rPr>
                <w:rFonts w:ascii="Times New Roman" w:hAnsi="Times New Roman" w:eastAsia="仿宋_GB2312" w:cs="Times New Roman"/>
                <w:color w:val="000000"/>
                <w:szCs w:val="21"/>
              </w:rPr>
              <w:t>）</w:t>
            </w:r>
          </w:p>
        </w:tc>
        <w:tc>
          <w:tcPr>
            <w:tcW w:w="772"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105333.33</w:t>
            </w:r>
          </w:p>
        </w:tc>
        <w:tc>
          <w:tcPr>
            <w:tcW w:w="81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105333.33</w:t>
            </w:r>
          </w:p>
        </w:tc>
        <w:tc>
          <w:tcPr>
            <w:tcW w:w="641" w:type="pct"/>
            <w:shd w:val="clear" w:color="auto" w:fill="auto"/>
            <w:vAlign w:val="center"/>
          </w:tcPr>
          <w:p>
            <w:pPr>
              <w:spacing w:line="360" w:lineRule="auto"/>
              <w:jc w:val="center"/>
              <w:rPr>
                <w:rFonts w:ascii="Times New Roman" w:hAnsi="Times New Roman" w:eastAsia="仿宋_GB2312" w:cs="Times New Roman"/>
                <w:color w:val="000000"/>
                <w:szCs w:val="21"/>
              </w:rPr>
            </w:pPr>
          </w:p>
        </w:tc>
        <w:tc>
          <w:tcPr>
            <w:tcW w:w="637" w:type="pct"/>
            <w:shd w:val="clear" w:color="auto" w:fill="auto"/>
            <w:vAlign w:val="center"/>
          </w:tcPr>
          <w:p>
            <w:pPr>
              <w:spacing w:line="360" w:lineRule="auto"/>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2"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57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森林资源监测系统（套）</w:t>
            </w:r>
          </w:p>
        </w:tc>
        <w:tc>
          <w:tcPr>
            <w:tcW w:w="772"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81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sym w:font="Wingdings 2" w:char="F050"/>
            </w:r>
          </w:p>
        </w:tc>
        <w:tc>
          <w:tcPr>
            <w:tcW w:w="641"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sym w:font="Wingdings 2" w:char="F050"/>
            </w:r>
          </w:p>
        </w:tc>
        <w:tc>
          <w:tcPr>
            <w:tcW w:w="637" w:type="pct"/>
            <w:shd w:val="clear" w:color="auto" w:fill="auto"/>
            <w:vAlign w:val="center"/>
          </w:tcPr>
          <w:p>
            <w:pPr>
              <w:spacing w:line="360" w:lineRule="auto"/>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2"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57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森林资源监控无人机（台）</w:t>
            </w:r>
          </w:p>
        </w:tc>
        <w:tc>
          <w:tcPr>
            <w:tcW w:w="772"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w:t>
            </w:r>
          </w:p>
        </w:tc>
        <w:tc>
          <w:tcPr>
            <w:tcW w:w="81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641"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637" w:type="pct"/>
            <w:shd w:val="clear" w:color="auto" w:fill="auto"/>
            <w:vAlign w:val="center"/>
          </w:tcPr>
          <w:p>
            <w:pPr>
              <w:spacing w:line="360" w:lineRule="auto"/>
              <w:jc w:val="center"/>
              <w:rPr>
                <w:rFonts w:ascii="Times New Roman" w:hAnsi="Times New Roman" w:eastAsia="仿宋_GB2312" w:cs="Times New Roman"/>
                <w:color w:val="000000"/>
                <w:szCs w:val="21"/>
              </w:rPr>
            </w:pP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6" w:name="_Toc49241559"/>
      <w:r>
        <w:rPr>
          <w:rFonts w:ascii="Times New Roman" w:hAnsi="Times New Roman" w:eastAsia="黑体" w:cs="Times New Roman"/>
          <w:b/>
          <w:bCs/>
          <w:sz w:val="32"/>
          <w:szCs w:val="32"/>
        </w:rPr>
        <w:t>9.5 城区绿地管理体系建设</w:t>
      </w:r>
      <w:bookmarkEnd w:id="126"/>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9.5.1 建设现状</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坚持城市建设工程与城市绿化工程同步设计、同步施工、同步验收，着力开展城市绿化提升行动，进一步提高城区绿化美化水平。近年来，乐昌市相继改造建设“一江两岸”景观绿化带、竹林公园、街头绿地；修整完善了南塔公园、人民公园的部分基础设施；实施了乐梅桥、武江桥引线、市区沿江路等道路绿化工程，丰富了城区的休闲娱乐场所。</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9.5.2 建设目标</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梳理乐昌市城区绿地养护管理的问题与相互关系，加强城区绿地管理专业化、精细化与标准化，打造亮点、补齐短板，完善城区绿地系统建设，以乐城作为中心城区，带动区域共同发展，发挥乐昌市在粤北地区的综合服务功能。</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9.5.3 建设内容</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（1）加快城市绿地系统建设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编制完善《乐昌市生态控制线划定》、《乐昌市城市绿地系统规划》以及城市各项详规的编制；进一步完善旧城区控制性详细规划，有序推进旧城更新与改造，塑造具有地方特色的标志性建设项目；认真抓好园林绿化养护工作，安排专人检查指导园林养护工作，每月对园林养护工作效果进行考评打分，督促承包方认真落实好园林绿化工作。</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（2）提高城区绿地有机覆盖率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充分利用有机覆盖物，铺设于城区植物或树木周围土壤表面，既可以满足外观要求，又可以减少城市裸露地面积，减少扬尘，还能够为土壤提供有机质，改善土壤的理化性质，促进植物生长，减少养护成本。“创森”期间，逐步增加城区有机覆盖物使用范围，美化城市环境，提高城市亲和力。</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（3）抓好镇村绿化工作</w:t>
      </w:r>
    </w:p>
    <w:p>
      <w:pPr>
        <w:spacing w:line="360" w:lineRule="auto"/>
        <w:ind w:firstLine="560" w:firstLineChars="200"/>
        <w:rPr>
          <w:rFonts w:ascii="Times New Roman" w:hAnsi="Times New Roman" w:eastAsia="仿宋_GB2312" w:cs="Times New Roman"/>
          <w:sz w:val="28"/>
          <w:szCs w:val="28"/>
        </w:rPr>
        <w:sectPr>
          <w:headerReference r:id="rId19"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28"/>
          <w:szCs w:val="28"/>
        </w:rPr>
        <w:t>继续完善《乐昌市市域乡村建设规划》及镇村规划编制，积极推动镇村规划全覆盖工作；开展镇街绿化提升工作，建设具有乡土风情，生态环境优美，宜居、宜业、宜游，且具有较强综合承载力、产业集聚能力和辐射带动能力的特色镇，示范带动全市乡村振兴。</w:t>
      </w:r>
    </w:p>
    <w:p>
      <w:pPr>
        <w:pStyle w:val="43"/>
        <w:spacing w:after="240" w:line="360" w:lineRule="auto"/>
        <w:ind w:firstLine="0" w:firstLineChars="0"/>
        <w:rPr>
          <w:rFonts w:ascii="Times New Roman" w:hAnsi="Times New Roman" w:cs="Times New Roman"/>
        </w:rPr>
      </w:pPr>
      <w:bookmarkStart w:id="127" w:name="_Toc49241560"/>
      <w:r>
        <w:rPr>
          <w:rFonts w:ascii="Times New Roman" w:hAnsi="Times New Roman" w:cs="Times New Roman"/>
        </w:rPr>
        <w:t>10 树种规划</w:t>
      </w:r>
      <w:bookmarkEnd w:id="127"/>
    </w:p>
    <w:p>
      <w:pPr>
        <w:pStyle w:val="103"/>
      </w:pPr>
      <w:bookmarkStart w:id="128" w:name="_Toc49241561"/>
      <w:r>
        <w:t>10.1 树种选择原则</w:t>
      </w:r>
      <w:bookmarkEnd w:id="128"/>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（1）尊重自然，适地适树</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属亚热带季风气候区，雨量充沛，地带性土壤为红壤和赤红壤，成土母质为石灰岩、花岗岩，地带性植被类型是中亚热带常绿阔叶林。树种选择应根据乐昌市的气候、土壤等环境条件，因地制宜地选择与环境条件、文化特征相适应的乡土绿化树种，做到适地适树，充分发挥植物的生态和景观功能，形成健康稳定的生态系统。</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（2）以乡土树种为主，辅以优良外来树种</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为满足不同的造林目的，在使用乡土树种的同时应适当引入优良外来树种。乡土树种经过长期的自然选择能够很好地适应当地环境并且体现一定的地域特色，是城市森林建设中的骨干树种。部分外来树种在当地长期栽植表现优良也可以与乡土树种配合使用。</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（3）合理搭配树种，突出植物配置</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树种选择时应坚持以乔木树种为主，合理搭配乔、灌、草；坚持速生与慢生树种相结合，常绿与落叶树种相结合，营造复层混交、稳定的人工植物群落；注重树种丰富度与生物多样性，城区同一种植物栽培数量不超过树木总数量的20%。</w:t>
      </w:r>
    </w:p>
    <w:p>
      <w:pPr>
        <w:pStyle w:val="103"/>
      </w:pPr>
      <w:bookmarkStart w:id="129" w:name="_Toc49241562"/>
      <w:r>
        <w:t>10.2 树种规划目标</w:t>
      </w:r>
      <w:bookmarkEnd w:id="129"/>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通过合理选择适宜树种，优化城市绿化植物应用结构，在城市中形成以生物多样性为基础、地带性植物为特征、乔灌草相结合的、富有乐昌特色的植物景观，提升城市植物景观的丰富度和景观度，构建科学的城市森林生态系统。</w:t>
      </w:r>
    </w:p>
    <w:p>
      <w:pPr>
        <w:pStyle w:val="103"/>
      </w:pPr>
      <w:bookmarkStart w:id="130" w:name="_Toc49241563"/>
      <w:r>
        <w:t>10.3 树种规划选择</w:t>
      </w:r>
      <w:bookmarkEnd w:id="13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10.3.1 城区绿化树种</w:t>
      </w:r>
    </w:p>
    <w:p>
      <w:pPr>
        <w:spacing w:line="360" w:lineRule="auto"/>
        <w:outlineLvl w:val="3"/>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10.3.1.1庭园绿化树种</w:t>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（1）选择原则</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庭园绿化树种包括公园绿地、单位附属绿地和居民区附属绿地的绿化树种。庭园绿化树种突出反映了城市绿化的面貌和特色，影响着城市绿地系统功能的发挥和人居环境的改善，因此树种选择要求自然形态优美，枝叶繁茂，遮荫效果好；花朵大而美丽，果实色彩鲜艳、奇特，叶色变化明显，有较强观赏性；适应性强，病虫害少，易繁殖和移栽；公园、居住区、游人活动频繁或易接近的场所忌用有毒、带刺及易引起过敏的植物</w:t>
      </w:r>
    </w:p>
    <w:p>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（2）树种选择</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庭园绿化树种可选择乐昌含笑、深山含笑、金叶含笑、火力楠、红色木莲、乳源木莲、毛桃木莲、大叶木莲、观光木、凤凰木、重阳木、枫香、香樟、黄樟、阴香、紫薇、桂花、白兰、女贞、高山榕、垂叶榕、冬青、木棉、小叶榄仁、山杜英、杜英、红花荷、黄花风铃木、红花羊蹄甲、仪花、杨梅、红千层、垂柳、幌伞枫、朴树、刺桐、鸡蛋花、银杏、秃杉、竹柏、雪松、罗汉松等。</w:t>
      </w:r>
    </w:p>
    <w:p>
      <w:pPr>
        <w:spacing w:line="360" w:lineRule="auto"/>
        <w:rPr>
          <w:rFonts w:ascii="Times New Roman" w:hAnsi="Times New Roman" w:eastAsia="仿宋_GB2312" w:cs="Times New Roman"/>
          <w:sz w:val="28"/>
          <w:szCs w:val="28"/>
        </w:rPr>
      </w:pPr>
    </w:p>
    <w:p>
      <w:pPr>
        <w:spacing w:line="360" w:lineRule="auto"/>
        <w:outlineLvl w:val="3"/>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10.3.1.2防护绿地树种</w:t>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（1）选择原则</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适地适树，选择适合当地气候、土壤、水分等自然条件的乡土植物，优先选择对有害物质抗性或净化能力较强的树种；丰富防护绿地的植物种类，保持群落的稳定；适应性强，病虫害少，便于管理的树种；针对不同类型的防护绿地选择不同的抗污树种。</w:t>
      </w:r>
    </w:p>
    <w:p>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（2）树种选择</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抗二氧化氮较强的树种可选择垂柳、臭椿、乌桕、荷花玉兰、香樟、龙柏等；抗二氧化硫较强树种可选择垂柳、无患子、高山榕、垂叶榕、珊瑚树、大花紫薇、荷花玉兰、龙柏、枫香等；抗氯气较强树种可选择荷花玉兰、龙柏、构树、高山榕、人心果、罗汉松、鱼尾葵、桂花等；抗氟化氢较强树种可选择龙柏、荷花玉兰、乌桕、香樟、大花紫薇、铁冬青、垂叶榕、构树；阻滞粉尘较强树种可选择臭椿、朴树、凤凰木、荷花玉兰、香樟等。</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10.3.2 道路绿化树种</w:t>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（1）选择原则</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道路绿化树种宜选择树干挺拔、树形端正、形态优雅、分枝点较高、冠幅较大、枝叶繁茂、生长旺盛；易栽植、易萌生、易管理；对环境适应性、抗逆性强，抗污染、抗风、耐寒、耐旱、耐涝、耐辐射、病虫害少的乡土乔木作为道路绿化树种，发挥防风固土、防尘降噪、吸收污染物等生态作用。</w:t>
      </w:r>
    </w:p>
    <w:p>
      <w:pPr>
        <w:spacing w:line="360" w:lineRule="auto"/>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（2）树种选择</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道路绿化树种可选择乐昌含笑、深山含笑、金叶含笑、峨眉含笑、火力楠、毛桃木莲、观光木、乐东拟单性木兰、紫薇、大花紫薇、香樟、阴香、广东润楠、闽楠、厚皮香、山杜英、杜英、枫香、猴欢喜、桂花、南洋楹、红花羊蹄甲、凤凰木、火焰树、桃花心木、黄槐决明、黄花风铃木、仪花、木棉、人面子、小叶榄仁、秋枫、麻楝、南山茶、蕈树、中华槭、鹅掌楸等。</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10.3.3 水系绿化树种</w:t>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（1）选择原则</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水系绿化树种以乡土湿地植物为主，要求自然形态优美，有较强的观赏性；对水体的污染少，有较好的净化水体；适应性强，耐水湿、根系发达、固堤护岸能力强，病虫害少，易繁殖和移栽；具有保护生物多样性、过滤污染物、涵养水源以及水土保持等多种功能的树种，搭配水生植物，形成具有特色的亲水性景观林带。</w:t>
      </w:r>
    </w:p>
    <w:p>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（2）树种选择</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水系绿化树种可选择乐昌含笑、池杉、水杉、水松、垂叶榕、高山榕、水翁、水石榕、垂柳、木荷、香樟、乌桕、枫香、木棉、阴香、</w:t>
      </w:r>
      <w:r>
        <w:rPr>
          <w:rFonts w:ascii="Times New Roman" w:hAnsi="Times New Roman" w:eastAsia="仿宋_GB2312" w:cs="Times New Roman"/>
          <w:sz w:val="28"/>
          <w:szCs w:val="28"/>
        </w:rPr>
        <w:t>麻楝、</w:t>
      </w:r>
      <w:r>
        <w:rPr>
          <w:rFonts w:ascii="Times New Roman" w:hAnsi="Times New Roman" w:eastAsia="仿宋_GB2312" w:cs="Times New Roman"/>
          <w:color w:val="000000" w:themeColor="text1"/>
          <w:sz w:val="28"/>
          <w:szCs w:val="28"/>
          <w14:textFill>
            <w14:solidFill>
              <w14:schemeClr w14:val="tx1"/>
            </w14:solidFill>
          </w14:textFill>
        </w:rPr>
        <w:t>秋枫、枫杨、重阳木、无患子等</w:t>
      </w:r>
      <w:r>
        <w:rPr>
          <w:rFonts w:ascii="Times New Roman" w:hAnsi="Times New Roman" w:eastAsia="仿宋_GB2312" w:cs="Times New Roman"/>
          <w:sz w:val="28"/>
          <w:szCs w:val="28"/>
        </w:rPr>
        <w:t>。</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10.3.4 山地造林树种</w:t>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（1）选择原则</w:t>
      </w:r>
    </w:p>
    <w:p>
      <w:pPr>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结合乐昌市的气候条件和立地条件，</w:t>
      </w:r>
      <w:r>
        <w:rPr>
          <w:rFonts w:ascii="Times New Roman" w:hAnsi="Times New Roman" w:eastAsia="仿宋_GB2312" w:cs="Times New Roman"/>
          <w:sz w:val="28"/>
          <w:szCs w:val="28"/>
        </w:rPr>
        <w:t>选择</w:t>
      </w:r>
      <w:r>
        <w:rPr>
          <w:rFonts w:ascii="Times New Roman" w:hAnsi="Times New Roman" w:eastAsia="仿宋_GB2312" w:cs="Times New Roman"/>
          <w:color w:val="000000" w:themeColor="text1"/>
          <w:sz w:val="28"/>
          <w:szCs w:val="28"/>
          <w14:textFill>
            <w14:solidFill>
              <w14:schemeClr w14:val="tx1"/>
            </w14:solidFill>
          </w14:textFill>
        </w:rPr>
        <w:t>稳定性好、抗逆性强、固碳能力强、生态景观效益好的优良乡土树种和珍贵乡土树种作为山地造林树种，发挥树种的多种生态功能。</w:t>
      </w:r>
    </w:p>
    <w:p>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（2）树种选择</w:t>
      </w:r>
    </w:p>
    <w:p>
      <w:pPr>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规划选择乳源木莲、灰木莲、乐昌含笑、金叶含笑、深山含笑、观光木、阴香、檫木、华润楠、闽楠、枫杨、木荷、中华杜英、杜英、山杜英、假苹婆、秋枫、千年桐、石栗、铁刀木、格木、台湾相思、壳菜果、红花荷、西南桦、米锥、红锥、铁冬青、香椿、红椿、南酸枣、女贞、柚木、泡桐、菜豆树、麻楝等树种。</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10.3.5 乡村绿化美化树种</w:t>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（1）选择原则</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乡村绿化美化树种主要选择管护次数少、养护成本低的乡土树种，以及房前屋后可种植的经济林树种。</w:t>
      </w:r>
    </w:p>
    <w:p>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（2）树种选择</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可选择的树种有乐昌含笑、金叶含笑、深山含笑、高山榕、垂叶榕、闽楠、香樟、沉水樟、南酸枣、桂花、山杜英、红花油茶、小花紫薇、大花紫薇、石栎、香椿、红椿、铁刀木、红锥、枫香、火焰树、洋紫荆、双荚黄槐；可选择的经济林树种有黄金奈李、杨梅、柑桔、蜜桃、水晶梨等。</w:t>
      </w:r>
    </w:p>
    <w:p>
      <w:pPr>
        <w:ind w:firstLine="560" w:firstLineChars="200"/>
        <w:rPr>
          <w:rFonts w:ascii="Times New Roman" w:hAnsi="Times New Roman" w:eastAsia="仿宋_GB2312" w:cs="Times New Roman"/>
          <w:sz w:val="28"/>
          <w:szCs w:val="28"/>
        </w:rPr>
        <w:sectPr>
          <w:headerReference r:id="rId20" w:type="default"/>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131" w:name="_Toc49241564"/>
      <w:r>
        <w:rPr>
          <w:rFonts w:ascii="Times New Roman" w:hAnsi="Times New Roman" w:cs="Times New Roman"/>
        </w:rPr>
        <w:t>11 投资估算及资金筹措</w:t>
      </w:r>
      <w:bookmarkEnd w:id="131"/>
    </w:p>
    <w:p>
      <w:pPr>
        <w:pStyle w:val="103"/>
      </w:pPr>
      <w:bookmarkStart w:id="132" w:name="_Toc49241565"/>
      <w:r>
        <w:t>11.1 估算依据</w:t>
      </w:r>
      <w:bookmarkEnd w:id="132"/>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乐昌市国家森林城市项目建设投资估算主要依据国家、广东省和韶关市相关政策、法规和文件标准，并参考乐昌市相关技术经济指标、现行市场价格及社会平均用工量的价格水平。</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投资估算主要参照的规定与标准如下所示：</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（1）关于发布《工程勘察设计收费管理规定》的通知（计价格〔2002〕10号）；</w:t>
      </w:r>
    </w:p>
    <w:p>
      <w:pPr>
        <w:spacing w:line="360" w:lineRule="auto"/>
        <w:ind w:firstLine="560" w:firstLineChars="2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（2）《建设项目前期工作咨询收费暂行规定》（计价格〔1999〕1283号）；</w:t>
      </w:r>
    </w:p>
    <w:p>
      <w:pPr>
        <w:spacing w:line="360" w:lineRule="auto"/>
        <w:ind w:firstLine="560" w:firstLineChars="2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（3）《招标代理服务收费管理暂行办法》（计价格〔2002〕1980号）； </w:t>
      </w:r>
    </w:p>
    <w:p>
      <w:pPr>
        <w:spacing w:line="360" w:lineRule="auto"/>
        <w:ind w:firstLine="560" w:firstLineChars="2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（4）《建设工程监理与相关服务收费管理规定》（发改价格〔2007〕670号）；</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（5）《基本建设项目建设成本管理规定》（财建〔2016〕504号）；</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（6）《林木种苗工程项目建设标准》，2004年；</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（7）《森林重点火险区综合治理工程项目建设标准》，2004年；</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（8）《森林病虫害综合治理工程项目建设标准》，2004年；</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（9）《林业建设工程概算编制办法》；</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投资估算主要内容包括森林城市项目建设期内的植树造林直接费（含种苗、肥料、整地、栽植、灌溉、养护、病虫害防治等的用工费和物料购置费）；基础工程费、设备费；建设期内的绿化工程管护费、管理费等。</w:t>
      </w:r>
    </w:p>
    <w:p>
      <w:pPr>
        <w:pStyle w:val="103"/>
      </w:pPr>
      <w:bookmarkStart w:id="133" w:name="_Toc49241566"/>
      <w:bookmarkStart w:id="134" w:name="_Toc27395652"/>
      <w:r>
        <w:t>11.2 工程投资</w:t>
      </w:r>
      <w:bookmarkEnd w:id="133"/>
      <w:bookmarkEnd w:id="134"/>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经估算，乐昌市创建国家森林城市总投资</w:t>
      </w:r>
      <w:r>
        <w:rPr>
          <w:rFonts w:hint="eastAsia" w:ascii="Times New Roman" w:hAnsi="Times New Roman" w:eastAsia="仿宋_GB2312" w:cs="Times New Roman"/>
          <w:color w:val="000000"/>
          <w:sz w:val="28"/>
          <w:szCs w:val="28"/>
        </w:rPr>
        <w:t>60127.90</w:t>
      </w:r>
      <w:r>
        <w:rPr>
          <w:rFonts w:ascii="Times New Roman" w:hAnsi="Times New Roman" w:eastAsia="仿宋_GB2312" w:cs="Times New Roman"/>
          <w:color w:val="000000"/>
          <w:sz w:val="28"/>
          <w:szCs w:val="28"/>
        </w:rPr>
        <w:t>万元。</w:t>
      </w:r>
    </w:p>
    <w:p>
      <w:pPr>
        <w:autoSpaceDE w:val="0"/>
        <w:autoSpaceDN w:val="0"/>
        <w:spacing w:before="120" w:after="120" w:line="360" w:lineRule="auto"/>
        <w:jc w:val="left"/>
        <w:outlineLvl w:val="2"/>
        <w:rPr>
          <w:rFonts w:ascii="Times New Roman" w:hAnsi="Times New Roman" w:eastAsia="仿宋_GB2312" w:cs="Times New Roman"/>
          <w:b/>
          <w:bCs/>
          <w:kern w:val="28"/>
          <w:sz w:val="30"/>
          <w:szCs w:val="32"/>
        </w:rPr>
      </w:pPr>
      <w:r>
        <w:rPr>
          <w:rFonts w:ascii="Times New Roman" w:hAnsi="Times New Roman" w:eastAsia="仿宋_GB2312" w:cs="Times New Roman"/>
          <w:b/>
          <w:bCs/>
          <w:kern w:val="28"/>
          <w:sz w:val="30"/>
          <w:szCs w:val="32"/>
        </w:rPr>
        <w:t xml:space="preserve">11.2.1 </w:t>
      </w:r>
      <w:r>
        <w:rPr>
          <w:rFonts w:ascii="Times New Roman" w:hAnsi="Times New Roman" w:eastAsia="黑体" w:cs="Times New Roman"/>
          <w:b/>
          <w:bCs/>
          <w:kern w:val="28"/>
          <w:sz w:val="30"/>
          <w:szCs w:val="32"/>
        </w:rPr>
        <w:t>分项投资</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按建设项目与费用构成分，乐昌市国家森林城市建设各项目投资额及比例如下：</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（1）森林生态体系工程建设总投资</w:t>
      </w:r>
      <w:r>
        <w:rPr>
          <w:rFonts w:hint="eastAsia" w:ascii="Times New Roman" w:hAnsi="Times New Roman" w:eastAsia="仿宋_GB2312" w:cs="Times New Roman"/>
          <w:sz w:val="28"/>
          <w:szCs w:val="28"/>
        </w:rPr>
        <w:t>30572.75</w:t>
      </w:r>
      <w:r>
        <w:rPr>
          <w:rFonts w:ascii="Times New Roman" w:hAnsi="Times New Roman" w:eastAsia="仿宋_GB2312" w:cs="Times New Roman"/>
          <w:sz w:val="28"/>
          <w:szCs w:val="28"/>
        </w:rPr>
        <w:t>万元，占总投资的5</w:t>
      </w:r>
      <w:r>
        <w:rPr>
          <w:rFonts w:hint="eastAsia" w:ascii="Times New Roman" w:hAnsi="Times New Roman" w:eastAsia="仿宋_GB2312" w:cs="Times New Roman"/>
          <w:sz w:val="28"/>
          <w:szCs w:val="28"/>
        </w:rPr>
        <w:t>0.85</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（2）森林服务体系工程建设总投资</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799万元，占总投资的</w:t>
      </w:r>
      <w:r>
        <w:rPr>
          <w:rFonts w:hint="eastAsia" w:ascii="Times New Roman" w:hAnsi="Times New Roman" w:eastAsia="仿宋_GB2312" w:cs="Times New Roman"/>
          <w:sz w:val="28"/>
          <w:szCs w:val="28"/>
        </w:rPr>
        <w:t>9.64</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（3）森林产业体系工程建设总投资</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556.67万元，占总投资的</w:t>
      </w:r>
      <w:r>
        <w:rPr>
          <w:rFonts w:hint="eastAsia" w:ascii="Times New Roman" w:hAnsi="Times New Roman" w:eastAsia="仿宋_GB2312" w:cs="Times New Roman"/>
          <w:sz w:val="28"/>
          <w:szCs w:val="28"/>
        </w:rPr>
        <w:t>9.24</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（4）森林生态文化体系工程总投资</w:t>
      </w:r>
      <w:r>
        <w:rPr>
          <w:rFonts w:hint="eastAsia" w:ascii="Times New Roman" w:hAnsi="Times New Roman" w:eastAsia="仿宋_GB2312" w:cs="Times New Roman"/>
          <w:sz w:val="28"/>
          <w:szCs w:val="28"/>
        </w:rPr>
        <w:t>3600</w:t>
      </w:r>
      <w:r>
        <w:rPr>
          <w:rFonts w:ascii="Times New Roman" w:hAnsi="Times New Roman" w:eastAsia="仿宋_GB2312" w:cs="Times New Roman"/>
          <w:sz w:val="28"/>
          <w:szCs w:val="28"/>
        </w:rPr>
        <w:t>万元，占总投资的</w:t>
      </w:r>
      <w:r>
        <w:rPr>
          <w:rFonts w:hint="eastAsia" w:ascii="Times New Roman" w:hAnsi="Times New Roman" w:eastAsia="仿宋_GB2312" w:cs="Times New Roman"/>
          <w:sz w:val="28"/>
          <w:szCs w:val="28"/>
        </w:rPr>
        <w:t>5.99</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（5）森林支撑体系工程总投资8198.93万元，占总投资的1</w:t>
      </w:r>
      <w:r>
        <w:rPr>
          <w:rFonts w:hint="eastAsia" w:ascii="Times New Roman" w:hAnsi="Times New Roman" w:eastAsia="仿宋_GB2312" w:cs="Times New Roman"/>
          <w:sz w:val="28"/>
          <w:szCs w:val="28"/>
        </w:rPr>
        <w:t>3.64</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（6）咨询费、勘察设计费、建设单位管理费、工程监理费、招标费等其它费用</w:t>
      </w:r>
      <w:r>
        <w:rPr>
          <w:rFonts w:hint="eastAsia" w:ascii="Times New Roman" w:hAnsi="Times New Roman" w:eastAsia="仿宋_GB2312" w:cs="Times New Roman"/>
          <w:sz w:val="28"/>
          <w:szCs w:val="28"/>
        </w:rPr>
        <w:t>3537.31</w:t>
      </w:r>
      <w:r>
        <w:rPr>
          <w:rFonts w:ascii="Times New Roman" w:hAnsi="Times New Roman" w:eastAsia="仿宋_GB2312" w:cs="Times New Roman"/>
          <w:sz w:val="28"/>
          <w:szCs w:val="28"/>
        </w:rPr>
        <w:t>万元，占总投资的</w:t>
      </w:r>
      <w:r>
        <w:rPr>
          <w:rFonts w:hint="eastAsia" w:ascii="Times New Roman" w:hAnsi="Times New Roman" w:eastAsia="仿宋_GB2312" w:cs="Times New Roman"/>
          <w:sz w:val="28"/>
          <w:szCs w:val="28"/>
        </w:rPr>
        <w:t>5.88</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（7）基本预备费</w:t>
      </w:r>
      <w:r>
        <w:rPr>
          <w:rFonts w:hint="eastAsia" w:ascii="Times New Roman" w:hAnsi="Times New Roman" w:eastAsia="仿宋_GB2312" w:cs="Times New Roman"/>
          <w:sz w:val="28"/>
          <w:szCs w:val="28"/>
        </w:rPr>
        <w:t>2863.23</w:t>
      </w:r>
      <w:r>
        <w:rPr>
          <w:rFonts w:ascii="Times New Roman" w:hAnsi="Times New Roman" w:eastAsia="仿宋_GB2312" w:cs="Times New Roman"/>
          <w:sz w:val="28"/>
          <w:szCs w:val="28"/>
        </w:rPr>
        <w:t>万元，占总投资的</w:t>
      </w:r>
      <w:r>
        <w:rPr>
          <w:rFonts w:hint="eastAsia" w:ascii="Times New Roman" w:hAnsi="Times New Roman" w:eastAsia="仿宋_GB2312" w:cs="Times New Roman"/>
          <w:sz w:val="28"/>
          <w:szCs w:val="28"/>
        </w:rPr>
        <w:t>4.76</w:t>
      </w:r>
      <w:r>
        <w:rPr>
          <w:rFonts w:ascii="Times New Roman" w:hAnsi="Times New Roman" w:eastAsia="仿宋_GB2312" w:cs="Times New Roman"/>
          <w:sz w:val="28"/>
          <w:szCs w:val="28"/>
        </w:rPr>
        <w:t>%。</w:t>
      </w:r>
    </w:p>
    <w:p>
      <w:pPr>
        <w:autoSpaceDE w:val="0"/>
        <w:autoSpaceDN w:val="0"/>
        <w:spacing w:before="120" w:after="120" w:line="360" w:lineRule="auto"/>
        <w:jc w:val="left"/>
        <w:outlineLvl w:val="2"/>
        <w:rPr>
          <w:rFonts w:ascii="Times New Roman" w:hAnsi="Times New Roman" w:eastAsia="仿宋_GB2312" w:cs="Times New Roman"/>
          <w:b/>
          <w:bCs/>
          <w:kern w:val="28"/>
          <w:sz w:val="30"/>
          <w:szCs w:val="32"/>
        </w:rPr>
      </w:pPr>
      <w:r>
        <w:rPr>
          <w:rFonts w:ascii="Times New Roman" w:hAnsi="Times New Roman" w:eastAsia="仿宋_GB2312" w:cs="Times New Roman"/>
          <w:b/>
          <w:bCs/>
          <w:kern w:val="28"/>
          <w:sz w:val="30"/>
          <w:szCs w:val="32"/>
        </w:rPr>
        <w:t xml:space="preserve">11.2.2 </w:t>
      </w:r>
      <w:r>
        <w:rPr>
          <w:rFonts w:ascii="Times New Roman" w:hAnsi="Times New Roman" w:eastAsia="黑体" w:cs="Times New Roman"/>
          <w:b/>
          <w:bCs/>
          <w:kern w:val="28"/>
          <w:sz w:val="30"/>
          <w:szCs w:val="32"/>
        </w:rPr>
        <w:t>分期投资</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按项目建设期限分，各建设期投资额及比例如下：</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（1）近期（2019年-202</w:t>
      </w:r>
      <w:r>
        <w:rPr>
          <w:rFonts w:hint="eastAsia" w:ascii="Times New Roman" w:hAnsi="Times New Roman" w:eastAsia="仿宋_GB2312" w:cs="Times New Roman"/>
          <w:color w:val="000000"/>
          <w:sz w:val="28"/>
          <w:szCs w:val="28"/>
        </w:rPr>
        <w:t>2</w:t>
      </w:r>
      <w:r>
        <w:rPr>
          <w:rFonts w:ascii="Times New Roman" w:hAnsi="Times New Roman" w:eastAsia="仿宋_GB2312" w:cs="Times New Roman"/>
          <w:color w:val="000000"/>
          <w:sz w:val="28"/>
          <w:szCs w:val="28"/>
        </w:rPr>
        <w:t>年）投资25325.08万元，占项目总投资的</w:t>
      </w:r>
      <w:r>
        <w:rPr>
          <w:rFonts w:hint="eastAsia" w:ascii="Times New Roman" w:hAnsi="Times New Roman" w:eastAsia="仿宋_GB2312" w:cs="Times New Roman"/>
          <w:color w:val="000000"/>
          <w:sz w:val="28"/>
          <w:szCs w:val="28"/>
        </w:rPr>
        <w:t>37.31</w:t>
      </w:r>
      <w:r>
        <w:rPr>
          <w:rFonts w:ascii="Times New Roman" w:hAnsi="Times New Roman" w:eastAsia="仿宋_GB2312" w:cs="Times New Roman"/>
          <w:color w:val="000000"/>
          <w:sz w:val="28"/>
          <w:szCs w:val="28"/>
        </w:rPr>
        <w:t>%；</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（2）中期（202</w:t>
      </w:r>
      <w:r>
        <w:rPr>
          <w:rFonts w:hint="eastAsia" w:ascii="Times New Roman" w:hAnsi="Times New Roman" w:eastAsia="仿宋_GB2312" w:cs="Times New Roman"/>
          <w:color w:val="000000"/>
          <w:sz w:val="28"/>
          <w:szCs w:val="28"/>
        </w:rPr>
        <w:t>3</w:t>
      </w:r>
      <w:r>
        <w:rPr>
          <w:rFonts w:ascii="Times New Roman" w:hAnsi="Times New Roman" w:eastAsia="仿宋_GB2312" w:cs="Times New Roman"/>
          <w:color w:val="000000"/>
          <w:sz w:val="28"/>
          <w:szCs w:val="28"/>
        </w:rPr>
        <w:t>年-2025年）投资30309.47万元，占项目总投资的</w:t>
      </w:r>
      <w:r>
        <w:rPr>
          <w:rFonts w:hint="eastAsia" w:ascii="Times New Roman" w:hAnsi="Times New Roman" w:eastAsia="仿宋_GB2312" w:cs="Times New Roman"/>
          <w:color w:val="000000"/>
          <w:sz w:val="28"/>
          <w:szCs w:val="28"/>
        </w:rPr>
        <w:t>35.14</w:t>
      </w:r>
      <w:r>
        <w:rPr>
          <w:rFonts w:ascii="Times New Roman" w:hAnsi="Times New Roman" w:eastAsia="仿宋_GB2312" w:cs="Times New Roman"/>
          <w:color w:val="000000"/>
          <w:sz w:val="28"/>
          <w:szCs w:val="28"/>
        </w:rPr>
        <w:t>%；</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（3）远期（2026年-2028年）投资18839.32万元，占项目总投资的</w:t>
      </w:r>
      <w:r>
        <w:rPr>
          <w:rFonts w:hint="eastAsia" w:ascii="Times New Roman" w:hAnsi="Times New Roman" w:eastAsia="仿宋_GB2312" w:cs="Times New Roman"/>
          <w:color w:val="000000"/>
          <w:sz w:val="28"/>
          <w:szCs w:val="28"/>
        </w:rPr>
        <w:t>27.55</w:t>
      </w:r>
      <w:r>
        <w:rPr>
          <w:rFonts w:ascii="Times New Roman" w:hAnsi="Times New Roman" w:eastAsia="仿宋_GB2312" w:cs="Times New Roman"/>
          <w:color w:val="000000"/>
          <w:sz w:val="28"/>
          <w:szCs w:val="28"/>
        </w:rPr>
        <w:t>%。</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项目各项具体建设投资情况见表11-1及附表1所示。</w:t>
      </w:r>
    </w:p>
    <w:p>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b/>
          <w:sz w:val="24"/>
          <w:szCs w:val="20"/>
        </w:rPr>
        <w:t>表11-1 乐昌市国家森林城市建设工程分项投资表</w:t>
      </w:r>
    </w:p>
    <w:tbl>
      <w:tblPr>
        <w:tblStyle w:val="46"/>
        <w:tblW w:w="8221"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2493"/>
        <w:gridCol w:w="1043"/>
        <w:gridCol w:w="1043"/>
        <w:gridCol w:w="1320"/>
        <w:gridCol w:w="1043"/>
        <w:gridCol w:w="8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blHeader/>
        </w:trPr>
        <w:tc>
          <w:tcPr>
            <w:tcW w:w="479" w:type="dxa"/>
            <w:vMerge w:val="restart"/>
            <w:shd w:val="clear" w:color="auto" w:fill="auto"/>
            <w:noWrap/>
            <w:vAlign w:val="center"/>
          </w:tcPr>
          <w:p>
            <w:pPr>
              <w:widowControl/>
              <w:spacing w:line="360" w:lineRule="auto"/>
              <w:jc w:val="center"/>
              <w:rPr>
                <w:rFonts w:ascii="Times New Roman" w:hAnsi="Times New Roman" w:eastAsia="仿宋" w:cs="Times New Roman"/>
                <w:b/>
                <w:bCs/>
                <w:kern w:val="0"/>
                <w:sz w:val="22"/>
              </w:rPr>
            </w:pPr>
            <w:bookmarkStart w:id="135" w:name="_Toc49241567"/>
            <w:r>
              <w:rPr>
                <w:rFonts w:ascii="Times New Roman" w:hAnsi="Times New Roman" w:eastAsia="仿宋" w:cs="Times New Roman"/>
                <w:b/>
                <w:bCs/>
                <w:kern w:val="0"/>
                <w:sz w:val="22"/>
              </w:rPr>
              <w:t>序号</w:t>
            </w:r>
          </w:p>
        </w:tc>
        <w:tc>
          <w:tcPr>
            <w:tcW w:w="2493" w:type="dxa"/>
            <w:vMerge w:val="restart"/>
            <w:shd w:val="clear" w:color="auto" w:fill="auto"/>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 xml:space="preserve">建设项目 </w:t>
            </w:r>
          </w:p>
        </w:tc>
        <w:tc>
          <w:tcPr>
            <w:tcW w:w="4371" w:type="dxa"/>
            <w:gridSpan w:val="4"/>
            <w:shd w:val="clear" w:color="auto" w:fill="auto"/>
            <w:vAlign w:val="center"/>
          </w:tcPr>
          <w:p>
            <w:pPr>
              <w:widowControl/>
              <w:spacing w:line="360" w:lineRule="auto"/>
              <w:jc w:val="center"/>
              <w:rPr>
                <w:rFonts w:ascii="Times New Roman" w:hAnsi="Times New Roman" w:eastAsia="仿宋" w:cs="Times New Roman"/>
                <w:b/>
                <w:bCs/>
                <w:kern w:val="0"/>
                <w:sz w:val="22"/>
              </w:rPr>
            </w:pPr>
            <w:r>
              <w:rPr>
                <w:rFonts w:ascii="Times New Roman" w:hAnsi="Times New Roman" w:eastAsia="仿宋" w:cs="Times New Roman"/>
                <w:b/>
                <w:bCs/>
                <w:kern w:val="0"/>
                <w:sz w:val="22"/>
              </w:rPr>
              <w:t>投资额（万元）</w:t>
            </w:r>
          </w:p>
        </w:tc>
        <w:tc>
          <w:tcPr>
            <w:tcW w:w="878" w:type="dxa"/>
            <w:vMerge w:val="restart"/>
            <w:shd w:val="clear" w:color="auto" w:fill="auto"/>
            <w:vAlign w:val="center"/>
          </w:tcPr>
          <w:p>
            <w:pPr>
              <w:widowControl/>
              <w:spacing w:line="360" w:lineRule="auto"/>
              <w:jc w:val="center"/>
              <w:rPr>
                <w:rFonts w:ascii="Times New Roman" w:hAnsi="Times New Roman" w:eastAsia="仿宋" w:cs="Times New Roman"/>
                <w:b/>
                <w:bCs/>
                <w:kern w:val="0"/>
                <w:sz w:val="22"/>
              </w:rPr>
            </w:pPr>
            <w:r>
              <w:rPr>
                <w:rFonts w:ascii="Times New Roman" w:hAnsi="Times New Roman" w:eastAsia="仿宋" w:cs="Times New Roman"/>
                <w:b/>
                <w:bCs/>
                <w:kern w:val="0"/>
                <w:sz w:val="22"/>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blHeader/>
        </w:trPr>
        <w:tc>
          <w:tcPr>
            <w:tcW w:w="479" w:type="dxa"/>
            <w:vMerge w:val="continue"/>
            <w:vAlign w:val="center"/>
          </w:tcPr>
          <w:p>
            <w:pPr>
              <w:widowControl/>
              <w:spacing w:line="360" w:lineRule="auto"/>
              <w:jc w:val="left"/>
              <w:rPr>
                <w:rFonts w:ascii="Times New Roman" w:hAnsi="Times New Roman" w:eastAsia="仿宋" w:cs="Times New Roman"/>
                <w:b/>
                <w:bCs/>
                <w:kern w:val="0"/>
                <w:sz w:val="22"/>
              </w:rPr>
            </w:pPr>
          </w:p>
        </w:tc>
        <w:tc>
          <w:tcPr>
            <w:tcW w:w="2493" w:type="dxa"/>
            <w:vMerge w:val="continue"/>
            <w:vAlign w:val="center"/>
          </w:tcPr>
          <w:p>
            <w:pPr>
              <w:widowControl/>
              <w:spacing w:line="360" w:lineRule="auto"/>
              <w:jc w:val="left"/>
              <w:rPr>
                <w:rFonts w:ascii="Times New Roman" w:hAnsi="Times New Roman" w:eastAsia="仿宋" w:cs="Times New Roman"/>
                <w:b/>
                <w:bCs/>
                <w:color w:val="000000"/>
                <w:kern w:val="0"/>
                <w:sz w:val="22"/>
              </w:rPr>
            </w:pPr>
          </w:p>
        </w:tc>
        <w:tc>
          <w:tcPr>
            <w:tcW w:w="1041" w:type="dxa"/>
            <w:shd w:val="clear" w:color="auto" w:fill="auto"/>
            <w:vAlign w:val="center"/>
          </w:tcPr>
          <w:p>
            <w:pPr>
              <w:widowControl/>
              <w:spacing w:line="360" w:lineRule="auto"/>
              <w:jc w:val="center"/>
              <w:rPr>
                <w:rFonts w:ascii="Times New Roman" w:hAnsi="Times New Roman" w:eastAsia="仿宋" w:cs="Times New Roman"/>
                <w:b/>
                <w:bCs/>
                <w:kern w:val="0"/>
                <w:sz w:val="22"/>
              </w:rPr>
            </w:pPr>
            <w:r>
              <w:rPr>
                <w:rFonts w:ascii="Times New Roman" w:hAnsi="Times New Roman" w:eastAsia="仿宋" w:cs="Times New Roman"/>
                <w:b/>
                <w:bCs/>
                <w:kern w:val="0"/>
                <w:sz w:val="22"/>
              </w:rPr>
              <w:t>合计</w:t>
            </w:r>
          </w:p>
        </w:tc>
        <w:tc>
          <w:tcPr>
            <w:tcW w:w="1041" w:type="dxa"/>
            <w:shd w:val="clear" w:color="auto" w:fill="auto"/>
            <w:vAlign w:val="center"/>
          </w:tcPr>
          <w:p>
            <w:pPr>
              <w:widowControl/>
              <w:spacing w:line="360" w:lineRule="auto"/>
              <w:jc w:val="center"/>
              <w:rPr>
                <w:rFonts w:ascii="Times New Roman" w:hAnsi="Times New Roman" w:eastAsia="仿宋" w:cs="Times New Roman"/>
                <w:b/>
                <w:bCs/>
                <w:kern w:val="0"/>
                <w:sz w:val="22"/>
              </w:rPr>
            </w:pPr>
            <w:r>
              <w:rPr>
                <w:rFonts w:ascii="Times New Roman" w:hAnsi="Times New Roman" w:eastAsia="仿宋" w:cs="Times New Roman"/>
                <w:b/>
                <w:bCs/>
                <w:kern w:val="0"/>
                <w:sz w:val="22"/>
              </w:rPr>
              <w:t>近期</w:t>
            </w:r>
          </w:p>
        </w:tc>
        <w:tc>
          <w:tcPr>
            <w:tcW w:w="1320" w:type="dxa"/>
            <w:shd w:val="clear" w:color="auto" w:fill="auto"/>
            <w:vAlign w:val="center"/>
          </w:tcPr>
          <w:p>
            <w:pPr>
              <w:widowControl/>
              <w:spacing w:line="360" w:lineRule="auto"/>
              <w:jc w:val="center"/>
              <w:rPr>
                <w:rFonts w:ascii="Times New Roman" w:hAnsi="Times New Roman" w:eastAsia="仿宋" w:cs="Times New Roman"/>
                <w:b/>
                <w:bCs/>
                <w:kern w:val="0"/>
                <w:sz w:val="22"/>
              </w:rPr>
            </w:pPr>
            <w:r>
              <w:rPr>
                <w:rFonts w:ascii="Times New Roman" w:hAnsi="Times New Roman" w:eastAsia="仿宋" w:cs="Times New Roman"/>
                <w:b/>
                <w:bCs/>
                <w:kern w:val="0"/>
                <w:sz w:val="22"/>
              </w:rPr>
              <w:t>中期</w:t>
            </w:r>
          </w:p>
        </w:tc>
        <w:tc>
          <w:tcPr>
            <w:tcW w:w="969" w:type="dxa"/>
            <w:shd w:val="clear" w:color="auto" w:fill="auto"/>
            <w:vAlign w:val="center"/>
          </w:tcPr>
          <w:p>
            <w:pPr>
              <w:widowControl/>
              <w:spacing w:line="360" w:lineRule="auto"/>
              <w:jc w:val="center"/>
              <w:rPr>
                <w:rFonts w:ascii="Times New Roman" w:hAnsi="Times New Roman" w:eastAsia="仿宋" w:cs="Times New Roman"/>
                <w:b/>
                <w:bCs/>
                <w:kern w:val="0"/>
                <w:sz w:val="22"/>
              </w:rPr>
            </w:pPr>
            <w:r>
              <w:rPr>
                <w:rFonts w:ascii="Times New Roman" w:hAnsi="Times New Roman" w:eastAsia="仿宋" w:cs="Times New Roman"/>
                <w:b/>
                <w:bCs/>
                <w:kern w:val="0"/>
                <w:sz w:val="22"/>
              </w:rPr>
              <w:t>远期</w:t>
            </w:r>
          </w:p>
        </w:tc>
        <w:tc>
          <w:tcPr>
            <w:tcW w:w="878" w:type="dxa"/>
            <w:vMerge w:val="continue"/>
            <w:vAlign w:val="center"/>
          </w:tcPr>
          <w:p>
            <w:pPr>
              <w:widowControl/>
              <w:spacing w:line="360" w:lineRule="auto"/>
              <w:jc w:val="left"/>
              <w:rPr>
                <w:rFonts w:ascii="Times New Roman" w:hAnsi="Times New Roman" w:eastAsia="仿宋" w:cs="Times New Roman"/>
                <w:b/>
                <w:bCs/>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972" w:type="dxa"/>
            <w:gridSpan w:val="2"/>
            <w:shd w:val="clear" w:color="auto" w:fill="auto"/>
            <w:noWrap/>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总投资</w:t>
            </w:r>
          </w:p>
        </w:tc>
        <w:tc>
          <w:tcPr>
            <w:tcW w:w="1041" w:type="dxa"/>
            <w:shd w:val="clear" w:color="auto" w:fill="auto"/>
            <w:noWrap/>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 xml:space="preserve">60127.90 </w:t>
            </w:r>
          </w:p>
        </w:tc>
        <w:tc>
          <w:tcPr>
            <w:tcW w:w="1041" w:type="dxa"/>
            <w:shd w:val="clear" w:color="auto" w:fill="auto"/>
            <w:noWrap/>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 xml:space="preserve">22434.40 </w:t>
            </w:r>
          </w:p>
        </w:tc>
        <w:tc>
          <w:tcPr>
            <w:tcW w:w="1320" w:type="dxa"/>
            <w:shd w:val="clear" w:color="auto" w:fill="auto"/>
            <w:noWrap/>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 xml:space="preserve">21126.22 </w:t>
            </w:r>
          </w:p>
        </w:tc>
        <w:tc>
          <w:tcPr>
            <w:tcW w:w="969" w:type="dxa"/>
            <w:shd w:val="clear" w:color="auto" w:fill="auto"/>
            <w:noWrap/>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 xml:space="preserve">16567.28 </w:t>
            </w:r>
          </w:p>
        </w:tc>
        <w:tc>
          <w:tcPr>
            <w:tcW w:w="878" w:type="dxa"/>
            <w:shd w:val="clear" w:color="auto" w:fill="auto"/>
            <w:noWrap/>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 xml:space="preserve">100.00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2972" w:type="dxa"/>
            <w:gridSpan w:val="2"/>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一、工程建设</w:t>
            </w:r>
          </w:p>
        </w:tc>
        <w:tc>
          <w:tcPr>
            <w:tcW w:w="1041"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53727.35 </w:t>
            </w:r>
          </w:p>
        </w:tc>
        <w:tc>
          <w:tcPr>
            <w:tcW w:w="1041"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19862.43 </w:t>
            </w:r>
          </w:p>
        </w:tc>
        <w:tc>
          <w:tcPr>
            <w:tcW w:w="1320"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19081.89 </w:t>
            </w:r>
          </w:p>
        </w:tc>
        <w:tc>
          <w:tcPr>
            <w:tcW w:w="969"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14783.03 </w:t>
            </w:r>
          </w:p>
        </w:tc>
        <w:tc>
          <w:tcPr>
            <w:tcW w:w="878"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89.36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森林生态体系建设规划</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30572.75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11149.44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10514.80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8908.51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50.85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城区增绿提质建设工程</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7489.7</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3219.9</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2290.2</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1979.6</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12.46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绿美乡村建设工程</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6083.50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1574.50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2774.50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1734.50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1.3</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绿色廊道建设工程</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1580.55</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864.54</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357.6</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358.41</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2.63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1.4</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人工造林工程</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1890.00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567.00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756.00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567.00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3.14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1.5</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森林提质增量工程</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4030.00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1612.00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1209.00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1209.00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6.70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1.6</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石漠化综合治理工程</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9440.00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3280.00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3100.00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3060.00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15.70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1.7</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受损弃置地生态修复</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59.00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31.50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27.50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0.10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森林服务体系建设规划</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5799.00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2183.00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2388.00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1228.00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9.64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森林康养基地建设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4500.00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1500.00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2000.00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1000.00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7.48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绿道网络建设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1095.00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585.00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330.00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180.00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1.82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2.3</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生态标识系统建设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204.00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98.00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58.00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48.00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0.34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森林产业体系建设规划</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5556.67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1671.66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2106.69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1778.32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9.24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森林生态旅游建设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2100.00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480.00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990.00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630.00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3.49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特色经济林产业建设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2606.67</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896.66</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803.34</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906.67</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4.34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3.3</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苗木花卉产业建设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350.00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125.00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133.35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91.65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0.58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3.4</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林下经济产业建设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170.00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180.00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0.83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4</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森林生态文化体系建设规划</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3600.00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1505.00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1565.00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530.00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5.99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4.1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森林生态文化基地建设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1900.00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645.00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1085.00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170.00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3.16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4.2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森林生态文化保护与传播</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1700.00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860.00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480.00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360.00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2.83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森林支撑体系建设规划</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8198.93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3353.33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2507.40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2338.20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13.64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森林防火能力提升</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4123.60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1092.20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1485.00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1546.40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6.86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林业有害生物防治</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2122.00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647.80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842.40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631.80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3.53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5.3</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林业科技研究与应用推广</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500.00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0.83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5.4</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林政资源管理体系建设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1253.33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1053.33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2.08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5.5</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城区绿地管理体系建设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80.00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0.33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二</w:t>
            </w:r>
          </w:p>
        </w:tc>
        <w:tc>
          <w:tcPr>
            <w:tcW w:w="2493"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其他费用</w:t>
            </w:r>
          </w:p>
        </w:tc>
        <w:tc>
          <w:tcPr>
            <w:tcW w:w="1041"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3537.31 </w:t>
            </w:r>
          </w:p>
        </w:tc>
        <w:tc>
          <w:tcPr>
            <w:tcW w:w="1041"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1503.66 </w:t>
            </w:r>
          </w:p>
        </w:tc>
        <w:tc>
          <w:tcPr>
            <w:tcW w:w="1320"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1038.32 </w:t>
            </w:r>
          </w:p>
        </w:tc>
        <w:tc>
          <w:tcPr>
            <w:tcW w:w="969"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995.33 </w:t>
            </w:r>
          </w:p>
        </w:tc>
        <w:tc>
          <w:tcPr>
            <w:tcW w:w="878"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5.88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勘察设计费</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1360.32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453.44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453.44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453.44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2.26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咨询费</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390.00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390.00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969"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878"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0.65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建设单位管理费</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657.27 </w:t>
            </w:r>
          </w:p>
        </w:tc>
        <w:tc>
          <w:tcPr>
            <w:tcW w:w="1041"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238.62 </w:t>
            </w:r>
          </w:p>
        </w:tc>
        <w:tc>
          <w:tcPr>
            <w:tcW w:w="1320"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230.82 </w:t>
            </w:r>
          </w:p>
        </w:tc>
        <w:tc>
          <w:tcPr>
            <w:tcW w:w="969"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187.83 </w:t>
            </w:r>
          </w:p>
        </w:tc>
        <w:tc>
          <w:tcPr>
            <w:tcW w:w="878"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4</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工程监理费</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1062.18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354.06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354.06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354.06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1.77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招标代理费</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67.54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67.54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969"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878"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0.11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三</w:t>
            </w:r>
          </w:p>
        </w:tc>
        <w:tc>
          <w:tcPr>
            <w:tcW w:w="2493"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基本预备费</w:t>
            </w:r>
          </w:p>
        </w:tc>
        <w:tc>
          <w:tcPr>
            <w:tcW w:w="1041"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2863.23 </w:t>
            </w:r>
          </w:p>
        </w:tc>
        <w:tc>
          <w:tcPr>
            <w:tcW w:w="1041"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1068.30 </w:t>
            </w:r>
          </w:p>
        </w:tc>
        <w:tc>
          <w:tcPr>
            <w:tcW w:w="1320"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1006.01 </w:t>
            </w:r>
          </w:p>
        </w:tc>
        <w:tc>
          <w:tcPr>
            <w:tcW w:w="969"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788.92 </w:t>
            </w:r>
          </w:p>
        </w:tc>
        <w:tc>
          <w:tcPr>
            <w:tcW w:w="878"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4.76 </w:t>
            </w:r>
          </w:p>
        </w:tc>
      </w:tr>
    </w:tbl>
    <w:p>
      <w:pPr>
        <w:keepNext/>
        <w:keepLines/>
        <w:spacing w:before="160" w:after="160" w:line="360" w:lineRule="auto"/>
        <w:jc w:val="left"/>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11.3 </w:t>
      </w:r>
      <w:r>
        <w:rPr>
          <w:rFonts w:ascii="Times New Roman" w:hAnsi="Times New Roman" w:eastAsia="黑体" w:cs="Times New Roman"/>
          <w:b/>
          <w:bCs/>
          <w:sz w:val="32"/>
          <w:szCs w:val="32"/>
        </w:rPr>
        <w:t>资金筹措</w:t>
      </w:r>
      <w:bookmarkEnd w:id="135"/>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国家森林城市建设是一个整体的生态系统工程，需要相关部门、单位及个人通力协作，因此其资金筹措方式也是多渠道、多形式、多内容的。项目建设资金投入要积极争取国家和广东省重点林业项目支持、稳步增加现有城乡造林绿化投入，同时建立健全政府投入与企业、社会投入相结合的多元投入机制。其中，对于森林生态体系、森林服务体系、森林支撑体系等建设应以政府投资为主，对于森林产业体系、森林生态文化体系等建设应充分吸引社会投资。</w:t>
      </w:r>
    </w:p>
    <w:p>
      <w:pPr>
        <w:autoSpaceDE w:val="0"/>
        <w:autoSpaceDN w:val="0"/>
        <w:spacing w:before="120" w:after="120" w:line="360" w:lineRule="auto"/>
        <w:jc w:val="left"/>
        <w:outlineLvl w:val="2"/>
        <w:rPr>
          <w:rFonts w:ascii="Times New Roman" w:hAnsi="Times New Roman" w:eastAsia="仿宋_GB2312" w:cs="Times New Roman"/>
          <w:b/>
          <w:bCs/>
          <w:kern w:val="28"/>
          <w:sz w:val="30"/>
          <w:szCs w:val="32"/>
        </w:rPr>
      </w:pPr>
      <w:r>
        <w:rPr>
          <w:rFonts w:ascii="Times New Roman" w:hAnsi="Times New Roman" w:eastAsia="仿宋_GB2312" w:cs="Times New Roman"/>
          <w:b/>
          <w:bCs/>
          <w:kern w:val="28"/>
          <w:sz w:val="30"/>
          <w:szCs w:val="32"/>
        </w:rPr>
        <w:t>12.3.1 中央财政投入</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国家森林城市建设需国家资金的大力支持，项目建设应积极申请国家造林绿化、森林防火等专项资金，保障乐昌市国家森林城市建设的顺利开展。</w:t>
      </w:r>
    </w:p>
    <w:p>
      <w:pPr>
        <w:spacing w:before="120" w:after="120" w:line="360" w:lineRule="auto"/>
        <w:jc w:val="left"/>
        <w:outlineLvl w:val="2"/>
        <w:rPr>
          <w:rFonts w:ascii="Times New Roman" w:hAnsi="Times New Roman" w:eastAsia="仿宋_GB2312" w:cs="Times New Roman"/>
          <w:b/>
          <w:bCs/>
          <w:kern w:val="28"/>
          <w:sz w:val="30"/>
          <w:szCs w:val="32"/>
        </w:rPr>
      </w:pPr>
      <w:r>
        <w:rPr>
          <w:rFonts w:ascii="Times New Roman" w:hAnsi="Times New Roman" w:eastAsia="仿宋_GB2312" w:cs="Times New Roman"/>
          <w:b/>
          <w:bCs/>
          <w:kern w:val="28"/>
          <w:sz w:val="30"/>
          <w:szCs w:val="32"/>
        </w:rPr>
        <w:t>12.3.2 地方财政投入</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国家森林城市建设还需积极申请地方财政配套资金投入，包括广东省、韶关市、乐昌市及所属各乡镇（街道）财政资金。</w:t>
      </w:r>
    </w:p>
    <w:p>
      <w:pPr>
        <w:spacing w:before="120" w:after="120" w:line="360" w:lineRule="auto"/>
        <w:jc w:val="left"/>
        <w:outlineLvl w:val="2"/>
        <w:rPr>
          <w:rFonts w:ascii="Times New Roman" w:hAnsi="Times New Roman" w:eastAsia="仿宋_GB2312" w:cs="Times New Roman"/>
          <w:b/>
          <w:bCs/>
          <w:kern w:val="28"/>
          <w:sz w:val="30"/>
          <w:szCs w:val="32"/>
        </w:rPr>
      </w:pPr>
      <w:r>
        <w:rPr>
          <w:rFonts w:ascii="Times New Roman" w:hAnsi="Times New Roman" w:eastAsia="仿宋_GB2312" w:cs="Times New Roman"/>
          <w:b/>
          <w:bCs/>
          <w:kern w:val="28"/>
          <w:sz w:val="30"/>
          <w:szCs w:val="32"/>
        </w:rPr>
        <w:t>12.3.3 社会资金投入</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国家森林城市建设应增加林业投入渠道，采取社会融资的方式吸引社会资本进入，发展森林旅游、苗木花卉等具有经济收益的项目。</w:t>
      </w:r>
    </w:p>
    <w:p>
      <w:pPr>
        <w:spacing w:line="360" w:lineRule="auto"/>
        <w:ind w:firstLine="560" w:firstLineChars="200"/>
        <w:rPr>
          <w:rFonts w:ascii="Times New Roman" w:hAnsi="Times New Roman" w:eastAsia="仿宋_GB2312" w:cs="Times New Roman"/>
          <w:sz w:val="28"/>
          <w:szCs w:val="28"/>
        </w:rPr>
      </w:pPr>
    </w:p>
    <w:p>
      <w:pPr>
        <w:ind w:firstLine="560" w:firstLineChars="200"/>
        <w:rPr>
          <w:rFonts w:ascii="Times New Roman" w:hAnsi="Times New Roman" w:eastAsia="仿宋_GB2312" w:cs="Times New Roman"/>
          <w:sz w:val="28"/>
          <w:szCs w:val="28"/>
        </w:rPr>
        <w:sectPr>
          <w:headerReference r:id="rId21" w:type="default"/>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136" w:name="_Toc49241568"/>
      <w:r>
        <w:rPr>
          <w:rFonts w:ascii="Times New Roman" w:hAnsi="Times New Roman" w:cs="Times New Roman"/>
        </w:rPr>
        <w:t>12 效益分析</w:t>
      </w:r>
      <w:bookmarkEnd w:id="136"/>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37" w:name="_Toc49241569"/>
      <w:r>
        <w:rPr>
          <w:rFonts w:ascii="Times New Roman" w:hAnsi="Times New Roman" w:eastAsia="黑体" w:cs="Times New Roman"/>
          <w:b/>
          <w:bCs/>
          <w:sz w:val="32"/>
          <w:szCs w:val="32"/>
        </w:rPr>
        <w:t>12.1 生态效益</w:t>
      </w:r>
      <w:bookmarkEnd w:id="137"/>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12.1.1 吸收污染物，提供负氧离子</w:t>
      </w:r>
    </w:p>
    <w:p>
      <w:pPr>
        <w:autoSpaceDE w:val="0"/>
        <w:autoSpaceDN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森林是陆地生态系统的主体，素有“地球之肺”之称。城市森林能稀释、分解、吸收和固定大气中的二氧化硫、氮氧化物等有毒有害物质，再通过光合作用形成有机物质，化害为利或者把有害物质固定在植物体内，达到净化大气环境的效果。同时，森林还能提供负离子和萜烯类（如芬多精）物质，提高空气质量，改善大气环境。乐昌市通过国家森林城市建设，不断增加森林绿地总量，提高森林绿地质量，可以更好地发挥森林吸收污染物、提供负氧离子的作用。根据《中国生物多样性国情研究报告》、《森林生态系统服务功能评价规范》计算，到规划期末，全市林分吸收二氧化硫、氟化物以及氮氧化物的效益将分别达到3100万元/年、30万元/年和60万元/年，提供负离子的效益将达到1200万元/年。</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12.1.2 阻滞粉尘，减少噪音污染</w:t>
      </w:r>
    </w:p>
    <w:p>
      <w:pPr>
        <w:autoSpaceDE w:val="0"/>
        <w:autoSpaceDN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森林具有良好的阻滞尘埃的作用，携带各种尘埃的气流遇到森林，风速降低，一部分尘埃降落到地面，一部分被树叶的褶皱、绒毛和油脂等粘住。噪声是一种物理污染，严重危害着人们的身心健康。森林被认为是自然的降噪器，枝叶茂密的树冠，表面粗糙的树干，对噪声有极强的吸收和消减作用。乐昌市通过国家森林城市建设，不断增加森林绿地总量，提高森林绿地质量，可以更好地发挥森林阻滞粉尘、减少噪音污染的作用。根据《中国生物多样性国情研究报告》、《森林生态系统服务功能评价规范》计算，到规划期末，全市林分阻滞粉尘的效益将达到54900万元/年，林分降噪的效益将达到281800万元/年。</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12.1.3 固碳释氧，增加森林碳汇</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森林是陆地生态系统中最大的碳库，在全球碳循环过程中占有十分重要的地位。林木在生长过程中可以不断从大气中吸收二氧化碳，释放氧气，并将固定的碳元素存储在植被或者土壤中，对于降低大气温室气体浓度，维持大气碳氧平衡，减缓全球气候变暖具有不可替代的作用。乐昌市国家森林城市建设一方面通过城区绿化提升、人工造林、乡村绿化美化等重点生态工程建设，能够增加森林面积，增加森林固碳释氧总量；另一方面通过中幼林抚育等措施，可以进一步提高森林生产力，增强单位面积森林固碳释氧能力。根据《中国生物多样性国情研究报告》、《森林生态系统服务功能评价规范》计算，到规划期末，全市林分固碳和释氧的效益将分别达到593000万元/年和169800万元/年。</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12.1.4 涵养水源，净化水质</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森林林冠和枝叶通过拦截雨水，可以削弱雨水对土壤的侵蚀力；灌木地被植物及枯枝落叶层可以拦截和蓄积水分，使水分下渗而减少径流冲刷；森林的生长可以促使土体形成一定的结构，增加土粒之间的凝聚力，改善土壤的孔隙状况，增加其透水性和持水能力；林木根系具有机械固土作用，使土壤坚固而耐受冲刷，防止水土流失。森林植物通过根系的生物吸收作用，土壤表层微生物的分解作用，各种化学沉淀、离子交换、生物转换、吸收作用来净化水质。乐昌市通过国家森林城市的建设，增加森林面积，提高森林质量，进一步发挥森林涵养水源、保持水土、净化水质的作用。根据《中国生物多样性国情研究报告》、《森林生态系统服务功能评价规范》计算，到规划期末，全市林分涵养水源和净化水质的效益将分别达到553700万元/年和453100万元/年。</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12.1.5 固土保肥，改良土壤</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森林植被根系通过深根的锚固作用和浅根的加筋作用，提高了土体的抗剪强度，从而起到固土作用。同时，森林植被的枯枝落叶、根系的分泌物等又可增加土壤肥力，起到改良土壤的作用。乐昌市通过国家森林城市的建设，增加森林面积，提高森林质量，进一步发挥森林固土保肥、改良土壤的作用。根据《中国生物多样性国情研究报告》、《森林生态系统服务功能评价规范》计算，到规划期末，全市林分固土和保肥的效益将分别达到9500万元/年和1405100万元/年。</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12.1.6 保护动植物栖息环境，维护生物多样性</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森林可以为生物物种提供栖息、繁殖、迁徙、越冬等生存场所，是生物多样性相对丰富的区域，对维护生物多样性具有不可替代的作用和意义。乐昌市通过国家森林城市的建设，一方面可以打造良好的城市生态系统，为城市生物多样性保护提供良好的场所；另一方面，通过自然保护区、自然公园等建设，构建生态结构完整、生态功能完善的森林—湿地复合生态系统，使得乐昌市生态系统之间的物质循环、能量流动和信息传递更为顺畅，为生物提供更多良好的栖息环境，有效保护生物多样性。根据《中国生物多样性国情研究报告》、《森林生态系统服务功能评价规范》计算，到规划期末，全市林分生物多样性保育价值将达到168900万元/年。</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38" w:name="_Toc49241570"/>
      <w:r>
        <w:rPr>
          <w:rFonts w:ascii="Times New Roman" w:hAnsi="Times New Roman" w:eastAsia="黑体" w:cs="Times New Roman"/>
          <w:b/>
          <w:bCs/>
          <w:sz w:val="32"/>
          <w:szCs w:val="32"/>
        </w:rPr>
        <w:t>12.2 社会效益</w:t>
      </w:r>
      <w:bookmarkEnd w:id="138"/>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12.2.1 增进生态福祉，传播生态文明</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创森”期间，乐昌市通过实施生态惠民工程，大力发展自然公园、城乡步道绿道等生态服务基础设施，构建完善的多级公园体系，健全的城市绿道网络，完备的森林康养体系，进一步丰富森林体验方式，为居民提供了更为广阔的绿色生活空间，增进生态福祉，满足人民日益增长的优美生态环境需要。森林城市作为建设生态文明和美丽中国的生动实践，搭建了一个弘扬生态文明理念、普及生态文化知识的重要平台。乐昌市通过建设科普宣教场所，举办生态文化节事活动，可以发挥森林的科普教育功能，强化人们的生态意识、绿化意识和环境保护意识，促进生态文明传播，推进新时代生态文明建设。</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12.2.2 擦亮城市名片，改善投资环境</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国家森林城市的建设是一项功在当代、利在千秋，极具前瞻性的公益事业。随着“创森”工作的深入开展，乐昌市的城乡绿化水平将得到全面提高，森林资源将得到全面保护，粤北生态屏障将得到进一步筑牢，城市知名度和城市形象将得到全面提升，国家森林城市将成为乐昌市的又一张“绿色名片”。通过创建国家森林城市，有利于进一步优化乐昌城市空间布局，完善城市发展体系，夯实生态基础，提升城市品位，改善投资环境，吸引更多的资金、人才和技术，增强城市综合实力。</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12.2.3 统筹城乡发展，推进乡村振兴</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乐昌市国家森林城市在规划与建设过程中将紧紧围绕城乡一体化发展，深入实施乡村绿化美化等重点林业生态工程，推进绿化由城区向乡镇延伸，打造城乡一体化的大环境绿化格局，为城乡居民提供宜居、娱乐、休憩、旅游等多种服务功能。乐昌市通过国家森林城市建设，充分发挥森林资源优势，大力发展生态旅游、森林康养等绿色富民产业，利用林地资源和林下空间发展林下经济，实现森林资源变资产，促进乡村振兴战略在乐昌的落地生根。</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12.2.4 带动产业发展，助力精准脱贫</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乐昌市国家森林城市建设期间，随着森林生态网络体系的进一步完善，乐昌市森林生态旅游业、特色经济林产业等林业产业将得到快速发展，进而带动交通运输业、餐饮娱乐业等相关产业的全面发展。国家森林城市建设在造林、抚育、管护等方面需要大量人力物力，可以提供大量的工作岗位，有效解决劳动力就业问题。优先安排贫困户参与生态工程建设，通过土地流转、合作经营、劳动就业等方式，建立利益联结机制，完善收益分配制度，增加资产收益，拓宽贫困户增收渠道，让更多的贫困农民通过参与林业建设实现精准脱贫，加快脱贫致富步伐。</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39" w:name="_Toc49241571"/>
      <w:r>
        <w:rPr>
          <w:rFonts w:ascii="Times New Roman" w:hAnsi="Times New Roman" w:eastAsia="黑体" w:cs="Times New Roman"/>
          <w:b/>
          <w:bCs/>
          <w:sz w:val="32"/>
          <w:szCs w:val="32"/>
        </w:rPr>
        <w:t>12.3 经济效益</w:t>
      </w:r>
      <w:bookmarkEnd w:id="139"/>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12.3.1 直接经济效益</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乐昌市“创森”能有效提高林地产出效率，增加林地产出价值，提高林农收入。森林产生的直接经济效益主要来源于林业产业，即苗木花卉产业、特色经济林基地建设、森林生态旅游以及林下经济等的收入，初步估算，到规划期末林业产业年总值可达到37亿元。</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12.3.2 间接经济效益</w:t>
      </w:r>
    </w:p>
    <w:p>
      <w:pPr>
        <w:ind w:firstLine="560" w:firstLineChars="200"/>
        <w:rPr>
          <w:rFonts w:ascii="Times New Roman" w:hAnsi="Times New Roman" w:eastAsia="仿宋_GB2312" w:cs="Times New Roman"/>
          <w:kern w:val="0"/>
          <w:sz w:val="28"/>
          <w:szCs w:val="28"/>
        </w:rPr>
        <w:sectPr>
          <w:headerReference r:id="rId22"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kern w:val="0"/>
          <w:sz w:val="28"/>
          <w:szCs w:val="28"/>
        </w:rPr>
        <w:t>“创森”各项工程的基础设施建设，可以带动区域范围内的材料、运输等行业的发展；森林旅游产业的发展，可以带动周边运输、酒店住宿等行业的发展，并能促进当地经济结构转型。由于“创森”建设可改善城市生态环境、优化工作和生活氛围，提升城市形象，有利于招商引资，加快区域经济进一步发展。此外，在涵养水源、净化空气、保持水土、保护生物多样性等方面也具有巨大的间接经济效益。</w:t>
      </w:r>
    </w:p>
    <w:p>
      <w:pPr>
        <w:pStyle w:val="43"/>
        <w:spacing w:after="240" w:line="360" w:lineRule="auto"/>
        <w:ind w:firstLine="0" w:firstLineChars="0"/>
        <w:rPr>
          <w:rFonts w:ascii="Times New Roman" w:hAnsi="Times New Roman" w:cs="Times New Roman"/>
        </w:rPr>
      </w:pPr>
      <w:bookmarkStart w:id="140" w:name="_Toc3538337"/>
      <w:bookmarkStart w:id="141" w:name="_Toc49241572"/>
      <w:r>
        <w:rPr>
          <w:rFonts w:ascii="Times New Roman" w:hAnsi="Times New Roman" w:cs="Times New Roman"/>
        </w:rPr>
        <w:t>13规划实施保障措施</w:t>
      </w:r>
      <w:bookmarkEnd w:id="140"/>
      <w:bookmarkEnd w:id="141"/>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42" w:name="_Toc492576160"/>
      <w:bookmarkStart w:id="143" w:name="_Toc288054020"/>
      <w:bookmarkStart w:id="144" w:name="_Toc418861957"/>
      <w:bookmarkStart w:id="145" w:name="_Toc281904352"/>
      <w:bookmarkStart w:id="146" w:name="_Toc49241573"/>
      <w:bookmarkStart w:id="147" w:name="_Toc493210633"/>
      <w:bookmarkStart w:id="148" w:name="_Toc492576046"/>
      <w:bookmarkStart w:id="149" w:name="_Toc414610326"/>
      <w:bookmarkStart w:id="150" w:name="_Toc281475671"/>
      <w:bookmarkStart w:id="151" w:name="_Toc3538338"/>
      <w:r>
        <w:rPr>
          <w:rFonts w:ascii="Times New Roman" w:hAnsi="Times New Roman" w:eastAsia="黑体" w:cs="Times New Roman"/>
          <w:b/>
          <w:bCs/>
          <w:sz w:val="32"/>
          <w:szCs w:val="32"/>
        </w:rPr>
        <w:t>13.1 组织保障</w:t>
      </w:r>
      <w:bookmarkEnd w:id="142"/>
      <w:bookmarkEnd w:id="143"/>
      <w:bookmarkEnd w:id="144"/>
      <w:bookmarkEnd w:id="145"/>
      <w:bookmarkEnd w:id="146"/>
      <w:bookmarkEnd w:id="147"/>
      <w:bookmarkEnd w:id="148"/>
      <w:bookmarkEnd w:id="149"/>
      <w:bookmarkEnd w:id="15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52" w:name="_Toc414610327"/>
      <w:bookmarkStart w:id="153" w:name="_Toc418861958"/>
      <w:bookmarkStart w:id="154" w:name="_Toc281475672"/>
      <w:bookmarkStart w:id="155" w:name="_Toc281904353"/>
      <w:r>
        <w:rPr>
          <w:rFonts w:ascii="Times New Roman" w:hAnsi="Times New Roman" w:eastAsia="黑体" w:cs="Times New Roman"/>
          <w:b/>
          <w:bCs/>
          <w:kern w:val="28"/>
          <w:sz w:val="30"/>
          <w:szCs w:val="32"/>
        </w:rPr>
        <w:t>13.1.1 建立组织机构</w:t>
      </w:r>
      <w:bookmarkEnd w:id="152"/>
      <w:bookmarkEnd w:id="153"/>
      <w:bookmarkEnd w:id="154"/>
      <w:bookmarkEnd w:id="155"/>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乐昌市已成立“乐昌市创建国家森林城市工作领导小组”。领导小组组长由市委书记担任，副组长由副市长担任，负责创建森林城市的统筹协调工作，领导小组成员包括市政府办、市委宣传部、市发改委、市教育局、市工信局、市财政局、市自然资源局、市环保局、市住建管理局、市交通运输局、市水务局、市农业农村局、市文广旅体局、市应急管理局、市林业局以及各乡镇（街道办）人民政府行政正职。领导小组下设“创森办公室”，负责指导、协调、督查等日常工作。“创森办公室”设在林业局，办公室主任由林业局局长担任。</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56" w:name="_Toc418861959"/>
      <w:bookmarkStart w:id="157" w:name="_Toc281904354"/>
      <w:bookmarkStart w:id="158" w:name="_Toc414610328"/>
      <w:bookmarkStart w:id="159" w:name="_Toc281475673"/>
      <w:r>
        <w:rPr>
          <w:rFonts w:ascii="Times New Roman" w:hAnsi="Times New Roman" w:eastAsia="黑体" w:cs="Times New Roman"/>
          <w:b/>
          <w:bCs/>
          <w:kern w:val="28"/>
          <w:sz w:val="30"/>
          <w:szCs w:val="32"/>
        </w:rPr>
        <w:t>13.1.2 明确部门</w:t>
      </w:r>
      <w:bookmarkEnd w:id="156"/>
      <w:bookmarkEnd w:id="157"/>
      <w:bookmarkEnd w:id="158"/>
      <w:bookmarkEnd w:id="159"/>
      <w:r>
        <w:rPr>
          <w:rFonts w:ascii="Times New Roman" w:hAnsi="Times New Roman" w:eastAsia="黑体" w:cs="Times New Roman"/>
          <w:b/>
          <w:bCs/>
          <w:kern w:val="28"/>
          <w:sz w:val="30"/>
          <w:szCs w:val="32"/>
        </w:rPr>
        <w:t>责任</w:t>
      </w:r>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由创森办负责牵头分解“创森”年度目标任务，监督、检查“创森”年度目标任务实施情况，建立奖惩和考核制度，确保创森工作顺利实施；创森成员单位在“创森”总规基础上结合各自工作实际制定具体实施方案，落实到乡镇，定期考察创森成员单位和乡镇“创森”工作的开展情况，及时向上级反馈，不断优化工作落实方案。</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60" w:name="_Toc414610329"/>
      <w:bookmarkStart w:id="161" w:name="_Toc288054021"/>
      <w:bookmarkStart w:id="162" w:name="_Toc492576161"/>
      <w:bookmarkStart w:id="163" w:name="_Toc493210634"/>
      <w:bookmarkStart w:id="164" w:name="_Toc281904355"/>
      <w:bookmarkStart w:id="165" w:name="_Toc492576047"/>
      <w:bookmarkStart w:id="166" w:name="_Toc49241574"/>
      <w:bookmarkStart w:id="167" w:name="_Toc418861960"/>
      <w:bookmarkStart w:id="168" w:name="_Toc281475674"/>
      <w:r>
        <w:rPr>
          <w:rFonts w:ascii="Times New Roman" w:hAnsi="Times New Roman" w:eastAsia="黑体" w:cs="Times New Roman"/>
          <w:b/>
          <w:bCs/>
          <w:sz w:val="32"/>
          <w:szCs w:val="32"/>
        </w:rPr>
        <w:t>13.2 制度与政策保障</w:t>
      </w:r>
      <w:bookmarkEnd w:id="160"/>
      <w:bookmarkEnd w:id="161"/>
      <w:bookmarkEnd w:id="162"/>
      <w:bookmarkEnd w:id="163"/>
      <w:bookmarkEnd w:id="164"/>
      <w:bookmarkEnd w:id="165"/>
      <w:bookmarkEnd w:id="166"/>
      <w:bookmarkEnd w:id="167"/>
      <w:bookmarkEnd w:id="168"/>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69" w:name="_Toc418861961"/>
      <w:bookmarkStart w:id="170" w:name="_Toc414610330"/>
      <w:r>
        <w:rPr>
          <w:rFonts w:ascii="Times New Roman" w:hAnsi="Times New Roman" w:eastAsia="黑体" w:cs="Times New Roman"/>
          <w:b/>
          <w:bCs/>
          <w:kern w:val="28"/>
          <w:sz w:val="30"/>
          <w:szCs w:val="32"/>
        </w:rPr>
        <w:t>13.2.1 建立监督考核机制</w:t>
      </w:r>
      <w:bookmarkEnd w:id="169"/>
      <w:bookmarkEnd w:id="170"/>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依托乐昌市创建国家森林城市领导小组和创森办公室，切实加强森林城市建设涉及各职能部门日常工作的管理。根据规划分解到各部门的任务，进行日常的通报、检查和督查，确保规划工程落实到位。</w:t>
      </w:r>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严格质量管理，量化各项管理制度，严格执行已制定的相关规章制度，对造林质量及管理实行动态长期监督考核，保障既定造林目标实现，保护森林景观质量和巩固绿化成果。</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71" w:name="_Toc418861962"/>
      <w:bookmarkStart w:id="172" w:name="_Toc414610331"/>
      <w:r>
        <w:rPr>
          <w:rFonts w:ascii="Times New Roman" w:hAnsi="Times New Roman" w:eastAsia="黑体" w:cs="Times New Roman"/>
          <w:b/>
          <w:bCs/>
          <w:kern w:val="28"/>
          <w:sz w:val="30"/>
          <w:szCs w:val="32"/>
        </w:rPr>
        <w:t>13.2.2 健全生态建设法制体系</w:t>
      </w:r>
      <w:bookmarkEnd w:id="171"/>
      <w:bookmarkEnd w:id="172"/>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认真贯彻实施国家和省、市已颁布的林业法律、法规和规章，进一步完善林业重点工程及国土绿化等法规或规章；制定和健全森林城市建设、保护方面的制度与政策；依法查处侵占林地、毁坏绿地、乱砍滥伐等破坏绿化成果和森林资源的违法行为。大力推进林权制度改革，采取个人承包、联合经营等多种形式，吸引社会各界参与造林和林木管护，为造林绿化工作提供持久动力。</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73" w:name="_Toc492576162"/>
      <w:bookmarkStart w:id="174" w:name="_Toc418861964"/>
      <w:bookmarkStart w:id="175" w:name="_Toc49241575"/>
      <w:bookmarkStart w:id="176" w:name="_Toc414610333"/>
      <w:bookmarkStart w:id="177" w:name="_Toc281475678"/>
      <w:bookmarkStart w:id="178" w:name="_Toc281904359"/>
      <w:bookmarkStart w:id="179" w:name="_Toc288054022"/>
      <w:bookmarkStart w:id="180" w:name="_Toc492576048"/>
      <w:bookmarkStart w:id="181" w:name="_Toc493210635"/>
      <w:r>
        <w:rPr>
          <w:rFonts w:ascii="Times New Roman" w:hAnsi="Times New Roman" w:eastAsia="黑体" w:cs="Times New Roman"/>
          <w:b/>
          <w:bCs/>
          <w:sz w:val="32"/>
          <w:szCs w:val="32"/>
        </w:rPr>
        <w:t>13.3 资金保障</w:t>
      </w:r>
      <w:bookmarkEnd w:id="173"/>
      <w:bookmarkEnd w:id="174"/>
      <w:bookmarkEnd w:id="175"/>
      <w:bookmarkEnd w:id="176"/>
      <w:bookmarkEnd w:id="177"/>
      <w:bookmarkEnd w:id="178"/>
      <w:bookmarkEnd w:id="179"/>
      <w:bookmarkEnd w:id="180"/>
      <w:bookmarkEnd w:id="181"/>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82" w:name="_Toc281904360"/>
      <w:bookmarkStart w:id="183" w:name="_Toc414610334"/>
      <w:bookmarkStart w:id="184" w:name="_Toc418861965"/>
      <w:bookmarkStart w:id="185" w:name="_Toc281475679"/>
      <w:r>
        <w:rPr>
          <w:rFonts w:ascii="Times New Roman" w:hAnsi="Times New Roman" w:eastAsia="黑体" w:cs="Times New Roman"/>
          <w:b/>
          <w:bCs/>
          <w:kern w:val="28"/>
          <w:sz w:val="30"/>
          <w:szCs w:val="32"/>
        </w:rPr>
        <w:t>13.3.1 加大政府投资</w:t>
      </w:r>
      <w:bookmarkEnd w:id="182"/>
      <w:bookmarkEnd w:id="183"/>
      <w:bookmarkEnd w:id="184"/>
      <w:bookmarkEnd w:id="185"/>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各级政府要加大对森林建设的财政资金投入，保持林业财政投资与财政收入同步增长，切实保障国家森林城市创建工作经费。森林城市建设总体规划通过市政府颁布实施后，积极整合各类林业资金，相关资金纳入各级政府财政预算，并视财力增长情况逐年增加，将乐昌市国家森林城市总体规划的建设工程纳入政府投入预算计划中，采取贷款贴息、项目补助、奖励等方式支持林业产业发展，保证国家森林城市建设工程的完成。住建管理局、自然资源局、交通运输局、农业农村局、林业局等部门充分发挥自身优势，积极向上级争取，加强项目、资金整合力度。</w:t>
      </w:r>
      <w:bookmarkStart w:id="186" w:name="_Toc281904361"/>
      <w:bookmarkStart w:id="187" w:name="_Toc28147568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88" w:name="_Toc414610335"/>
      <w:bookmarkStart w:id="189" w:name="_Toc418861966"/>
      <w:r>
        <w:rPr>
          <w:rFonts w:ascii="Times New Roman" w:hAnsi="Times New Roman" w:eastAsia="黑体" w:cs="Times New Roman"/>
          <w:b/>
          <w:bCs/>
          <w:kern w:val="28"/>
          <w:sz w:val="30"/>
          <w:szCs w:val="32"/>
        </w:rPr>
        <w:t>13.3.2 拓宽投资渠道</w:t>
      </w:r>
      <w:bookmarkEnd w:id="186"/>
      <w:bookmarkEnd w:id="187"/>
      <w:bookmarkEnd w:id="188"/>
      <w:bookmarkEnd w:id="189"/>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积极向国家、广东省争取资金项目支持，进一步拓宽资金筹措渠道。加快农村产权制度配套改革，推进集体林权制度改革，采取置换、租赁、承包等办法，明晰林地权属；按照“谁绿化、谁所有，谁投入、谁收益”的原则，采取股份制、股份合作制和承包、租赁、兼并、收购、出售等经营方式，鼓励各种社会主体跨所有制、跨行业、跨地区投资发展林业；加大林业招商引资力度，出台相关优惠政策，优化投资环境，建立奖惩机制，用足、用活、用好林业贴息贷款政策。</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90" w:name="_Toc492576049"/>
      <w:bookmarkStart w:id="191" w:name="_Toc281904362"/>
      <w:bookmarkStart w:id="192" w:name="_Toc492576163"/>
      <w:bookmarkStart w:id="193" w:name="_Toc49241576"/>
      <w:bookmarkStart w:id="194" w:name="_Toc281475681"/>
      <w:bookmarkStart w:id="195" w:name="_Toc493210636"/>
      <w:bookmarkStart w:id="196" w:name="_Toc414610336"/>
      <w:bookmarkStart w:id="197" w:name="_Toc418861967"/>
      <w:bookmarkStart w:id="198" w:name="_Toc288054023"/>
      <w:r>
        <w:rPr>
          <w:rFonts w:ascii="Times New Roman" w:hAnsi="Times New Roman" w:eastAsia="黑体" w:cs="Times New Roman"/>
          <w:b/>
          <w:bCs/>
          <w:sz w:val="32"/>
          <w:szCs w:val="32"/>
        </w:rPr>
        <w:t>13.4 管理保障</w:t>
      </w:r>
      <w:bookmarkEnd w:id="190"/>
      <w:bookmarkEnd w:id="191"/>
      <w:bookmarkEnd w:id="192"/>
      <w:bookmarkEnd w:id="193"/>
      <w:bookmarkEnd w:id="194"/>
      <w:bookmarkEnd w:id="195"/>
      <w:bookmarkEnd w:id="196"/>
      <w:bookmarkEnd w:id="197"/>
      <w:bookmarkEnd w:id="198"/>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99" w:name="_Toc414610337"/>
      <w:bookmarkStart w:id="200" w:name="_Toc281904363"/>
      <w:bookmarkStart w:id="201" w:name="_Toc281475682"/>
      <w:bookmarkStart w:id="202" w:name="_Toc418861968"/>
      <w:r>
        <w:rPr>
          <w:rFonts w:ascii="Times New Roman" w:hAnsi="Times New Roman" w:eastAsia="黑体" w:cs="Times New Roman"/>
          <w:b/>
          <w:bCs/>
          <w:kern w:val="28"/>
          <w:sz w:val="30"/>
          <w:szCs w:val="32"/>
        </w:rPr>
        <w:t>13.4.1 建立专业管护队伍</w:t>
      </w:r>
      <w:bookmarkEnd w:id="199"/>
      <w:bookmarkEnd w:id="200"/>
      <w:bookmarkEnd w:id="201"/>
      <w:bookmarkEnd w:id="202"/>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组织林业局、自然资源局、环保局等部门加强森林资源管理，进一步加大绿化山体保护力度；加强专业队伍建设，在重点区域组建护林队伍，健全管护体系，形成“乡镇为主，全民参与”的长效管护机制；组建森林防火队伍和病虫害检疫队伍，制定防火、防病、防虫措施，依法保护森林资源安全。</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203" w:name="_Toc281475684"/>
      <w:bookmarkStart w:id="204" w:name="_Toc418861969"/>
      <w:bookmarkStart w:id="205" w:name="_Toc414610338"/>
      <w:bookmarkStart w:id="206" w:name="_Toc281904365"/>
      <w:r>
        <w:rPr>
          <w:rFonts w:ascii="Times New Roman" w:hAnsi="Times New Roman" w:eastAsia="黑体" w:cs="Times New Roman"/>
          <w:b/>
          <w:bCs/>
          <w:kern w:val="28"/>
          <w:sz w:val="30"/>
          <w:szCs w:val="32"/>
        </w:rPr>
        <w:t>13.4.2 提高规划设计质量</w:t>
      </w:r>
      <w:bookmarkEnd w:id="203"/>
      <w:bookmarkEnd w:id="204"/>
      <w:bookmarkEnd w:id="205"/>
      <w:bookmarkEnd w:id="206"/>
      <w:r>
        <w:rPr>
          <w:rFonts w:ascii="Times New Roman" w:hAnsi="Times New Roman" w:eastAsia="黑体" w:cs="Times New Roman"/>
          <w:b/>
          <w:bCs/>
          <w:kern w:val="28"/>
          <w:sz w:val="30"/>
          <w:szCs w:val="32"/>
        </w:rPr>
        <w:t xml:space="preserve"> </w:t>
      </w:r>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引入市场机制，对森林城市造林绿化设计方案进行招标，增强方案的竞争力，优选最佳方案，吸纳新的设计思想以提高森林城市设计水平。对整体性较强的街道、街区、文化商业区等进行整体绿地景观设计，统一招标。定期举行优秀绿化设计方案、模范绿化工程、园林式绿化单位等评比工作，提高各部门绿化工作的积极性，推动各类绿化建设工作全面开展。</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207" w:name="_Toc281904367"/>
      <w:bookmarkStart w:id="208" w:name="_Toc492576050"/>
      <w:bookmarkStart w:id="209" w:name="_Toc49241577"/>
      <w:bookmarkStart w:id="210" w:name="_Toc281475686"/>
      <w:bookmarkStart w:id="211" w:name="_Toc418861970"/>
      <w:bookmarkStart w:id="212" w:name="_Toc414610339"/>
      <w:bookmarkStart w:id="213" w:name="_Toc493210637"/>
      <w:bookmarkStart w:id="214" w:name="_Toc492576164"/>
      <w:bookmarkStart w:id="215" w:name="_Toc288054024"/>
      <w:r>
        <w:rPr>
          <w:rFonts w:ascii="Times New Roman" w:hAnsi="Times New Roman" w:eastAsia="黑体" w:cs="Times New Roman"/>
          <w:b/>
          <w:bCs/>
          <w:sz w:val="32"/>
          <w:szCs w:val="32"/>
        </w:rPr>
        <w:t>13.5 社会参与保障</w:t>
      </w:r>
      <w:bookmarkEnd w:id="207"/>
      <w:bookmarkEnd w:id="208"/>
      <w:bookmarkEnd w:id="209"/>
      <w:bookmarkEnd w:id="210"/>
      <w:bookmarkEnd w:id="211"/>
      <w:bookmarkEnd w:id="212"/>
      <w:bookmarkEnd w:id="213"/>
      <w:bookmarkEnd w:id="214"/>
      <w:bookmarkEnd w:id="215"/>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216" w:name="_Toc281904368"/>
      <w:bookmarkStart w:id="217" w:name="_Toc281475687"/>
      <w:bookmarkStart w:id="218" w:name="_Toc418861971"/>
      <w:bookmarkStart w:id="219" w:name="_Toc414610340"/>
      <w:r>
        <w:rPr>
          <w:rFonts w:ascii="Times New Roman" w:hAnsi="Times New Roman" w:eastAsia="黑体" w:cs="Times New Roman"/>
          <w:b/>
          <w:bCs/>
          <w:kern w:val="28"/>
          <w:sz w:val="30"/>
          <w:szCs w:val="32"/>
        </w:rPr>
        <w:t>13.5.1 开展多种活动，引导居民参与</w:t>
      </w:r>
      <w:bookmarkEnd w:id="216"/>
      <w:bookmarkEnd w:id="217"/>
      <w:r>
        <w:rPr>
          <w:rFonts w:ascii="Times New Roman" w:hAnsi="Times New Roman" w:eastAsia="黑体" w:cs="Times New Roman"/>
          <w:b/>
          <w:bCs/>
          <w:kern w:val="28"/>
          <w:sz w:val="30"/>
          <w:szCs w:val="32"/>
        </w:rPr>
        <w:t>创森</w:t>
      </w:r>
      <w:bookmarkEnd w:id="218"/>
      <w:bookmarkEnd w:id="219"/>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创建国家森林城市工作需要全社会共同参与。在“创森”工程中积极开展各类生态文化活动，传播创建森林城市的意义，全面提高广大市民的支持率和知晓率。同时调动全社会人员积极参与森林、绿地的管理工作，一方面能有效保护森林城市建设成果，另一方面能提升居民的归属感。</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220" w:name="_Toc281475688"/>
      <w:bookmarkStart w:id="221" w:name="_Toc414610341"/>
      <w:bookmarkStart w:id="222" w:name="_Toc418861972"/>
      <w:bookmarkStart w:id="223" w:name="_Toc281904369"/>
      <w:r>
        <w:rPr>
          <w:rFonts w:ascii="Times New Roman" w:hAnsi="Times New Roman" w:eastAsia="黑体" w:cs="Times New Roman"/>
          <w:b/>
          <w:bCs/>
          <w:kern w:val="28"/>
          <w:sz w:val="30"/>
          <w:szCs w:val="32"/>
        </w:rPr>
        <w:t>13.5.2 加强宣传工作，传播生态文明理念</w:t>
      </w:r>
      <w:bookmarkEnd w:id="220"/>
      <w:bookmarkEnd w:id="221"/>
      <w:bookmarkEnd w:id="222"/>
      <w:bookmarkEnd w:id="223"/>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8"/>
          <w14:textFill>
            <w14:solidFill>
              <w14:schemeClr w14:val="tx1"/>
            </w14:solidFill>
          </w14:textFill>
        </w:rPr>
        <w:t>积极运用现代化宣传手段，如新闻媒体、微信公共号、信息平台、公益广告等，开展森林城市创建的宣传工作，并通过开展创建国家森林城市知识进农村、进社区、进机关、进学校、进部队、进企业活动以及“植树节”、“爱鸟周”、“湿地保护日”等节庆活动，广泛传播创建森林城市的目的意义、创建标准、目标任务和相关要求，引导全社会树立生态文明理念，形成森林城市建设的浓厚氛围。</w:t>
      </w:r>
      <w:bookmarkEnd w:id="151"/>
    </w:p>
    <w:sectPr>
      <w:headerReference r:id="rId2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ok Antiqua">
    <w:altName w:val="FreeSerif"/>
    <w:panose1 w:val="02040602050305030304"/>
    <w:charset w:val="00"/>
    <w:family w:val="roman"/>
    <w:pitch w:val="default"/>
    <w:sig w:usb0="00000000" w:usb1="00000000" w:usb2="00000000" w:usb3="00000000" w:csb0="2000009F" w:csb1="DFD70000"/>
  </w:font>
  <w:font w:name="Arial Unicode MS">
    <w:altName w:val="Nimbus Roman No9 L"/>
    <w:panose1 w:val="020B0604020202020204"/>
    <w:charset w:val="86"/>
    <w:family w:val="swiss"/>
    <w:pitch w:val="default"/>
    <w:sig w:usb0="00000000" w:usb1="00000000" w:usb2="0000003F" w:usb3="00000000" w:csb0="603F01FF" w:csb1="FFFF0000"/>
  </w:font>
  <w:font w:name="华文新魏">
    <w:panose1 w:val="02010800040101010101"/>
    <w:charset w:val="86"/>
    <w:family w:val="auto"/>
    <w:pitch w:val="default"/>
    <w:sig w:usb0="00000001" w:usb1="080F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hAnsi="Times New Roman"/>
      </w:rPr>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1067055"/>
    </w:sdtPr>
    <w:sdtEndPr>
      <w:rPr>
        <w:rFonts w:ascii="Times New Roman" w:hAnsi="Times New Roman" w:cs="Times New Roman"/>
      </w:rPr>
    </w:sdtEndPr>
    <w:sdtContent>
      <w:p>
        <w:pPr>
          <w:pStyle w:val="2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8"/>
          <w:jc w:val="center"/>
        </w:pPr>
        <w:r>
          <w:rPr>
            <w:rFonts w:hint="eastAsia"/>
          </w:rPr>
          <w:t xml:space="preserve">第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r>
          <w:rPr>
            <w:rFonts w:ascii="Times New Roman" w:hAnsi="Times New Roman" w:cs="Times New Roman"/>
          </w:rPr>
          <w:t xml:space="preserve"> </w:t>
        </w:r>
        <w:r>
          <w:rPr>
            <w:rFonts w:hint="eastAsia" w:ascii="Times New Roman" w:hAnsi="Times New Roman" w:cs="Times New Roman"/>
          </w:rPr>
          <w:t>页</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sdt>
      <w:sdtPr>
        <w:id w:val="783000625"/>
      </w:sdtPr>
      <w:sdtContent>
        <w:r>
          <w:rPr>
            <w:rFonts w:hint="eastAsia"/>
          </w:rPr>
          <w:t xml:space="preserve">第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15</w:t>
        </w:r>
        <w:r>
          <w:rPr>
            <w:rFonts w:ascii="Times New Roman" w:hAnsi="Times New Roman" w:cs="Times New Roman"/>
            <w:lang w:val="zh-CN"/>
          </w:rPr>
          <w:fldChar w:fldCharType="end"/>
        </w:r>
      </w:sdtContent>
    </w:sdt>
    <w:r>
      <w:t xml:space="preserve"> </w:t>
    </w:r>
    <w:r>
      <w:rPr>
        <w:rFonts w:hint="eastAsia"/>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sdt>
      <w:sdtPr>
        <w:id w:val="1217473809"/>
      </w:sdtPr>
      <w:sdtContent>
        <w:r>
          <w:rPr>
            <w:rFonts w:hint="eastAsia"/>
          </w:rPr>
          <w:t xml:space="preserve">第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163</w:t>
        </w:r>
        <w:r>
          <w:rPr>
            <w:rFonts w:ascii="Times New Roman" w:hAnsi="Times New Roman" w:cs="Times New Roman"/>
            <w:lang w:val="zh-CN"/>
          </w:rPr>
          <w:fldChar w:fldCharType="end"/>
        </w:r>
      </w:sdtContent>
    </w:sdt>
    <w:r>
      <w:t xml:space="preserve"> </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33"/>
      </w:pPr>
      <w:r>
        <w:rPr>
          <w:rStyle w:val="56"/>
        </w:rPr>
        <w:footnoteRef/>
      </w:r>
      <w:r>
        <w:t xml:space="preserve"> </w:t>
      </w:r>
      <w:r>
        <w:rPr>
          <w:rFonts w:hint="eastAsia"/>
        </w:rPr>
        <w:t>乐昌金鸡岭省级地质公园金鸡岭园区包括</w:t>
      </w:r>
      <w:r>
        <w:t>乐昌市金鸡岭省级风景名胜区</w:t>
      </w:r>
      <w:r>
        <w:rPr>
          <w:rFonts w:hint="eastAsia"/>
        </w:rPr>
        <w:t>。</w:t>
      </w:r>
    </w:p>
  </w:footnote>
  <w:footnote w:id="1">
    <w:p>
      <w:pPr>
        <w:pStyle w:val="33"/>
      </w:pPr>
      <w:r>
        <w:rPr>
          <w:rStyle w:val="56"/>
          <w:rFonts w:ascii="Times New Roman" w:hAnsi="Times New Roman"/>
        </w:rPr>
        <w:footnoteRef/>
      </w:r>
      <w:r>
        <w:rPr>
          <w:rFonts w:ascii="Times New Roman" w:hAnsi="Times New Roman"/>
        </w:rPr>
        <w:t xml:space="preserve"> 乔木林林龄组成中未包括乔木林中的经济林，面积64.60hm</w:t>
      </w:r>
      <w:r>
        <w:rPr>
          <w:rFonts w:ascii="Times New Roman" w:hAnsi="Times New Roman"/>
          <w:vertAlign w:val="superscript"/>
        </w:rPr>
        <w:t>2</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目录</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8</w:t>
    </w:r>
    <w:r>
      <w:rPr>
        <w:rFonts w:ascii="Times New Roman" w:hAnsi="Times New Roman" w:eastAsia="微软雅黑"/>
        <w:b/>
        <w:szCs w:val="21"/>
      </w:rPr>
      <w:t xml:space="preserve"> </w:t>
    </w:r>
    <w:r>
      <w:rPr>
        <w:rFonts w:hint="eastAsia" w:ascii="Times New Roman" w:hAnsi="Times New Roman" w:eastAsia="微软雅黑"/>
        <w:b/>
        <w:szCs w:val="21"/>
      </w:rPr>
      <w:t>森林生态文明体系建设规划</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9</w:t>
    </w:r>
    <w:r>
      <w:rPr>
        <w:rFonts w:ascii="Times New Roman" w:hAnsi="Times New Roman" w:eastAsia="微软雅黑"/>
        <w:b/>
        <w:szCs w:val="21"/>
      </w:rPr>
      <w:t xml:space="preserve"> </w:t>
    </w:r>
    <w:r>
      <w:rPr>
        <w:rFonts w:hint="eastAsia" w:ascii="Times New Roman" w:hAnsi="Times New Roman" w:eastAsia="微软雅黑"/>
        <w:b/>
        <w:szCs w:val="21"/>
      </w:rPr>
      <w:t>森林支撑体系建设规划</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10</w:t>
    </w:r>
    <w:r>
      <w:rPr>
        <w:rFonts w:ascii="Times New Roman" w:hAnsi="Times New Roman" w:eastAsia="微软雅黑"/>
        <w:b/>
        <w:szCs w:val="21"/>
      </w:rPr>
      <w:t xml:space="preserve"> </w:t>
    </w:r>
    <w:r>
      <w:rPr>
        <w:rFonts w:hint="eastAsia" w:ascii="Times New Roman" w:hAnsi="Times New Roman" w:eastAsia="微软雅黑"/>
        <w:b/>
        <w:szCs w:val="21"/>
      </w:rPr>
      <w:t>树种规划</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11</w:t>
    </w:r>
    <w:r>
      <w:rPr>
        <w:rFonts w:ascii="Times New Roman" w:hAnsi="Times New Roman" w:eastAsia="微软雅黑"/>
        <w:b/>
        <w:szCs w:val="21"/>
      </w:rPr>
      <w:t xml:space="preserve"> </w:t>
    </w:r>
    <w:r>
      <w:rPr>
        <w:rFonts w:hint="eastAsia" w:ascii="Times New Roman" w:hAnsi="Times New Roman" w:eastAsia="微软雅黑"/>
        <w:b/>
        <w:szCs w:val="21"/>
      </w:rPr>
      <w:t>投资估算及资金筹措</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12</w:t>
    </w:r>
    <w:r>
      <w:rPr>
        <w:rFonts w:ascii="Times New Roman" w:hAnsi="Times New Roman" w:eastAsia="微软雅黑"/>
        <w:b/>
        <w:szCs w:val="21"/>
      </w:rPr>
      <w:t xml:space="preserve"> </w:t>
    </w:r>
    <w:r>
      <w:rPr>
        <w:rFonts w:hint="eastAsia" w:ascii="Times New Roman" w:hAnsi="Times New Roman" w:eastAsia="微软雅黑"/>
        <w:b/>
        <w:szCs w:val="21"/>
      </w:rPr>
      <w:t>效益分析</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13</w:t>
    </w:r>
    <w:r>
      <w:rPr>
        <w:rFonts w:ascii="Times New Roman" w:hAnsi="Times New Roman" w:eastAsia="微软雅黑"/>
        <w:b/>
        <w:szCs w:val="21"/>
      </w:rPr>
      <w:t xml:space="preserve"> </w:t>
    </w:r>
    <w:r>
      <w:rPr>
        <w:rFonts w:hint="eastAsia" w:ascii="Times New Roman" w:hAnsi="Times New Roman" w:eastAsia="微软雅黑"/>
        <w:b/>
        <w:szCs w:val="21"/>
      </w:rPr>
      <w:t>规划实施保障措施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ascii="Times New Roman" w:hAnsi="Times New Roman" w:eastAsia="微软雅黑"/>
        <w:b/>
        <w:szCs w:val="21"/>
      </w:rPr>
      <w:t>1 建设背景及</w:t>
    </w:r>
    <w:r>
      <w:rPr>
        <w:rFonts w:hint="eastAsia" w:ascii="Times New Roman" w:hAnsi="Times New Roman" w:eastAsia="微软雅黑"/>
        <w:b/>
        <w:szCs w:val="21"/>
      </w:rPr>
      <w:t>重要</w:t>
    </w:r>
    <w:r>
      <w:rPr>
        <w:rFonts w:ascii="Times New Roman" w:hAnsi="Times New Roman" w:eastAsia="微软雅黑"/>
        <w:b/>
        <w:szCs w:val="21"/>
      </w:rPr>
      <w:t>意义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2</w:t>
    </w:r>
    <w:r>
      <w:rPr>
        <w:rFonts w:ascii="Times New Roman" w:hAnsi="Times New Roman" w:eastAsia="微软雅黑"/>
        <w:b/>
        <w:szCs w:val="21"/>
      </w:rPr>
      <w:t xml:space="preserve"> </w:t>
    </w:r>
    <w:r>
      <w:rPr>
        <w:rFonts w:hint="eastAsia" w:ascii="Times New Roman" w:hAnsi="Times New Roman" w:eastAsia="微软雅黑"/>
        <w:b/>
        <w:szCs w:val="21"/>
      </w:rPr>
      <w:t>基本概况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3</w:t>
    </w:r>
    <w:r>
      <w:rPr>
        <w:rFonts w:ascii="Times New Roman" w:hAnsi="Times New Roman" w:eastAsia="微软雅黑"/>
        <w:b/>
        <w:szCs w:val="21"/>
      </w:rPr>
      <w:t xml:space="preserve"> </w:t>
    </w:r>
    <w:r>
      <w:rPr>
        <w:rFonts w:hint="eastAsia" w:ascii="Times New Roman" w:hAnsi="Times New Roman" w:eastAsia="微软雅黑"/>
        <w:b/>
        <w:szCs w:val="21"/>
      </w:rPr>
      <w:t>森林城市建设现状及潜力分析</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4</w:t>
    </w:r>
    <w:r>
      <w:rPr>
        <w:rFonts w:ascii="Times New Roman" w:hAnsi="Times New Roman" w:eastAsia="微软雅黑"/>
        <w:b/>
        <w:szCs w:val="21"/>
      </w:rPr>
      <w:t xml:space="preserve"> </w:t>
    </w:r>
    <w:r>
      <w:rPr>
        <w:rFonts w:hint="eastAsia" w:ascii="Times New Roman" w:hAnsi="Times New Roman" w:eastAsia="微软雅黑"/>
        <w:b/>
        <w:szCs w:val="21"/>
      </w:rPr>
      <w:t>建设目标与布局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4</w:t>
    </w:r>
    <w:r>
      <w:rPr>
        <w:rFonts w:ascii="Times New Roman" w:hAnsi="Times New Roman" w:eastAsia="微软雅黑"/>
        <w:b/>
        <w:szCs w:val="21"/>
      </w:rPr>
      <w:t xml:space="preserve"> </w:t>
    </w:r>
    <w:r>
      <w:rPr>
        <w:rFonts w:hint="eastAsia" w:ascii="Times New Roman" w:hAnsi="Times New Roman" w:eastAsia="微软雅黑"/>
        <w:b/>
        <w:szCs w:val="21"/>
      </w:rPr>
      <w:t>建设目标与布局</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5</w:t>
    </w:r>
    <w:r>
      <w:rPr>
        <w:rFonts w:ascii="Times New Roman" w:hAnsi="Times New Roman" w:eastAsia="微软雅黑"/>
        <w:b/>
        <w:szCs w:val="21"/>
      </w:rPr>
      <w:t xml:space="preserve"> </w:t>
    </w:r>
    <w:r>
      <w:rPr>
        <w:rFonts w:hint="eastAsia" w:ascii="Times New Roman" w:hAnsi="Times New Roman" w:eastAsia="微软雅黑"/>
        <w:b/>
        <w:szCs w:val="21"/>
      </w:rPr>
      <w:t>森林生态体系建设规划</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6</w:t>
    </w:r>
    <w:r>
      <w:rPr>
        <w:rFonts w:ascii="Times New Roman" w:hAnsi="Times New Roman" w:eastAsia="微软雅黑"/>
        <w:b/>
        <w:szCs w:val="21"/>
      </w:rPr>
      <w:t xml:space="preserve"> </w:t>
    </w:r>
    <w:r>
      <w:rPr>
        <w:rFonts w:hint="eastAsia" w:ascii="Times New Roman" w:hAnsi="Times New Roman" w:eastAsia="微软雅黑"/>
        <w:b/>
        <w:szCs w:val="21"/>
      </w:rPr>
      <w:t>森林服务体系建设规划</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7</w:t>
    </w:r>
    <w:r>
      <w:rPr>
        <w:rFonts w:ascii="Times New Roman" w:hAnsi="Times New Roman" w:eastAsia="微软雅黑"/>
        <w:b/>
        <w:szCs w:val="21"/>
      </w:rPr>
      <w:t xml:space="preserve"> </w:t>
    </w:r>
    <w:r>
      <w:rPr>
        <w:rFonts w:hint="eastAsia" w:ascii="Times New Roman" w:hAnsi="Times New Roman" w:eastAsia="微软雅黑"/>
        <w:b/>
        <w:szCs w:val="21"/>
      </w:rPr>
      <w:t>森林产业体系建设规划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15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spacing w:val="0"/>
        <w:kern w:val="0"/>
        <w:position w:val="0"/>
        <w:sz w:val="21"/>
        <w:szCs w:val="21"/>
        <w:u w:val="none"/>
      </w:rPr>
    </w:lvl>
    <w:lvl w:ilvl="2" w:tentative="0">
      <w:start w:val="1"/>
      <w:numFmt w:val="decimal"/>
      <w:pStyle w:val="186"/>
      <w:suff w:val="nothing"/>
      <w:lvlText w:val="%1.%2.%3　"/>
      <w:lvlJc w:val="left"/>
      <w:pPr>
        <w:ind w:left="735" w:firstLine="0"/>
      </w:pPr>
      <w:rPr>
        <w:rFonts w:hint="eastAsia" w:ascii="黑体" w:hAnsi="Times New Roman" w:eastAsia="黑体"/>
        <w:b w:val="0"/>
        <w:i w:val="0"/>
        <w:sz w:val="21"/>
      </w:rPr>
    </w:lvl>
    <w:lvl w:ilvl="3" w:tentative="0">
      <w:start w:val="1"/>
      <w:numFmt w:val="decimal"/>
      <w:pStyle w:val="157"/>
      <w:suff w:val="nothing"/>
      <w:lvlText w:val="%1.%2.%3.%4　"/>
      <w:lvlJc w:val="left"/>
      <w:pPr>
        <w:ind w:left="0" w:firstLine="0"/>
      </w:pPr>
      <w:rPr>
        <w:rFonts w:hint="eastAsia" w:ascii="黑体" w:hAnsi="Times New Roman" w:eastAsia="黑体"/>
        <w:b w:val="0"/>
        <w:i w:val="0"/>
        <w:sz w:val="21"/>
      </w:rPr>
    </w:lvl>
    <w:lvl w:ilvl="4" w:tentative="0">
      <w:start w:val="1"/>
      <w:numFmt w:val="decimal"/>
      <w:pStyle w:val="175"/>
      <w:suff w:val="nothing"/>
      <w:lvlText w:val="%1.%2.%3.%4.%5　"/>
      <w:lvlJc w:val="left"/>
      <w:pPr>
        <w:ind w:left="0" w:firstLine="0"/>
      </w:pPr>
      <w:rPr>
        <w:rFonts w:hint="eastAsia" w:ascii="黑体" w:hAnsi="Times New Roman" w:eastAsia="黑体"/>
        <w:b w:val="0"/>
        <w:i w:val="0"/>
        <w:sz w:val="21"/>
      </w:rPr>
    </w:lvl>
    <w:lvl w:ilvl="5" w:tentative="0">
      <w:start w:val="1"/>
      <w:numFmt w:val="decimal"/>
      <w:pStyle w:val="14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01641499"/>
    <w:multiLevelType w:val="multilevel"/>
    <w:tmpl w:val="01641499"/>
    <w:lvl w:ilvl="0" w:tentative="0">
      <w:start w:val="1"/>
      <w:numFmt w:val="decimal"/>
      <w:suff w:val="nothing"/>
      <w:lvlText w:val="（%1）"/>
      <w:lvlJc w:val="left"/>
      <w:pPr>
        <w:ind w:left="0" w:firstLine="48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69F3FCC"/>
    <w:multiLevelType w:val="multilevel"/>
    <w:tmpl w:val="069F3FCC"/>
    <w:lvl w:ilvl="0" w:tentative="0">
      <w:start w:val="1"/>
      <w:numFmt w:val="decimal"/>
      <w:suff w:val="nothing"/>
      <w:lvlText w:val="（%1）"/>
      <w:lvlJc w:val="left"/>
      <w:pPr>
        <w:ind w:left="0" w:firstLine="48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FC11A30"/>
    <w:multiLevelType w:val="multilevel"/>
    <w:tmpl w:val="0FC11A30"/>
    <w:lvl w:ilvl="0" w:tentative="0">
      <w:start w:val="1"/>
      <w:numFmt w:val="japaneseCounting"/>
      <w:pStyle w:val="129"/>
      <w:lvlText w:val="第%1章"/>
      <w:lvlJc w:val="left"/>
      <w:pPr>
        <w:ind w:left="1125" w:hanging="112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8D24FD"/>
    <w:multiLevelType w:val="multilevel"/>
    <w:tmpl w:val="358D24FD"/>
    <w:lvl w:ilvl="0" w:tentative="0">
      <w:start w:val="1"/>
      <w:numFmt w:val="decimal"/>
      <w:suff w:val="nothing"/>
      <w:lvlText w:val="（%1）"/>
      <w:lvlJc w:val="left"/>
      <w:pPr>
        <w:ind w:left="0" w:firstLine="48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EE23D27"/>
    <w:multiLevelType w:val="multilevel"/>
    <w:tmpl w:val="5EE23D2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9C545D1"/>
    <w:multiLevelType w:val="multilevel"/>
    <w:tmpl w:val="79C545D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662DE4"/>
    <w:multiLevelType w:val="multilevel"/>
    <w:tmpl w:val="7C662DE4"/>
    <w:lvl w:ilvl="0" w:tentative="0">
      <w:start w:val="1"/>
      <w:numFmt w:val="decimal"/>
      <w:suff w:val="nothing"/>
      <w:lvlText w:val="（%1）"/>
      <w:lvlJc w:val="left"/>
      <w:pPr>
        <w:ind w:left="0" w:firstLine="48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76"/>
    <w:rsid w:val="000007B7"/>
    <w:rsid w:val="00000FB7"/>
    <w:rsid w:val="000026BB"/>
    <w:rsid w:val="00004288"/>
    <w:rsid w:val="0000445D"/>
    <w:rsid w:val="000045CC"/>
    <w:rsid w:val="00004DAD"/>
    <w:rsid w:val="00011FEE"/>
    <w:rsid w:val="00013A76"/>
    <w:rsid w:val="00013F89"/>
    <w:rsid w:val="000151AC"/>
    <w:rsid w:val="00015416"/>
    <w:rsid w:val="0001647F"/>
    <w:rsid w:val="00017A39"/>
    <w:rsid w:val="00020698"/>
    <w:rsid w:val="00022A7E"/>
    <w:rsid w:val="000239B0"/>
    <w:rsid w:val="00025642"/>
    <w:rsid w:val="0002576F"/>
    <w:rsid w:val="000277A4"/>
    <w:rsid w:val="00030556"/>
    <w:rsid w:val="000322F9"/>
    <w:rsid w:val="0003341A"/>
    <w:rsid w:val="0004083D"/>
    <w:rsid w:val="00041C70"/>
    <w:rsid w:val="00041CEA"/>
    <w:rsid w:val="00046B1C"/>
    <w:rsid w:val="000473B7"/>
    <w:rsid w:val="00051FBD"/>
    <w:rsid w:val="000551C8"/>
    <w:rsid w:val="00055775"/>
    <w:rsid w:val="00056E73"/>
    <w:rsid w:val="00057119"/>
    <w:rsid w:val="00061CF3"/>
    <w:rsid w:val="0006308B"/>
    <w:rsid w:val="00063CC3"/>
    <w:rsid w:val="00064D46"/>
    <w:rsid w:val="00070D61"/>
    <w:rsid w:val="00071A22"/>
    <w:rsid w:val="000722F2"/>
    <w:rsid w:val="0007523E"/>
    <w:rsid w:val="000804A8"/>
    <w:rsid w:val="00081AFA"/>
    <w:rsid w:val="00081FFD"/>
    <w:rsid w:val="0008212E"/>
    <w:rsid w:val="00093D1B"/>
    <w:rsid w:val="00094758"/>
    <w:rsid w:val="00094C4D"/>
    <w:rsid w:val="000957F8"/>
    <w:rsid w:val="00096643"/>
    <w:rsid w:val="000968DD"/>
    <w:rsid w:val="00097BFC"/>
    <w:rsid w:val="000B1D47"/>
    <w:rsid w:val="000B3764"/>
    <w:rsid w:val="000B72E5"/>
    <w:rsid w:val="000C65A3"/>
    <w:rsid w:val="000D0382"/>
    <w:rsid w:val="000D20E0"/>
    <w:rsid w:val="000D6357"/>
    <w:rsid w:val="000D7F78"/>
    <w:rsid w:val="000E02AB"/>
    <w:rsid w:val="000E1876"/>
    <w:rsid w:val="000E4063"/>
    <w:rsid w:val="000E78E2"/>
    <w:rsid w:val="000F0AC8"/>
    <w:rsid w:val="000F17EF"/>
    <w:rsid w:val="000F1FF8"/>
    <w:rsid w:val="000F50AA"/>
    <w:rsid w:val="000F7976"/>
    <w:rsid w:val="0010048C"/>
    <w:rsid w:val="00101C4E"/>
    <w:rsid w:val="001024BA"/>
    <w:rsid w:val="001068FF"/>
    <w:rsid w:val="001108EE"/>
    <w:rsid w:val="00110D59"/>
    <w:rsid w:val="0011105F"/>
    <w:rsid w:val="00112CA7"/>
    <w:rsid w:val="00116206"/>
    <w:rsid w:val="0011620F"/>
    <w:rsid w:val="001162AF"/>
    <w:rsid w:val="001165F6"/>
    <w:rsid w:val="0011792C"/>
    <w:rsid w:val="00120683"/>
    <w:rsid w:val="00121B60"/>
    <w:rsid w:val="001235A0"/>
    <w:rsid w:val="0012465A"/>
    <w:rsid w:val="00124751"/>
    <w:rsid w:val="0012670A"/>
    <w:rsid w:val="00132B68"/>
    <w:rsid w:val="00133D1D"/>
    <w:rsid w:val="00137442"/>
    <w:rsid w:val="00146CEA"/>
    <w:rsid w:val="00151E63"/>
    <w:rsid w:val="001524FA"/>
    <w:rsid w:val="001547F1"/>
    <w:rsid w:val="00154BCE"/>
    <w:rsid w:val="00155A08"/>
    <w:rsid w:val="00160A85"/>
    <w:rsid w:val="00162A0C"/>
    <w:rsid w:val="00165B4D"/>
    <w:rsid w:val="00166FBC"/>
    <w:rsid w:val="0016704B"/>
    <w:rsid w:val="00170AB6"/>
    <w:rsid w:val="00171099"/>
    <w:rsid w:val="00173F04"/>
    <w:rsid w:val="001752C1"/>
    <w:rsid w:val="001773E8"/>
    <w:rsid w:val="00180539"/>
    <w:rsid w:val="0018131F"/>
    <w:rsid w:val="001816F9"/>
    <w:rsid w:val="00183C38"/>
    <w:rsid w:val="0018571D"/>
    <w:rsid w:val="00191137"/>
    <w:rsid w:val="001A27D4"/>
    <w:rsid w:val="001A31FF"/>
    <w:rsid w:val="001A3B25"/>
    <w:rsid w:val="001A4A94"/>
    <w:rsid w:val="001B2439"/>
    <w:rsid w:val="001B33A9"/>
    <w:rsid w:val="001B36AD"/>
    <w:rsid w:val="001B58B2"/>
    <w:rsid w:val="001B60D6"/>
    <w:rsid w:val="001C1305"/>
    <w:rsid w:val="001C277E"/>
    <w:rsid w:val="001C488E"/>
    <w:rsid w:val="001C5780"/>
    <w:rsid w:val="001D1835"/>
    <w:rsid w:val="001D2044"/>
    <w:rsid w:val="001D37F7"/>
    <w:rsid w:val="001D4D97"/>
    <w:rsid w:val="001D6405"/>
    <w:rsid w:val="001D6E77"/>
    <w:rsid w:val="001E2E8B"/>
    <w:rsid w:val="001E348D"/>
    <w:rsid w:val="001E4391"/>
    <w:rsid w:val="001E561F"/>
    <w:rsid w:val="001E6D34"/>
    <w:rsid w:val="001E7E58"/>
    <w:rsid w:val="001F009F"/>
    <w:rsid w:val="001F0301"/>
    <w:rsid w:val="001F2CF6"/>
    <w:rsid w:val="001F4E57"/>
    <w:rsid w:val="0020148F"/>
    <w:rsid w:val="002019C0"/>
    <w:rsid w:val="0020336C"/>
    <w:rsid w:val="002046C6"/>
    <w:rsid w:val="00204C2D"/>
    <w:rsid w:val="00204EFA"/>
    <w:rsid w:val="00206A60"/>
    <w:rsid w:val="00210080"/>
    <w:rsid w:val="00210600"/>
    <w:rsid w:val="002112F6"/>
    <w:rsid w:val="00213C49"/>
    <w:rsid w:val="0021407F"/>
    <w:rsid w:val="00214F85"/>
    <w:rsid w:val="00215EEA"/>
    <w:rsid w:val="0022108E"/>
    <w:rsid w:val="00221DAE"/>
    <w:rsid w:val="00222B72"/>
    <w:rsid w:val="00225D88"/>
    <w:rsid w:val="00226EC9"/>
    <w:rsid w:val="00231149"/>
    <w:rsid w:val="002335FA"/>
    <w:rsid w:val="002348F4"/>
    <w:rsid w:val="00234BF4"/>
    <w:rsid w:val="002350C9"/>
    <w:rsid w:val="002370B7"/>
    <w:rsid w:val="00237AA4"/>
    <w:rsid w:val="002401DF"/>
    <w:rsid w:val="00242BCE"/>
    <w:rsid w:val="00243EBF"/>
    <w:rsid w:val="00247E8F"/>
    <w:rsid w:val="00252BF3"/>
    <w:rsid w:val="00253184"/>
    <w:rsid w:val="00253883"/>
    <w:rsid w:val="00253C6C"/>
    <w:rsid w:val="00255B28"/>
    <w:rsid w:val="0025663A"/>
    <w:rsid w:val="002604CA"/>
    <w:rsid w:val="002655B8"/>
    <w:rsid w:val="00265EF3"/>
    <w:rsid w:val="002700B9"/>
    <w:rsid w:val="00271703"/>
    <w:rsid w:val="0027221C"/>
    <w:rsid w:val="002731A5"/>
    <w:rsid w:val="00273486"/>
    <w:rsid w:val="00274752"/>
    <w:rsid w:val="00275F30"/>
    <w:rsid w:val="002770B5"/>
    <w:rsid w:val="00277213"/>
    <w:rsid w:val="00277270"/>
    <w:rsid w:val="0028161E"/>
    <w:rsid w:val="002835AB"/>
    <w:rsid w:val="00286C05"/>
    <w:rsid w:val="00293B4A"/>
    <w:rsid w:val="00293B68"/>
    <w:rsid w:val="002950E7"/>
    <w:rsid w:val="00297E18"/>
    <w:rsid w:val="002A0012"/>
    <w:rsid w:val="002A3276"/>
    <w:rsid w:val="002A5170"/>
    <w:rsid w:val="002A73AD"/>
    <w:rsid w:val="002B17F0"/>
    <w:rsid w:val="002B250F"/>
    <w:rsid w:val="002C0D00"/>
    <w:rsid w:val="002C44BD"/>
    <w:rsid w:val="002C606C"/>
    <w:rsid w:val="002C6AB8"/>
    <w:rsid w:val="002C6F8B"/>
    <w:rsid w:val="002C70CC"/>
    <w:rsid w:val="002D1180"/>
    <w:rsid w:val="002D1F22"/>
    <w:rsid w:val="002D35F8"/>
    <w:rsid w:val="002D3CA8"/>
    <w:rsid w:val="002D3DA3"/>
    <w:rsid w:val="002D5026"/>
    <w:rsid w:val="002D7113"/>
    <w:rsid w:val="002D7C2E"/>
    <w:rsid w:val="002D7F4F"/>
    <w:rsid w:val="002E3A3F"/>
    <w:rsid w:val="002E4379"/>
    <w:rsid w:val="002F0CD8"/>
    <w:rsid w:val="002F19CF"/>
    <w:rsid w:val="002F3659"/>
    <w:rsid w:val="002F4CEC"/>
    <w:rsid w:val="002F57C4"/>
    <w:rsid w:val="002F5F55"/>
    <w:rsid w:val="0030299E"/>
    <w:rsid w:val="00302AE7"/>
    <w:rsid w:val="00306120"/>
    <w:rsid w:val="003131F3"/>
    <w:rsid w:val="0031757B"/>
    <w:rsid w:val="00323779"/>
    <w:rsid w:val="003319D7"/>
    <w:rsid w:val="0033255A"/>
    <w:rsid w:val="00332E67"/>
    <w:rsid w:val="003333EF"/>
    <w:rsid w:val="003334B5"/>
    <w:rsid w:val="00334A6A"/>
    <w:rsid w:val="0033589F"/>
    <w:rsid w:val="00336B4B"/>
    <w:rsid w:val="00343AA7"/>
    <w:rsid w:val="003444A6"/>
    <w:rsid w:val="003450B2"/>
    <w:rsid w:val="00346AC8"/>
    <w:rsid w:val="00350FC2"/>
    <w:rsid w:val="003514DC"/>
    <w:rsid w:val="00351C5C"/>
    <w:rsid w:val="00353276"/>
    <w:rsid w:val="0035405B"/>
    <w:rsid w:val="0036007E"/>
    <w:rsid w:val="00360C0B"/>
    <w:rsid w:val="003644E4"/>
    <w:rsid w:val="003678BD"/>
    <w:rsid w:val="00370D11"/>
    <w:rsid w:val="00372655"/>
    <w:rsid w:val="00373546"/>
    <w:rsid w:val="003775CF"/>
    <w:rsid w:val="003826BE"/>
    <w:rsid w:val="0038580E"/>
    <w:rsid w:val="003903F0"/>
    <w:rsid w:val="003906F6"/>
    <w:rsid w:val="00392B45"/>
    <w:rsid w:val="00392C76"/>
    <w:rsid w:val="00397A50"/>
    <w:rsid w:val="00397DD6"/>
    <w:rsid w:val="003A0263"/>
    <w:rsid w:val="003A2084"/>
    <w:rsid w:val="003A21CA"/>
    <w:rsid w:val="003A4E45"/>
    <w:rsid w:val="003A6B35"/>
    <w:rsid w:val="003A7321"/>
    <w:rsid w:val="003A7E82"/>
    <w:rsid w:val="003B150B"/>
    <w:rsid w:val="003B2728"/>
    <w:rsid w:val="003B49F2"/>
    <w:rsid w:val="003C08F1"/>
    <w:rsid w:val="003C4913"/>
    <w:rsid w:val="003C62F8"/>
    <w:rsid w:val="003C7FC5"/>
    <w:rsid w:val="003D0FF0"/>
    <w:rsid w:val="003D1C6F"/>
    <w:rsid w:val="003D236F"/>
    <w:rsid w:val="003D482B"/>
    <w:rsid w:val="003D4EAB"/>
    <w:rsid w:val="003D7D3A"/>
    <w:rsid w:val="003E151D"/>
    <w:rsid w:val="003E2E3B"/>
    <w:rsid w:val="003F0202"/>
    <w:rsid w:val="003F0872"/>
    <w:rsid w:val="003F300E"/>
    <w:rsid w:val="003F3277"/>
    <w:rsid w:val="003F3434"/>
    <w:rsid w:val="00404E73"/>
    <w:rsid w:val="00405560"/>
    <w:rsid w:val="00405C95"/>
    <w:rsid w:val="00406F27"/>
    <w:rsid w:val="00412661"/>
    <w:rsid w:val="00413047"/>
    <w:rsid w:val="0041387F"/>
    <w:rsid w:val="00417E29"/>
    <w:rsid w:val="00423483"/>
    <w:rsid w:val="00430EBA"/>
    <w:rsid w:val="004338F3"/>
    <w:rsid w:val="00435394"/>
    <w:rsid w:val="00436607"/>
    <w:rsid w:val="00441EC9"/>
    <w:rsid w:val="00442080"/>
    <w:rsid w:val="0044217E"/>
    <w:rsid w:val="00452342"/>
    <w:rsid w:val="00454E5A"/>
    <w:rsid w:val="0045708B"/>
    <w:rsid w:val="0045753B"/>
    <w:rsid w:val="004577B9"/>
    <w:rsid w:val="004602A1"/>
    <w:rsid w:val="00460D34"/>
    <w:rsid w:val="004629E6"/>
    <w:rsid w:val="0046398A"/>
    <w:rsid w:val="00470CFC"/>
    <w:rsid w:val="00471036"/>
    <w:rsid w:val="0047169B"/>
    <w:rsid w:val="00472AEB"/>
    <w:rsid w:val="00476F0C"/>
    <w:rsid w:val="00477627"/>
    <w:rsid w:val="00481F2A"/>
    <w:rsid w:val="0048262F"/>
    <w:rsid w:val="00485B24"/>
    <w:rsid w:val="004871A1"/>
    <w:rsid w:val="004910BC"/>
    <w:rsid w:val="00491EF8"/>
    <w:rsid w:val="00495B5D"/>
    <w:rsid w:val="00497451"/>
    <w:rsid w:val="004A00FF"/>
    <w:rsid w:val="004A1A23"/>
    <w:rsid w:val="004A2EED"/>
    <w:rsid w:val="004A315B"/>
    <w:rsid w:val="004A3277"/>
    <w:rsid w:val="004A5BE5"/>
    <w:rsid w:val="004B0B53"/>
    <w:rsid w:val="004B12EF"/>
    <w:rsid w:val="004B2DC4"/>
    <w:rsid w:val="004B3BF1"/>
    <w:rsid w:val="004B6660"/>
    <w:rsid w:val="004B7552"/>
    <w:rsid w:val="004C01AE"/>
    <w:rsid w:val="004C33C0"/>
    <w:rsid w:val="004C4283"/>
    <w:rsid w:val="004C4A45"/>
    <w:rsid w:val="004C78A2"/>
    <w:rsid w:val="004D098F"/>
    <w:rsid w:val="004D2762"/>
    <w:rsid w:val="004D425B"/>
    <w:rsid w:val="004D5680"/>
    <w:rsid w:val="004E44E2"/>
    <w:rsid w:val="004E7BA9"/>
    <w:rsid w:val="004F14D6"/>
    <w:rsid w:val="004F2727"/>
    <w:rsid w:val="004F294B"/>
    <w:rsid w:val="004F613B"/>
    <w:rsid w:val="00500AE8"/>
    <w:rsid w:val="00504531"/>
    <w:rsid w:val="00506BB5"/>
    <w:rsid w:val="0050750C"/>
    <w:rsid w:val="005077A4"/>
    <w:rsid w:val="00510D1F"/>
    <w:rsid w:val="00510D24"/>
    <w:rsid w:val="0051193A"/>
    <w:rsid w:val="0051208B"/>
    <w:rsid w:val="00513B2A"/>
    <w:rsid w:val="00515CB6"/>
    <w:rsid w:val="00516AB1"/>
    <w:rsid w:val="00516D61"/>
    <w:rsid w:val="005178ED"/>
    <w:rsid w:val="00520514"/>
    <w:rsid w:val="00523360"/>
    <w:rsid w:val="00526F9B"/>
    <w:rsid w:val="0052754E"/>
    <w:rsid w:val="00533433"/>
    <w:rsid w:val="00534338"/>
    <w:rsid w:val="00535D51"/>
    <w:rsid w:val="00535EA0"/>
    <w:rsid w:val="00536481"/>
    <w:rsid w:val="005370B5"/>
    <w:rsid w:val="00540DF6"/>
    <w:rsid w:val="00541DEC"/>
    <w:rsid w:val="005437F8"/>
    <w:rsid w:val="00544060"/>
    <w:rsid w:val="00545D5F"/>
    <w:rsid w:val="0054726A"/>
    <w:rsid w:val="00550C3B"/>
    <w:rsid w:val="00552F94"/>
    <w:rsid w:val="0055364E"/>
    <w:rsid w:val="00553FB1"/>
    <w:rsid w:val="00560C3B"/>
    <w:rsid w:val="00560F04"/>
    <w:rsid w:val="005621F5"/>
    <w:rsid w:val="00571FA7"/>
    <w:rsid w:val="00572D8A"/>
    <w:rsid w:val="00576AA7"/>
    <w:rsid w:val="00581042"/>
    <w:rsid w:val="005816F9"/>
    <w:rsid w:val="00583B35"/>
    <w:rsid w:val="00591027"/>
    <w:rsid w:val="00591B02"/>
    <w:rsid w:val="00591E09"/>
    <w:rsid w:val="005924E9"/>
    <w:rsid w:val="005954AA"/>
    <w:rsid w:val="00596123"/>
    <w:rsid w:val="005A38A7"/>
    <w:rsid w:val="005A6139"/>
    <w:rsid w:val="005A6DAC"/>
    <w:rsid w:val="005A6EFD"/>
    <w:rsid w:val="005B04CA"/>
    <w:rsid w:val="005B1A94"/>
    <w:rsid w:val="005B1BEB"/>
    <w:rsid w:val="005B1BF5"/>
    <w:rsid w:val="005B43C0"/>
    <w:rsid w:val="005B4553"/>
    <w:rsid w:val="005B4CFF"/>
    <w:rsid w:val="005B4D98"/>
    <w:rsid w:val="005C0103"/>
    <w:rsid w:val="005C1C4F"/>
    <w:rsid w:val="005C4310"/>
    <w:rsid w:val="005D1D16"/>
    <w:rsid w:val="005D427F"/>
    <w:rsid w:val="005D4D48"/>
    <w:rsid w:val="005D5AFE"/>
    <w:rsid w:val="005D5BCF"/>
    <w:rsid w:val="005D5BD7"/>
    <w:rsid w:val="005D6FA2"/>
    <w:rsid w:val="005E3B90"/>
    <w:rsid w:val="005E792F"/>
    <w:rsid w:val="005F2111"/>
    <w:rsid w:val="005F24A0"/>
    <w:rsid w:val="005F7ACA"/>
    <w:rsid w:val="00600045"/>
    <w:rsid w:val="00616336"/>
    <w:rsid w:val="00616871"/>
    <w:rsid w:val="0062146C"/>
    <w:rsid w:val="006243FC"/>
    <w:rsid w:val="00624B92"/>
    <w:rsid w:val="00626F99"/>
    <w:rsid w:val="00630DA6"/>
    <w:rsid w:val="00632AD3"/>
    <w:rsid w:val="00634AC2"/>
    <w:rsid w:val="006402E6"/>
    <w:rsid w:val="006438E2"/>
    <w:rsid w:val="00644D52"/>
    <w:rsid w:val="006458BC"/>
    <w:rsid w:val="00655AD8"/>
    <w:rsid w:val="006574D1"/>
    <w:rsid w:val="0066079D"/>
    <w:rsid w:val="0066403B"/>
    <w:rsid w:val="00664565"/>
    <w:rsid w:val="00665011"/>
    <w:rsid w:val="0066524C"/>
    <w:rsid w:val="00671E3A"/>
    <w:rsid w:val="006735E0"/>
    <w:rsid w:val="006738D8"/>
    <w:rsid w:val="00676EDE"/>
    <w:rsid w:val="006812FA"/>
    <w:rsid w:val="006845A1"/>
    <w:rsid w:val="006861A2"/>
    <w:rsid w:val="00687612"/>
    <w:rsid w:val="0069104D"/>
    <w:rsid w:val="00691112"/>
    <w:rsid w:val="0069313D"/>
    <w:rsid w:val="0069371D"/>
    <w:rsid w:val="006938C8"/>
    <w:rsid w:val="00694648"/>
    <w:rsid w:val="00694667"/>
    <w:rsid w:val="00696623"/>
    <w:rsid w:val="00697258"/>
    <w:rsid w:val="006A27D7"/>
    <w:rsid w:val="006A2CA1"/>
    <w:rsid w:val="006A42F9"/>
    <w:rsid w:val="006A4769"/>
    <w:rsid w:val="006A4817"/>
    <w:rsid w:val="006A5414"/>
    <w:rsid w:val="006A5CE6"/>
    <w:rsid w:val="006A7B38"/>
    <w:rsid w:val="006A7BC1"/>
    <w:rsid w:val="006B08D5"/>
    <w:rsid w:val="006C0E38"/>
    <w:rsid w:val="006C1E38"/>
    <w:rsid w:val="006C3C5D"/>
    <w:rsid w:val="006C45CD"/>
    <w:rsid w:val="006C4F4A"/>
    <w:rsid w:val="006C73AB"/>
    <w:rsid w:val="006D2015"/>
    <w:rsid w:val="006D472C"/>
    <w:rsid w:val="006D5337"/>
    <w:rsid w:val="006E3B41"/>
    <w:rsid w:val="006E61DF"/>
    <w:rsid w:val="006F19BF"/>
    <w:rsid w:val="006F24A9"/>
    <w:rsid w:val="006F2972"/>
    <w:rsid w:val="006F2CC1"/>
    <w:rsid w:val="0070039E"/>
    <w:rsid w:val="00702A1E"/>
    <w:rsid w:val="007100F6"/>
    <w:rsid w:val="00710755"/>
    <w:rsid w:val="00710C8D"/>
    <w:rsid w:val="00714C51"/>
    <w:rsid w:val="00715955"/>
    <w:rsid w:val="00715BBF"/>
    <w:rsid w:val="0071779B"/>
    <w:rsid w:val="00720F11"/>
    <w:rsid w:val="0072461B"/>
    <w:rsid w:val="00725217"/>
    <w:rsid w:val="00725CB9"/>
    <w:rsid w:val="00726B10"/>
    <w:rsid w:val="00727281"/>
    <w:rsid w:val="007279FD"/>
    <w:rsid w:val="00731BE1"/>
    <w:rsid w:val="00731E99"/>
    <w:rsid w:val="007332DD"/>
    <w:rsid w:val="007348EB"/>
    <w:rsid w:val="00736A02"/>
    <w:rsid w:val="0073768F"/>
    <w:rsid w:val="00740D76"/>
    <w:rsid w:val="00742508"/>
    <w:rsid w:val="00745625"/>
    <w:rsid w:val="00746689"/>
    <w:rsid w:val="00747EA0"/>
    <w:rsid w:val="007542C5"/>
    <w:rsid w:val="00755B89"/>
    <w:rsid w:val="00756597"/>
    <w:rsid w:val="00757C6F"/>
    <w:rsid w:val="00757E59"/>
    <w:rsid w:val="00763875"/>
    <w:rsid w:val="007642BF"/>
    <w:rsid w:val="0076676F"/>
    <w:rsid w:val="0076755B"/>
    <w:rsid w:val="00770CFD"/>
    <w:rsid w:val="00771404"/>
    <w:rsid w:val="0077168C"/>
    <w:rsid w:val="007725EA"/>
    <w:rsid w:val="00774E8F"/>
    <w:rsid w:val="00776A67"/>
    <w:rsid w:val="007809BD"/>
    <w:rsid w:val="00783509"/>
    <w:rsid w:val="007841A4"/>
    <w:rsid w:val="007915FF"/>
    <w:rsid w:val="0079164B"/>
    <w:rsid w:val="00793E9A"/>
    <w:rsid w:val="00795023"/>
    <w:rsid w:val="007964A4"/>
    <w:rsid w:val="00797C6E"/>
    <w:rsid w:val="007A4823"/>
    <w:rsid w:val="007A601A"/>
    <w:rsid w:val="007A7C7A"/>
    <w:rsid w:val="007A7F2A"/>
    <w:rsid w:val="007B1903"/>
    <w:rsid w:val="007B4834"/>
    <w:rsid w:val="007B5B60"/>
    <w:rsid w:val="007B6A62"/>
    <w:rsid w:val="007B79AB"/>
    <w:rsid w:val="007C16AA"/>
    <w:rsid w:val="007C2121"/>
    <w:rsid w:val="007C7223"/>
    <w:rsid w:val="007C7CD7"/>
    <w:rsid w:val="007C7E6E"/>
    <w:rsid w:val="007D0F6F"/>
    <w:rsid w:val="007D70A1"/>
    <w:rsid w:val="007D74FA"/>
    <w:rsid w:val="007E016D"/>
    <w:rsid w:val="007E07BF"/>
    <w:rsid w:val="007E396F"/>
    <w:rsid w:val="007E6663"/>
    <w:rsid w:val="007E7852"/>
    <w:rsid w:val="007F5068"/>
    <w:rsid w:val="007F5C24"/>
    <w:rsid w:val="00801574"/>
    <w:rsid w:val="00805165"/>
    <w:rsid w:val="0080604A"/>
    <w:rsid w:val="008066A4"/>
    <w:rsid w:val="008068EC"/>
    <w:rsid w:val="00806E8A"/>
    <w:rsid w:val="00810112"/>
    <w:rsid w:val="008113E5"/>
    <w:rsid w:val="00813A32"/>
    <w:rsid w:val="00813CD0"/>
    <w:rsid w:val="00813D64"/>
    <w:rsid w:val="00815854"/>
    <w:rsid w:val="0081667C"/>
    <w:rsid w:val="0081722A"/>
    <w:rsid w:val="00830B6C"/>
    <w:rsid w:val="00831730"/>
    <w:rsid w:val="00831771"/>
    <w:rsid w:val="00831A38"/>
    <w:rsid w:val="00831F96"/>
    <w:rsid w:val="008352AF"/>
    <w:rsid w:val="00835F58"/>
    <w:rsid w:val="0084008D"/>
    <w:rsid w:val="00842E11"/>
    <w:rsid w:val="008513E9"/>
    <w:rsid w:val="00851A2D"/>
    <w:rsid w:val="00856287"/>
    <w:rsid w:val="00861B4E"/>
    <w:rsid w:val="00862DC7"/>
    <w:rsid w:val="00867618"/>
    <w:rsid w:val="00872FD7"/>
    <w:rsid w:val="008753F9"/>
    <w:rsid w:val="00875CF9"/>
    <w:rsid w:val="00880593"/>
    <w:rsid w:val="0088300A"/>
    <w:rsid w:val="008833F5"/>
    <w:rsid w:val="00894107"/>
    <w:rsid w:val="00896B0E"/>
    <w:rsid w:val="00896CE7"/>
    <w:rsid w:val="008A05AF"/>
    <w:rsid w:val="008A3BC4"/>
    <w:rsid w:val="008A4242"/>
    <w:rsid w:val="008A61A4"/>
    <w:rsid w:val="008A77ED"/>
    <w:rsid w:val="008B1252"/>
    <w:rsid w:val="008B2D56"/>
    <w:rsid w:val="008B3CA4"/>
    <w:rsid w:val="008B4203"/>
    <w:rsid w:val="008B4F8F"/>
    <w:rsid w:val="008B6DD2"/>
    <w:rsid w:val="008B751A"/>
    <w:rsid w:val="008C2510"/>
    <w:rsid w:val="008C272A"/>
    <w:rsid w:val="008C39D5"/>
    <w:rsid w:val="008C3BAF"/>
    <w:rsid w:val="008C4171"/>
    <w:rsid w:val="008C5D2E"/>
    <w:rsid w:val="008C6708"/>
    <w:rsid w:val="008D1927"/>
    <w:rsid w:val="008D3878"/>
    <w:rsid w:val="008D4EA8"/>
    <w:rsid w:val="008E0115"/>
    <w:rsid w:val="008E0B14"/>
    <w:rsid w:val="008E0EF4"/>
    <w:rsid w:val="008E2F3E"/>
    <w:rsid w:val="008E47A4"/>
    <w:rsid w:val="008E6A25"/>
    <w:rsid w:val="008E6D96"/>
    <w:rsid w:val="008E7D7A"/>
    <w:rsid w:val="008F1BF7"/>
    <w:rsid w:val="008F201B"/>
    <w:rsid w:val="008F2F38"/>
    <w:rsid w:val="008F417A"/>
    <w:rsid w:val="008F4509"/>
    <w:rsid w:val="008F5296"/>
    <w:rsid w:val="008F613E"/>
    <w:rsid w:val="00902FD3"/>
    <w:rsid w:val="00905A95"/>
    <w:rsid w:val="00907B96"/>
    <w:rsid w:val="009112CD"/>
    <w:rsid w:val="009133F8"/>
    <w:rsid w:val="0091374B"/>
    <w:rsid w:val="00915685"/>
    <w:rsid w:val="00924791"/>
    <w:rsid w:val="00924798"/>
    <w:rsid w:val="00925E8A"/>
    <w:rsid w:val="009275A6"/>
    <w:rsid w:val="00933189"/>
    <w:rsid w:val="0093395D"/>
    <w:rsid w:val="009348F1"/>
    <w:rsid w:val="00935D70"/>
    <w:rsid w:val="009430C2"/>
    <w:rsid w:val="0094421F"/>
    <w:rsid w:val="00944EFB"/>
    <w:rsid w:val="009464E6"/>
    <w:rsid w:val="0095485A"/>
    <w:rsid w:val="00954F4F"/>
    <w:rsid w:val="009561F1"/>
    <w:rsid w:val="009600F6"/>
    <w:rsid w:val="00962899"/>
    <w:rsid w:val="00970D02"/>
    <w:rsid w:val="00972184"/>
    <w:rsid w:val="00972D02"/>
    <w:rsid w:val="00973733"/>
    <w:rsid w:val="0097550F"/>
    <w:rsid w:val="00975D55"/>
    <w:rsid w:val="00976103"/>
    <w:rsid w:val="0098018F"/>
    <w:rsid w:val="0098527C"/>
    <w:rsid w:val="0098534F"/>
    <w:rsid w:val="00986E6A"/>
    <w:rsid w:val="00990785"/>
    <w:rsid w:val="00993339"/>
    <w:rsid w:val="0099588D"/>
    <w:rsid w:val="00996FCA"/>
    <w:rsid w:val="009A1053"/>
    <w:rsid w:val="009A1429"/>
    <w:rsid w:val="009A144D"/>
    <w:rsid w:val="009A15A0"/>
    <w:rsid w:val="009A2F98"/>
    <w:rsid w:val="009B217A"/>
    <w:rsid w:val="009B4821"/>
    <w:rsid w:val="009B4C2B"/>
    <w:rsid w:val="009B59D0"/>
    <w:rsid w:val="009C1A19"/>
    <w:rsid w:val="009C6518"/>
    <w:rsid w:val="009D0A17"/>
    <w:rsid w:val="009D3121"/>
    <w:rsid w:val="009D46C3"/>
    <w:rsid w:val="009D65B3"/>
    <w:rsid w:val="009D7F5A"/>
    <w:rsid w:val="009E0EA4"/>
    <w:rsid w:val="009E1D15"/>
    <w:rsid w:val="009E2058"/>
    <w:rsid w:val="009E2635"/>
    <w:rsid w:val="009E2C2E"/>
    <w:rsid w:val="009E73A2"/>
    <w:rsid w:val="009F5CD6"/>
    <w:rsid w:val="00A00D8B"/>
    <w:rsid w:val="00A04887"/>
    <w:rsid w:val="00A06B78"/>
    <w:rsid w:val="00A1117A"/>
    <w:rsid w:val="00A12689"/>
    <w:rsid w:val="00A12FD3"/>
    <w:rsid w:val="00A20DAC"/>
    <w:rsid w:val="00A23A09"/>
    <w:rsid w:val="00A305B4"/>
    <w:rsid w:val="00A40474"/>
    <w:rsid w:val="00A40574"/>
    <w:rsid w:val="00A4119A"/>
    <w:rsid w:val="00A41A2D"/>
    <w:rsid w:val="00A41F02"/>
    <w:rsid w:val="00A42566"/>
    <w:rsid w:val="00A453F4"/>
    <w:rsid w:val="00A460D8"/>
    <w:rsid w:val="00A50E32"/>
    <w:rsid w:val="00A52DD0"/>
    <w:rsid w:val="00A54E36"/>
    <w:rsid w:val="00A57174"/>
    <w:rsid w:val="00A60595"/>
    <w:rsid w:val="00A614E2"/>
    <w:rsid w:val="00A64458"/>
    <w:rsid w:val="00A65333"/>
    <w:rsid w:val="00A65B0B"/>
    <w:rsid w:val="00A668C9"/>
    <w:rsid w:val="00A67885"/>
    <w:rsid w:val="00A70F69"/>
    <w:rsid w:val="00A72021"/>
    <w:rsid w:val="00A745A9"/>
    <w:rsid w:val="00A74C37"/>
    <w:rsid w:val="00A75E6D"/>
    <w:rsid w:val="00A80C62"/>
    <w:rsid w:val="00A84E96"/>
    <w:rsid w:val="00A91C54"/>
    <w:rsid w:val="00A95165"/>
    <w:rsid w:val="00A9523B"/>
    <w:rsid w:val="00A95A16"/>
    <w:rsid w:val="00AA24AF"/>
    <w:rsid w:val="00AA49A4"/>
    <w:rsid w:val="00AA55F0"/>
    <w:rsid w:val="00AA7225"/>
    <w:rsid w:val="00AA79E3"/>
    <w:rsid w:val="00AB0B49"/>
    <w:rsid w:val="00AB269B"/>
    <w:rsid w:val="00AB2CDF"/>
    <w:rsid w:val="00AB3185"/>
    <w:rsid w:val="00AB324B"/>
    <w:rsid w:val="00AB3449"/>
    <w:rsid w:val="00AB531D"/>
    <w:rsid w:val="00AB57F9"/>
    <w:rsid w:val="00AB6B2E"/>
    <w:rsid w:val="00AB6CD2"/>
    <w:rsid w:val="00AC0662"/>
    <w:rsid w:val="00AC14EA"/>
    <w:rsid w:val="00AC590B"/>
    <w:rsid w:val="00AC7A76"/>
    <w:rsid w:val="00AC7FBD"/>
    <w:rsid w:val="00AD1820"/>
    <w:rsid w:val="00AD1C74"/>
    <w:rsid w:val="00AD294E"/>
    <w:rsid w:val="00AD3175"/>
    <w:rsid w:val="00AD392D"/>
    <w:rsid w:val="00AE6249"/>
    <w:rsid w:val="00AF3366"/>
    <w:rsid w:val="00AF6BCA"/>
    <w:rsid w:val="00B028C9"/>
    <w:rsid w:val="00B045A7"/>
    <w:rsid w:val="00B05531"/>
    <w:rsid w:val="00B115CB"/>
    <w:rsid w:val="00B2011B"/>
    <w:rsid w:val="00B21F1B"/>
    <w:rsid w:val="00B23714"/>
    <w:rsid w:val="00B2516B"/>
    <w:rsid w:val="00B25D1D"/>
    <w:rsid w:val="00B26ABA"/>
    <w:rsid w:val="00B2733D"/>
    <w:rsid w:val="00B34AA2"/>
    <w:rsid w:val="00B37CB4"/>
    <w:rsid w:val="00B40CF8"/>
    <w:rsid w:val="00B422F9"/>
    <w:rsid w:val="00B44441"/>
    <w:rsid w:val="00B44510"/>
    <w:rsid w:val="00B461AC"/>
    <w:rsid w:val="00B465A1"/>
    <w:rsid w:val="00B51B13"/>
    <w:rsid w:val="00B51B2F"/>
    <w:rsid w:val="00B53FDC"/>
    <w:rsid w:val="00B56541"/>
    <w:rsid w:val="00B566D8"/>
    <w:rsid w:val="00B56C96"/>
    <w:rsid w:val="00B60677"/>
    <w:rsid w:val="00B708F8"/>
    <w:rsid w:val="00B71CDF"/>
    <w:rsid w:val="00B72A41"/>
    <w:rsid w:val="00B7712B"/>
    <w:rsid w:val="00B80126"/>
    <w:rsid w:val="00B8276C"/>
    <w:rsid w:val="00B82A76"/>
    <w:rsid w:val="00B8381C"/>
    <w:rsid w:val="00B87968"/>
    <w:rsid w:val="00B87BF2"/>
    <w:rsid w:val="00B90406"/>
    <w:rsid w:val="00B977EF"/>
    <w:rsid w:val="00BA1344"/>
    <w:rsid w:val="00BA3B1C"/>
    <w:rsid w:val="00BA4A9C"/>
    <w:rsid w:val="00BA4CEA"/>
    <w:rsid w:val="00BA5432"/>
    <w:rsid w:val="00BA5853"/>
    <w:rsid w:val="00BA674A"/>
    <w:rsid w:val="00BA6FD4"/>
    <w:rsid w:val="00BB49A8"/>
    <w:rsid w:val="00BB614E"/>
    <w:rsid w:val="00BB7150"/>
    <w:rsid w:val="00BC39B3"/>
    <w:rsid w:val="00BC442D"/>
    <w:rsid w:val="00BC5741"/>
    <w:rsid w:val="00BC6CC7"/>
    <w:rsid w:val="00BC70E8"/>
    <w:rsid w:val="00BC72D8"/>
    <w:rsid w:val="00BD2BDB"/>
    <w:rsid w:val="00BD3BB9"/>
    <w:rsid w:val="00BE702F"/>
    <w:rsid w:val="00BF2469"/>
    <w:rsid w:val="00BF6CCC"/>
    <w:rsid w:val="00BF6D02"/>
    <w:rsid w:val="00C00363"/>
    <w:rsid w:val="00C01099"/>
    <w:rsid w:val="00C01D26"/>
    <w:rsid w:val="00C02924"/>
    <w:rsid w:val="00C02B23"/>
    <w:rsid w:val="00C02FF8"/>
    <w:rsid w:val="00C03A7F"/>
    <w:rsid w:val="00C10A46"/>
    <w:rsid w:val="00C10E04"/>
    <w:rsid w:val="00C1160E"/>
    <w:rsid w:val="00C14253"/>
    <w:rsid w:val="00C1570E"/>
    <w:rsid w:val="00C15CA7"/>
    <w:rsid w:val="00C16CAF"/>
    <w:rsid w:val="00C218A7"/>
    <w:rsid w:val="00C22E3C"/>
    <w:rsid w:val="00C23547"/>
    <w:rsid w:val="00C24132"/>
    <w:rsid w:val="00C25AE7"/>
    <w:rsid w:val="00C25B47"/>
    <w:rsid w:val="00C25FEE"/>
    <w:rsid w:val="00C274CD"/>
    <w:rsid w:val="00C32FE0"/>
    <w:rsid w:val="00C3334D"/>
    <w:rsid w:val="00C34907"/>
    <w:rsid w:val="00C408C4"/>
    <w:rsid w:val="00C40DF8"/>
    <w:rsid w:val="00C434EB"/>
    <w:rsid w:val="00C45F48"/>
    <w:rsid w:val="00C46086"/>
    <w:rsid w:val="00C51535"/>
    <w:rsid w:val="00C53331"/>
    <w:rsid w:val="00C5559C"/>
    <w:rsid w:val="00C60885"/>
    <w:rsid w:val="00C63712"/>
    <w:rsid w:val="00C63733"/>
    <w:rsid w:val="00C6395A"/>
    <w:rsid w:val="00C70B50"/>
    <w:rsid w:val="00C75C37"/>
    <w:rsid w:val="00C769A9"/>
    <w:rsid w:val="00C83CB6"/>
    <w:rsid w:val="00C8598C"/>
    <w:rsid w:val="00C8637F"/>
    <w:rsid w:val="00C91AFC"/>
    <w:rsid w:val="00C923CA"/>
    <w:rsid w:val="00C95010"/>
    <w:rsid w:val="00C95091"/>
    <w:rsid w:val="00C96875"/>
    <w:rsid w:val="00C970B9"/>
    <w:rsid w:val="00CA4C2B"/>
    <w:rsid w:val="00CB031E"/>
    <w:rsid w:val="00CB2DE6"/>
    <w:rsid w:val="00CB65A1"/>
    <w:rsid w:val="00CB69EF"/>
    <w:rsid w:val="00CB792B"/>
    <w:rsid w:val="00CB7F13"/>
    <w:rsid w:val="00CC482B"/>
    <w:rsid w:val="00CC4BD6"/>
    <w:rsid w:val="00CC5101"/>
    <w:rsid w:val="00CC54DC"/>
    <w:rsid w:val="00CC5D75"/>
    <w:rsid w:val="00CD0B1B"/>
    <w:rsid w:val="00CD4FDB"/>
    <w:rsid w:val="00CE1509"/>
    <w:rsid w:val="00CE4473"/>
    <w:rsid w:val="00CE671E"/>
    <w:rsid w:val="00D001E9"/>
    <w:rsid w:val="00D022EF"/>
    <w:rsid w:val="00D023B7"/>
    <w:rsid w:val="00D02486"/>
    <w:rsid w:val="00D03896"/>
    <w:rsid w:val="00D04045"/>
    <w:rsid w:val="00D106D2"/>
    <w:rsid w:val="00D11053"/>
    <w:rsid w:val="00D16392"/>
    <w:rsid w:val="00D16E13"/>
    <w:rsid w:val="00D20213"/>
    <w:rsid w:val="00D2035B"/>
    <w:rsid w:val="00D22430"/>
    <w:rsid w:val="00D24058"/>
    <w:rsid w:val="00D307BF"/>
    <w:rsid w:val="00D30C93"/>
    <w:rsid w:val="00D374D2"/>
    <w:rsid w:val="00D377C9"/>
    <w:rsid w:val="00D40DD3"/>
    <w:rsid w:val="00D41C77"/>
    <w:rsid w:val="00D43416"/>
    <w:rsid w:val="00D43834"/>
    <w:rsid w:val="00D44698"/>
    <w:rsid w:val="00D4524E"/>
    <w:rsid w:val="00D5077D"/>
    <w:rsid w:val="00D5200E"/>
    <w:rsid w:val="00D53003"/>
    <w:rsid w:val="00D54901"/>
    <w:rsid w:val="00D54D44"/>
    <w:rsid w:val="00D56A4B"/>
    <w:rsid w:val="00D60414"/>
    <w:rsid w:val="00D60F2B"/>
    <w:rsid w:val="00D64101"/>
    <w:rsid w:val="00D6534A"/>
    <w:rsid w:val="00D6538D"/>
    <w:rsid w:val="00D65B95"/>
    <w:rsid w:val="00D72FEC"/>
    <w:rsid w:val="00D758D6"/>
    <w:rsid w:val="00D7663D"/>
    <w:rsid w:val="00D76718"/>
    <w:rsid w:val="00D77B2F"/>
    <w:rsid w:val="00D82BAA"/>
    <w:rsid w:val="00D835FE"/>
    <w:rsid w:val="00D8466F"/>
    <w:rsid w:val="00D84FBD"/>
    <w:rsid w:val="00D85FED"/>
    <w:rsid w:val="00D86547"/>
    <w:rsid w:val="00D87BF4"/>
    <w:rsid w:val="00D902DC"/>
    <w:rsid w:val="00D91CC4"/>
    <w:rsid w:val="00D92B85"/>
    <w:rsid w:val="00D9446A"/>
    <w:rsid w:val="00DA0BEA"/>
    <w:rsid w:val="00DA1F7B"/>
    <w:rsid w:val="00DA2821"/>
    <w:rsid w:val="00DA32A4"/>
    <w:rsid w:val="00DA3E17"/>
    <w:rsid w:val="00DB0230"/>
    <w:rsid w:val="00DB0AE5"/>
    <w:rsid w:val="00DB39DF"/>
    <w:rsid w:val="00DB613B"/>
    <w:rsid w:val="00DB7805"/>
    <w:rsid w:val="00DC1CB7"/>
    <w:rsid w:val="00DC5FC5"/>
    <w:rsid w:val="00DD3C11"/>
    <w:rsid w:val="00DD43C8"/>
    <w:rsid w:val="00DD68D5"/>
    <w:rsid w:val="00DD7B4A"/>
    <w:rsid w:val="00DD7E09"/>
    <w:rsid w:val="00DE0633"/>
    <w:rsid w:val="00DE092F"/>
    <w:rsid w:val="00DE28A0"/>
    <w:rsid w:val="00DE4778"/>
    <w:rsid w:val="00DE4D6E"/>
    <w:rsid w:val="00DE5A36"/>
    <w:rsid w:val="00DE5BDC"/>
    <w:rsid w:val="00DE691A"/>
    <w:rsid w:val="00DF1877"/>
    <w:rsid w:val="00DF20A7"/>
    <w:rsid w:val="00DF2975"/>
    <w:rsid w:val="00DF5BEE"/>
    <w:rsid w:val="00DF6C93"/>
    <w:rsid w:val="00E014E6"/>
    <w:rsid w:val="00E0195C"/>
    <w:rsid w:val="00E023A5"/>
    <w:rsid w:val="00E0324F"/>
    <w:rsid w:val="00E0329B"/>
    <w:rsid w:val="00E05E55"/>
    <w:rsid w:val="00E07CDD"/>
    <w:rsid w:val="00E10851"/>
    <w:rsid w:val="00E11C0F"/>
    <w:rsid w:val="00E11E14"/>
    <w:rsid w:val="00E17181"/>
    <w:rsid w:val="00E2028C"/>
    <w:rsid w:val="00E210FA"/>
    <w:rsid w:val="00E21993"/>
    <w:rsid w:val="00E22F3C"/>
    <w:rsid w:val="00E23DE8"/>
    <w:rsid w:val="00E25D4F"/>
    <w:rsid w:val="00E27B88"/>
    <w:rsid w:val="00E355F2"/>
    <w:rsid w:val="00E35F48"/>
    <w:rsid w:val="00E41793"/>
    <w:rsid w:val="00E432DE"/>
    <w:rsid w:val="00E44B9B"/>
    <w:rsid w:val="00E44E47"/>
    <w:rsid w:val="00E466C0"/>
    <w:rsid w:val="00E46790"/>
    <w:rsid w:val="00E4696B"/>
    <w:rsid w:val="00E46A27"/>
    <w:rsid w:val="00E50257"/>
    <w:rsid w:val="00E541C5"/>
    <w:rsid w:val="00E54CBE"/>
    <w:rsid w:val="00E55F12"/>
    <w:rsid w:val="00E61776"/>
    <w:rsid w:val="00E62DC9"/>
    <w:rsid w:val="00E65E5E"/>
    <w:rsid w:val="00E66236"/>
    <w:rsid w:val="00E67B70"/>
    <w:rsid w:val="00E7142D"/>
    <w:rsid w:val="00E74059"/>
    <w:rsid w:val="00E74605"/>
    <w:rsid w:val="00E76316"/>
    <w:rsid w:val="00E77B2F"/>
    <w:rsid w:val="00E816CF"/>
    <w:rsid w:val="00E956F7"/>
    <w:rsid w:val="00E97B8E"/>
    <w:rsid w:val="00EA40F3"/>
    <w:rsid w:val="00EA531C"/>
    <w:rsid w:val="00EA61A6"/>
    <w:rsid w:val="00EA7C9F"/>
    <w:rsid w:val="00EB1255"/>
    <w:rsid w:val="00EB4DEC"/>
    <w:rsid w:val="00EB50A5"/>
    <w:rsid w:val="00EB5E63"/>
    <w:rsid w:val="00EB69B4"/>
    <w:rsid w:val="00EC2E2C"/>
    <w:rsid w:val="00EC33FF"/>
    <w:rsid w:val="00EC43E9"/>
    <w:rsid w:val="00EC4525"/>
    <w:rsid w:val="00EC5101"/>
    <w:rsid w:val="00EC7305"/>
    <w:rsid w:val="00ED010C"/>
    <w:rsid w:val="00ED0696"/>
    <w:rsid w:val="00ED2112"/>
    <w:rsid w:val="00ED3119"/>
    <w:rsid w:val="00ED35AC"/>
    <w:rsid w:val="00ED45C0"/>
    <w:rsid w:val="00ED5ECE"/>
    <w:rsid w:val="00EE21C1"/>
    <w:rsid w:val="00EE38EB"/>
    <w:rsid w:val="00EE3E5E"/>
    <w:rsid w:val="00EE5E5F"/>
    <w:rsid w:val="00EE7DF1"/>
    <w:rsid w:val="00EF30C6"/>
    <w:rsid w:val="00EF3838"/>
    <w:rsid w:val="00EF4549"/>
    <w:rsid w:val="00EF4724"/>
    <w:rsid w:val="00EF5D1A"/>
    <w:rsid w:val="00EF6C85"/>
    <w:rsid w:val="00EF7D8C"/>
    <w:rsid w:val="00F0058C"/>
    <w:rsid w:val="00F038BA"/>
    <w:rsid w:val="00F03AB9"/>
    <w:rsid w:val="00F12A8C"/>
    <w:rsid w:val="00F132A3"/>
    <w:rsid w:val="00F15BA5"/>
    <w:rsid w:val="00F228CB"/>
    <w:rsid w:val="00F23E6C"/>
    <w:rsid w:val="00F24193"/>
    <w:rsid w:val="00F251D3"/>
    <w:rsid w:val="00F30F0A"/>
    <w:rsid w:val="00F32A38"/>
    <w:rsid w:val="00F3490E"/>
    <w:rsid w:val="00F37CB6"/>
    <w:rsid w:val="00F41652"/>
    <w:rsid w:val="00F4448E"/>
    <w:rsid w:val="00F505C9"/>
    <w:rsid w:val="00F54DD1"/>
    <w:rsid w:val="00F60702"/>
    <w:rsid w:val="00F6103B"/>
    <w:rsid w:val="00F64E6A"/>
    <w:rsid w:val="00F658B2"/>
    <w:rsid w:val="00F702C2"/>
    <w:rsid w:val="00F72968"/>
    <w:rsid w:val="00F737EC"/>
    <w:rsid w:val="00F7554B"/>
    <w:rsid w:val="00F768D5"/>
    <w:rsid w:val="00F80ABB"/>
    <w:rsid w:val="00F81BBB"/>
    <w:rsid w:val="00F8424E"/>
    <w:rsid w:val="00F85E02"/>
    <w:rsid w:val="00F86272"/>
    <w:rsid w:val="00F876CC"/>
    <w:rsid w:val="00F87C29"/>
    <w:rsid w:val="00F92B4E"/>
    <w:rsid w:val="00F93F14"/>
    <w:rsid w:val="00F941B4"/>
    <w:rsid w:val="00F9559F"/>
    <w:rsid w:val="00F95FF4"/>
    <w:rsid w:val="00F96F92"/>
    <w:rsid w:val="00F97D63"/>
    <w:rsid w:val="00FA11A2"/>
    <w:rsid w:val="00FA15C9"/>
    <w:rsid w:val="00FB056A"/>
    <w:rsid w:val="00FB0C57"/>
    <w:rsid w:val="00FB1240"/>
    <w:rsid w:val="00FB4816"/>
    <w:rsid w:val="00FB7403"/>
    <w:rsid w:val="00FC24EE"/>
    <w:rsid w:val="00FC2AC0"/>
    <w:rsid w:val="00FD34E2"/>
    <w:rsid w:val="00FD592E"/>
    <w:rsid w:val="00FD7E80"/>
    <w:rsid w:val="00FE08DC"/>
    <w:rsid w:val="00FE4358"/>
    <w:rsid w:val="00FE448C"/>
    <w:rsid w:val="00FE5F0E"/>
    <w:rsid w:val="00FE6467"/>
    <w:rsid w:val="00FE740F"/>
    <w:rsid w:val="00FF0BD2"/>
    <w:rsid w:val="00FF391F"/>
    <w:rsid w:val="05755151"/>
    <w:rsid w:val="07B2707D"/>
    <w:rsid w:val="0B59600A"/>
    <w:rsid w:val="126D079E"/>
    <w:rsid w:val="15D53B97"/>
    <w:rsid w:val="1DCE76B6"/>
    <w:rsid w:val="21221A4F"/>
    <w:rsid w:val="2C2A6079"/>
    <w:rsid w:val="339E766D"/>
    <w:rsid w:val="37F654F8"/>
    <w:rsid w:val="3B4D5BA5"/>
    <w:rsid w:val="3BEB312C"/>
    <w:rsid w:val="3F2C2464"/>
    <w:rsid w:val="412D27C7"/>
    <w:rsid w:val="44AD627B"/>
    <w:rsid w:val="470714B3"/>
    <w:rsid w:val="5082572B"/>
    <w:rsid w:val="58627A53"/>
    <w:rsid w:val="59473209"/>
    <w:rsid w:val="5A967521"/>
    <w:rsid w:val="603963E5"/>
    <w:rsid w:val="62AA6ECF"/>
    <w:rsid w:val="673742C6"/>
    <w:rsid w:val="6BDA19CA"/>
    <w:rsid w:val="795E4FB7"/>
    <w:rsid w:val="79F7305C"/>
    <w:rsid w:val="7C5F42CE"/>
    <w:rsid w:val="F1FD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9" w:semiHidden="0" w:name="heading 3"/>
    <w:lsdException w:qFormat="1" w:uiPriority="9" w:semiHidden="0" w:name="heading 4"/>
    <w:lsdException w:qFormat="1" w:uiPriority="9" w:semiHidden="0" w:name="heading 5"/>
    <w:lsdException w:qFormat="1" w:uiPriority="9" w:semiHidden="0" w:name="heading 6"/>
    <w:lsdException w:qFormat="1" w:uiPriority="99" w:semiHidden="0" w:name="heading 7"/>
    <w:lsdException w:qFormat="1" w:uiPriority="99" w:semiHidden="0" w:name="heading 8"/>
    <w:lsdException w:qFormat="1" w:uiPriority="99" w:semiHidden="0" w:name="heading 9"/>
    <w:lsdException w:uiPriority="99" w:name="index 1"/>
    <w:lsdException w:qFormat="1"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4"/>
    <w:unhideWhenUsed/>
    <w:qFormat/>
    <w:uiPriority w:val="99"/>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link w:val="85"/>
    <w:unhideWhenUsed/>
    <w:qFormat/>
    <w:uiPriority w:val="9"/>
    <w:pPr>
      <w:keepNext/>
      <w:keepLines/>
      <w:widowControl/>
      <w:spacing w:before="120" w:after="120" w:line="360" w:lineRule="auto"/>
      <w:jc w:val="left"/>
      <w:outlineLvl w:val="3"/>
    </w:pPr>
    <w:rPr>
      <w:rFonts w:ascii="Times New Roman" w:hAnsi="Times New Roman" w:eastAsia="仿宋_GB2312" w:cstheme="majorBidi"/>
      <w:b/>
      <w:bCs/>
      <w:sz w:val="28"/>
      <w:szCs w:val="28"/>
    </w:rPr>
  </w:style>
  <w:style w:type="paragraph" w:styleId="6">
    <w:name w:val="heading 5"/>
    <w:basedOn w:val="1"/>
    <w:next w:val="1"/>
    <w:link w:val="86"/>
    <w:unhideWhenUsed/>
    <w:qFormat/>
    <w:uiPriority w:val="9"/>
    <w:pPr>
      <w:keepNext/>
      <w:keepLines/>
      <w:spacing w:before="280" w:after="290" w:line="374" w:lineRule="auto"/>
      <w:outlineLvl w:val="4"/>
    </w:pPr>
    <w:rPr>
      <w:rFonts w:ascii="Times New Roman" w:hAnsi="Times New Roman" w:eastAsia="宋体" w:cs="Times New Roman"/>
      <w:b/>
      <w:bCs/>
      <w:sz w:val="28"/>
      <w:szCs w:val="28"/>
    </w:rPr>
  </w:style>
  <w:style w:type="paragraph" w:styleId="7">
    <w:name w:val="heading 6"/>
    <w:basedOn w:val="1"/>
    <w:next w:val="1"/>
    <w:link w:val="87"/>
    <w:unhideWhenUsed/>
    <w:qFormat/>
    <w:uiPriority w:val="9"/>
    <w:pPr>
      <w:keepNext/>
      <w:keepLines/>
      <w:spacing w:before="240" w:after="64" w:line="319" w:lineRule="auto"/>
      <w:outlineLvl w:val="5"/>
    </w:pPr>
    <w:rPr>
      <w:rFonts w:ascii="Cambria" w:hAnsi="Cambria" w:eastAsia="宋体" w:cs="Times New Roman"/>
      <w:b/>
      <w:bCs/>
      <w:sz w:val="24"/>
      <w:szCs w:val="24"/>
    </w:rPr>
  </w:style>
  <w:style w:type="paragraph" w:styleId="8">
    <w:name w:val="heading 7"/>
    <w:basedOn w:val="1"/>
    <w:next w:val="1"/>
    <w:link w:val="88"/>
    <w:unhideWhenUsed/>
    <w:qFormat/>
    <w:uiPriority w:val="99"/>
    <w:pPr>
      <w:keepNext/>
      <w:keepLines/>
      <w:spacing w:before="200"/>
      <w:outlineLvl w:val="6"/>
    </w:pPr>
    <w:rPr>
      <w:rFonts w:ascii="Cambria" w:hAnsi="Cambria" w:eastAsia="宋体" w:cs="Times New Roman"/>
      <w:i/>
      <w:iCs/>
      <w:color w:val="404040"/>
      <w:sz w:val="28"/>
    </w:rPr>
  </w:style>
  <w:style w:type="paragraph" w:styleId="9">
    <w:name w:val="heading 8"/>
    <w:basedOn w:val="1"/>
    <w:next w:val="1"/>
    <w:link w:val="89"/>
    <w:unhideWhenUsed/>
    <w:qFormat/>
    <w:uiPriority w:val="99"/>
    <w:pPr>
      <w:keepNext/>
      <w:keepLines/>
      <w:spacing w:before="200"/>
      <w:outlineLvl w:val="7"/>
    </w:pPr>
    <w:rPr>
      <w:rFonts w:ascii="Cambria" w:hAnsi="Cambria" w:eastAsia="宋体" w:cs="Times New Roman"/>
      <w:color w:val="4F81BD"/>
      <w:sz w:val="28"/>
    </w:rPr>
  </w:style>
  <w:style w:type="paragraph" w:styleId="10">
    <w:name w:val="heading 9"/>
    <w:basedOn w:val="1"/>
    <w:next w:val="1"/>
    <w:link w:val="90"/>
    <w:unhideWhenUsed/>
    <w:qFormat/>
    <w:uiPriority w:val="99"/>
    <w:pPr>
      <w:keepNext/>
      <w:keepLines/>
      <w:spacing w:before="200"/>
      <w:outlineLvl w:val="8"/>
    </w:pPr>
    <w:rPr>
      <w:rFonts w:ascii="Cambria" w:hAnsi="Cambria" w:eastAsia="宋体" w:cs="Times New Roman"/>
      <w:i/>
      <w:iCs/>
      <w:color w:val="404040"/>
      <w:sz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adjustRightInd w:val="0"/>
      <w:snapToGrid w:val="0"/>
      <w:ind w:left="1320"/>
      <w:jc w:val="left"/>
    </w:pPr>
    <w:rPr>
      <w:rFonts w:eastAsia="微软雅黑" w:cstheme="minorHAnsi"/>
      <w:kern w:val="0"/>
      <w:sz w:val="18"/>
      <w:szCs w:val="18"/>
    </w:rPr>
  </w:style>
  <w:style w:type="paragraph" w:styleId="12">
    <w:name w:val="Normal Indent"/>
    <w:basedOn w:val="1"/>
    <w:unhideWhenUsed/>
    <w:qFormat/>
    <w:uiPriority w:val="0"/>
    <w:pPr>
      <w:ind w:firstLine="420" w:firstLineChars="200"/>
    </w:pPr>
    <w:rPr>
      <w:rFonts w:ascii="Times New Roman" w:hAnsi="Times New Roman" w:eastAsia="宋体" w:cs="Times New Roman"/>
      <w:szCs w:val="24"/>
    </w:rPr>
  </w:style>
  <w:style w:type="paragraph" w:styleId="13">
    <w:name w:val="caption"/>
    <w:basedOn w:val="1"/>
    <w:next w:val="1"/>
    <w:unhideWhenUsed/>
    <w:qFormat/>
    <w:uiPriority w:val="35"/>
    <w:rPr>
      <w:rFonts w:ascii="Cambria" w:hAnsi="Cambria" w:eastAsia="黑体" w:cs="Times New Roman"/>
      <w:sz w:val="20"/>
      <w:szCs w:val="20"/>
    </w:rPr>
  </w:style>
  <w:style w:type="paragraph" w:styleId="14">
    <w:name w:val="Document Map"/>
    <w:basedOn w:val="1"/>
    <w:link w:val="83"/>
    <w:unhideWhenUsed/>
    <w:qFormat/>
    <w:uiPriority w:val="99"/>
    <w:rPr>
      <w:rFonts w:ascii="宋体" w:eastAsia="宋体"/>
      <w:sz w:val="18"/>
      <w:szCs w:val="18"/>
    </w:rPr>
  </w:style>
  <w:style w:type="paragraph" w:styleId="15">
    <w:name w:val="annotation text"/>
    <w:basedOn w:val="1"/>
    <w:link w:val="106"/>
    <w:unhideWhenUsed/>
    <w:qFormat/>
    <w:uiPriority w:val="99"/>
    <w:pPr>
      <w:widowControl/>
      <w:adjustRightInd w:val="0"/>
      <w:snapToGrid w:val="0"/>
      <w:spacing w:after="200"/>
      <w:jc w:val="left"/>
    </w:pPr>
    <w:rPr>
      <w:rFonts w:ascii="Tahoma" w:hAnsi="Tahoma" w:eastAsia="微软雅黑"/>
      <w:kern w:val="0"/>
      <w:sz w:val="22"/>
    </w:rPr>
  </w:style>
  <w:style w:type="paragraph" w:styleId="16">
    <w:name w:val="Body Text 3"/>
    <w:basedOn w:val="1"/>
    <w:link w:val="120"/>
    <w:unhideWhenUsed/>
    <w:qFormat/>
    <w:uiPriority w:val="99"/>
    <w:pPr>
      <w:widowControl/>
      <w:spacing w:after="120"/>
      <w:jc w:val="left"/>
    </w:pPr>
    <w:rPr>
      <w:rFonts w:ascii="Times New Roman" w:hAnsi="Times New Roman" w:eastAsia="宋体" w:cs="Times New Roman"/>
      <w:sz w:val="16"/>
      <w:szCs w:val="16"/>
    </w:rPr>
  </w:style>
  <w:style w:type="paragraph" w:styleId="17">
    <w:name w:val="Body Text"/>
    <w:basedOn w:val="1"/>
    <w:link w:val="71"/>
    <w:unhideWhenUsed/>
    <w:qFormat/>
    <w:uiPriority w:val="99"/>
    <w:pPr>
      <w:spacing w:after="120"/>
    </w:pPr>
    <w:rPr>
      <w:rFonts w:ascii="Times New Roman" w:hAnsi="Times New Roman" w:eastAsia="宋体" w:cs="Times New Roman"/>
      <w:szCs w:val="24"/>
    </w:rPr>
  </w:style>
  <w:style w:type="paragraph" w:styleId="18">
    <w:name w:val="Body Text Indent"/>
    <w:basedOn w:val="1"/>
    <w:link w:val="117"/>
    <w:unhideWhenUsed/>
    <w:qFormat/>
    <w:uiPriority w:val="0"/>
    <w:pPr>
      <w:spacing w:after="120"/>
      <w:ind w:left="420" w:leftChars="200"/>
    </w:pPr>
    <w:rPr>
      <w:rFonts w:ascii="Times New Roman" w:hAnsi="Times New Roman" w:eastAsia="宋体" w:cs="Times New Roman"/>
      <w:szCs w:val="20"/>
    </w:rPr>
  </w:style>
  <w:style w:type="paragraph" w:styleId="19">
    <w:name w:val="List 2"/>
    <w:basedOn w:val="1"/>
    <w:unhideWhenUsed/>
    <w:qFormat/>
    <w:uiPriority w:val="0"/>
    <w:pPr>
      <w:ind w:left="100" w:leftChars="200" w:hanging="200" w:hangingChars="200"/>
    </w:pPr>
    <w:rPr>
      <w:rFonts w:ascii="Times New Roman" w:hAnsi="Times New Roman" w:eastAsia="宋体" w:cs="Times New Roman"/>
      <w:szCs w:val="21"/>
    </w:rPr>
  </w:style>
  <w:style w:type="paragraph" w:styleId="20">
    <w:name w:val="toc 5"/>
    <w:basedOn w:val="1"/>
    <w:next w:val="1"/>
    <w:unhideWhenUsed/>
    <w:qFormat/>
    <w:uiPriority w:val="39"/>
    <w:pPr>
      <w:widowControl/>
      <w:adjustRightInd w:val="0"/>
      <w:snapToGrid w:val="0"/>
      <w:ind w:left="880"/>
      <w:jc w:val="left"/>
    </w:pPr>
    <w:rPr>
      <w:rFonts w:eastAsia="微软雅黑" w:cstheme="minorHAnsi"/>
      <w:kern w:val="0"/>
      <w:sz w:val="18"/>
      <w:szCs w:val="18"/>
    </w:rPr>
  </w:style>
  <w:style w:type="paragraph" w:styleId="21">
    <w:name w:val="toc 3"/>
    <w:basedOn w:val="1"/>
    <w:next w:val="1"/>
    <w:unhideWhenUsed/>
    <w:qFormat/>
    <w:uiPriority w:val="39"/>
    <w:pPr>
      <w:widowControl/>
      <w:adjustRightInd w:val="0"/>
      <w:snapToGrid w:val="0"/>
      <w:ind w:left="440"/>
      <w:jc w:val="left"/>
    </w:pPr>
    <w:rPr>
      <w:rFonts w:eastAsia="微软雅黑" w:cstheme="minorHAnsi"/>
      <w:i/>
      <w:iCs/>
      <w:kern w:val="0"/>
      <w:sz w:val="20"/>
      <w:szCs w:val="20"/>
    </w:rPr>
  </w:style>
  <w:style w:type="paragraph" w:styleId="22">
    <w:name w:val="Plain Text"/>
    <w:basedOn w:val="1"/>
    <w:link w:val="78"/>
    <w:qFormat/>
    <w:uiPriority w:val="0"/>
    <w:rPr>
      <w:rFonts w:ascii="宋体" w:hAnsi="Courier New" w:eastAsia="宋体" w:cs="Times New Roman"/>
      <w:szCs w:val="21"/>
    </w:rPr>
  </w:style>
  <w:style w:type="paragraph" w:styleId="23">
    <w:name w:val="toc 8"/>
    <w:basedOn w:val="1"/>
    <w:next w:val="1"/>
    <w:unhideWhenUsed/>
    <w:qFormat/>
    <w:uiPriority w:val="39"/>
    <w:pPr>
      <w:widowControl/>
      <w:adjustRightInd w:val="0"/>
      <w:snapToGrid w:val="0"/>
      <w:ind w:left="1540"/>
      <w:jc w:val="left"/>
    </w:pPr>
    <w:rPr>
      <w:rFonts w:eastAsia="微软雅黑" w:cstheme="minorHAnsi"/>
      <w:kern w:val="0"/>
      <w:sz w:val="18"/>
      <w:szCs w:val="18"/>
    </w:rPr>
  </w:style>
  <w:style w:type="paragraph" w:styleId="24">
    <w:name w:val="Date"/>
    <w:basedOn w:val="1"/>
    <w:next w:val="1"/>
    <w:link w:val="81"/>
    <w:unhideWhenUsed/>
    <w:qFormat/>
    <w:uiPriority w:val="99"/>
    <w:pPr>
      <w:ind w:left="100" w:leftChars="2500"/>
    </w:pPr>
  </w:style>
  <w:style w:type="paragraph" w:styleId="25">
    <w:name w:val="Body Text Indent 2"/>
    <w:basedOn w:val="1"/>
    <w:link w:val="121"/>
    <w:unhideWhenUsed/>
    <w:qFormat/>
    <w:uiPriority w:val="0"/>
    <w:pPr>
      <w:spacing w:line="420" w:lineRule="exact"/>
      <w:ind w:firstLine="480" w:firstLineChars="200"/>
    </w:pPr>
    <w:rPr>
      <w:rFonts w:ascii="Times New Roman" w:hAnsi="Times New Roman" w:eastAsia="宋体" w:cs="Times New Roman"/>
      <w:sz w:val="24"/>
      <w:szCs w:val="24"/>
    </w:rPr>
  </w:style>
  <w:style w:type="paragraph" w:styleId="26">
    <w:name w:val="endnote text"/>
    <w:basedOn w:val="1"/>
    <w:link w:val="76"/>
    <w:semiHidden/>
    <w:unhideWhenUsed/>
    <w:qFormat/>
    <w:uiPriority w:val="99"/>
    <w:pPr>
      <w:snapToGrid w:val="0"/>
      <w:jc w:val="left"/>
    </w:pPr>
  </w:style>
  <w:style w:type="paragraph" w:styleId="27">
    <w:name w:val="Balloon Text"/>
    <w:basedOn w:val="1"/>
    <w:link w:val="68"/>
    <w:unhideWhenUsed/>
    <w:qFormat/>
    <w:uiPriority w:val="99"/>
    <w:rPr>
      <w:sz w:val="18"/>
      <w:szCs w:val="18"/>
    </w:rPr>
  </w:style>
  <w:style w:type="paragraph" w:styleId="28">
    <w:name w:val="footer"/>
    <w:basedOn w:val="1"/>
    <w:link w:val="58"/>
    <w:unhideWhenUsed/>
    <w:qFormat/>
    <w:uiPriority w:val="99"/>
    <w:pPr>
      <w:tabs>
        <w:tab w:val="center" w:pos="4153"/>
        <w:tab w:val="right" w:pos="8306"/>
      </w:tabs>
      <w:snapToGrid w:val="0"/>
      <w:jc w:val="left"/>
    </w:pPr>
    <w:rPr>
      <w:sz w:val="18"/>
      <w:szCs w:val="18"/>
    </w:rPr>
  </w:style>
  <w:style w:type="paragraph" w:styleId="29">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widowControl/>
      <w:spacing w:before="120" w:after="120"/>
      <w:jc w:val="left"/>
    </w:pPr>
    <w:rPr>
      <w:rFonts w:eastAsia="宋体" w:cs="Times New Roman"/>
      <w:b/>
      <w:bCs/>
      <w:caps/>
      <w:sz w:val="20"/>
      <w:szCs w:val="20"/>
    </w:rPr>
  </w:style>
  <w:style w:type="paragraph" w:styleId="31">
    <w:name w:val="toc 4"/>
    <w:basedOn w:val="1"/>
    <w:next w:val="1"/>
    <w:unhideWhenUsed/>
    <w:qFormat/>
    <w:uiPriority w:val="39"/>
    <w:pPr>
      <w:widowControl/>
      <w:adjustRightInd w:val="0"/>
      <w:snapToGrid w:val="0"/>
      <w:ind w:left="660"/>
      <w:jc w:val="left"/>
    </w:pPr>
    <w:rPr>
      <w:rFonts w:eastAsia="微软雅黑" w:cstheme="minorHAnsi"/>
      <w:kern w:val="0"/>
      <w:sz w:val="18"/>
      <w:szCs w:val="18"/>
    </w:rPr>
  </w:style>
  <w:style w:type="paragraph" w:styleId="32">
    <w:name w:val="Subtitle"/>
    <w:basedOn w:val="1"/>
    <w:next w:val="1"/>
    <w:link w:val="91"/>
    <w:qFormat/>
    <w:uiPriority w:val="0"/>
    <w:pPr>
      <w:widowControl/>
      <w:spacing w:before="120" w:after="120" w:line="360" w:lineRule="auto"/>
      <w:jc w:val="left"/>
      <w:outlineLvl w:val="2"/>
    </w:pPr>
    <w:rPr>
      <w:rFonts w:ascii="Times New Roman" w:hAnsi="Times New Roman" w:eastAsia="黑体" w:cs="Times New Roman"/>
      <w:b/>
      <w:bCs/>
      <w:kern w:val="28"/>
      <w:sz w:val="30"/>
      <w:szCs w:val="32"/>
    </w:rPr>
  </w:style>
  <w:style w:type="paragraph" w:styleId="33">
    <w:name w:val="footnote text"/>
    <w:basedOn w:val="1"/>
    <w:link w:val="72"/>
    <w:unhideWhenUsed/>
    <w:qFormat/>
    <w:uiPriority w:val="0"/>
    <w:pPr>
      <w:snapToGrid w:val="0"/>
      <w:jc w:val="left"/>
    </w:pPr>
    <w:rPr>
      <w:rFonts w:ascii="Calibri" w:hAnsi="Calibri" w:eastAsia="宋体" w:cs="Times New Roman"/>
      <w:sz w:val="18"/>
      <w:szCs w:val="18"/>
    </w:rPr>
  </w:style>
  <w:style w:type="paragraph" w:styleId="34">
    <w:name w:val="toc 6"/>
    <w:basedOn w:val="1"/>
    <w:next w:val="1"/>
    <w:unhideWhenUsed/>
    <w:qFormat/>
    <w:uiPriority w:val="39"/>
    <w:pPr>
      <w:widowControl/>
      <w:adjustRightInd w:val="0"/>
      <w:snapToGrid w:val="0"/>
      <w:ind w:left="1100"/>
      <w:jc w:val="left"/>
    </w:pPr>
    <w:rPr>
      <w:rFonts w:eastAsia="微软雅黑" w:cstheme="minorHAnsi"/>
      <w:kern w:val="0"/>
      <w:sz w:val="18"/>
      <w:szCs w:val="18"/>
    </w:rPr>
  </w:style>
  <w:style w:type="paragraph" w:styleId="35">
    <w:name w:val="Body Text Indent 3"/>
    <w:basedOn w:val="1"/>
    <w:link w:val="122"/>
    <w:unhideWhenUsed/>
    <w:qFormat/>
    <w:uiPriority w:val="0"/>
    <w:pPr>
      <w:spacing w:after="120"/>
      <w:ind w:left="200" w:leftChars="200"/>
    </w:pPr>
    <w:rPr>
      <w:rFonts w:ascii="Times New Roman" w:hAnsi="Times New Roman" w:eastAsia="宋体" w:cs="Times New Roman"/>
      <w:sz w:val="16"/>
      <w:szCs w:val="16"/>
    </w:rPr>
  </w:style>
  <w:style w:type="paragraph" w:styleId="36">
    <w:name w:val="toc 2"/>
    <w:basedOn w:val="1"/>
    <w:next w:val="1"/>
    <w:qFormat/>
    <w:uiPriority w:val="39"/>
    <w:pPr>
      <w:widowControl/>
      <w:ind w:left="210"/>
      <w:jc w:val="left"/>
    </w:pPr>
    <w:rPr>
      <w:rFonts w:eastAsia="宋体" w:cs="Times New Roman"/>
      <w:smallCaps/>
      <w:sz w:val="20"/>
      <w:szCs w:val="20"/>
    </w:rPr>
  </w:style>
  <w:style w:type="paragraph" w:styleId="37">
    <w:name w:val="toc 9"/>
    <w:basedOn w:val="1"/>
    <w:next w:val="1"/>
    <w:unhideWhenUsed/>
    <w:qFormat/>
    <w:uiPriority w:val="39"/>
    <w:pPr>
      <w:widowControl/>
      <w:adjustRightInd w:val="0"/>
      <w:snapToGrid w:val="0"/>
      <w:ind w:left="1760"/>
      <w:jc w:val="left"/>
    </w:pPr>
    <w:rPr>
      <w:rFonts w:eastAsia="微软雅黑" w:cstheme="minorHAnsi"/>
      <w:kern w:val="0"/>
      <w:sz w:val="18"/>
      <w:szCs w:val="18"/>
    </w:rPr>
  </w:style>
  <w:style w:type="paragraph" w:styleId="38">
    <w:name w:val="Body Text 2"/>
    <w:basedOn w:val="1"/>
    <w:link w:val="119"/>
    <w:unhideWhenUsed/>
    <w:qFormat/>
    <w:uiPriority w:val="0"/>
    <w:pPr>
      <w:spacing w:after="120" w:line="480" w:lineRule="auto"/>
    </w:pPr>
    <w:rPr>
      <w:rFonts w:ascii="Times New Roman" w:hAnsi="Times New Roman" w:eastAsia="宋体" w:cs="Times New Roman"/>
      <w:szCs w:val="20"/>
    </w:rPr>
  </w:style>
  <w:style w:type="paragraph" w:styleId="39">
    <w:name w:val="List Continue 2"/>
    <w:basedOn w:val="1"/>
    <w:unhideWhenUsed/>
    <w:qFormat/>
    <w:uiPriority w:val="0"/>
    <w:pPr>
      <w:spacing w:after="120"/>
      <w:ind w:left="840" w:leftChars="400"/>
    </w:pPr>
    <w:rPr>
      <w:rFonts w:ascii="Times New Roman" w:hAnsi="Times New Roman" w:eastAsia="宋体" w:cs="Times New Roman"/>
      <w:szCs w:val="21"/>
    </w:rPr>
  </w:style>
  <w:style w:type="paragraph" w:styleId="40">
    <w:name w:val="HTML Preformatted"/>
    <w:basedOn w:val="1"/>
    <w:link w:val="1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sz w:val="24"/>
      <w:szCs w:val="24"/>
    </w:rPr>
  </w:style>
  <w:style w:type="paragraph" w:styleId="4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index 2"/>
    <w:basedOn w:val="1"/>
    <w:next w:val="1"/>
    <w:semiHidden/>
    <w:unhideWhenUsed/>
    <w:qFormat/>
    <w:uiPriority w:val="0"/>
    <w:pPr>
      <w:ind w:left="200" w:leftChars="200"/>
    </w:pPr>
    <w:rPr>
      <w:rFonts w:ascii="Times New Roman" w:hAnsi="Times New Roman" w:eastAsia="宋体" w:cs="Times New Roman"/>
      <w:szCs w:val="24"/>
    </w:rPr>
  </w:style>
  <w:style w:type="paragraph" w:styleId="43">
    <w:name w:val="Title"/>
    <w:basedOn w:val="1"/>
    <w:next w:val="1"/>
    <w:link w:val="62"/>
    <w:qFormat/>
    <w:uiPriority w:val="10"/>
    <w:pPr>
      <w:spacing w:before="240" w:after="60" w:line="520" w:lineRule="exact"/>
      <w:ind w:firstLine="200" w:firstLineChars="200"/>
      <w:jc w:val="center"/>
      <w:outlineLvl w:val="0"/>
    </w:pPr>
    <w:rPr>
      <w:rFonts w:ascii="Cambria" w:hAnsi="Cambria" w:eastAsia="黑体"/>
      <w:b/>
      <w:bCs/>
      <w:sz w:val="36"/>
      <w:szCs w:val="32"/>
    </w:rPr>
  </w:style>
  <w:style w:type="paragraph" w:styleId="44">
    <w:name w:val="annotation subject"/>
    <w:basedOn w:val="15"/>
    <w:next w:val="15"/>
    <w:link w:val="107"/>
    <w:unhideWhenUsed/>
    <w:qFormat/>
    <w:uiPriority w:val="0"/>
    <w:rPr>
      <w:b/>
      <w:bCs/>
    </w:rPr>
  </w:style>
  <w:style w:type="paragraph" w:styleId="45">
    <w:name w:val="Body Text First Indent"/>
    <w:basedOn w:val="17"/>
    <w:link w:val="104"/>
    <w:unhideWhenUsed/>
    <w:qFormat/>
    <w:uiPriority w:val="0"/>
    <w:pPr>
      <w:ind w:firstLine="420" w:firstLineChars="100"/>
    </w:pPr>
    <w:rPr>
      <w:rFonts w:asciiTheme="minorHAnsi" w:hAnsiTheme="minorHAnsi" w:eastAsiaTheme="minorEastAsia" w:cstheme="minorBidi"/>
      <w:szCs w:val="22"/>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99"/>
    <w:rPr>
      <w:b/>
      <w:bCs/>
    </w:rPr>
  </w:style>
  <w:style w:type="character" w:styleId="50">
    <w:name w:val="endnote reference"/>
    <w:basedOn w:val="48"/>
    <w:semiHidden/>
    <w:unhideWhenUsed/>
    <w:uiPriority w:val="99"/>
    <w:rPr>
      <w:vertAlign w:val="superscript"/>
    </w:rPr>
  </w:style>
  <w:style w:type="character" w:styleId="51">
    <w:name w:val="page number"/>
    <w:qFormat/>
    <w:uiPriority w:val="0"/>
  </w:style>
  <w:style w:type="character" w:styleId="52">
    <w:name w:val="FollowedHyperlink"/>
    <w:unhideWhenUsed/>
    <w:qFormat/>
    <w:uiPriority w:val="99"/>
    <w:rPr>
      <w:color w:val="800080"/>
      <w:u w:val="single"/>
    </w:rPr>
  </w:style>
  <w:style w:type="character" w:styleId="53">
    <w:name w:val="Emphasis"/>
    <w:qFormat/>
    <w:uiPriority w:val="20"/>
    <w:rPr>
      <w:color w:val="CC0000"/>
    </w:rPr>
  </w:style>
  <w:style w:type="character" w:styleId="54">
    <w:name w:val="Hyperlink"/>
    <w:basedOn w:val="48"/>
    <w:unhideWhenUsed/>
    <w:qFormat/>
    <w:uiPriority w:val="99"/>
    <w:rPr>
      <w:color w:val="0000FF"/>
      <w:u w:val="single"/>
    </w:rPr>
  </w:style>
  <w:style w:type="character" w:styleId="55">
    <w:name w:val="annotation reference"/>
    <w:basedOn w:val="48"/>
    <w:unhideWhenUsed/>
    <w:qFormat/>
    <w:uiPriority w:val="99"/>
    <w:rPr>
      <w:sz w:val="21"/>
      <w:szCs w:val="21"/>
    </w:rPr>
  </w:style>
  <w:style w:type="character" w:styleId="56">
    <w:name w:val="footnote reference"/>
    <w:basedOn w:val="48"/>
    <w:unhideWhenUsed/>
    <w:qFormat/>
    <w:uiPriority w:val="0"/>
    <w:rPr>
      <w:vertAlign w:val="superscript"/>
    </w:rPr>
  </w:style>
  <w:style w:type="character" w:customStyle="1" w:styleId="57">
    <w:name w:val="页眉 字符"/>
    <w:basedOn w:val="48"/>
    <w:link w:val="29"/>
    <w:qFormat/>
    <w:uiPriority w:val="99"/>
    <w:rPr>
      <w:sz w:val="18"/>
      <w:szCs w:val="18"/>
    </w:rPr>
  </w:style>
  <w:style w:type="character" w:customStyle="1" w:styleId="58">
    <w:name w:val="页脚 字符"/>
    <w:basedOn w:val="48"/>
    <w:link w:val="28"/>
    <w:qFormat/>
    <w:uiPriority w:val="99"/>
    <w:rPr>
      <w:sz w:val="18"/>
      <w:szCs w:val="18"/>
    </w:rPr>
  </w:style>
  <w:style w:type="character" w:customStyle="1" w:styleId="59">
    <w:name w:val="标题 1 字符"/>
    <w:basedOn w:val="48"/>
    <w:link w:val="2"/>
    <w:qFormat/>
    <w:uiPriority w:val="0"/>
    <w:rPr>
      <w:b/>
      <w:bCs/>
      <w:kern w:val="44"/>
      <w:sz w:val="44"/>
      <w:szCs w:val="44"/>
    </w:rPr>
  </w:style>
  <w:style w:type="paragraph" w:customStyle="1" w:styleId="60">
    <w:name w:val="TOC 标题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61">
    <w:name w:val="标题 2 字符"/>
    <w:basedOn w:val="48"/>
    <w:link w:val="3"/>
    <w:qFormat/>
    <w:uiPriority w:val="9"/>
    <w:rPr>
      <w:rFonts w:asciiTheme="majorHAnsi" w:hAnsiTheme="majorHAnsi" w:eastAsiaTheme="majorEastAsia" w:cstheme="majorBidi"/>
      <w:b/>
      <w:bCs/>
      <w:sz w:val="32"/>
      <w:szCs w:val="32"/>
    </w:rPr>
  </w:style>
  <w:style w:type="character" w:customStyle="1" w:styleId="62">
    <w:name w:val="标题 字符"/>
    <w:basedOn w:val="48"/>
    <w:link w:val="43"/>
    <w:qFormat/>
    <w:uiPriority w:val="99"/>
    <w:rPr>
      <w:rFonts w:ascii="Cambria" w:hAnsi="Cambria" w:eastAsia="黑体"/>
      <w:b/>
      <w:bCs/>
      <w:sz w:val="36"/>
      <w:szCs w:val="32"/>
    </w:rPr>
  </w:style>
  <w:style w:type="paragraph" w:customStyle="1" w:styleId="63">
    <w:name w:val="★本文 正文"/>
    <w:basedOn w:val="1"/>
    <w:link w:val="64"/>
    <w:qFormat/>
    <w:uiPriority w:val="0"/>
    <w:pPr>
      <w:spacing w:line="360" w:lineRule="auto"/>
      <w:ind w:firstLine="560" w:firstLineChars="200"/>
    </w:pPr>
    <w:rPr>
      <w:rFonts w:ascii="Calibri" w:hAnsi="Calibri" w:eastAsia="仿宋_GB2312" w:cs="Times New Roman"/>
      <w:color w:val="000000"/>
      <w:sz w:val="28"/>
    </w:rPr>
  </w:style>
  <w:style w:type="character" w:customStyle="1" w:styleId="64">
    <w:name w:val="★本文 正文 Char Char"/>
    <w:link w:val="63"/>
    <w:qFormat/>
    <w:uiPriority w:val="0"/>
    <w:rPr>
      <w:rFonts w:ascii="Calibri" w:hAnsi="Calibri" w:eastAsia="仿宋_GB2312" w:cs="Times New Roman"/>
      <w:color w:val="000000"/>
      <w:sz w:val="28"/>
    </w:rPr>
  </w:style>
  <w:style w:type="paragraph" w:customStyle="1" w:styleId="65">
    <w:name w:val="★1.1二级标题"/>
    <w:basedOn w:val="1"/>
    <w:qFormat/>
    <w:uiPriority w:val="0"/>
    <w:pPr>
      <w:spacing w:before="120" w:after="120" w:line="360" w:lineRule="auto"/>
      <w:outlineLvl w:val="1"/>
    </w:pPr>
    <w:rPr>
      <w:rFonts w:ascii="Times New Roman" w:hAnsi="Times New Roman" w:eastAsia="黑体" w:cs="宋体"/>
      <w:color w:val="000000"/>
      <w:sz w:val="32"/>
      <w:szCs w:val="20"/>
    </w:rPr>
  </w:style>
  <w:style w:type="character" w:customStyle="1" w:styleId="66">
    <w:name w:val="标题 2 Char1"/>
    <w:qFormat/>
    <w:uiPriority w:val="0"/>
    <w:rPr>
      <w:rFonts w:ascii="Arial" w:hAnsi="Arial" w:eastAsia="黑体" w:cs="Times New Roman"/>
      <w:b/>
      <w:sz w:val="32"/>
      <w:szCs w:val="20"/>
    </w:rPr>
  </w:style>
  <w:style w:type="character" w:customStyle="1" w:styleId="67">
    <w:name w:val="description"/>
    <w:basedOn w:val="48"/>
    <w:qFormat/>
    <w:uiPriority w:val="0"/>
  </w:style>
  <w:style w:type="character" w:customStyle="1" w:styleId="68">
    <w:name w:val="批注框文本 字符"/>
    <w:basedOn w:val="48"/>
    <w:link w:val="27"/>
    <w:qFormat/>
    <w:uiPriority w:val="99"/>
    <w:rPr>
      <w:sz w:val="18"/>
      <w:szCs w:val="18"/>
    </w:rPr>
  </w:style>
  <w:style w:type="character" w:customStyle="1" w:styleId="69">
    <w:name w:val="apple-converted-space"/>
    <w:basedOn w:val="48"/>
    <w:qFormat/>
    <w:uiPriority w:val="0"/>
  </w:style>
  <w:style w:type="character" w:customStyle="1" w:styleId="70">
    <w:name w:val="正文文本 Char"/>
    <w:basedOn w:val="48"/>
    <w:qFormat/>
    <w:uiPriority w:val="99"/>
  </w:style>
  <w:style w:type="character" w:customStyle="1" w:styleId="71">
    <w:name w:val="正文文本 字符"/>
    <w:basedOn w:val="48"/>
    <w:link w:val="17"/>
    <w:qFormat/>
    <w:uiPriority w:val="99"/>
    <w:rPr>
      <w:rFonts w:ascii="Times New Roman" w:hAnsi="Times New Roman" w:eastAsia="宋体" w:cs="Times New Roman"/>
      <w:szCs w:val="24"/>
    </w:rPr>
  </w:style>
  <w:style w:type="character" w:customStyle="1" w:styleId="72">
    <w:name w:val="脚注文本 字符"/>
    <w:basedOn w:val="48"/>
    <w:link w:val="33"/>
    <w:qFormat/>
    <w:uiPriority w:val="0"/>
    <w:rPr>
      <w:rFonts w:ascii="Calibri" w:hAnsi="Calibri" w:eastAsia="宋体" w:cs="Times New Roman"/>
      <w:sz w:val="18"/>
      <w:szCs w:val="18"/>
    </w:rPr>
  </w:style>
  <w:style w:type="paragraph" w:customStyle="1" w:styleId="73">
    <w:name w:val="正文文本缩进1"/>
    <w:basedOn w:val="1"/>
    <w:qFormat/>
    <w:uiPriority w:val="0"/>
    <w:pPr>
      <w:ind w:firstLine="600"/>
    </w:pPr>
    <w:rPr>
      <w:rFonts w:ascii="Times New Roman" w:hAnsi="Times New Roman" w:eastAsia="宋体" w:cs="Times New Roman"/>
      <w:sz w:val="30"/>
      <w:szCs w:val="24"/>
    </w:rPr>
  </w:style>
  <w:style w:type="paragraph" w:styleId="74">
    <w:name w:val="List Paragraph"/>
    <w:basedOn w:val="1"/>
    <w:qFormat/>
    <w:uiPriority w:val="34"/>
    <w:pPr>
      <w:ind w:firstLine="420" w:firstLineChars="200"/>
    </w:pPr>
  </w:style>
  <w:style w:type="paragraph" w:customStyle="1" w:styleId="75">
    <w:name w:val="正文 New New New New New New New New New New New New New New New New New New New New New New New New"/>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character" w:customStyle="1" w:styleId="76">
    <w:name w:val="尾注文本 字符"/>
    <w:basedOn w:val="48"/>
    <w:link w:val="26"/>
    <w:semiHidden/>
    <w:qFormat/>
    <w:uiPriority w:val="99"/>
  </w:style>
  <w:style w:type="paragraph" w:customStyle="1" w:styleId="77">
    <w:name w:val="正文 New"/>
    <w:qFormat/>
    <w:uiPriority w:val="0"/>
    <w:pPr>
      <w:widowControl w:val="0"/>
      <w:jc w:val="both"/>
    </w:pPr>
    <w:rPr>
      <w:rFonts w:ascii="Calibri" w:hAnsi="Calibri" w:eastAsia="仿宋_GB2312" w:cs="Times New Roman"/>
      <w:kern w:val="2"/>
      <w:sz w:val="32"/>
      <w:szCs w:val="24"/>
      <w:lang w:val="en-US" w:eastAsia="zh-CN" w:bidi="ar-SA"/>
    </w:rPr>
  </w:style>
  <w:style w:type="character" w:customStyle="1" w:styleId="78">
    <w:name w:val="纯文本 字符"/>
    <w:basedOn w:val="48"/>
    <w:link w:val="22"/>
    <w:qFormat/>
    <w:uiPriority w:val="0"/>
    <w:rPr>
      <w:rFonts w:ascii="宋体" w:hAnsi="Courier New" w:eastAsia="宋体" w:cs="Times New Roman"/>
      <w:szCs w:val="21"/>
    </w:rPr>
  </w:style>
  <w:style w:type="paragraph" w:customStyle="1" w:styleId="79">
    <w:name w:val="段"/>
    <w:link w:val="8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0">
    <w:name w:val="段 Char"/>
    <w:link w:val="79"/>
    <w:qFormat/>
    <w:uiPriority w:val="0"/>
    <w:rPr>
      <w:rFonts w:ascii="宋体" w:hAnsi="Times New Roman" w:eastAsia="宋体" w:cs="Times New Roman"/>
      <w:kern w:val="0"/>
      <w:szCs w:val="20"/>
    </w:rPr>
  </w:style>
  <w:style w:type="character" w:customStyle="1" w:styleId="81">
    <w:name w:val="日期 字符"/>
    <w:basedOn w:val="48"/>
    <w:link w:val="24"/>
    <w:qFormat/>
    <w:uiPriority w:val="99"/>
  </w:style>
  <w:style w:type="paragraph" w:customStyle="1" w:styleId="8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83">
    <w:name w:val="文档结构图 字符"/>
    <w:basedOn w:val="48"/>
    <w:link w:val="14"/>
    <w:qFormat/>
    <w:uiPriority w:val="99"/>
    <w:rPr>
      <w:rFonts w:ascii="宋体" w:eastAsia="宋体"/>
      <w:sz w:val="18"/>
      <w:szCs w:val="18"/>
    </w:rPr>
  </w:style>
  <w:style w:type="character" w:customStyle="1" w:styleId="84">
    <w:name w:val="标题 3 字符"/>
    <w:basedOn w:val="48"/>
    <w:link w:val="4"/>
    <w:qFormat/>
    <w:uiPriority w:val="99"/>
    <w:rPr>
      <w:rFonts w:ascii="Times New Roman" w:hAnsi="Times New Roman" w:eastAsia="宋体" w:cs="Times New Roman"/>
      <w:b/>
      <w:bCs/>
      <w:sz w:val="32"/>
      <w:szCs w:val="32"/>
    </w:rPr>
  </w:style>
  <w:style w:type="character" w:customStyle="1" w:styleId="85">
    <w:name w:val="标题 4 字符"/>
    <w:basedOn w:val="48"/>
    <w:link w:val="5"/>
    <w:qFormat/>
    <w:uiPriority w:val="9"/>
    <w:rPr>
      <w:rFonts w:ascii="Times New Roman" w:hAnsi="Times New Roman" w:eastAsia="仿宋_GB2312" w:cstheme="majorBidi"/>
      <w:b/>
      <w:bCs/>
      <w:sz w:val="28"/>
      <w:szCs w:val="28"/>
    </w:rPr>
  </w:style>
  <w:style w:type="character" w:customStyle="1" w:styleId="86">
    <w:name w:val="标题 5 字符"/>
    <w:basedOn w:val="48"/>
    <w:link w:val="6"/>
    <w:qFormat/>
    <w:uiPriority w:val="9"/>
    <w:rPr>
      <w:rFonts w:ascii="Times New Roman" w:hAnsi="Times New Roman" w:eastAsia="宋体" w:cs="Times New Roman"/>
      <w:b/>
      <w:bCs/>
      <w:sz w:val="28"/>
      <w:szCs w:val="28"/>
    </w:rPr>
  </w:style>
  <w:style w:type="character" w:customStyle="1" w:styleId="87">
    <w:name w:val="标题 6 字符"/>
    <w:basedOn w:val="48"/>
    <w:link w:val="7"/>
    <w:qFormat/>
    <w:uiPriority w:val="9"/>
    <w:rPr>
      <w:rFonts w:ascii="Cambria" w:hAnsi="Cambria" w:eastAsia="宋体" w:cs="Times New Roman"/>
      <w:b/>
      <w:bCs/>
      <w:sz w:val="24"/>
      <w:szCs w:val="24"/>
    </w:rPr>
  </w:style>
  <w:style w:type="character" w:customStyle="1" w:styleId="88">
    <w:name w:val="标题 7 字符"/>
    <w:basedOn w:val="48"/>
    <w:link w:val="8"/>
    <w:qFormat/>
    <w:uiPriority w:val="99"/>
    <w:rPr>
      <w:rFonts w:ascii="Cambria" w:hAnsi="Cambria" w:eastAsia="宋体" w:cs="Times New Roman"/>
      <w:i/>
      <w:iCs/>
      <w:color w:val="404040"/>
      <w:sz w:val="28"/>
    </w:rPr>
  </w:style>
  <w:style w:type="character" w:customStyle="1" w:styleId="89">
    <w:name w:val="标题 8 字符"/>
    <w:basedOn w:val="48"/>
    <w:link w:val="9"/>
    <w:qFormat/>
    <w:uiPriority w:val="99"/>
    <w:rPr>
      <w:rFonts w:ascii="Cambria" w:hAnsi="Cambria" w:eastAsia="宋体" w:cs="Times New Roman"/>
      <w:color w:val="4F81BD"/>
      <w:sz w:val="28"/>
    </w:rPr>
  </w:style>
  <w:style w:type="character" w:customStyle="1" w:styleId="90">
    <w:name w:val="标题 9 字符"/>
    <w:basedOn w:val="48"/>
    <w:link w:val="10"/>
    <w:qFormat/>
    <w:uiPriority w:val="99"/>
    <w:rPr>
      <w:rFonts w:ascii="Cambria" w:hAnsi="Cambria" w:eastAsia="宋体" w:cs="Times New Roman"/>
      <w:i/>
      <w:iCs/>
      <w:color w:val="404040"/>
      <w:sz w:val="28"/>
    </w:rPr>
  </w:style>
  <w:style w:type="character" w:customStyle="1" w:styleId="91">
    <w:name w:val="副标题 字符"/>
    <w:basedOn w:val="48"/>
    <w:link w:val="32"/>
    <w:qFormat/>
    <w:uiPriority w:val="0"/>
    <w:rPr>
      <w:rFonts w:ascii="Times New Roman" w:hAnsi="Times New Roman" w:eastAsia="黑体" w:cs="Times New Roman"/>
      <w:b/>
      <w:bCs/>
      <w:kern w:val="28"/>
      <w:sz w:val="30"/>
      <w:szCs w:val="32"/>
    </w:rPr>
  </w:style>
  <w:style w:type="paragraph" w:customStyle="1" w:styleId="92">
    <w:name w:val="大标题"/>
    <w:basedOn w:val="1"/>
    <w:link w:val="94"/>
    <w:qFormat/>
    <w:uiPriority w:val="0"/>
    <w:pPr>
      <w:keepNext/>
      <w:keepLines/>
      <w:autoSpaceDE w:val="0"/>
      <w:autoSpaceDN w:val="0"/>
      <w:spacing w:before="240" w:after="240" w:line="360" w:lineRule="auto"/>
      <w:jc w:val="center"/>
      <w:outlineLvl w:val="0"/>
    </w:pPr>
    <w:rPr>
      <w:rFonts w:ascii="Times New Roman" w:hAnsi="Times New Roman" w:eastAsia="黑体" w:cs="Times New Roman"/>
      <w:b/>
      <w:bCs/>
      <w:kern w:val="44"/>
      <w:sz w:val="36"/>
      <w:szCs w:val="36"/>
    </w:rPr>
  </w:style>
  <w:style w:type="paragraph" w:customStyle="1" w:styleId="93">
    <w:name w:val="一级标题"/>
    <w:basedOn w:val="1"/>
    <w:link w:val="96"/>
    <w:qFormat/>
    <w:uiPriority w:val="0"/>
    <w:pPr>
      <w:keepNext/>
      <w:keepLines/>
      <w:autoSpaceDE w:val="0"/>
      <w:autoSpaceDN w:val="0"/>
      <w:spacing w:before="160" w:after="160" w:line="360" w:lineRule="auto"/>
      <w:jc w:val="left"/>
      <w:outlineLvl w:val="1"/>
    </w:pPr>
    <w:rPr>
      <w:rFonts w:ascii="Times New Roman" w:hAnsi="Times New Roman" w:eastAsia="黑体" w:cs="Times New Roman"/>
      <w:b/>
      <w:bCs/>
      <w:sz w:val="32"/>
      <w:szCs w:val="32"/>
    </w:rPr>
  </w:style>
  <w:style w:type="character" w:customStyle="1" w:styleId="94">
    <w:name w:val="大标题 字符"/>
    <w:basedOn w:val="48"/>
    <w:link w:val="92"/>
    <w:qFormat/>
    <w:uiPriority w:val="0"/>
    <w:rPr>
      <w:rFonts w:ascii="Times New Roman" w:hAnsi="Times New Roman" w:eastAsia="黑体" w:cs="Times New Roman"/>
      <w:b/>
      <w:bCs/>
      <w:kern w:val="44"/>
      <w:sz w:val="36"/>
      <w:szCs w:val="36"/>
    </w:rPr>
  </w:style>
  <w:style w:type="paragraph" w:customStyle="1" w:styleId="95">
    <w:name w:val="二级标题"/>
    <w:basedOn w:val="1"/>
    <w:link w:val="98"/>
    <w:qFormat/>
    <w:uiPriority w:val="0"/>
    <w:pPr>
      <w:spacing w:beforeLines="50" w:afterLines="50" w:line="360" w:lineRule="auto"/>
      <w:jc w:val="left"/>
      <w:outlineLvl w:val="2"/>
    </w:pPr>
    <w:rPr>
      <w:rFonts w:ascii="Times New Roman" w:hAnsi="Times New Roman" w:eastAsia="黑体" w:cs="Times New Roman"/>
      <w:b/>
      <w:sz w:val="30"/>
      <w:szCs w:val="30"/>
    </w:rPr>
  </w:style>
  <w:style w:type="character" w:customStyle="1" w:styleId="96">
    <w:name w:val="一级标题 字符"/>
    <w:basedOn w:val="48"/>
    <w:link w:val="93"/>
    <w:qFormat/>
    <w:uiPriority w:val="0"/>
    <w:rPr>
      <w:rFonts w:ascii="Times New Roman" w:hAnsi="Times New Roman" w:eastAsia="黑体" w:cs="Times New Roman"/>
      <w:b/>
      <w:bCs/>
      <w:sz w:val="32"/>
      <w:szCs w:val="32"/>
    </w:rPr>
  </w:style>
  <w:style w:type="paragraph" w:customStyle="1" w:styleId="97">
    <w:name w:val="正文内容"/>
    <w:basedOn w:val="1"/>
    <w:link w:val="100"/>
    <w:qFormat/>
    <w:uiPriority w:val="0"/>
    <w:pPr>
      <w:spacing w:line="360" w:lineRule="auto"/>
      <w:ind w:firstLine="560" w:firstLineChars="200"/>
    </w:pPr>
    <w:rPr>
      <w:rFonts w:ascii="Times New Roman" w:hAnsi="Times New Roman" w:eastAsia="仿宋_GB2312" w:cs="Times New Roman"/>
      <w:sz w:val="28"/>
      <w:szCs w:val="28"/>
    </w:rPr>
  </w:style>
  <w:style w:type="character" w:customStyle="1" w:styleId="98">
    <w:name w:val="二级标题 字符"/>
    <w:basedOn w:val="48"/>
    <w:link w:val="95"/>
    <w:qFormat/>
    <w:uiPriority w:val="0"/>
    <w:rPr>
      <w:rFonts w:ascii="Times New Roman" w:hAnsi="Times New Roman" w:eastAsia="黑体" w:cs="Times New Roman"/>
      <w:b/>
      <w:sz w:val="30"/>
      <w:szCs w:val="30"/>
    </w:rPr>
  </w:style>
  <w:style w:type="paragraph" w:customStyle="1" w:styleId="99">
    <w:name w:val="三级标题"/>
    <w:basedOn w:val="1"/>
    <w:link w:val="101"/>
    <w:qFormat/>
    <w:uiPriority w:val="0"/>
    <w:pPr>
      <w:keepNext/>
      <w:keepLines/>
      <w:spacing w:before="120" w:after="120" w:line="360" w:lineRule="auto"/>
      <w:jc w:val="left"/>
      <w:outlineLvl w:val="3"/>
    </w:pPr>
    <w:rPr>
      <w:rFonts w:ascii="Times New Roman" w:hAnsi="Times New Roman" w:eastAsia="仿宋_GB2312" w:cs="Times New Roman"/>
      <w:b/>
      <w:bCs/>
      <w:sz w:val="28"/>
      <w:szCs w:val="28"/>
    </w:rPr>
  </w:style>
  <w:style w:type="character" w:customStyle="1" w:styleId="100">
    <w:name w:val="正文内容 字符"/>
    <w:basedOn w:val="48"/>
    <w:link w:val="97"/>
    <w:qFormat/>
    <w:uiPriority w:val="0"/>
    <w:rPr>
      <w:rFonts w:ascii="Times New Roman" w:hAnsi="Times New Roman" w:eastAsia="仿宋_GB2312" w:cs="Times New Roman"/>
      <w:sz w:val="28"/>
      <w:szCs w:val="28"/>
    </w:rPr>
  </w:style>
  <w:style w:type="character" w:customStyle="1" w:styleId="101">
    <w:name w:val="三级标题 字符"/>
    <w:basedOn w:val="48"/>
    <w:link w:val="99"/>
    <w:qFormat/>
    <w:uiPriority w:val="0"/>
    <w:rPr>
      <w:rFonts w:ascii="Times New Roman" w:hAnsi="Times New Roman" w:eastAsia="仿宋_GB2312" w:cs="Times New Roman"/>
      <w:b/>
      <w:bCs/>
      <w:sz w:val="28"/>
      <w:szCs w:val="28"/>
    </w:rPr>
  </w:style>
  <w:style w:type="paragraph" w:customStyle="1" w:styleId="102">
    <w:name w:val="★章标题"/>
    <w:basedOn w:val="1"/>
    <w:qFormat/>
    <w:uiPriority w:val="0"/>
    <w:pPr>
      <w:spacing w:before="120" w:after="120" w:line="360" w:lineRule="auto"/>
      <w:ind w:firstLine="200" w:firstLineChars="200"/>
      <w:jc w:val="center"/>
      <w:outlineLvl w:val="0"/>
    </w:pPr>
    <w:rPr>
      <w:rFonts w:ascii="Times New Roman" w:hAnsi="Times New Roman" w:eastAsia="黑体" w:cs="宋体"/>
      <w:b/>
      <w:bCs/>
      <w:color w:val="000000"/>
      <w:kern w:val="44"/>
      <w:sz w:val="44"/>
      <w:szCs w:val="20"/>
    </w:rPr>
  </w:style>
  <w:style w:type="paragraph" w:customStyle="1" w:styleId="103">
    <w:name w:val="福安一级标题"/>
    <w:basedOn w:val="1"/>
    <w:link w:val="472"/>
    <w:qFormat/>
    <w:uiPriority w:val="0"/>
    <w:pPr>
      <w:keepNext/>
      <w:keepLines/>
      <w:autoSpaceDE w:val="0"/>
      <w:autoSpaceDN w:val="0"/>
      <w:spacing w:before="160" w:after="160" w:line="360" w:lineRule="auto"/>
      <w:jc w:val="left"/>
      <w:outlineLvl w:val="1"/>
    </w:pPr>
    <w:rPr>
      <w:rFonts w:ascii="Times New Roman" w:hAnsi="Times New Roman" w:eastAsia="黑体" w:cs="Times New Roman"/>
      <w:b/>
      <w:bCs/>
      <w:sz w:val="32"/>
      <w:szCs w:val="32"/>
    </w:rPr>
  </w:style>
  <w:style w:type="character" w:customStyle="1" w:styleId="104">
    <w:name w:val="正文文本首行缩进 字符"/>
    <w:basedOn w:val="71"/>
    <w:link w:val="45"/>
    <w:qFormat/>
    <w:uiPriority w:val="0"/>
    <w:rPr>
      <w:rFonts w:ascii="Times New Roman" w:hAnsi="Times New Roman" w:eastAsia="宋体" w:cs="Times New Roman"/>
      <w:szCs w:val="24"/>
    </w:rPr>
  </w:style>
  <w:style w:type="character" w:customStyle="1" w:styleId="105">
    <w:name w:val="★本文 正文 Char"/>
    <w:qFormat/>
    <w:uiPriority w:val="0"/>
    <w:rPr>
      <w:rFonts w:ascii="Times New Roman" w:hAnsi="Times New Roman" w:eastAsia="仿宋_GB2312" w:cs="Times New Roman"/>
      <w:kern w:val="2"/>
      <w:sz w:val="28"/>
      <w:szCs w:val="20"/>
    </w:rPr>
  </w:style>
  <w:style w:type="character" w:customStyle="1" w:styleId="106">
    <w:name w:val="批注文字 字符"/>
    <w:basedOn w:val="48"/>
    <w:link w:val="15"/>
    <w:qFormat/>
    <w:uiPriority w:val="99"/>
    <w:rPr>
      <w:rFonts w:ascii="Tahoma" w:hAnsi="Tahoma" w:eastAsia="微软雅黑"/>
      <w:kern w:val="0"/>
      <w:sz w:val="22"/>
    </w:rPr>
  </w:style>
  <w:style w:type="character" w:customStyle="1" w:styleId="107">
    <w:name w:val="批注主题 字符"/>
    <w:basedOn w:val="106"/>
    <w:link w:val="44"/>
    <w:qFormat/>
    <w:uiPriority w:val="0"/>
    <w:rPr>
      <w:rFonts w:ascii="Tahoma" w:hAnsi="Tahoma" w:eastAsia="微软雅黑"/>
      <w:b/>
      <w:bCs/>
      <w:kern w:val="0"/>
      <w:sz w:val="22"/>
    </w:rPr>
  </w:style>
  <w:style w:type="table" w:customStyle="1" w:styleId="108">
    <w:name w:val="网格型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表头 表7-1-居中"/>
    <w:basedOn w:val="1"/>
    <w:qFormat/>
    <w:uiPriority w:val="0"/>
    <w:pPr>
      <w:widowControl/>
      <w:spacing w:beforeLines="50" w:afterLines="50" w:line="360" w:lineRule="auto"/>
      <w:ind w:firstLine="200" w:firstLineChars="200"/>
      <w:jc w:val="center"/>
    </w:pPr>
    <w:rPr>
      <w:rFonts w:ascii="Times New Roman" w:hAnsi="Times New Roman" w:eastAsia="仿宋_GB2312" w:cs="宋体"/>
      <w:b/>
      <w:color w:val="000000"/>
      <w:sz w:val="24"/>
      <w:szCs w:val="20"/>
    </w:rPr>
  </w:style>
  <w:style w:type="paragraph" w:customStyle="1" w:styleId="110">
    <w:name w:val="★1.1.1三级标题"/>
    <w:basedOn w:val="1"/>
    <w:qFormat/>
    <w:uiPriority w:val="0"/>
    <w:pPr>
      <w:spacing w:line="360" w:lineRule="auto"/>
      <w:outlineLvl w:val="2"/>
    </w:pPr>
    <w:rPr>
      <w:rFonts w:ascii="Times New Roman" w:hAnsi="Times New Roman" w:eastAsia="黑体" w:cs="宋体"/>
      <w:color w:val="000000"/>
      <w:sz w:val="30"/>
      <w:szCs w:val="20"/>
    </w:rPr>
  </w:style>
  <w:style w:type="paragraph" w:customStyle="1" w:styleId="111">
    <w:name w:val="Normal1"/>
    <w:qFormat/>
    <w:uiPriority w:val="0"/>
    <w:pPr>
      <w:jc w:val="both"/>
    </w:pPr>
    <w:rPr>
      <w:rFonts w:ascii="Calibri" w:hAnsi="Calibri" w:eastAsia="宋体" w:cs="Times New Roman"/>
      <w:kern w:val="2"/>
      <w:sz w:val="21"/>
      <w:szCs w:val="21"/>
      <w:lang w:val="en-US" w:eastAsia="zh-CN" w:bidi="ar-SA"/>
    </w:rPr>
  </w:style>
  <w:style w:type="character" w:customStyle="1" w:styleId="112">
    <w:name w:val="标题 1 字符1"/>
    <w:basedOn w:val="48"/>
    <w:qFormat/>
    <w:uiPriority w:val="0"/>
    <w:rPr>
      <w:rFonts w:ascii="Times New Roman" w:hAnsi="Times New Roman" w:eastAsia="宋体"/>
      <w:b/>
      <w:bCs/>
      <w:kern w:val="44"/>
      <w:sz w:val="44"/>
      <w:szCs w:val="44"/>
    </w:rPr>
  </w:style>
  <w:style w:type="character" w:customStyle="1" w:styleId="113">
    <w:name w:val="标题 2 字符1"/>
    <w:basedOn w:val="48"/>
    <w:semiHidden/>
    <w:qFormat/>
    <w:uiPriority w:val="0"/>
    <w:rPr>
      <w:rFonts w:ascii="Cambria" w:hAnsi="Cambria" w:eastAsia="宋体" w:cs="Times New Roman"/>
      <w:b/>
      <w:bCs/>
      <w:kern w:val="2"/>
      <w:sz w:val="32"/>
      <w:szCs w:val="32"/>
    </w:rPr>
  </w:style>
  <w:style w:type="character" w:customStyle="1" w:styleId="114">
    <w:name w:val="标题 3 字符1"/>
    <w:basedOn w:val="48"/>
    <w:semiHidden/>
    <w:qFormat/>
    <w:uiPriority w:val="0"/>
    <w:rPr>
      <w:rFonts w:ascii="Times New Roman" w:hAnsi="Times New Roman" w:eastAsia="宋体"/>
      <w:b/>
      <w:bCs/>
      <w:kern w:val="2"/>
      <w:sz w:val="32"/>
      <w:szCs w:val="32"/>
    </w:rPr>
  </w:style>
  <w:style w:type="character" w:customStyle="1" w:styleId="115">
    <w:name w:val="HTML 预设格式 字符"/>
    <w:basedOn w:val="48"/>
    <w:link w:val="40"/>
    <w:qFormat/>
    <w:uiPriority w:val="99"/>
    <w:rPr>
      <w:rFonts w:ascii="Arial" w:hAnsi="Arial" w:eastAsia="宋体" w:cs="Times New Roman"/>
      <w:sz w:val="24"/>
      <w:szCs w:val="24"/>
    </w:rPr>
  </w:style>
  <w:style w:type="paragraph" w:customStyle="1" w:styleId="116">
    <w:name w:val="msonormal"/>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7">
    <w:name w:val="正文文本缩进 字符"/>
    <w:basedOn w:val="48"/>
    <w:link w:val="18"/>
    <w:qFormat/>
    <w:uiPriority w:val="0"/>
    <w:rPr>
      <w:rFonts w:ascii="Times New Roman" w:hAnsi="Times New Roman" w:eastAsia="宋体" w:cs="Times New Roman"/>
      <w:szCs w:val="20"/>
    </w:rPr>
  </w:style>
  <w:style w:type="character" w:customStyle="1" w:styleId="118">
    <w:name w:val="副标题 字符1"/>
    <w:basedOn w:val="48"/>
    <w:qFormat/>
    <w:uiPriority w:val="0"/>
    <w:rPr>
      <w:rFonts w:eastAsia="宋体"/>
      <w:b/>
      <w:bCs/>
      <w:kern w:val="28"/>
      <w:sz w:val="32"/>
      <w:szCs w:val="32"/>
    </w:rPr>
  </w:style>
  <w:style w:type="character" w:customStyle="1" w:styleId="119">
    <w:name w:val="正文文本 2 字符"/>
    <w:basedOn w:val="48"/>
    <w:link w:val="38"/>
    <w:qFormat/>
    <w:uiPriority w:val="0"/>
    <w:rPr>
      <w:rFonts w:ascii="Times New Roman" w:hAnsi="Times New Roman" w:eastAsia="宋体" w:cs="Times New Roman"/>
      <w:szCs w:val="20"/>
    </w:rPr>
  </w:style>
  <w:style w:type="character" w:customStyle="1" w:styleId="120">
    <w:name w:val="正文文本 3 字符"/>
    <w:basedOn w:val="48"/>
    <w:link w:val="16"/>
    <w:qFormat/>
    <w:uiPriority w:val="99"/>
    <w:rPr>
      <w:rFonts w:ascii="Times New Roman" w:hAnsi="Times New Roman" w:eastAsia="宋体" w:cs="Times New Roman"/>
      <w:sz w:val="16"/>
      <w:szCs w:val="16"/>
    </w:rPr>
  </w:style>
  <w:style w:type="character" w:customStyle="1" w:styleId="121">
    <w:name w:val="正文文本缩进 2 字符"/>
    <w:basedOn w:val="48"/>
    <w:link w:val="25"/>
    <w:qFormat/>
    <w:uiPriority w:val="0"/>
    <w:rPr>
      <w:rFonts w:ascii="Times New Roman" w:hAnsi="Times New Roman" w:eastAsia="宋体" w:cs="Times New Roman"/>
      <w:sz w:val="24"/>
      <w:szCs w:val="24"/>
    </w:rPr>
  </w:style>
  <w:style w:type="character" w:customStyle="1" w:styleId="122">
    <w:name w:val="正文文本缩进 3 字符"/>
    <w:basedOn w:val="48"/>
    <w:link w:val="35"/>
    <w:qFormat/>
    <w:uiPriority w:val="0"/>
    <w:rPr>
      <w:rFonts w:ascii="Times New Roman" w:hAnsi="Times New Roman" w:eastAsia="宋体" w:cs="Times New Roman"/>
      <w:sz w:val="16"/>
      <w:szCs w:val="16"/>
    </w:rPr>
  </w:style>
  <w:style w:type="paragraph" w:styleId="123">
    <w:name w:val="No Spacing"/>
    <w:basedOn w:val="1"/>
    <w:qFormat/>
    <w:uiPriority w:val="1"/>
    <w:pPr>
      <w:widowControl/>
      <w:jc w:val="left"/>
    </w:pPr>
    <w:rPr>
      <w:rFonts w:ascii="Calibri" w:hAnsi="Calibri" w:eastAsia="宋体" w:cs="Times New Roman"/>
      <w:kern w:val="0"/>
      <w:sz w:val="24"/>
      <w:szCs w:val="32"/>
      <w:lang w:eastAsia="en-US" w:bidi="en-US"/>
    </w:rPr>
  </w:style>
  <w:style w:type="paragraph" w:styleId="124">
    <w:name w:val="Quote"/>
    <w:basedOn w:val="1"/>
    <w:next w:val="1"/>
    <w:link w:val="125"/>
    <w:qFormat/>
    <w:uiPriority w:val="99"/>
    <w:rPr>
      <w:rFonts w:ascii="Calibri" w:hAnsi="Calibri" w:eastAsia="宋体" w:cs="Times New Roman"/>
      <w:i/>
      <w:iCs/>
      <w:color w:val="000000"/>
    </w:rPr>
  </w:style>
  <w:style w:type="character" w:customStyle="1" w:styleId="125">
    <w:name w:val="引用 字符"/>
    <w:basedOn w:val="48"/>
    <w:link w:val="124"/>
    <w:qFormat/>
    <w:uiPriority w:val="99"/>
    <w:rPr>
      <w:rFonts w:ascii="Calibri" w:hAnsi="Calibri" w:eastAsia="宋体" w:cs="Times New Roman"/>
      <w:i/>
      <w:iCs/>
      <w:color w:val="000000"/>
    </w:rPr>
  </w:style>
  <w:style w:type="paragraph" w:styleId="126">
    <w:name w:val="Intense Quote"/>
    <w:basedOn w:val="1"/>
    <w:next w:val="1"/>
    <w:link w:val="127"/>
    <w:qFormat/>
    <w:uiPriority w:val="99"/>
    <w:pPr>
      <w:pBdr>
        <w:bottom w:val="single" w:color="4F81BD" w:sz="4" w:space="4"/>
      </w:pBdr>
      <w:spacing w:before="200" w:after="280"/>
      <w:ind w:left="936" w:right="936"/>
    </w:pPr>
    <w:rPr>
      <w:rFonts w:ascii="Calibri" w:hAnsi="Calibri" w:eastAsia="宋体" w:cs="Times New Roman"/>
      <w:b/>
      <w:bCs/>
      <w:i/>
      <w:iCs/>
      <w:color w:val="4F81BD"/>
    </w:rPr>
  </w:style>
  <w:style w:type="character" w:customStyle="1" w:styleId="127">
    <w:name w:val="明显引用 字符"/>
    <w:basedOn w:val="48"/>
    <w:link w:val="126"/>
    <w:qFormat/>
    <w:uiPriority w:val="99"/>
    <w:rPr>
      <w:rFonts w:ascii="Calibri" w:hAnsi="Calibri" w:eastAsia="宋体" w:cs="Times New Roman"/>
      <w:b/>
      <w:bCs/>
      <w:i/>
      <w:iCs/>
      <w:color w:val="4F81BD"/>
    </w:rPr>
  </w:style>
  <w:style w:type="paragraph" w:customStyle="1" w:styleId="128">
    <w:name w:val="列出段落1"/>
    <w:basedOn w:val="1"/>
    <w:qFormat/>
    <w:uiPriority w:val="34"/>
    <w:pPr>
      <w:ind w:firstLine="420" w:firstLineChars="200"/>
    </w:pPr>
    <w:rPr>
      <w:rFonts w:ascii="Calibri" w:hAnsi="Calibri" w:eastAsia="宋体" w:cs="Times New Roman"/>
    </w:rPr>
  </w:style>
  <w:style w:type="paragraph" w:customStyle="1" w:styleId="129">
    <w:name w:val="Char Char Char1 Char Char Char Char Char Char Char Char Char Char"/>
    <w:basedOn w:val="1"/>
    <w:qFormat/>
    <w:uiPriority w:val="0"/>
    <w:pPr>
      <w:numPr>
        <w:ilvl w:val="0"/>
        <w:numId w:val="1"/>
      </w:numPr>
      <w:tabs>
        <w:tab w:val="left" w:pos="907"/>
      </w:tabs>
    </w:pPr>
    <w:rPr>
      <w:rFonts w:ascii="Times New Roman" w:hAnsi="Times New Roman" w:eastAsia="宋体" w:cs="Times New Roman"/>
      <w:sz w:val="24"/>
      <w:szCs w:val="24"/>
    </w:rPr>
  </w:style>
  <w:style w:type="character" w:customStyle="1" w:styleId="130">
    <w:name w:val="z正文 Char Char"/>
    <w:basedOn w:val="48"/>
    <w:link w:val="131"/>
    <w:qFormat/>
    <w:locked/>
    <w:uiPriority w:val="0"/>
    <w:rPr>
      <w:rFonts w:ascii="宋体" w:hAnsi="宋体" w:eastAsia="宋体" w:cs="宋体"/>
      <w:sz w:val="28"/>
    </w:rPr>
  </w:style>
  <w:style w:type="paragraph" w:customStyle="1" w:styleId="131">
    <w:name w:val="z正文"/>
    <w:basedOn w:val="1"/>
    <w:link w:val="130"/>
    <w:qFormat/>
    <w:uiPriority w:val="0"/>
    <w:pPr>
      <w:spacing w:line="432" w:lineRule="auto"/>
      <w:ind w:firstLine="200" w:firstLineChars="200"/>
    </w:pPr>
    <w:rPr>
      <w:rFonts w:ascii="宋体" w:hAnsi="宋体" w:eastAsia="宋体" w:cs="宋体"/>
      <w:sz w:val="28"/>
    </w:rPr>
  </w:style>
  <w:style w:type="paragraph" w:customStyle="1" w:styleId="132">
    <w:name w:val="表格样式"/>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133">
    <w:name w:val="Char"/>
    <w:basedOn w:val="1"/>
    <w:qFormat/>
    <w:uiPriority w:val="99"/>
    <w:rPr>
      <w:rFonts w:ascii="仿宋_GB2312" w:hAnsi="Times New Roman" w:eastAsia="仿宋_GB2312" w:cs="Times New Roman"/>
      <w:b/>
      <w:sz w:val="32"/>
      <w:szCs w:val="32"/>
    </w:rPr>
  </w:style>
  <w:style w:type="paragraph" w:customStyle="1" w:styleId="134">
    <w:name w:val="p0"/>
    <w:basedOn w:val="1"/>
    <w:qFormat/>
    <w:uiPriority w:val="0"/>
    <w:pPr>
      <w:widowControl/>
    </w:pPr>
    <w:rPr>
      <w:rFonts w:ascii="Times New Roman" w:hAnsi="Times New Roman" w:eastAsia="宋体" w:cs="Times New Roman"/>
      <w:kern w:val="0"/>
      <w:szCs w:val="21"/>
    </w:rPr>
  </w:style>
  <w:style w:type="paragraph" w:customStyle="1" w:styleId="135">
    <w:name w:val="Char Char1 Char"/>
    <w:basedOn w:val="1"/>
    <w:qFormat/>
    <w:uiPriority w:val="0"/>
    <w:rPr>
      <w:rFonts w:ascii="Times New Roman" w:hAnsi="Times New Roman" w:eastAsia="宋体" w:cs="Times New Roman"/>
      <w:szCs w:val="20"/>
    </w:rPr>
  </w:style>
  <w:style w:type="paragraph" w:customStyle="1" w:styleId="136">
    <w:name w:val="表格"/>
    <w:qFormat/>
    <w:uiPriority w:val="0"/>
    <w:pPr>
      <w:widowControl w:val="0"/>
      <w:spacing w:before="100" w:beforeAutospacing="1" w:after="100" w:afterAutospacing="1" w:line="240" w:lineRule="exact"/>
      <w:ind w:left="-54" w:leftChars="-54" w:right="-99" w:rightChars="-47" w:hanging="113" w:hangingChars="54"/>
      <w:jc w:val="center"/>
    </w:pPr>
    <w:rPr>
      <w:rFonts w:ascii="宋体" w:hAnsi="宋体" w:eastAsia="宋体" w:cs="宋体"/>
      <w:sz w:val="21"/>
      <w:szCs w:val="21"/>
      <w:lang w:val="en-US" w:eastAsia="zh-CN" w:bidi="ar-SA"/>
    </w:rPr>
  </w:style>
  <w:style w:type="character" w:customStyle="1" w:styleId="137">
    <w:name w:val="样式3 Char Char"/>
    <w:link w:val="138"/>
    <w:qFormat/>
    <w:locked/>
    <w:uiPriority w:val="0"/>
    <w:rPr>
      <w:rFonts w:ascii="华文楷体" w:hAnsi="华文楷体" w:eastAsia="华文楷体" w:cs="Times New Roman"/>
      <w:b/>
      <w:bCs/>
      <w:sz w:val="28"/>
      <w:szCs w:val="28"/>
    </w:rPr>
  </w:style>
  <w:style w:type="paragraph" w:customStyle="1" w:styleId="138">
    <w:name w:val="样式3"/>
    <w:basedOn w:val="1"/>
    <w:link w:val="137"/>
    <w:qFormat/>
    <w:uiPriority w:val="0"/>
    <w:pPr>
      <w:spacing w:line="500" w:lineRule="exact"/>
      <w:ind w:firstLine="689" w:firstLineChars="246"/>
      <w:outlineLvl w:val="3"/>
    </w:pPr>
    <w:rPr>
      <w:rFonts w:ascii="华文楷体" w:hAnsi="华文楷体" w:eastAsia="华文楷体" w:cs="Times New Roman"/>
      <w:b/>
      <w:bCs/>
      <w:sz w:val="28"/>
      <w:szCs w:val="28"/>
    </w:rPr>
  </w:style>
  <w:style w:type="paragraph" w:customStyle="1" w:styleId="139">
    <w:name w:val="★4、建设范围 四级标题"/>
    <w:basedOn w:val="1"/>
    <w:qFormat/>
    <w:uiPriority w:val="0"/>
    <w:pPr>
      <w:spacing w:line="360" w:lineRule="auto"/>
      <w:outlineLvl w:val="3"/>
    </w:pPr>
    <w:rPr>
      <w:rFonts w:ascii="Times New Roman" w:hAnsi="Times New Roman" w:eastAsia="楷体_GB2312" w:cs="宋体"/>
      <w:color w:val="000000"/>
      <w:sz w:val="28"/>
      <w:szCs w:val="20"/>
    </w:rPr>
  </w:style>
  <w:style w:type="paragraph" w:customStyle="1" w:styleId="140">
    <w:name w:val="数字编号列项（二级）"/>
    <w:qFormat/>
    <w:uiPriority w:val="0"/>
    <w:pPr>
      <w:numPr>
        <w:ilvl w:val="5"/>
        <w:numId w:val="2"/>
      </w:numPr>
      <w:tabs>
        <w:tab w:val="left" w:pos="1259"/>
      </w:tabs>
      <w:ind w:left="1259" w:hanging="420"/>
      <w:jc w:val="both"/>
    </w:pPr>
    <w:rPr>
      <w:rFonts w:ascii="宋体" w:hAnsi="Times New Roman" w:eastAsia="宋体" w:cs="Times New Roman"/>
      <w:sz w:val="21"/>
      <w:lang w:val="en-US" w:eastAsia="zh-CN" w:bidi="ar-SA"/>
    </w:rPr>
  </w:style>
  <w:style w:type="paragraph" w:customStyle="1" w:styleId="141">
    <w:name w:val="pic-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2">
    <w:name w:val="二级条标题"/>
    <w:basedOn w:val="1"/>
    <w:next w:val="1"/>
    <w:qFormat/>
    <w:uiPriority w:val="0"/>
    <w:pPr>
      <w:widowControl/>
      <w:tabs>
        <w:tab w:val="left" w:pos="1740"/>
      </w:tabs>
      <w:spacing w:beforeLines="50"/>
      <w:ind w:left="1740" w:hanging="420"/>
      <w:jc w:val="left"/>
      <w:outlineLvl w:val="3"/>
    </w:pPr>
    <w:rPr>
      <w:rFonts w:ascii="黑体" w:hAnsi="Times New Roman" w:eastAsia="黑体" w:cs="Times New Roman"/>
      <w:kern w:val="0"/>
      <w:szCs w:val="21"/>
    </w:rPr>
  </w:style>
  <w:style w:type="paragraph" w:customStyle="1" w:styleId="143">
    <w:name w:val="xl37"/>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5">
    <w:name w:val="1 Char Char Char Char Char Char Char"/>
    <w:basedOn w:val="1"/>
    <w:qFormat/>
    <w:uiPriority w:val="0"/>
    <w:rPr>
      <w:rFonts w:ascii="Times New Roman" w:hAnsi="Times New Roman" w:eastAsia="宋体" w:cs="Times New Roman"/>
      <w:szCs w:val="20"/>
    </w:rPr>
  </w:style>
  <w:style w:type="paragraph" w:customStyle="1" w:styleId="146">
    <w:name w:val="样式 仿宋_GB2312 三号"/>
    <w:basedOn w:val="1"/>
    <w:qFormat/>
    <w:uiPriority w:val="0"/>
    <w:pPr>
      <w:adjustRightInd w:val="0"/>
      <w:snapToGrid w:val="0"/>
      <w:spacing w:line="360" w:lineRule="auto"/>
      <w:ind w:firstLine="560" w:firstLineChars="200"/>
    </w:pPr>
    <w:rPr>
      <w:rFonts w:ascii="宋体" w:hAnsi="宋体" w:eastAsia="宋体" w:cs="Times New Roman"/>
      <w:sz w:val="28"/>
      <w:szCs w:val="28"/>
    </w:rPr>
  </w:style>
  <w:style w:type="paragraph" w:customStyle="1" w:styleId="147">
    <w:name w:val="御用正文"/>
    <w:basedOn w:val="1"/>
    <w:qFormat/>
    <w:uiPriority w:val="0"/>
    <w:pPr>
      <w:spacing w:line="360" w:lineRule="auto"/>
      <w:ind w:firstLine="482"/>
    </w:pPr>
    <w:rPr>
      <w:rFonts w:ascii="宋体" w:hAnsi="宋体" w:eastAsia="宋体" w:cs="Times New Roman"/>
      <w:sz w:val="24"/>
      <w:szCs w:val="20"/>
    </w:rPr>
  </w:style>
  <w:style w:type="paragraph" w:customStyle="1" w:styleId="148">
    <w:name w:val="Char Char1 Char1"/>
    <w:basedOn w:val="1"/>
    <w:qFormat/>
    <w:uiPriority w:val="0"/>
    <w:rPr>
      <w:rFonts w:ascii="Times New Roman" w:hAnsi="Times New Roman" w:eastAsia="宋体" w:cs="Times New Roman"/>
      <w:szCs w:val="20"/>
    </w:rPr>
  </w:style>
  <w:style w:type="paragraph" w:customStyle="1" w:styleId="149">
    <w:name w:val="表格序号"/>
    <w:qFormat/>
    <w:uiPriority w:val="0"/>
    <w:pPr>
      <w:spacing w:beforeLines="50"/>
      <w:jc w:val="both"/>
    </w:pPr>
    <w:rPr>
      <w:rFonts w:ascii="Times New Roman" w:hAnsi="Times New Roman" w:eastAsia="宋体" w:cs="Times New Roman"/>
      <w:b/>
      <w:kern w:val="2"/>
      <w:sz w:val="21"/>
      <w:szCs w:val="24"/>
      <w:lang w:val="en-US" w:eastAsia="zh-CN" w:bidi="ar-SA"/>
    </w:rPr>
  </w:style>
  <w:style w:type="paragraph" w:customStyle="1" w:styleId="150">
    <w:name w:val="Char1"/>
    <w:basedOn w:val="1"/>
    <w:qFormat/>
    <w:uiPriority w:val="0"/>
    <w:rPr>
      <w:rFonts w:ascii="仿宋_GB2312" w:hAnsi="Times New Roman" w:eastAsia="仿宋_GB2312" w:cs="Times New Roman"/>
      <w:b/>
      <w:sz w:val="32"/>
      <w:szCs w:val="32"/>
    </w:rPr>
  </w:style>
  <w:style w:type="character" w:customStyle="1" w:styleId="151">
    <w:name w:val="正文 Char Char"/>
    <w:link w:val="152"/>
    <w:qFormat/>
    <w:locked/>
    <w:uiPriority w:val="0"/>
    <w:rPr>
      <w:rFonts w:ascii="Book Antiqua" w:hAnsi="Book Antiqua" w:eastAsia="仿宋_GB2312" w:cs="Times New Roman"/>
      <w:sz w:val="28"/>
      <w:szCs w:val="32"/>
    </w:rPr>
  </w:style>
  <w:style w:type="paragraph" w:customStyle="1" w:styleId="152">
    <w:name w:val="正文1"/>
    <w:basedOn w:val="1"/>
    <w:link w:val="151"/>
    <w:qFormat/>
    <w:uiPriority w:val="0"/>
    <w:pPr>
      <w:adjustRightInd w:val="0"/>
      <w:snapToGrid w:val="0"/>
      <w:spacing w:line="360" w:lineRule="auto"/>
      <w:ind w:firstLine="560" w:firstLineChars="200"/>
    </w:pPr>
    <w:rPr>
      <w:rFonts w:ascii="Book Antiqua" w:hAnsi="Book Antiqua" w:eastAsia="仿宋_GB2312" w:cs="Times New Roman"/>
      <w:sz w:val="28"/>
      <w:szCs w:val="32"/>
    </w:rPr>
  </w:style>
  <w:style w:type="paragraph" w:customStyle="1" w:styleId="153">
    <w:name w:val="Char Char Char Char"/>
    <w:basedOn w:val="1"/>
    <w:qFormat/>
    <w:uiPriority w:val="0"/>
    <w:rPr>
      <w:rFonts w:ascii="Tahoma" w:hAnsi="Tahoma" w:eastAsia="宋体" w:cs="Times New Roman"/>
      <w:sz w:val="24"/>
      <w:szCs w:val="24"/>
    </w:rPr>
  </w:style>
  <w:style w:type="paragraph" w:customStyle="1" w:styleId="154">
    <w:name w:val="xl24"/>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55">
    <w:name w:val="发文样式"/>
    <w:basedOn w:val="1"/>
    <w:qFormat/>
    <w:uiPriority w:val="0"/>
    <w:pPr>
      <w:spacing w:line="600" w:lineRule="exact"/>
    </w:pPr>
    <w:rPr>
      <w:rFonts w:ascii="Times New Roman" w:hAnsi="Times New Roman" w:eastAsia="楷体_GB2312" w:cs="Times New Roman"/>
      <w:sz w:val="32"/>
      <w:szCs w:val="20"/>
    </w:rPr>
  </w:style>
  <w:style w:type="paragraph" w:customStyle="1" w:styleId="156">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7">
    <w:name w:val="三级条标题"/>
    <w:basedOn w:val="142"/>
    <w:next w:val="1"/>
    <w:qFormat/>
    <w:uiPriority w:val="0"/>
    <w:pPr>
      <w:numPr>
        <w:ilvl w:val="3"/>
        <w:numId w:val="2"/>
      </w:numPr>
      <w:outlineLvl w:val="4"/>
    </w:pPr>
  </w:style>
  <w:style w:type="paragraph" w:customStyle="1" w:styleId="158">
    <w:name w:val="标准书眉_奇数页"/>
    <w:next w:val="1"/>
    <w:qFormat/>
    <w:uiPriority w:val="0"/>
    <w:pPr>
      <w:numPr>
        <w:ilvl w:val="0"/>
        <w:numId w:val="2"/>
      </w:num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59">
    <w:name w:val="★表格文字"/>
    <w:basedOn w:val="1"/>
    <w:qFormat/>
    <w:uiPriority w:val="0"/>
    <w:pPr>
      <w:jc w:val="center"/>
    </w:pPr>
    <w:rPr>
      <w:rFonts w:ascii="Times New Roman" w:hAnsi="Times New Roman" w:eastAsia="宋体" w:cs="宋体"/>
      <w:color w:val="000000"/>
      <w:szCs w:val="20"/>
    </w:rPr>
  </w:style>
  <w:style w:type="character" w:customStyle="1" w:styleId="160">
    <w:name w:val="样式4 Char Char"/>
    <w:link w:val="161"/>
    <w:qFormat/>
    <w:locked/>
    <w:uiPriority w:val="0"/>
    <w:rPr>
      <w:rFonts w:ascii="仿宋_GB2312" w:hAnsi="Times New Roman" w:eastAsia="华文新魏" w:cs="Times New Roman"/>
      <w:b/>
      <w:sz w:val="28"/>
      <w:szCs w:val="28"/>
    </w:rPr>
  </w:style>
  <w:style w:type="paragraph" w:customStyle="1" w:styleId="161">
    <w:name w:val="样式4"/>
    <w:basedOn w:val="1"/>
    <w:link w:val="160"/>
    <w:qFormat/>
    <w:uiPriority w:val="0"/>
    <w:pPr>
      <w:spacing w:line="500" w:lineRule="exact"/>
      <w:ind w:firstLine="560" w:firstLineChars="200"/>
    </w:pPr>
    <w:rPr>
      <w:rFonts w:ascii="仿宋_GB2312" w:hAnsi="Times New Roman" w:eastAsia="华文新魏" w:cs="Times New Roman"/>
      <w:b/>
      <w:sz w:val="28"/>
      <w:szCs w:val="28"/>
    </w:rPr>
  </w:style>
  <w:style w:type="character" w:customStyle="1" w:styleId="162">
    <w:name w:val="z-窗体顶端 Char"/>
    <w:link w:val="163"/>
    <w:qFormat/>
    <w:locked/>
    <w:uiPriority w:val="0"/>
    <w:rPr>
      <w:rFonts w:ascii="Arial" w:hAnsi="Arial" w:eastAsia="宋体" w:cs="Times New Roman"/>
      <w:vanish/>
      <w:sz w:val="16"/>
      <w:szCs w:val="16"/>
    </w:rPr>
  </w:style>
  <w:style w:type="paragraph" w:customStyle="1" w:styleId="163">
    <w:name w:val="z-窗体顶端1"/>
    <w:basedOn w:val="1"/>
    <w:next w:val="1"/>
    <w:link w:val="162"/>
    <w:qFormat/>
    <w:uiPriority w:val="0"/>
    <w:pPr>
      <w:widowControl/>
      <w:pBdr>
        <w:bottom w:val="single" w:color="auto" w:sz="6" w:space="1"/>
      </w:pBdr>
      <w:jc w:val="center"/>
    </w:pPr>
    <w:rPr>
      <w:rFonts w:ascii="Arial" w:hAnsi="Arial" w:eastAsia="宋体" w:cs="Times New Roman"/>
      <w:vanish/>
      <w:sz w:val="16"/>
      <w:szCs w:val="16"/>
    </w:rPr>
  </w:style>
  <w:style w:type="character" w:customStyle="1" w:styleId="164">
    <w:name w:val="样式 首行缩进:  2 字符 Char Char Char Char Char"/>
    <w:link w:val="165"/>
    <w:qFormat/>
    <w:locked/>
    <w:uiPriority w:val="0"/>
    <w:rPr>
      <w:rFonts w:ascii="Times New Roman" w:hAnsi="Times New Roman" w:eastAsia="宋体" w:cs="宋体"/>
      <w:sz w:val="28"/>
      <w:szCs w:val="20"/>
    </w:rPr>
  </w:style>
  <w:style w:type="paragraph" w:customStyle="1" w:styleId="165">
    <w:name w:val="样式 首行缩进:  2 字符 Char Char Char"/>
    <w:basedOn w:val="1"/>
    <w:link w:val="164"/>
    <w:qFormat/>
    <w:uiPriority w:val="0"/>
    <w:pPr>
      <w:spacing w:line="360" w:lineRule="auto"/>
      <w:ind w:firstLine="560" w:firstLineChars="200"/>
    </w:pPr>
    <w:rPr>
      <w:rFonts w:ascii="Times New Roman" w:hAnsi="Times New Roman" w:eastAsia="宋体" w:cs="宋体"/>
      <w:sz w:val="28"/>
      <w:szCs w:val="20"/>
    </w:rPr>
  </w:style>
  <w:style w:type="paragraph" w:customStyle="1" w:styleId="166">
    <w:name w:val="j"/>
    <w:basedOn w:val="1"/>
    <w:qFormat/>
    <w:uiPriority w:val="0"/>
    <w:pPr>
      <w:spacing w:line="520" w:lineRule="exact"/>
      <w:ind w:firstLine="200" w:firstLineChars="200"/>
    </w:pPr>
    <w:rPr>
      <w:rFonts w:ascii="Times New Roman" w:hAnsi="Times New Roman" w:eastAsia="仿宋_GB2312" w:cs="Times New Roman"/>
      <w:sz w:val="32"/>
      <w:szCs w:val="24"/>
    </w:rPr>
  </w:style>
  <w:style w:type="paragraph" w:customStyle="1" w:styleId="167">
    <w:name w:val="4"/>
    <w:next w:val="1"/>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68">
    <w:name w:val="z-窗体底端 Char"/>
    <w:link w:val="169"/>
    <w:qFormat/>
    <w:locked/>
    <w:uiPriority w:val="0"/>
    <w:rPr>
      <w:rFonts w:ascii="Arial" w:hAnsi="Arial" w:eastAsia="宋体" w:cs="Times New Roman"/>
      <w:vanish/>
      <w:sz w:val="16"/>
      <w:szCs w:val="16"/>
    </w:rPr>
  </w:style>
  <w:style w:type="paragraph" w:customStyle="1" w:styleId="169">
    <w:name w:val="z-窗体底端1"/>
    <w:basedOn w:val="1"/>
    <w:next w:val="1"/>
    <w:link w:val="168"/>
    <w:qFormat/>
    <w:uiPriority w:val="0"/>
    <w:pPr>
      <w:widowControl/>
      <w:pBdr>
        <w:top w:val="single" w:color="auto" w:sz="6" w:space="1"/>
      </w:pBdr>
      <w:jc w:val="center"/>
    </w:pPr>
    <w:rPr>
      <w:rFonts w:ascii="Arial" w:hAnsi="Arial" w:eastAsia="宋体" w:cs="Times New Roman"/>
      <w:vanish/>
      <w:sz w:val="16"/>
      <w:szCs w:val="16"/>
    </w:rPr>
  </w:style>
  <w:style w:type="paragraph" w:customStyle="1" w:styleId="170">
    <w:name w:val="font5"/>
    <w:basedOn w:val="1"/>
    <w:qFormat/>
    <w:uiPriority w:val="0"/>
    <w:pPr>
      <w:widowControl/>
      <w:spacing w:before="100" w:beforeAutospacing="1" w:after="100" w:afterAutospacing="1"/>
      <w:jc w:val="left"/>
    </w:pPr>
    <w:rPr>
      <w:rFonts w:ascii="宋体" w:hAnsi="宋体" w:eastAsia="宋体" w:cs="Arial Unicode MS"/>
      <w:kern w:val="0"/>
      <w:sz w:val="18"/>
      <w:szCs w:val="18"/>
    </w:rPr>
  </w:style>
  <w:style w:type="paragraph" w:customStyle="1" w:styleId="171">
    <w:name w:val="列出段落2"/>
    <w:basedOn w:val="1"/>
    <w:qFormat/>
    <w:uiPriority w:val="0"/>
    <w:pPr>
      <w:ind w:firstLine="420" w:firstLineChars="200"/>
    </w:pPr>
    <w:rPr>
      <w:rFonts w:ascii="Times New Roman" w:hAnsi="Times New Roman" w:eastAsia="宋体" w:cs="Times New Roman"/>
      <w:szCs w:val="24"/>
    </w:rPr>
  </w:style>
  <w:style w:type="paragraph" w:customStyle="1" w:styleId="172">
    <w:name w:val="TOC 标题11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73">
    <w:name w:val="★表头 单位-居右"/>
    <w:basedOn w:val="1"/>
    <w:qFormat/>
    <w:uiPriority w:val="0"/>
    <w:pPr>
      <w:spacing w:beforeLines="50"/>
      <w:jc w:val="right"/>
    </w:pPr>
    <w:rPr>
      <w:rFonts w:ascii="Times New Roman" w:hAnsi="Times New Roman" w:eastAsia="仿宋_GB2312" w:cs="宋体"/>
      <w:b/>
      <w:bCs/>
      <w:color w:val="000000"/>
      <w:sz w:val="24"/>
      <w:szCs w:val="20"/>
    </w:rPr>
  </w:style>
  <w:style w:type="paragraph" w:customStyle="1" w:styleId="174">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75">
    <w:name w:val="示例内容"/>
    <w:qFormat/>
    <w:uiPriority w:val="0"/>
    <w:pPr>
      <w:numPr>
        <w:ilvl w:val="4"/>
        <w:numId w:val="2"/>
      </w:numPr>
      <w:ind w:firstLine="200" w:firstLineChars="200"/>
    </w:pPr>
    <w:rPr>
      <w:rFonts w:ascii="宋体" w:hAnsi="Times New Roman" w:eastAsia="宋体" w:cs="Times New Roman"/>
      <w:sz w:val="18"/>
      <w:szCs w:val="18"/>
      <w:lang w:val="en-US" w:eastAsia="zh-CN" w:bidi="ar-SA"/>
    </w:rPr>
  </w:style>
  <w:style w:type="paragraph" w:customStyle="1" w:styleId="176">
    <w:name w:val="p18"/>
    <w:basedOn w:val="1"/>
    <w:qFormat/>
    <w:uiPriority w:val="0"/>
    <w:pPr>
      <w:widowControl/>
    </w:pPr>
    <w:rPr>
      <w:rFonts w:ascii="宋体" w:hAnsi="宋体" w:eastAsia="宋体" w:cs="宋体"/>
      <w:kern w:val="0"/>
      <w:szCs w:val="21"/>
    </w:rPr>
  </w:style>
  <w:style w:type="character" w:customStyle="1" w:styleId="177">
    <w:name w:val="正文内容 Char Char"/>
    <w:qFormat/>
    <w:locked/>
    <w:uiPriority w:val="0"/>
    <w:rPr>
      <w:rFonts w:ascii="仿宋_GB2312" w:hAnsi="宋体" w:eastAsia="仿宋_GB2312" w:cs="宋体"/>
      <w:sz w:val="28"/>
      <w:szCs w:val="28"/>
    </w:rPr>
  </w:style>
  <w:style w:type="paragraph" w:customStyle="1" w:styleId="178">
    <w:name w:val="Char1 Char Char Char Char Char Char"/>
    <w:basedOn w:val="1"/>
    <w:qFormat/>
    <w:uiPriority w:val="0"/>
    <w:rPr>
      <w:rFonts w:ascii="Times New Roman" w:hAnsi="Times New Roman" w:eastAsia="宋体" w:cs="Times New Roman"/>
      <w:sz w:val="24"/>
      <w:szCs w:val="24"/>
    </w:rPr>
  </w:style>
  <w:style w:type="paragraph" w:customStyle="1" w:styleId="179">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样式 样式 首行缩进:  2 字符 + 小四 居中"/>
    <w:basedOn w:val="165"/>
    <w:qFormat/>
    <w:uiPriority w:val="0"/>
    <w:pPr>
      <w:ind w:firstLine="0" w:firstLineChars="0"/>
      <w:jc w:val="center"/>
    </w:pPr>
    <w:rPr>
      <w:sz w:val="24"/>
      <w:szCs w:val="24"/>
    </w:rPr>
  </w:style>
  <w:style w:type="paragraph" w:customStyle="1" w:styleId="181">
    <w:name w:val="xl26"/>
    <w:basedOn w:val="1"/>
    <w:qFormat/>
    <w:uiPriority w:val="0"/>
    <w:pPr>
      <w:widowControl/>
      <w:spacing w:before="100" w:beforeAutospacing="1" w:after="100" w:afterAutospacing="1"/>
      <w:jc w:val="left"/>
    </w:pPr>
    <w:rPr>
      <w:rFonts w:ascii="黑体" w:hAnsi="Arial Unicode MS" w:eastAsia="黑体" w:cs="Arial Unicode MS"/>
      <w:kern w:val="0"/>
      <w:sz w:val="24"/>
      <w:szCs w:val="24"/>
    </w:rPr>
  </w:style>
  <w:style w:type="paragraph" w:customStyle="1" w:styleId="182">
    <w:name w:val="xl25"/>
    <w:basedOn w:val="1"/>
    <w:qFormat/>
    <w:uiPriority w:val="0"/>
    <w:pPr>
      <w:widowControl/>
      <w:spacing w:before="100" w:beforeAutospacing="1" w:after="100" w:afterAutospacing="1"/>
      <w:jc w:val="left"/>
    </w:pPr>
    <w:rPr>
      <w:rFonts w:ascii="黑体" w:hAnsi="Arial Unicode MS" w:eastAsia="黑体" w:cs="Arial Unicode MS"/>
      <w:kern w:val="0"/>
      <w:sz w:val="24"/>
      <w:szCs w:val="24"/>
    </w:rPr>
  </w:style>
  <w:style w:type="paragraph" w:customStyle="1" w:styleId="183">
    <w:name w:val="3"/>
    <w:next w:val="1"/>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84">
    <w:name w:val="无间隔 Char"/>
    <w:link w:val="185"/>
    <w:qFormat/>
    <w:locked/>
    <w:uiPriority w:val="1"/>
    <w:rPr>
      <w:rFonts w:ascii="Calibri" w:hAnsi="Calibri" w:eastAsia="宋体" w:cs="Times New Roman"/>
      <w:sz w:val="24"/>
      <w:szCs w:val="32"/>
      <w:lang w:eastAsia="en-US" w:bidi="en-US"/>
    </w:rPr>
  </w:style>
  <w:style w:type="paragraph" w:customStyle="1" w:styleId="185">
    <w:name w:val="无间隔1"/>
    <w:basedOn w:val="1"/>
    <w:link w:val="184"/>
    <w:qFormat/>
    <w:uiPriority w:val="0"/>
    <w:pPr>
      <w:widowControl/>
      <w:jc w:val="left"/>
    </w:pPr>
    <w:rPr>
      <w:rFonts w:ascii="Calibri" w:hAnsi="Calibri" w:eastAsia="宋体" w:cs="Times New Roman"/>
      <w:sz w:val="24"/>
      <w:szCs w:val="32"/>
      <w:lang w:eastAsia="en-US" w:bidi="en-US"/>
    </w:rPr>
  </w:style>
  <w:style w:type="paragraph" w:customStyle="1" w:styleId="186">
    <w:name w:val="章标题"/>
    <w:next w:val="1"/>
    <w:qFormat/>
    <w:uiPriority w:val="0"/>
    <w:pPr>
      <w:numPr>
        <w:ilvl w:val="2"/>
        <w:numId w:val="2"/>
      </w:numPr>
      <w:spacing w:beforeLines="100"/>
      <w:jc w:val="both"/>
      <w:outlineLvl w:val="1"/>
    </w:pPr>
    <w:rPr>
      <w:rFonts w:ascii="黑体" w:hAnsi="Times New Roman" w:eastAsia="黑体" w:cs="Times New Roman"/>
      <w:sz w:val="21"/>
      <w:lang w:val="en-US" w:eastAsia="zh-CN" w:bidi="ar-SA"/>
    </w:rPr>
  </w:style>
  <w:style w:type="paragraph" w:customStyle="1" w:styleId="187">
    <w:name w:val="标题4"/>
    <w:basedOn w:val="1"/>
    <w:next w:val="1"/>
    <w:qFormat/>
    <w:uiPriority w:val="0"/>
    <w:pPr>
      <w:spacing w:line="360" w:lineRule="auto"/>
      <w:ind w:firstLine="200" w:firstLineChars="200"/>
      <w:outlineLvl w:val="3"/>
    </w:pPr>
    <w:rPr>
      <w:rFonts w:ascii="Times New Roman" w:hAnsi="Times New Roman" w:eastAsia="楷体_GB2312" w:cs="Times New Roman"/>
      <w:b/>
      <w:sz w:val="28"/>
      <w:szCs w:val="24"/>
    </w:rPr>
  </w:style>
  <w:style w:type="paragraph" w:customStyle="1" w:styleId="188">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189">
    <w:name w:val="A正文"/>
    <w:qFormat/>
    <w:uiPriority w:val="0"/>
    <w:pPr>
      <w:widowControl w:val="0"/>
      <w:spacing w:line="360" w:lineRule="auto"/>
      <w:ind w:firstLine="200" w:firstLineChars="200"/>
      <w:jc w:val="both"/>
    </w:pPr>
    <w:rPr>
      <w:rFonts w:ascii="Times New Roman" w:hAnsi="Times New Roman" w:eastAsia="仿宋_GB2312" w:cs="Times New Roman"/>
      <w:sz w:val="28"/>
      <w:szCs w:val="28"/>
      <w:lang w:val="en-US" w:eastAsia="zh-CN" w:bidi="ar-SA"/>
    </w:rPr>
  </w:style>
  <w:style w:type="paragraph" w:customStyle="1" w:styleId="190">
    <w:name w:val="表内文字"/>
    <w:basedOn w:val="1"/>
    <w:qFormat/>
    <w:uiPriority w:val="0"/>
    <w:pPr>
      <w:widowControl/>
      <w:jc w:val="center"/>
    </w:pPr>
    <w:rPr>
      <w:rFonts w:ascii="Times New Roman" w:hAnsi="Times New Roman" w:eastAsia="宋体" w:cs="宋体"/>
      <w:bCs/>
      <w:color w:val="000000"/>
      <w:kern w:val="0"/>
      <w:sz w:val="22"/>
      <w:szCs w:val="24"/>
    </w:rPr>
  </w:style>
  <w:style w:type="character" w:customStyle="1" w:styleId="191">
    <w:name w:val="表头 Char Char"/>
    <w:link w:val="192"/>
    <w:qFormat/>
    <w:locked/>
    <w:uiPriority w:val="0"/>
    <w:rPr>
      <w:rFonts w:ascii="Times New Roman" w:hAnsi="Times New Roman" w:eastAsia="仿宋_GB2312" w:cs="Times New Roman"/>
      <w:b/>
      <w:sz w:val="24"/>
      <w:szCs w:val="28"/>
    </w:rPr>
  </w:style>
  <w:style w:type="paragraph" w:customStyle="1" w:styleId="192">
    <w:name w:val="表头"/>
    <w:basedOn w:val="189"/>
    <w:link w:val="191"/>
    <w:qFormat/>
    <w:uiPriority w:val="0"/>
    <w:pPr>
      <w:spacing w:beforeLines="50"/>
      <w:ind w:firstLine="0" w:firstLineChars="0"/>
      <w:jc w:val="center"/>
    </w:pPr>
    <w:rPr>
      <w:b/>
      <w:kern w:val="2"/>
      <w:sz w:val="24"/>
    </w:rPr>
  </w:style>
  <w:style w:type="paragraph" w:customStyle="1" w:styleId="193">
    <w:name w:val="Char11"/>
    <w:basedOn w:val="1"/>
    <w:qFormat/>
    <w:uiPriority w:val="0"/>
    <w:pPr>
      <w:widowControl/>
      <w:spacing w:after="160" w:line="240" w:lineRule="exact"/>
      <w:jc w:val="left"/>
    </w:pPr>
    <w:rPr>
      <w:rFonts w:ascii="Verdana" w:hAnsi="Verdana" w:eastAsia="宋体" w:cs="Times New Roman"/>
      <w:kern w:val="0"/>
      <w:sz w:val="18"/>
      <w:szCs w:val="20"/>
      <w:lang w:eastAsia="en-US"/>
    </w:rPr>
  </w:style>
  <w:style w:type="paragraph" w:customStyle="1" w:styleId="194">
    <w:name w:val="正文1 Char"/>
    <w:qFormat/>
    <w:uiPriority w:val="0"/>
    <w:pPr>
      <w:spacing w:before="240" w:after="240" w:line="360" w:lineRule="auto"/>
    </w:pPr>
    <w:rPr>
      <w:rFonts w:ascii="Times New Roman" w:hAnsi="Times New Roman" w:eastAsia="仿宋_GB2312" w:cs="宋体"/>
      <w:kern w:val="2"/>
      <w:sz w:val="24"/>
      <w:szCs w:val="24"/>
      <w:lang w:val="en-US" w:eastAsia="zh-CN" w:bidi="ar-SA"/>
    </w:rPr>
  </w:style>
  <w:style w:type="paragraph" w:customStyle="1" w:styleId="195">
    <w:name w:val="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Char2"/>
    <w:basedOn w:val="1"/>
    <w:qFormat/>
    <w:uiPriority w:val="0"/>
    <w:rPr>
      <w:rFonts w:ascii="仿宋_GB2312" w:hAnsi="Times New Roman" w:eastAsia="仿宋_GB2312" w:cs="Times New Roman"/>
      <w:b/>
      <w:sz w:val="32"/>
      <w:szCs w:val="32"/>
    </w:rPr>
  </w:style>
  <w:style w:type="paragraph" w:customStyle="1" w:styleId="197">
    <w:name w:val="Char Char1 Char2"/>
    <w:basedOn w:val="1"/>
    <w:qFormat/>
    <w:uiPriority w:val="0"/>
    <w:rPr>
      <w:rFonts w:ascii="Times New Roman" w:hAnsi="Times New Roman" w:eastAsia="宋体" w:cs="Times New Roman"/>
      <w:szCs w:val="20"/>
    </w:rPr>
  </w:style>
  <w:style w:type="paragraph" w:customStyle="1" w:styleId="198">
    <w:name w:val="Char Char Char Char1"/>
    <w:basedOn w:val="1"/>
    <w:qFormat/>
    <w:uiPriority w:val="0"/>
    <w:rPr>
      <w:rFonts w:ascii="Tahoma" w:hAnsi="Tahoma" w:eastAsia="宋体" w:cs="Times New Roman"/>
      <w:sz w:val="24"/>
      <w:szCs w:val="24"/>
    </w:rPr>
  </w:style>
  <w:style w:type="paragraph" w:customStyle="1" w:styleId="199">
    <w:name w:val="Char1 Char Char Char Char Char Char1"/>
    <w:basedOn w:val="1"/>
    <w:qFormat/>
    <w:uiPriority w:val="0"/>
    <w:rPr>
      <w:rFonts w:ascii="Times New Roman" w:hAnsi="Times New Roman" w:eastAsia="宋体" w:cs="Times New Roman"/>
      <w:sz w:val="24"/>
      <w:szCs w:val="24"/>
    </w:rPr>
  </w:style>
  <w:style w:type="paragraph" w:customStyle="1" w:styleId="200">
    <w:name w:val="Char1 Char Char11"/>
    <w:basedOn w:val="1"/>
    <w:qFormat/>
    <w:uiPriority w:val="0"/>
    <w:pPr>
      <w:spacing w:line="360" w:lineRule="auto"/>
      <w:ind w:firstLine="200" w:firstLineChars="200"/>
    </w:pPr>
    <w:rPr>
      <w:rFonts w:ascii="宋体" w:hAnsi="宋体" w:eastAsia="宋体" w:cs="宋体"/>
      <w:sz w:val="24"/>
      <w:szCs w:val="24"/>
    </w:rPr>
  </w:style>
  <w:style w:type="paragraph" w:customStyle="1" w:styleId="201">
    <w:name w:val="p16"/>
    <w:basedOn w:val="1"/>
    <w:qFormat/>
    <w:uiPriority w:val="0"/>
    <w:pPr>
      <w:widowControl/>
      <w:spacing w:line="360" w:lineRule="auto"/>
      <w:ind w:firstLine="420"/>
    </w:pPr>
    <w:rPr>
      <w:rFonts w:ascii="Times New Roman" w:hAnsi="Times New Roman" w:eastAsia="宋体" w:cs="Times New Roman"/>
      <w:color w:val="000000"/>
      <w:kern w:val="0"/>
      <w:sz w:val="28"/>
      <w:szCs w:val="28"/>
    </w:rPr>
  </w:style>
  <w:style w:type="paragraph" w:customStyle="1" w:styleId="202">
    <w:name w:val="font6"/>
    <w:basedOn w:val="1"/>
    <w:qFormat/>
    <w:uiPriority w:val="0"/>
    <w:pPr>
      <w:widowControl/>
      <w:spacing w:before="100" w:beforeAutospacing="1" w:after="100" w:afterAutospacing="1"/>
      <w:jc w:val="left"/>
    </w:pPr>
    <w:rPr>
      <w:rFonts w:ascii="宋体" w:hAnsi="宋体" w:eastAsia="宋体" w:cs="宋体"/>
      <w:b/>
      <w:bCs/>
      <w:color w:val="000000"/>
      <w:kern w:val="0"/>
      <w:szCs w:val="21"/>
    </w:rPr>
  </w:style>
  <w:style w:type="paragraph" w:customStyle="1" w:styleId="203">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0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5">
    <w:name w:val="font9"/>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0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0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Cs w:val="21"/>
    </w:rPr>
  </w:style>
  <w:style w:type="paragraph" w:customStyle="1" w:styleId="209">
    <w:name w:val="xl6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eastAsia="宋体" w:cs="Times New Roman"/>
      <w:kern w:val="0"/>
      <w:szCs w:val="21"/>
    </w:rPr>
  </w:style>
  <w:style w:type="paragraph" w:customStyle="1" w:styleId="210">
    <w:name w:val="xl6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1">
    <w:name w:val="xl7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2">
    <w:name w:val="xl7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Times New Roman" w:hAnsi="Times New Roman" w:eastAsia="宋体" w:cs="Times New Roman"/>
      <w:kern w:val="0"/>
      <w:szCs w:val="21"/>
    </w:rPr>
  </w:style>
  <w:style w:type="paragraph" w:customStyle="1" w:styleId="213">
    <w:name w:val="xl72"/>
    <w:basedOn w:val="1"/>
    <w:qFormat/>
    <w:uiPriority w:val="0"/>
    <w:pPr>
      <w:widowControl/>
      <w:pBdr>
        <w:left w:val="single" w:color="auto" w:sz="8"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4">
    <w:name w:val="xl73"/>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5">
    <w:name w:val="xl7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16">
    <w:name w:val="xl7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17">
    <w:name w:val="xl76"/>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18">
    <w:name w:val="xl7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1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20">
    <w:name w:val="xl7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21">
    <w:name w:val="xl80"/>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22">
    <w:name w:val="xl81"/>
    <w:basedOn w:val="1"/>
    <w:qFormat/>
    <w:uiPriority w:val="0"/>
    <w:pPr>
      <w:widowControl/>
      <w:spacing w:before="100" w:beforeAutospacing="1" w:after="100" w:afterAutospacing="1"/>
      <w:jc w:val="center"/>
    </w:pPr>
    <w:rPr>
      <w:rFonts w:ascii="Times New Roman" w:hAnsi="Times New Roman" w:eastAsia="宋体" w:cs="Times New Roman"/>
      <w:kern w:val="0"/>
      <w:szCs w:val="21"/>
    </w:rPr>
  </w:style>
  <w:style w:type="paragraph" w:customStyle="1" w:styleId="22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22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226">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Times New Roman" w:hAnsi="Times New Roman" w:eastAsia="宋体" w:cs="Times New Roman"/>
      <w:kern w:val="0"/>
      <w:szCs w:val="21"/>
    </w:rPr>
  </w:style>
  <w:style w:type="paragraph" w:customStyle="1" w:styleId="227">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228">
    <w:name w:val="xl87"/>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29">
    <w:name w:val="xl88"/>
    <w:basedOn w:val="1"/>
    <w:qFormat/>
    <w:uiPriority w:val="0"/>
    <w:pPr>
      <w:widowControl/>
      <w:pBdr>
        <w:left w:val="single" w:color="auto" w:sz="8"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0">
    <w:name w:val="xl89"/>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1">
    <w:name w:val="xl90"/>
    <w:basedOn w:val="1"/>
    <w:qFormat/>
    <w:uiPriority w:val="0"/>
    <w:pPr>
      <w:widowControl/>
      <w:pBdr>
        <w:top w:val="single" w:color="auto" w:sz="8"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2">
    <w:name w:val="xl91"/>
    <w:basedOn w:val="1"/>
    <w:qFormat/>
    <w:uiPriority w:val="0"/>
    <w:pPr>
      <w:widowControl/>
      <w:pBdr>
        <w:top w:val="single" w:color="auto" w:sz="8"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3">
    <w:name w:val="xl92"/>
    <w:basedOn w:val="1"/>
    <w:qFormat/>
    <w:uiPriority w:val="0"/>
    <w:pPr>
      <w:widowControl/>
      <w:pBdr>
        <w:left w:val="single" w:color="auto" w:sz="4" w:space="0"/>
        <w:bottom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4">
    <w:name w:val="xl93"/>
    <w:basedOn w:val="1"/>
    <w:qFormat/>
    <w:uiPriority w:val="0"/>
    <w:pPr>
      <w:widowControl/>
      <w:pBdr>
        <w:bottom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5">
    <w:name w:val="xl94"/>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6">
    <w:name w:val="xl95"/>
    <w:basedOn w:val="1"/>
    <w:qFormat/>
    <w:uiPriority w:val="0"/>
    <w:pPr>
      <w:widowControl/>
      <w:pBdr>
        <w:top w:val="single" w:color="auto" w:sz="8" w:space="0"/>
        <w:lef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23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38">
    <w:name w:val="xl97"/>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9">
    <w:name w:val="xl98"/>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40">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41">
    <w:name w:val="xl10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24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243">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244">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5">
    <w:name w:val="xl10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
    <w:name w:val="样式 说明-正文 +"/>
    <w:basedOn w:val="1"/>
    <w:qFormat/>
    <w:uiPriority w:val="0"/>
    <w:pPr>
      <w:ind w:left="540" w:leftChars="225" w:firstLine="420" w:firstLineChars="175"/>
      <w:jc w:val="left"/>
    </w:pPr>
    <w:rPr>
      <w:rFonts w:ascii="Times New Roman" w:hAnsi="宋体" w:eastAsia="宋体" w:cs="宋体"/>
      <w:sz w:val="24"/>
      <w:szCs w:val="20"/>
    </w:rPr>
  </w:style>
  <w:style w:type="paragraph" w:customStyle="1" w:styleId="248">
    <w:name w:val="Char Char1"/>
    <w:basedOn w:val="1"/>
    <w:qFormat/>
    <w:uiPriority w:val="0"/>
    <w:rPr>
      <w:rFonts w:ascii="Times New Roman" w:hAnsi="Times New Roman" w:eastAsia="宋体" w:cs="Times New Roman"/>
      <w:szCs w:val="24"/>
    </w:rPr>
  </w:style>
  <w:style w:type="paragraph" w:customStyle="1" w:styleId="249">
    <w:name w:val="默认段落字体 Para Char Char Char Char Char Char Char"/>
    <w:basedOn w:val="1"/>
    <w:qFormat/>
    <w:uiPriority w:val="0"/>
    <w:pPr>
      <w:spacing w:line="360" w:lineRule="auto"/>
    </w:pPr>
    <w:rPr>
      <w:rFonts w:ascii="Times New Roman" w:hAnsi="Times New Roman" w:eastAsia="宋体" w:cs="Times New Roman"/>
      <w:sz w:val="24"/>
      <w:szCs w:val="24"/>
    </w:rPr>
  </w:style>
  <w:style w:type="paragraph" w:customStyle="1" w:styleId="250">
    <w:name w:val="Char13"/>
    <w:basedOn w:val="1"/>
    <w:qFormat/>
    <w:uiPriority w:val="0"/>
    <w:pPr>
      <w:widowControl/>
      <w:spacing w:after="160" w:line="240" w:lineRule="exact"/>
      <w:jc w:val="left"/>
    </w:pPr>
    <w:rPr>
      <w:rFonts w:ascii="Verdana" w:hAnsi="Verdana" w:eastAsia="宋体" w:cs="Times New Roman"/>
      <w:kern w:val="0"/>
      <w:sz w:val="18"/>
      <w:szCs w:val="20"/>
      <w:lang w:eastAsia="en-US"/>
    </w:rPr>
  </w:style>
  <w:style w:type="paragraph" w:customStyle="1" w:styleId="251">
    <w:name w:val="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2">
    <w:name w:val="Char4"/>
    <w:basedOn w:val="1"/>
    <w:qFormat/>
    <w:uiPriority w:val="0"/>
    <w:rPr>
      <w:rFonts w:ascii="仿宋_GB2312" w:hAnsi="Times New Roman" w:eastAsia="仿宋_GB2312" w:cs="Times New Roman"/>
      <w:b/>
      <w:sz w:val="32"/>
      <w:szCs w:val="32"/>
    </w:rPr>
  </w:style>
  <w:style w:type="paragraph" w:customStyle="1" w:styleId="253">
    <w:name w:val="Char Char1 Char4"/>
    <w:basedOn w:val="1"/>
    <w:qFormat/>
    <w:uiPriority w:val="0"/>
    <w:rPr>
      <w:rFonts w:ascii="Times New Roman" w:hAnsi="Times New Roman" w:eastAsia="宋体" w:cs="Times New Roman"/>
      <w:szCs w:val="20"/>
    </w:rPr>
  </w:style>
  <w:style w:type="paragraph" w:customStyle="1" w:styleId="254">
    <w:name w:val="Char Char Char Char3"/>
    <w:basedOn w:val="1"/>
    <w:qFormat/>
    <w:uiPriority w:val="0"/>
    <w:rPr>
      <w:rFonts w:ascii="Tahoma" w:hAnsi="Tahoma" w:eastAsia="宋体" w:cs="Times New Roman"/>
      <w:sz w:val="24"/>
      <w:szCs w:val="24"/>
    </w:rPr>
  </w:style>
  <w:style w:type="paragraph" w:customStyle="1" w:styleId="255">
    <w:name w:val="Char1 Char Char Char Char Char Char3"/>
    <w:basedOn w:val="1"/>
    <w:qFormat/>
    <w:uiPriority w:val="0"/>
    <w:rPr>
      <w:rFonts w:ascii="Times New Roman" w:hAnsi="Times New Roman" w:eastAsia="宋体" w:cs="Times New Roman"/>
      <w:sz w:val="24"/>
      <w:szCs w:val="24"/>
    </w:rPr>
  </w:style>
  <w:style w:type="paragraph" w:customStyle="1" w:styleId="256">
    <w:name w:val="Char1 Char Char13"/>
    <w:basedOn w:val="1"/>
    <w:qFormat/>
    <w:uiPriority w:val="0"/>
    <w:pPr>
      <w:spacing w:line="360" w:lineRule="auto"/>
      <w:ind w:firstLine="200" w:firstLineChars="200"/>
    </w:pPr>
    <w:rPr>
      <w:rFonts w:ascii="宋体" w:hAnsi="宋体" w:eastAsia="宋体" w:cs="宋体"/>
      <w:sz w:val="24"/>
      <w:szCs w:val="24"/>
    </w:rPr>
  </w:style>
  <w:style w:type="paragraph" w:customStyle="1" w:styleId="257">
    <w:name w:val="Char Char11"/>
    <w:basedOn w:val="1"/>
    <w:qFormat/>
    <w:uiPriority w:val="0"/>
    <w:rPr>
      <w:rFonts w:ascii="Times New Roman" w:hAnsi="Times New Roman" w:eastAsia="宋体" w:cs="Times New Roman"/>
      <w:szCs w:val="24"/>
    </w:rPr>
  </w:style>
  <w:style w:type="paragraph" w:customStyle="1" w:styleId="258">
    <w:name w:val="Char12"/>
    <w:basedOn w:val="1"/>
    <w:qFormat/>
    <w:uiPriority w:val="0"/>
    <w:pPr>
      <w:widowControl/>
      <w:spacing w:after="160" w:line="240" w:lineRule="exact"/>
      <w:jc w:val="left"/>
    </w:pPr>
    <w:rPr>
      <w:rFonts w:ascii="Verdana" w:hAnsi="Verdana" w:eastAsia="宋体" w:cs="Times New Roman"/>
      <w:kern w:val="0"/>
      <w:sz w:val="18"/>
      <w:szCs w:val="20"/>
      <w:lang w:eastAsia="en-US"/>
    </w:rPr>
  </w:style>
  <w:style w:type="paragraph" w:customStyle="1" w:styleId="259">
    <w:name w:val="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0">
    <w:name w:val="Char3"/>
    <w:basedOn w:val="1"/>
    <w:qFormat/>
    <w:uiPriority w:val="0"/>
    <w:rPr>
      <w:rFonts w:ascii="仿宋_GB2312" w:hAnsi="Times New Roman" w:eastAsia="仿宋_GB2312" w:cs="Times New Roman"/>
      <w:b/>
      <w:sz w:val="32"/>
      <w:szCs w:val="32"/>
    </w:rPr>
  </w:style>
  <w:style w:type="paragraph" w:customStyle="1" w:styleId="261">
    <w:name w:val="Char Char1 Char3"/>
    <w:basedOn w:val="1"/>
    <w:qFormat/>
    <w:uiPriority w:val="0"/>
    <w:rPr>
      <w:rFonts w:ascii="Times New Roman" w:hAnsi="Times New Roman" w:eastAsia="宋体" w:cs="Times New Roman"/>
      <w:szCs w:val="20"/>
    </w:rPr>
  </w:style>
  <w:style w:type="paragraph" w:customStyle="1" w:styleId="262">
    <w:name w:val="Char Char Char Char2"/>
    <w:basedOn w:val="1"/>
    <w:qFormat/>
    <w:uiPriority w:val="0"/>
    <w:rPr>
      <w:rFonts w:ascii="Tahoma" w:hAnsi="Tahoma" w:eastAsia="宋体" w:cs="Times New Roman"/>
      <w:sz w:val="24"/>
      <w:szCs w:val="24"/>
    </w:rPr>
  </w:style>
  <w:style w:type="paragraph" w:customStyle="1" w:styleId="263">
    <w:name w:val="Char1 Char Char Char Char Char Char2"/>
    <w:basedOn w:val="1"/>
    <w:qFormat/>
    <w:uiPriority w:val="0"/>
    <w:rPr>
      <w:rFonts w:ascii="Times New Roman" w:hAnsi="Times New Roman" w:eastAsia="宋体" w:cs="Times New Roman"/>
      <w:sz w:val="24"/>
      <w:szCs w:val="24"/>
    </w:rPr>
  </w:style>
  <w:style w:type="paragraph" w:customStyle="1" w:styleId="264">
    <w:name w:val="Char1 Char Char12"/>
    <w:basedOn w:val="1"/>
    <w:qFormat/>
    <w:uiPriority w:val="0"/>
    <w:pPr>
      <w:spacing w:line="360" w:lineRule="auto"/>
      <w:ind w:firstLine="200" w:firstLineChars="200"/>
    </w:pPr>
    <w:rPr>
      <w:rFonts w:ascii="宋体" w:hAnsi="宋体" w:eastAsia="宋体" w:cs="宋体"/>
      <w:sz w:val="24"/>
      <w:szCs w:val="24"/>
    </w:rPr>
  </w:style>
  <w:style w:type="paragraph" w:customStyle="1" w:styleId="265">
    <w:name w:val="Char Char12"/>
    <w:basedOn w:val="1"/>
    <w:qFormat/>
    <w:uiPriority w:val="0"/>
    <w:rPr>
      <w:rFonts w:ascii="Times New Roman" w:hAnsi="Times New Roman" w:eastAsia="宋体" w:cs="Times New Roman"/>
      <w:szCs w:val="24"/>
    </w:rPr>
  </w:style>
  <w:style w:type="paragraph" w:customStyle="1" w:styleId="266">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67">
    <w:name w:val="font3"/>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68">
    <w:name w:val="et2"/>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69">
    <w:name w:val="et3"/>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0">
    <w:name w:val="et4"/>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1">
    <w:name w:val="et5"/>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2">
    <w:name w:val="et6"/>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3">
    <w:name w:val="e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4">
    <w:name w:val="et8"/>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5">
    <w:name w:val="et9"/>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6">
    <w:name w:val="et10"/>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7">
    <w:name w:val="et11"/>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8">
    <w:name w:val="et12"/>
    <w:basedOn w:val="1"/>
    <w:qFormat/>
    <w:uiPriority w:val="0"/>
    <w:pPr>
      <w:widowControl/>
      <w:spacing w:before="100" w:beforeAutospacing="1" w:after="100" w:afterAutospacing="1"/>
      <w:jc w:val="left"/>
    </w:pPr>
    <w:rPr>
      <w:rFonts w:ascii="Book Antiqua" w:hAnsi="Book Antiqua" w:eastAsia="宋体" w:cs="宋体"/>
      <w:color w:val="000000"/>
      <w:kern w:val="0"/>
      <w:sz w:val="24"/>
      <w:szCs w:val="24"/>
    </w:rPr>
  </w:style>
  <w:style w:type="paragraph" w:customStyle="1" w:styleId="279">
    <w:name w:val="et13"/>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80">
    <w:name w:val="et14"/>
    <w:basedOn w:val="1"/>
    <w:qFormat/>
    <w:uiPriority w:val="0"/>
    <w:pPr>
      <w:widowControl/>
      <w:spacing w:before="100" w:beforeAutospacing="1" w:after="100" w:afterAutospacing="1"/>
      <w:jc w:val="left"/>
    </w:pPr>
    <w:rPr>
      <w:rFonts w:ascii="Book Antiqua" w:hAnsi="Book Antiqua" w:eastAsia="宋体" w:cs="宋体"/>
      <w:color w:val="000000"/>
      <w:kern w:val="0"/>
      <w:sz w:val="24"/>
      <w:szCs w:val="24"/>
    </w:rPr>
  </w:style>
  <w:style w:type="paragraph" w:customStyle="1" w:styleId="281">
    <w:name w:val="et15"/>
    <w:basedOn w:val="1"/>
    <w:qFormat/>
    <w:uiPriority w:val="0"/>
    <w:pPr>
      <w:widowControl/>
      <w:spacing w:before="100" w:beforeAutospacing="1" w:after="100" w:afterAutospacing="1"/>
      <w:jc w:val="left"/>
    </w:pPr>
    <w:rPr>
      <w:rFonts w:ascii="Book Antiqua" w:hAnsi="Book Antiqua" w:eastAsia="宋体" w:cs="宋体"/>
      <w:color w:val="000000"/>
      <w:kern w:val="0"/>
      <w:sz w:val="24"/>
      <w:szCs w:val="24"/>
    </w:rPr>
  </w:style>
  <w:style w:type="paragraph" w:customStyle="1" w:styleId="282">
    <w:name w:val="et16"/>
    <w:basedOn w:val="1"/>
    <w:qFormat/>
    <w:uiPriority w:val="0"/>
    <w:pPr>
      <w:widowControl/>
      <w:spacing w:before="100" w:beforeAutospacing="1" w:after="100" w:afterAutospacing="1"/>
      <w:jc w:val="left"/>
    </w:pPr>
    <w:rPr>
      <w:rFonts w:ascii="Book Antiqua" w:hAnsi="Book Antiqua" w:eastAsia="宋体" w:cs="宋体"/>
      <w:color w:val="000000"/>
      <w:kern w:val="0"/>
      <w:sz w:val="24"/>
      <w:szCs w:val="24"/>
    </w:rPr>
  </w:style>
  <w:style w:type="paragraph" w:customStyle="1" w:styleId="283">
    <w:name w:val="et1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84">
    <w:name w:val="附录二级条标题"/>
    <w:basedOn w:val="1"/>
    <w:next w:val="1"/>
    <w:qFormat/>
    <w:uiPriority w:val="99"/>
    <w:pPr>
      <w:widowControl/>
      <w:wordWrap w:val="0"/>
      <w:overflowPunct w:val="0"/>
      <w:autoSpaceDE w:val="0"/>
      <w:autoSpaceDN w:val="0"/>
      <w:spacing w:beforeLines="50" w:line="520" w:lineRule="exact"/>
      <w:ind w:firstLine="200" w:firstLineChars="200"/>
      <w:outlineLvl w:val="3"/>
    </w:pPr>
    <w:rPr>
      <w:rFonts w:ascii="黑体" w:hAnsi="Times New Roman" w:eastAsia="黑体" w:cs="Times New Roman"/>
      <w:kern w:val="21"/>
      <w:sz w:val="28"/>
      <w:szCs w:val="20"/>
    </w:rPr>
  </w:style>
  <w:style w:type="paragraph" w:customStyle="1" w:styleId="285">
    <w:name w:val="附录一级无"/>
    <w:qFormat/>
    <w:uiPriority w:val="99"/>
    <w:rPr>
      <w:rFonts w:ascii="宋体" w:hAnsi="Times New Roman" w:eastAsia="宋体" w:cs="Times New Roman"/>
      <w:szCs w:val="21"/>
      <w:lang w:val="en-US" w:eastAsia="zh-CN" w:bidi="ar-SA"/>
    </w:rPr>
  </w:style>
  <w:style w:type="paragraph" w:customStyle="1" w:styleId="286">
    <w:name w:val="附录章标题"/>
    <w:next w:val="1"/>
    <w:qFormat/>
    <w:uiPriority w:val="99"/>
    <w:pPr>
      <w:wordWrap w:val="0"/>
      <w:overflowPunct w:val="0"/>
      <w:autoSpaceDE w:val="0"/>
      <w:spacing w:beforeLines="100"/>
      <w:ind w:left="105"/>
      <w:jc w:val="both"/>
      <w:outlineLvl w:val="1"/>
    </w:pPr>
    <w:rPr>
      <w:rFonts w:ascii="黑体" w:hAnsi="Times New Roman" w:eastAsia="黑体" w:cs="Times New Roman"/>
      <w:kern w:val="21"/>
      <w:sz w:val="21"/>
      <w:lang w:val="en-US" w:eastAsia="zh-CN" w:bidi="ar-SA"/>
    </w:rPr>
  </w:style>
  <w:style w:type="paragraph" w:customStyle="1" w:styleId="287">
    <w:name w:val="附录三级条标题"/>
    <w:basedOn w:val="284"/>
    <w:next w:val="1"/>
    <w:qFormat/>
    <w:uiPriority w:val="99"/>
    <w:pPr>
      <w:tabs>
        <w:tab w:val="left" w:pos="360"/>
      </w:tabs>
      <w:outlineLvl w:val="4"/>
    </w:pPr>
  </w:style>
  <w:style w:type="character" w:customStyle="1" w:styleId="288">
    <w:name w:val="0说明正文 Char Char"/>
    <w:link w:val="289"/>
    <w:qFormat/>
    <w:locked/>
    <w:uiPriority w:val="0"/>
    <w:rPr>
      <w:sz w:val="24"/>
    </w:rPr>
  </w:style>
  <w:style w:type="paragraph" w:customStyle="1" w:styleId="289">
    <w:name w:val="0说明正文"/>
    <w:basedOn w:val="1"/>
    <w:link w:val="288"/>
    <w:qFormat/>
    <w:uiPriority w:val="0"/>
    <w:pPr>
      <w:spacing w:beforeLines="50"/>
      <w:ind w:firstLine="200" w:firstLineChars="200"/>
    </w:pPr>
    <w:rPr>
      <w:sz w:val="24"/>
    </w:rPr>
  </w:style>
  <w:style w:type="paragraph" w:customStyle="1" w:styleId="290">
    <w:name w:val="album-div1"/>
    <w:basedOn w:val="1"/>
    <w:qFormat/>
    <w:uiPriority w:val="99"/>
    <w:pPr>
      <w:widowControl/>
      <w:shd w:val="clear" w:color="auto" w:fill="FFFFFF"/>
      <w:spacing w:before="100" w:beforeAutospacing="1" w:after="100" w:afterAutospacing="1" w:line="520" w:lineRule="exact"/>
      <w:ind w:firstLine="200" w:firstLineChars="200"/>
      <w:jc w:val="left"/>
    </w:pPr>
    <w:rPr>
      <w:rFonts w:ascii="宋体" w:hAnsi="宋体" w:eastAsia="宋体" w:cs="宋体"/>
      <w:kern w:val="0"/>
      <w:sz w:val="24"/>
      <w:szCs w:val="24"/>
    </w:rPr>
  </w:style>
  <w:style w:type="character" w:customStyle="1" w:styleId="291">
    <w:name w:val="0表标题 Char Char"/>
    <w:link w:val="292"/>
    <w:qFormat/>
    <w:locked/>
    <w:uiPriority w:val="0"/>
    <w:rPr>
      <w:b/>
      <w:sz w:val="18"/>
    </w:rPr>
  </w:style>
  <w:style w:type="paragraph" w:customStyle="1" w:styleId="292">
    <w:name w:val="0表标题"/>
    <w:basedOn w:val="1"/>
    <w:link w:val="291"/>
    <w:qFormat/>
    <w:uiPriority w:val="0"/>
    <w:pPr>
      <w:keepNext/>
      <w:adjustRightInd w:val="0"/>
      <w:snapToGrid w:val="0"/>
      <w:jc w:val="left"/>
    </w:pPr>
    <w:rPr>
      <w:b/>
      <w:sz w:val="18"/>
    </w:rPr>
  </w:style>
  <w:style w:type="paragraph" w:customStyle="1" w:styleId="293">
    <w:name w:val="一级条标题"/>
    <w:next w:val="79"/>
    <w:qFormat/>
    <w:uiPriority w:val="99"/>
    <w:pPr>
      <w:tabs>
        <w:tab w:val="left" w:pos="720"/>
      </w:tabs>
      <w:spacing w:beforeLines="50"/>
      <w:ind w:left="105"/>
      <w:outlineLvl w:val="2"/>
    </w:pPr>
    <w:rPr>
      <w:rFonts w:ascii="黑体" w:hAnsi="Times New Roman" w:eastAsia="黑体" w:cs="Times New Roman"/>
      <w:sz w:val="21"/>
      <w:szCs w:val="21"/>
      <w:lang w:val="en-US" w:eastAsia="zh-CN" w:bidi="ar-SA"/>
    </w:rPr>
  </w:style>
  <w:style w:type="paragraph" w:customStyle="1" w:styleId="294">
    <w:name w:val="CM4"/>
    <w:basedOn w:val="144"/>
    <w:next w:val="144"/>
    <w:qFormat/>
    <w:uiPriority w:val="99"/>
    <w:pPr>
      <w:spacing w:line="626" w:lineRule="atLeast"/>
    </w:pPr>
    <w:rPr>
      <w:rFonts w:ascii="黑体" w:hAnsi="Calibri" w:eastAsia="黑体" w:cs="Times New Roman"/>
      <w:color w:val="auto"/>
    </w:rPr>
  </w:style>
  <w:style w:type="character" w:customStyle="1" w:styleId="295">
    <w:name w:val="标题四 Char Char Char"/>
    <w:link w:val="296"/>
    <w:qFormat/>
    <w:locked/>
    <w:uiPriority w:val="0"/>
    <w:rPr>
      <w:rFonts w:ascii="宋体" w:hAnsi="宋体" w:eastAsia="宋体"/>
      <w:b/>
      <w:sz w:val="24"/>
    </w:rPr>
  </w:style>
  <w:style w:type="paragraph" w:customStyle="1" w:styleId="296">
    <w:name w:val="标题四 Char"/>
    <w:basedOn w:val="4"/>
    <w:link w:val="295"/>
    <w:qFormat/>
    <w:uiPriority w:val="0"/>
    <w:pPr>
      <w:spacing w:before="0" w:after="0" w:line="360" w:lineRule="auto"/>
      <w:jc w:val="left"/>
    </w:pPr>
    <w:rPr>
      <w:rFonts w:ascii="宋体" w:hAnsi="宋体" w:cstheme="minorBidi"/>
      <w:bCs w:val="0"/>
      <w:sz w:val="24"/>
      <w:szCs w:val="22"/>
    </w:rPr>
  </w:style>
  <w:style w:type="paragraph" w:customStyle="1" w:styleId="297">
    <w:name w:val="Char Char Char Char Char Char1 Char"/>
    <w:basedOn w:val="1"/>
    <w:qFormat/>
    <w:uiPriority w:val="99"/>
    <w:pPr>
      <w:ind w:left="432" w:hanging="432"/>
    </w:pPr>
    <w:rPr>
      <w:rFonts w:ascii="Times New Roman" w:hAnsi="Times New Roman" w:eastAsia="宋体" w:cs="Times New Roman"/>
      <w:sz w:val="24"/>
      <w:szCs w:val="24"/>
    </w:rPr>
  </w:style>
  <w:style w:type="paragraph" w:customStyle="1" w:styleId="298">
    <w:name w:val="附录四级条标题"/>
    <w:basedOn w:val="287"/>
    <w:next w:val="1"/>
    <w:qFormat/>
    <w:uiPriority w:val="99"/>
    <w:pPr>
      <w:outlineLvl w:val="5"/>
    </w:pPr>
  </w:style>
  <w:style w:type="paragraph" w:customStyle="1" w:styleId="299">
    <w:name w:val="标准书脚_偶数页"/>
    <w:qFormat/>
    <w:uiPriority w:val="99"/>
    <w:pPr>
      <w:spacing w:before="120"/>
      <w:ind w:left="221"/>
    </w:pPr>
    <w:rPr>
      <w:rFonts w:ascii="宋体" w:hAnsi="Times New Roman" w:eastAsia="宋体" w:cs="Times New Roman"/>
      <w:sz w:val="18"/>
      <w:szCs w:val="18"/>
      <w:lang w:val="en-US" w:eastAsia="zh-CN" w:bidi="ar-SA"/>
    </w:rPr>
  </w:style>
  <w:style w:type="character" w:customStyle="1" w:styleId="300">
    <w:name w:val="0文成正文 Char Char Char"/>
    <w:link w:val="301"/>
    <w:qFormat/>
    <w:locked/>
    <w:uiPriority w:val="0"/>
    <w:rPr>
      <w:rFonts w:ascii="宋体" w:hAnsi="宋体" w:eastAsia="宋体"/>
      <w:color w:val="000000"/>
      <w:sz w:val="24"/>
    </w:rPr>
  </w:style>
  <w:style w:type="paragraph" w:customStyle="1" w:styleId="301">
    <w:name w:val="0文成正文 Char Char"/>
    <w:basedOn w:val="22"/>
    <w:link w:val="300"/>
    <w:qFormat/>
    <w:uiPriority w:val="0"/>
    <w:pPr>
      <w:spacing w:line="360" w:lineRule="auto"/>
      <w:ind w:firstLine="200" w:firstLineChars="200"/>
      <w:jc w:val="left"/>
    </w:pPr>
    <w:rPr>
      <w:rFonts w:hAnsi="宋体" w:cstheme="minorBidi"/>
      <w:color w:val="000000"/>
      <w:sz w:val="24"/>
      <w:szCs w:val="22"/>
    </w:rPr>
  </w:style>
  <w:style w:type="paragraph" w:customStyle="1" w:styleId="302">
    <w:name w:val="附录标识"/>
    <w:basedOn w:val="1"/>
    <w:next w:val="1"/>
    <w:qFormat/>
    <w:uiPriority w:val="99"/>
    <w:pPr>
      <w:keepNext/>
      <w:widowControl/>
      <w:shd w:val="clear" w:color="auto" w:fill="FFFFFF"/>
      <w:tabs>
        <w:tab w:val="left" w:pos="360"/>
        <w:tab w:val="left" w:pos="6405"/>
      </w:tabs>
      <w:spacing w:before="640" w:after="280" w:line="520" w:lineRule="exact"/>
      <w:ind w:firstLine="200" w:firstLineChars="200"/>
      <w:jc w:val="center"/>
      <w:outlineLvl w:val="0"/>
    </w:pPr>
    <w:rPr>
      <w:rFonts w:ascii="黑体" w:hAnsi="Times New Roman" w:eastAsia="黑体" w:cs="Times New Roman"/>
      <w:kern w:val="0"/>
      <w:sz w:val="28"/>
      <w:szCs w:val="20"/>
    </w:rPr>
  </w:style>
  <w:style w:type="paragraph" w:customStyle="1" w:styleId="303">
    <w:name w:val="3标题"/>
    <w:basedOn w:val="1"/>
    <w:qFormat/>
    <w:uiPriority w:val="99"/>
    <w:pPr>
      <w:widowControl/>
      <w:spacing w:line="540" w:lineRule="exact"/>
      <w:ind w:firstLine="562" w:firstLineChars="200"/>
      <w:jc w:val="left"/>
    </w:pPr>
    <w:rPr>
      <w:rFonts w:ascii="Calibri" w:hAnsi="Calibri" w:eastAsia="宋体" w:cs="Times New Roman"/>
      <w:b/>
      <w:kern w:val="0"/>
      <w:sz w:val="28"/>
    </w:rPr>
  </w:style>
  <w:style w:type="character" w:customStyle="1" w:styleId="304">
    <w:name w:val="标题三 Char Char"/>
    <w:link w:val="305"/>
    <w:qFormat/>
    <w:locked/>
    <w:uiPriority w:val="0"/>
    <w:rPr>
      <w:b/>
      <w:sz w:val="28"/>
    </w:rPr>
  </w:style>
  <w:style w:type="paragraph" w:customStyle="1" w:styleId="305">
    <w:name w:val="标题三"/>
    <w:basedOn w:val="4"/>
    <w:link w:val="304"/>
    <w:qFormat/>
    <w:uiPriority w:val="0"/>
    <w:pPr>
      <w:spacing w:beforeLines="50" w:after="0" w:line="360" w:lineRule="auto"/>
      <w:jc w:val="left"/>
    </w:pPr>
    <w:rPr>
      <w:rFonts w:asciiTheme="minorHAnsi" w:hAnsiTheme="minorHAnsi" w:eastAsiaTheme="minorEastAsia" w:cstheme="minorBidi"/>
      <w:bCs w:val="0"/>
      <w:sz w:val="28"/>
      <w:szCs w:val="22"/>
    </w:rPr>
  </w:style>
  <w:style w:type="paragraph" w:customStyle="1" w:styleId="306">
    <w:name w:val="四级无"/>
    <w:qFormat/>
    <w:uiPriority w:val="99"/>
    <w:rPr>
      <w:rFonts w:ascii="宋体" w:hAnsi="Times New Roman" w:eastAsia="宋体" w:cs="Times New Roman"/>
      <w:lang w:val="en-US" w:eastAsia="zh-CN" w:bidi="ar-SA"/>
    </w:rPr>
  </w:style>
  <w:style w:type="paragraph" w:customStyle="1" w:styleId="307">
    <w:name w:val="Char Char1 Char Char Char Char Char Char Char"/>
    <w:basedOn w:val="1"/>
    <w:qFormat/>
    <w:uiPriority w:val="99"/>
    <w:pPr>
      <w:widowControl/>
      <w:spacing w:after="160" w:line="240" w:lineRule="exact"/>
      <w:jc w:val="left"/>
    </w:pPr>
    <w:rPr>
      <w:rFonts w:ascii="Times New Roman" w:hAnsi="Times New Roman" w:eastAsia="仿宋_GB2312" w:cs="Times New Roman"/>
      <w:sz w:val="32"/>
      <w:szCs w:val="24"/>
    </w:rPr>
  </w:style>
  <w:style w:type="paragraph" w:customStyle="1" w:styleId="308">
    <w:name w:val="album-div"/>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09">
    <w:name w:val="附录一级条标题"/>
    <w:basedOn w:val="286"/>
    <w:next w:val="1"/>
    <w:qFormat/>
    <w:uiPriority w:val="99"/>
    <w:pPr>
      <w:autoSpaceDN w:val="0"/>
      <w:spacing w:beforeLines="50"/>
      <w:ind w:left="0"/>
      <w:outlineLvl w:val="2"/>
    </w:pPr>
  </w:style>
  <w:style w:type="paragraph" w:customStyle="1" w:styleId="310">
    <w:name w:val="样式 四号 行距: 固定值 25 磅"/>
    <w:basedOn w:val="1"/>
    <w:qFormat/>
    <w:uiPriority w:val="99"/>
    <w:pPr>
      <w:spacing w:line="500" w:lineRule="exact"/>
      <w:ind w:firstLine="480" w:firstLineChars="200"/>
    </w:pPr>
    <w:rPr>
      <w:rFonts w:ascii="Times New Roman" w:hAnsi="Times New Roman" w:eastAsia="宋体" w:cs="宋体"/>
      <w:sz w:val="24"/>
      <w:szCs w:val="20"/>
    </w:rPr>
  </w:style>
  <w:style w:type="paragraph" w:customStyle="1" w:styleId="311">
    <w:name w:val="正文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12">
    <w:name w:val="0表正文 Char Char"/>
    <w:link w:val="313"/>
    <w:qFormat/>
    <w:locked/>
    <w:uiPriority w:val="0"/>
    <w:rPr>
      <w:sz w:val="18"/>
    </w:rPr>
  </w:style>
  <w:style w:type="paragraph" w:customStyle="1" w:styleId="313">
    <w:name w:val="0表正文"/>
    <w:basedOn w:val="1"/>
    <w:link w:val="312"/>
    <w:qFormat/>
    <w:uiPriority w:val="0"/>
    <w:pPr>
      <w:spacing w:line="300" w:lineRule="exact"/>
      <w:jc w:val="left"/>
    </w:pPr>
    <w:rPr>
      <w:sz w:val="18"/>
    </w:rPr>
  </w:style>
  <w:style w:type="paragraph" w:customStyle="1" w:styleId="314">
    <w:name w:val="Char Char Char Char Char Char Char Char Char Char"/>
    <w:basedOn w:val="1"/>
    <w:qFormat/>
    <w:uiPriority w:val="99"/>
    <w:rPr>
      <w:rFonts w:ascii="Times New Roman" w:hAnsi="Times New Roman" w:eastAsia="宋体" w:cs="Times New Roman"/>
      <w:szCs w:val="24"/>
    </w:rPr>
  </w:style>
  <w:style w:type="paragraph" w:customStyle="1" w:styleId="315">
    <w:name w:val="Char Char Char Char Char Char1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character" w:customStyle="1" w:styleId="316">
    <w:name w:val="dc正文 Char"/>
    <w:link w:val="317"/>
    <w:qFormat/>
    <w:locked/>
    <w:uiPriority w:val="0"/>
    <w:rPr>
      <w:rFonts w:ascii="宋体" w:hAnsi="宋体" w:eastAsia="宋体" w:cs="宋体"/>
      <w:sz w:val="24"/>
      <w:szCs w:val="20"/>
    </w:rPr>
  </w:style>
  <w:style w:type="paragraph" w:customStyle="1" w:styleId="317">
    <w:name w:val="dc正文"/>
    <w:basedOn w:val="1"/>
    <w:link w:val="316"/>
    <w:qFormat/>
    <w:uiPriority w:val="0"/>
    <w:pPr>
      <w:spacing w:line="420" w:lineRule="exact"/>
      <w:ind w:firstLine="480" w:firstLineChars="200"/>
    </w:pPr>
    <w:rPr>
      <w:rFonts w:ascii="宋体" w:hAnsi="宋体" w:eastAsia="宋体" w:cs="宋体"/>
      <w:sz w:val="24"/>
      <w:szCs w:val="20"/>
    </w:rPr>
  </w:style>
  <w:style w:type="paragraph" w:customStyle="1" w:styleId="318">
    <w:name w:val="p25"/>
    <w:basedOn w:val="1"/>
    <w:qFormat/>
    <w:uiPriority w:val="0"/>
    <w:pPr>
      <w:widowControl/>
    </w:pPr>
    <w:rPr>
      <w:rFonts w:ascii="Times New Roman" w:hAnsi="Times New Roman" w:eastAsia="宋体" w:cs="Times New Roman"/>
      <w:kern w:val="0"/>
      <w:szCs w:val="21"/>
    </w:rPr>
  </w:style>
  <w:style w:type="paragraph" w:customStyle="1" w:styleId="319">
    <w:name w:val="p19"/>
    <w:basedOn w:val="1"/>
    <w:qFormat/>
    <w:uiPriority w:val="0"/>
    <w:pPr>
      <w:widowControl/>
    </w:pPr>
    <w:rPr>
      <w:rFonts w:ascii="Times New Roman" w:hAnsi="Times New Roman" w:eastAsia="宋体" w:cs="Times New Roman"/>
      <w:kern w:val="0"/>
      <w:sz w:val="18"/>
      <w:szCs w:val="18"/>
    </w:rPr>
  </w:style>
  <w:style w:type="paragraph" w:customStyle="1" w:styleId="320">
    <w:name w:val="p23"/>
    <w:basedOn w:val="1"/>
    <w:qFormat/>
    <w:uiPriority w:val="0"/>
    <w:pPr>
      <w:widowControl/>
      <w:spacing w:before="120" w:after="120" w:line="360" w:lineRule="auto"/>
    </w:pPr>
    <w:rPr>
      <w:rFonts w:ascii="Times New Roman" w:hAnsi="Times New Roman" w:eastAsia="宋体" w:cs="Times New Roman"/>
      <w:color w:val="000000"/>
      <w:kern w:val="0"/>
      <w:sz w:val="32"/>
      <w:szCs w:val="32"/>
    </w:rPr>
  </w:style>
  <w:style w:type="paragraph" w:customStyle="1" w:styleId="321">
    <w:name w:val="p17"/>
    <w:basedOn w:val="1"/>
    <w:qFormat/>
    <w:uiPriority w:val="0"/>
    <w:pPr>
      <w:widowControl/>
      <w:spacing w:before="120" w:after="120" w:line="360" w:lineRule="auto"/>
    </w:pPr>
    <w:rPr>
      <w:rFonts w:ascii="Times New Roman" w:hAnsi="Times New Roman" w:eastAsia="宋体" w:cs="Times New Roman"/>
      <w:color w:val="000000"/>
      <w:kern w:val="0"/>
      <w:sz w:val="32"/>
      <w:szCs w:val="32"/>
    </w:rPr>
  </w:style>
  <w:style w:type="paragraph" w:customStyle="1" w:styleId="322">
    <w:name w:val="p20"/>
    <w:basedOn w:val="1"/>
    <w:qFormat/>
    <w:uiPriority w:val="0"/>
    <w:pPr>
      <w:widowControl/>
      <w:snapToGrid w:val="0"/>
      <w:jc w:val="left"/>
    </w:pPr>
    <w:rPr>
      <w:rFonts w:ascii="黑体" w:hAnsi="黑体" w:eastAsia="黑体" w:cs="宋体"/>
      <w:color w:val="000000"/>
      <w:kern w:val="0"/>
      <w:sz w:val="24"/>
      <w:szCs w:val="24"/>
    </w:rPr>
  </w:style>
  <w:style w:type="paragraph" w:customStyle="1" w:styleId="323">
    <w:name w:val="p22"/>
    <w:basedOn w:val="1"/>
    <w:qFormat/>
    <w:uiPriority w:val="0"/>
    <w:pPr>
      <w:widowControl/>
      <w:spacing w:before="120" w:after="120" w:line="360" w:lineRule="auto"/>
      <w:jc w:val="left"/>
    </w:pPr>
    <w:rPr>
      <w:rFonts w:ascii="Times New Roman" w:hAnsi="Times New Roman" w:eastAsia="宋体" w:cs="Times New Roman"/>
      <w:b/>
      <w:bCs/>
      <w:kern w:val="0"/>
      <w:sz w:val="30"/>
      <w:szCs w:val="30"/>
    </w:rPr>
  </w:style>
  <w:style w:type="paragraph" w:customStyle="1" w:styleId="324">
    <w:name w:val="p24"/>
    <w:basedOn w:val="1"/>
    <w:qFormat/>
    <w:uiPriority w:val="0"/>
    <w:pPr>
      <w:widowControl/>
      <w:spacing w:before="120" w:after="120" w:line="360" w:lineRule="auto"/>
      <w:ind w:firstLine="420"/>
      <w:jc w:val="center"/>
    </w:pPr>
    <w:rPr>
      <w:rFonts w:ascii="Times New Roman" w:hAnsi="Times New Roman" w:eastAsia="宋体" w:cs="Times New Roman"/>
      <w:b/>
      <w:bCs/>
      <w:color w:val="000000"/>
      <w:kern w:val="0"/>
      <w:sz w:val="44"/>
      <w:szCs w:val="44"/>
    </w:rPr>
  </w:style>
  <w:style w:type="paragraph" w:customStyle="1" w:styleId="325">
    <w:name w:val="p21"/>
    <w:basedOn w:val="1"/>
    <w:qFormat/>
    <w:uiPriority w:val="0"/>
    <w:pPr>
      <w:widowControl/>
      <w:spacing w:before="156" w:after="156" w:line="360" w:lineRule="auto"/>
      <w:jc w:val="center"/>
    </w:pPr>
    <w:rPr>
      <w:rFonts w:ascii="Times New Roman" w:hAnsi="Times New Roman" w:eastAsia="宋体" w:cs="Times New Roman"/>
      <w:b/>
      <w:bCs/>
      <w:kern w:val="0"/>
      <w:sz w:val="24"/>
      <w:szCs w:val="24"/>
    </w:rPr>
  </w:style>
  <w:style w:type="character" w:customStyle="1" w:styleId="326">
    <w:name w:val="样式5 Char"/>
    <w:link w:val="327"/>
    <w:qFormat/>
    <w:locked/>
    <w:uiPriority w:val="0"/>
    <w:rPr>
      <w:rFonts w:ascii="宋体" w:hAnsi="宋体" w:eastAsia="仿宋_GB2312"/>
      <w:color w:val="000000"/>
      <w:sz w:val="28"/>
    </w:rPr>
  </w:style>
  <w:style w:type="paragraph" w:customStyle="1" w:styleId="327">
    <w:name w:val="样式5"/>
    <w:basedOn w:val="1"/>
    <w:link w:val="326"/>
    <w:qFormat/>
    <w:uiPriority w:val="0"/>
    <w:pPr>
      <w:spacing w:line="360" w:lineRule="auto"/>
      <w:ind w:firstLine="200" w:firstLineChars="200"/>
    </w:pPr>
    <w:rPr>
      <w:rFonts w:ascii="宋体" w:hAnsi="宋体" w:eastAsia="仿宋_GB2312"/>
      <w:color w:val="000000"/>
      <w:sz w:val="28"/>
    </w:rPr>
  </w:style>
  <w:style w:type="paragraph" w:customStyle="1" w:styleId="328">
    <w:name w:val="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329">
    <w:name w:val="样式 A正文 + (符号) 仿宋_GB2312"/>
    <w:basedOn w:val="189"/>
    <w:qFormat/>
    <w:uiPriority w:val="0"/>
    <w:rPr>
      <w:kern w:val="2"/>
    </w:rPr>
  </w:style>
  <w:style w:type="paragraph" w:customStyle="1" w:styleId="330">
    <w:name w:val="文字"/>
    <w:basedOn w:val="1"/>
    <w:qFormat/>
    <w:uiPriority w:val="0"/>
    <w:pPr>
      <w:widowControl/>
      <w:spacing w:line="360" w:lineRule="auto"/>
      <w:ind w:firstLine="420"/>
    </w:pPr>
    <w:rPr>
      <w:rFonts w:ascii="Times New Roman" w:hAnsi="Times New Roman" w:eastAsia="宋体" w:cs="Times New Roman"/>
      <w:kern w:val="0"/>
      <w:sz w:val="24"/>
      <w:szCs w:val="24"/>
    </w:rPr>
  </w:style>
  <w:style w:type="paragraph" w:customStyle="1" w:styleId="331">
    <w:name w:val="样式4 宋体 Char"/>
    <w:basedOn w:val="1"/>
    <w:qFormat/>
    <w:uiPriority w:val="0"/>
    <w:rPr>
      <w:rFonts w:ascii="Times New Roman" w:hAnsi="Times New Roman" w:eastAsia="宋体" w:cs="Times New Roman"/>
      <w:szCs w:val="24"/>
    </w:rPr>
  </w:style>
  <w:style w:type="character" w:customStyle="1" w:styleId="332">
    <w:name w:val="博论正文 Char"/>
    <w:basedOn w:val="48"/>
    <w:link w:val="333"/>
    <w:qFormat/>
    <w:locked/>
    <w:uiPriority w:val="0"/>
    <w:rPr>
      <w:rFonts w:ascii="Times New Roman" w:hAnsi="Times New Roman" w:eastAsia="宋体" w:cs="Times New Roman"/>
      <w:sz w:val="24"/>
      <w:szCs w:val="24"/>
    </w:rPr>
  </w:style>
  <w:style w:type="paragraph" w:customStyle="1" w:styleId="333">
    <w:name w:val="博论正文"/>
    <w:basedOn w:val="1"/>
    <w:link w:val="332"/>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334">
    <w:name w:val="博论4"/>
    <w:basedOn w:val="5"/>
    <w:qFormat/>
    <w:uiPriority w:val="0"/>
    <w:pPr>
      <w:keepLines w:val="0"/>
      <w:widowControl w:val="0"/>
      <w:spacing w:before="0" w:after="0" w:line="300" w:lineRule="auto"/>
      <w:ind w:firstLine="480" w:firstLineChars="200"/>
      <w:jc w:val="both"/>
    </w:pPr>
    <w:rPr>
      <w:rFonts w:eastAsia="楷体_GB2312" w:cs="Times New Roman"/>
      <w:b w:val="0"/>
      <w:bCs w:val="0"/>
      <w:sz w:val="24"/>
      <w:szCs w:val="24"/>
    </w:rPr>
  </w:style>
  <w:style w:type="paragraph" w:customStyle="1" w:styleId="335">
    <w:name w:val="样式 标题 3 + 首行缩进:  2 字符"/>
    <w:basedOn w:val="4"/>
    <w:qFormat/>
    <w:uiPriority w:val="0"/>
    <w:pPr>
      <w:ind w:firstLine="641" w:firstLineChars="200"/>
    </w:pPr>
    <w:rPr>
      <w:rFonts w:cs="宋体"/>
      <w:sz w:val="30"/>
      <w:szCs w:val="20"/>
    </w:rPr>
  </w:style>
  <w:style w:type="paragraph" w:customStyle="1" w:styleId="336">
    <w:name w:val="样式 首行缩进:  2 字符1"/>
    <w:basedOn w:val="1"/>
    <w:qFormat/>
    <w:uiPriority w:val="0"/>
    <w:pPr>
      <w:spacing w:line="500" w:lineRule="exact"/>
      <w:ind w:firstLine="200" w:firstLineChars="200"/>
    </w:pPr>
    <w:rPr>
      <w:rFonts w:ascii="Times New Roman" w:hAnsi="Times New Roman" w:eastAsia="宋体" w:cs="宋体"/>
      <w:sz w:val="24"/>
      <w:szCs w:val="20"/>
    </w:rPr>
  </w:style>
  <w:style w:type="character" w:customStyle="1" w:styleId="337">
    <w:name w:val="博论3 Char Char"/>
    <w:basedOn w:val="48"/>
    <w:link w:val="338"/>
    <w:qFormat/>
    <w:locked/>
    <w:uiPriority w:val="0"/>
    <w:rPr>
      <w:rFonts w:ascii="Times New Roman" w:hAnsi="Times New Roman" w:eastAsia="宋体" w:cs="Times New Roman"/>
      <w:b/>
      <w:sz w:val="24"/>
      <w:szCs w:val="24"/>
    </w:rPr>
  </w:style>
  <w:style w:type="paragraph" w:customStyle="1" w:styleId="338">
    <w:name w:val="博论3"/>
    <w:basedOn w:val="1"/>
    <w:link w:val="337"/>
    <w:qFormat/>
    <w:uiPriority w:val="0"/>
    <w:pPr>
      <w:spacing w:beforeLines="50"/>
      <w:ind w:firstLine="200" w:firstLineChars="200"/>
      <w:outlineLvl w:val="2"/>
    </w:pPr>
    <w:rPr>
      <w:rFonts w:ascii="Times New Roman" w:hAnsi="Times New Roman" w:eastAsia="宋体" w:cs="Times New Roman"/>
      <w:b/>
      <w:sz w:val="24"/>
      <w:szCs w:val="24"/>
    </w:rPr>
  </w:style>
  <w:style w:type="paragraph" w:customStyle="1" w:styleId="339">
    <w:name w:val="默认段落字体 Para Char Char Char Char"/>
    <w:basedOn w:val="1"/>
    <w:qFormat/>
    <w:uiPriority w:val="0"/>
    <w:rPr>
      <w:rFonts w:ascii="Times New Roman" w:hAnsi="Times New Roman" w:eastAsia="宋体" w:cs="Times New Roman"/>
      <w:szCs w:val="20"/>
    </w:rPr>
  </w:style>
  <w:style w:type="paragraph" w:customStyle="1" w:styleId="340">
    <w:name w:val="无间隔2"/>
    <w:basedOn w:val="1"/>
    <w:qFormat/>
    <w:uiPriority w:val="1"/>
    <w:pPr>
      <w:widowControl/>
      <w:jc w:val="left"/>
    </w:pPr>
    <w:rPr>
      <w:rFonts w:ascii="Calibri" w:hAnsi="Calibri" w:eastAsia="宋体" w:cs="Times New Roman"/>
      <w:kern w:val="0"/>
      <w:sz w:val="24"/>
      <w:szCs w:val="32"/>
      <w:lang w:eastAsia="en-US" w:bidi="en-US"/>
    </w:rPr>
  </w:style>
  <w:style w:type="paragraph" w:customStyle="1" w:styleId="341">
    <w:name w:val="z-窗体顶端2"/>
    <w:basedOn w:val="1"/>
    <w:next w:val="1"/>
    <w:qFormat/>
    <w:uiPriority w:val="0"/>
    <w:pPr>
      <w:widowControl/>
      <w:pBdr>
        <w:bottom w:val="single" w:color="auto" w:sz="6" w:space="1"/>
      </w:pBdr>
      <w:jc w:val="center"/>
    </w:pPr>
    <w:rPr>
      <w:rFonts w:ascii="Arial" w:hAnsi="Arial" w:eastAsia="宋体" w:cs="Times New Roman"/>
      <w:vanish/>
      <w:kern w:val="0"/>
      <w:sz w:val="16"/>
      <w:szCs w:val="16"/>
    </w:rPr>
  </w:style>
  <w:style w:type="paragraph" w:customStyle="1" w:styleId="342">
    <w:name w:val="z-窗体底端2"/>
    <w:basedOn w:val="1"/>
    <w:next w:val="1"/>
    <w:qFormat/>
    <w:uiPriority w:val="0"/>
    <w:pPr>
      <w:widowControl/>
      <w:pBdr>
        <w:top w:val="single" w:color="auto" w:sz="6" w:space="1"/>
      </w:pBdr>
      <w:jc w:val="center"/>
    </w:pPr>
    <w:rPr>
      <w:rFonts w:ascii="Arial" w:hAnsi="Arial" w:eastAsia="宋体" w:cs="Times New Roman"/>
      <w:vanish/>
      <w:kern w:val="0"/>
      <w:sz w:val="16"/>
      <w:szCs w:val="16"/>
    </w:rPr>
  </w:style>
  <w:style w:type="paragraph" w:customStyle="1" w:styleId="343">
    <w:name w:val="TOC 标题2"/>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44">
    <w:name w:val="修订111"/>
    <w:semiHidden/>
    <w:qFormat/>
    <w:uiPriority w:val="99"/>
    <w:rPr>
      <w:rFonts w:ascii="Times New Roman" w:hAnsi="Times New Roman" w:eastAsia="宋体" w:cs="Times New Roman"/>
      <w:kern w:val="2"/>
      <w:sz w:val="21"/>
      <w:lang w:val="en-US" w:eastAsia="zh-CN" w:bidi="ar-SA"/>
    </w:rPr>
  </w:style>
  <w:style w:type="paragraph" w:customStyle="1" w:styleId="345">
    <w:name w:val="明显引用1"/>
    <w:basedOn w:val="1"/>
    <w:next w:val="1"/>
    <w:qFormat/>
    <w:uiPriority w:val="99"/>
    <w:pPr>
      <w:pBdr>
        <w:bottom w:val="single" w:color="4F81BD" w:sz="4" w:space="4"/>
      </w:pBdr>
      <w:spacing w:before="200" w:after="280"/>
      <w:ind w:left="936" w:right="936"/>
    </w:pPr>
    <w:rPr>
      <w:rFonts w:ascii="Calibri" w:hAnsi="Calibri" w:eastAsia="宋体" w:cs="Times New Roman"/>
      <w:b/>
      <w:bCs/>
      <w:i/>
      <w:iCs/>
      <w:color w:val="4F81BD"/>
    </w:rPr>
  </w:style>
  <w:style w:type="paragraph" w:customStyle="1" w:styleId="346">
    <w:name w:val="引用1"/>
    <w:basedOn w:val="1"/>
    <w:next w:val="1"/>
    <w:qFormat/>
    <w:uiPriority w:val="99"/>
    <w:rPr>
      <w:rFonts w:ascii="Calibri" w:hAnsi="Calibri" w:eastAsia="宋体" w:cs="Times New Roman"/>
      <w:i/>
      <w:iCs/>
      <w:color w:val="000000"/>
    </w:rPr>
  </w:style>
  <w:style w:type="paragraph" w:customStyle="1" w:styleId="347">
    <w:name w:val="Char5"/>
    <w:basedOn w:val="1"/>
    <w:qFormat/>
    <w:uiPriority w:val="0"/>
    <w:rPr>
      <w:rFonts w:ascii="Times New Roman" w:hAnsi="Times New Roman" w:eastAsia="宋体" w:cs="Times New Roman"/>
      <w:szCs w:val="24"/>
    </w:rPr>
  </w:style>
  <w:style w:type="paragraph" w:customStyle="1" w:styleId="348">
    <w:name w:val="Char6"/>
    <w:basedOn w:val="1"/>
    <w:qFormat/>
    <w:uiPriority w:val="0"/>
    <w:pPr>
      <w:widowControl/>
      <w:spacing w:after="160" w:line="240" w:lineRule="exact"/>
      <w:jc w:val="left"/>
    </w:pPr>
    <w:rPr>
      <w:rFonts w:ascii="Calibri" w:hAnsi="Calibri" w:eastAsia="宋体" w:cs="Times New Roman"/>
    </w:rPr>
  </w:style>
  <w:style w:type="paragraph" w:customStyle="1" w:styleId="349">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0">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2">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4">
    <w:name w:val="Char1 Char Char Char"/>
    <w:basedOn w:val="1"/>
    <w:qFormat/>
    <w:uiPriority w:val="0"/>
    <w:rPr>
      <w:rFonts w:ascii="Times New Roman" w:hAnsi="Times New Roman" w:eastAsia="宋体" w:cs="Times New Roman"/>
      <w:szCs w:val="20"/>
    </w:rPr>
  </w:style>
  <w:style w:type="character" w:customStyle="1" w:styleId="355">
    <w:name w:val="条题[858D7CFB-ED40-4347-BF05-701D383B685F]2"/>
    <w:link w:val="356"/>
    <w:qFormat/>
    <w:locked/>
    <w:uiPriority w:val="0"/>
    <w:rPr>
      <w:rFonts w:ascii="Times New Roman" w:hAnsi="Times New Roman" w:cs="Times New Roman"/>
      <w:sz w:val="24"/>
    </w:rPr>
  </w:style>
  <w:style w:type="paragraph" w:customStyle="1" w:styleId="356">
    <w:name w:val="条题"/>
    <w:basedOn w:val="1"/>
    <w:link w:val="355"/>
    <w:qFormat/>
    <w:uiPriority w:val="0"/>
    <w:pPr>
      <w:spacing w:line="420" w:lineRule="exact"/>
      <w:ind w:right="480" w:rightChars="200"/>
    </w:pPr>
    <w:rPr>
      <w:rFonts w:ascii="Times New Roman" w:hAnsi="Times New Roman" w:cs="Times New Roman"/>
      <w:sz w:val="24"/>
    </w:rPr>
  </w:style>
  <w:style w:type="paragraph" w:customStyle="1" w:styleId="357">
    <w:name w:val="正文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8">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1">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2">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3">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4">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5">
    <w:name w:val="_Style 1"/>
    <w:basedOn w:val="1"/>
    <w:qFormat/>
    <w:uiPriority w:val="0"/>
    <w:rPr>
      <w:rFonts w:ascii="Tahoma" w:hAnsi="Tahoma" w:eastAsia="宋体" w:cs="Times New Roman"/>
      <w:sz w:val="24"/>
      <w:szCs w:val="20"/>
    </w:rPr>
  </w:style>
  <w:style w:type="paragraph" w:customStyle="1" w:styleId="366">
    <w:name w:val="正文 New New New New New New New New New New New New New New"/>
    <w:qFormat/>
    <w:uiPriority w:val="0"/>
    <w:pPr>
      <w:widowControl w:val="0"/>
      <w:autoSpaceDE w:val="0"/>
      <w:autoSpaceDN w:val="0"/>
    </w:pPr>
    <w:rPr>
      <w:rFonts w:ascii="Times New Roman" w:hAnsi="Times New Roman" w:eastAsia="宋体" w:cs="Times New Roman"/>
      <w:lang w:val="en-US" w:eastAsia="zh-CN" w:bidi="ar-SA"/>
    </w:rPr>
  </w:style>
  <w:style w:type="character" w:customStyle="1" w:styleId="367">
    <w:name w:val="不明显强调1"/>
    <w:basedOn w:val="48"/>
    <w:qFormat/>
    <w:uiPriority w:val="0"/>
    <w:rPr>
      <w:rFonts w:hint="default" w:ascii="Times New Roman" w:hAnsi="Times New Roman" w:cs="Times New Roman"/>
      <w:i/>
      <w:iCs/>
      <w:color w:val="808080"/>
    </w:rPr>
  </w:style>
  <w:style w:type="character" w:customStyle="1" w:styleId="368">
    <w:name w:val="明显强调1"/>
    <w:basedOn w:val="48"/>
    <w:qFormat/>
    <w:uiPriority w:val="0"/>
    <w:rPr>
      <w:rFonts w:hint="default" w:ascii="Times New Roman" w:hAnsi="Times New Roman" w:cs="Times New Roman"/>
      <w:b/>
      <w:bCs/>
      <w:i/>
      <w:iCs/>
      <w:color w:val="4F81BD"/>
    </w:rPr>
  </w:style>
  <w:style w:type="character" w:customStyle="1" w:styleId="369">
    <w:name w:val="不明显参考1"/>
    <w:basedOn w:val="48"/>
    <w:qFormat/>
    <w:uiPriority w:val="0"/>
    <w:rPr>
      <w:rFonts w:hint="default" w:ascii="Times New Roman" w:hAnsi="Times New Roman" w:cs="Times New Roman"/>
      <w:smallCaps/>
      <w:color w:val="C0504D"/>
      <w:u w:val="single"/>
    </w:rPr>
  </w:style>
  <w:style w:type="character" w:customStyle="1" w:styleId="370">
    <w:name w:val="明显参考1"/>
    <w:basedOn w:val="48"/>
    <w:qFormat/>
    <w:uiPriority w:val="0"/>
    <w:rPr>
      <w:rFonts w:hint="default" w:ascii="Times New Roman" w:hAnsi="Times New Roman" w:cs="Times New Roman"/>
      <w:b/>
      <w:bCs/>
      <w:smallCaps/>
      <w:color w:val="C0504D"/>
      <w:spacing w:val="5"/>
      <w:u w:val="single"/>
    </w:rPr>
  </w:style>
  <w:style w:type="character" w:customStyle="1" w:styleId="371">
    <w:name w:val="书籍标题1"/>
    <w:basedOn w:val="48"/>
    <w:qFormat/>
    <w:uiPriority w:val="0"/>
    <w:rPr>
      <w:rFonts w:hint="default" w:ascii="Times New Roman" w:hAnsi="Times New Roman" w:cs="Times New Roman"/>
      <w:b/>
      <w:bCs/>
      <w:smallCaps/>
      <w:spacing w:val="5"/>
    </w:rPr>
  </w:style>
  <w:style w:type="character" w:customStyle="1" w:styleId="372">
    <w:name w:val="z-窗体底端 Char1"/>
    <w:qFormat/>
    <w:uiPriority w:val="99"/>
    <w:rPr>
      <w:rFonts w:hint="default" w:ascii="Arial" w:hAnsi="Arial" w:cs="Arial"/>
      <w:vanish/>
      <w:kern w:val="2"/>
      <w:sz w:val="16"/>
      <w:szCs w:val="16"/>
    </w:rPr>
  </w:style>
  <w:style w:type="character" w:customStyle="1" w:styleId="373">
    <w:name w:val="Level 3 Head Char"/>
    <w:qFormat/>
    <w:uiPriority w:val="0"/>
    <w:rPr>
      <w:rFonts w:hint="eastAsia" w:ascii="宋体" w:hAnsi="宋体" w:eastAsia="宋体"/>
      <w:b/>
      <w:bCs/>
      <w:kern w:val="2"/>
      <w:sz w:val="32"/>
      <w:szCs w:val="32"/>
      <w:lang w:val="en-US" w:eastAsia="zh-CN" w:bidi="ar-SA"/>
    </w:rPr>
  </w:style>
  <w:style w:type="character" w:customStyle="1" w:styleId="374">
    <w:name w:val="HTML 预设格式 Char1"/>
    <w:qFormat/>
    <w:uiPriority w:val="99"/>
    <w:rPr>
      <w:rFonts w:hint="default" w:ascii="Courier New" w:hAnsi="Courier New" w:cs="Courier New"/>
      <w:kern w:val="2"/>
    </w:rPr>
  </w:style>
  <w:style w:type="character" w:customStyle="1" w:styleId="375">
    <w:name w:val="question-title"/>
    <w:qFormat/>
    <w:uiPriority w:val="0"/>
  </w:style>
  <w:style w:type="character" w:customStyle="1" w:styleId="376">
    <w:name w:val="space1"/>
    <w:qFormat/>
    <w:uiPriority w:val="0"/>
    <w:rPr>
      <w:color w:val="FFFFFF"/>
      <w:sz w:val="20"/>
      <w:szCs w:val="20"/>
    </w:rPr>
  </w:style>
  <w:style w:type="character" w:customStyle="1" w:styleId="377">
    <w:name w:val="font1"/>
    <w:qFormat/>
    <w:uiPriority w:val="0"/>
    <w:rPr>
      <w:color w:val="E9F8F7"/>
      <w:sz w:val="18"/>
      <w:szCs w:val="18"/>
      <w:u w:val="none"/>
    </w:rPr>
  </w:style>
  <w:style w:type="character" w:customStyle="1" w:styleId="378">
    <w:name w:val="z-窗体顶端 Char1"/>
    <w:qFormat/>
    <w:uiPriority w:val="99"/>
    <w:rPr>
      <w:rFonts w:hint="default" w:ascii="Arial" w:hAnsi="Arial" w:cs="Arial"/>
      <w:vanish/>
      <w:kern w:val="2"/>
      <w:sz w:val="16"/>
      <w:szCs w:val="16"/>
    </w:rPr>
  </w:style>
  <w:style w:type="character" w:customStyle="1" w:styleId="379">
    <w:name w:val="dec_font_style"/>
    <w:qFormat/>
    <w:uiPriority w:val="0"/>
  </w:style>
  <w:style w:type="character" w:customStyle="1" w:styleId="380">
    <w:name w:val="正文文本缩进 2 Char1"/>
    <w:qFormat/>
    <w:uiPriority w:val="99"/>
    <w:rPr>
      <w:kern w:val="2"/>
      <w:sz w:val="21"/>
    </w:rPr>
  </w:style>
  <w:style w:type="character" w:customStyle="1" w:styleId="381">
    <w:name w:val="apple-style-span"/>
    <w:qFormat/>
    <w:uiPriority w:val="0"/>
  </w:style>
  <w:style w:type="character" w:customStyle="1" w:styleId="382">
    <w:name w:val="正文文本缩进 3 Char1"/>
    <w:qFormat/>
    <w:uiPriority w:val="0"/>
    <w:rPr>
      <w:kern w:val="2"/>
      <w:sz w:val="16"/>
      <w:szCs w:val="16"/>
    </w:rPr>
  </w:style>
  <w:style w:type="character" w:customStyle="1" w:styleId="383">
    <w:name w:val="样式 +中文正文 四号"/>
    <w:qFormat/>
    <w:uiPriority w:val="0"/>
    <w:rPr>
      <w:rFonts w:hint="eastAsia" w:ascii="宋体" w:hAnsi="宋体" w:eastAsia="宋体"/>
      <w:sz w:val="28"/>
    </w:rPr>
  </w:style>
  <w:style w:type="character" w:customStyle="1" w:styleId="384">
    <w:name w:val="日期 Char1"/>
    <w:qFormat/>
    <w:uiPriority w:val="99"/>
    <w:rPr>
      <w:kern w:val="2"/>
      <w:sz w:val="21"/>
    </w:rPr>
  </w:style>
  <w:style w:type="character" w:customStyle="1" w:styleId="385">
    <w:name w:val="t_tag"/>
    <w:qFormat/>
    <w:uiPriority w:val="0"/>
  </w:style>
  <w:style w:type="character" w:customStyle="1" w:styleId="386">
    <w:name w:val="样式 仿宋_GB2312 四号"/>
    <w:qFormat/>
    <w:uiPriority w:val="0"/>
    <w:rPr>
      <w:rFonts w:hint="eastAsia" w:ascii="仿宋_GB2312" w:hAnsi="仿宋_GB2312" w:eastAsia="仿宋_GB2312"/>
      <w:sz w:val="28"/>
    </w:rPr>
  </w:style>
  <w:style w:type="character" w:customStyle="1" w:styleId="387">
    <w:name w:val="sp1"/>
    <w:qFormat/>
    <w:uiPriority w:val="0"/>
    <w:rPr>
      <w:color w:val="FFFFFF"/>
      <w:sz w:val="20"/>
      <w:szCs w:val="20"/>
    </w:rPr>
  </w:style>
  <w:style w:type="character" w:customStyle="1" w:styleId="388">
    <w:name w:val="txtcontent11"/>
    <w:qFormat/>
    <w:uiPriority w:val="0"/>
    <w:rPr>
      <w:rFonts w:hint="default" w:ascii="ˎ̥" w:hAnsi="ˎ̥"/>
      <w:color w:val="000000"/>
      <w:sz w:val="16"/>
      <w:szCs w:val="16"/>
    </w:rPr>
  </w:style>
  <w:style w:type="character" w:customStyle="1" w:styleId="389">
    <w:name w:val="3charcharcharcharcharchar"/>
    <w:basedOn w:val="48"/>
    <w:qFormat/>
    <w:uiPriority w:val="0"/>
  </w:style>
  <w:style w:type="character" w:customStyle="1" w:styleId="390">
    <w:name w:val="纯文本 Char Char"/>
    <w:qFormat/>
    <w:uiPriority w:val="0"/>
    <w:rPr>
      <w:rFonts w:hint="eastAsia" w:ascii="宋体" w:hAnsi="Courier New" w:eastAsia="宋体"/>
      <w:szCs w:val="21"/>
      <w:lang w:bidi="ar-SA"/>
    </w:rPr>
  </w:style>
  <w:style w:type="character" w:customStyle="1" w:styleId="391">
    <w:name w:val="Char Char Char"/>
    <w:qFormat/>
    <w:uiPriority w:val="0"/>
    <w:rPr>
      <w:rFonts w:hint="eastAsia" w:ascii="宋体" w:hAnsi="Courier New" w:eastAsia="宋体" w:cs="Courier New"/>
      <w:kern w:val="2"/>
      <w:sz w:val="21"/>
      <w:szCs w:val="21"/>
      <w:lang w:val="en-US" w:eastAsia="zh-CN" w:bidi="ar-SA"/>
    </w:rPr>
  </w:style>
  <w:style w:type="character" w:customStyle="1" w:styleId="392">
    <w:name w:val="批注文字 Char1"/>
    <w:qFormat/>
    <w:uiPriority w:val="99"/>
    <w:rPr>
      <w:kern w:val="2"/>
      <w:sz w:val="21"/>
    </w:rPr>
  </w:style>
  <w:style w:type="character" w:customStyle="1" w:styleId="393">
    <w:name w:val="批注框文本 Char1"/>
    <w:qFormat/>
    <w:uiPriority w:val="99"/>
    <w:rPr>
      <w:rFonts w:hint="default" w:ascii="Times New Roman" w:hAnsi="Times New Roman" w:cs="Times New Roman"/>
      <w:kern w:val="2"/>
      <w:sz w:val="18"/>
      <w:szCs w:val="18"/>
    </w:rPr>
  </w:style>
  <w:style w:type="character" w:customStyle="1" w:styleId="394">
    <w:name w:val="正文 Char"/>
    <w:qFormat/>
    <w:uiPriority w:val="0"/>
    <w:rPr>
      <w:rFonts w:hint="default" w:ascii="Book Antiqua" w:hAnsi="Book Antiqua" w:eastAsia="仿宋_GB2312"/>
      <w:sz w:val="28"/>
      <w:szCs w:val="32"/>
    </w:rPr>
  </w:style>
  <w:style w:type="paragraph" w:customStyle="1" w:styleId="395">
    <w:name w:val="z-窗体顶端3"/>
    <w:basedOn w:val="1"/>
    <w:next w:val="1"/>
    <w:link w:val="396"/>
    <w:unhideWhenUsed/>
    <w:qFormat/>
    <w:uiPriority w:val="0"/>
    <w:pPr>
      <w:widowControl/>
      <w:pBdr>
        <w:bottom w:val="single" w:color="auto" w:sz="6" w:space="1"/>
      </w:pBdr>
      <w:jc w:val="center"/>
    </w:pPr>
    <w:rPr>
      <w:rFonts w:ascii="Arial" w:hAnsi="Arial" w:eastAsia="宋体" w:cs="Arial"/>
      <w:vanish/>
      <w:sz w:val="16"/>
      <w:szCs w:val="16"/>
    </w:rPr>
  </w:style>
  <w:style w:type="character" w:customStyle="1" w:styleId="396">
    <w:name w:val="z-窗体顶端 字符"/>
    <w:basedOn w:val="48"/>
    <w:link w:val="395"/>
    <w:qFormat/>
    <w:uiPriority w:val="99"/>
    <w:rPr>
      <w:rFonts w:ascii="Arial" w:hAnsi="Arial" w:eastAsia="宋体" w:cs="Arial"/>
      <w:vanish/>
      <w:sz w:val="16"/>
      <w:szCs w:val="16"/>
    </w:rPr>
  </w:style>
  <w:style w:type="paragraph" w:customStyle="1" w:styleId="397">
    <w:name w:val="z-窗体底端3"/>
    <w:basedOn w:val="1"/>
    <w:next w:val="1"/>
    <w:link w:val="398"/>
    <w:unhideWhenUsed/>
    <w:qFormat/>
    <w:uiPriority w:val="0"/>
    <w:pPr>
      <w:widowControl/>
      <w:pBdr>
        <w:top w:val="single" w:color="auto" w:sz="6" w:space="1"/>
      </w:pBdr>
      <w:jc w:val="center"/>
    </w:pPr>
    <w:rPr>
      <w:rFonts w:ascii="Arial" w:hAnsi="Arial" w:eastAsia="宋体" w:cs="Arial"/>
      <w:vanish/>
      <w:sz w:val="16"/>
      <w:szCs w:val="16"/>
    </w:rPr>
  </w:style>
  <w:style w:type="character" w:customStyle="1" w:styleId="398">
    <w:name w:val="z-窗体底端 字符"/>
    <w:basedOn w:val="48"/>
    <w:link w:val="397"/>
    <w:qFormat/>
    <w:uiPriority w:val="99"/>
    <w:rPr>
      <w:rFonts w:ascii="Arial" w:hAnsi="Arial" w:eastAsia="宋体" w:cs="Arial"/>
      <w:vanish/>
      <w:sz w:val="16"/>
      <w:szCs w:val="16"/>
    </w:rPr>
  </w:style>
  <w:style w:type="character" w:customStyle="1" w:styleId="399">
    <w:name w:val="纯文本 Char1"/>
    <w:qFormat/>
    <w:uiPriority w:val="0"/>
    <w:rPr>
      <w:rFonts w:hint="eastAsia" w:ascii="宋体" w:hAnsi="Courier New" w:eastAsia="宋体"/>
      <w:kern w:val="2"/>
      <w:sz w:val="21"/>
    </w:rPr>
  </w:style>
  <w:style w:type="character" w:customStyle="1" w:styleId="400">
    <w:name w:val="正文内容 Char"/>
    <w:qFormat/>
    <w:uiPriority w:val="0"/>
    <w:rPr>
      <w:rFonts w:hint="eastAsia" w:ascii="仿宋_GB2312" w:hAnsi="宋体" w:eastAsia="仿宋_GB2312"/>
      <w:sz w:val="28"/>
      <w:szCs w:val="28"/>
      <w:lang w:val="en-GB"/>
    </w:rPr>
  </w:style>
  <w:style w:type="character" w:customStyle="1" w:styleId="401">
    <w:name w:val="Char Char"/>
    <w:qFormat/>
    <w:locked/>
    <w:uiPriority w:val="0"/>
    <w:rPr>
      <w:rFonts w:hint="eastAsia" w:ascii="宋体" w:hAnsi="Courier New" w:eastAsia="宋体" w:cs="Courier New"/>
      <w:kern w:val="2"/>
      <w:sz w:val="21"/>
      <w:szCs w:val="21"/>
      <w:lang w:val="en-US" w:eastAsia="zh-CN" w:bidi="ar-SA"/>
    </w:rPr>
  </w:style>
  <w:style w:type="character" w:customStyle="1" w:styleId="402">
    <w:name w:val="样式 首行缩进:  2 字符 Char Char Char Char"/>
    <w:qFormat/>
    <w:uiPriority w:val="0"/>
    <w:rPr>
      <w:rFonts w:hint="eastAsia" w:ascii="宋体" w:hAnsi="宋体" w:eastAsia="宋体" w:cs="宋体"/>
      <w:kern w:val="2"/>
      <w:sz w:val="28"/>
    </w:rPr>
  </w:style>
  <w:style w:type="character" w:customStyle="1" w:styleId="403">
    <w:name w:val="样式3 Char"/>
    <w:qFormat/>
    <w:uiPriority w:val="0"/>
    <w:rPr>
      <w:rFonts w:hint="eastAsia" w:ascii="华文楷体" w:hAnsi="华文楷体" w:eastAsia="华文楷体"/>
      <w:b/>
      <w:bCs/>
      <w:kern w:val="2"/>
      <w:sz w:val="28"/>
      <w:szCs w:val="28"/>
    </w:rPr>
  </w:style>
  <w:style w:type="character" w:customStyle="1" w:styleId="404">
    <w:name w:val="样式4 Char"/>
    <w:qFormat/>
    <w:uiPriority w:val="0"/>
    <w:rPr>
      <w:rFonts w:hint="eastAsia" w:ascii="仿宋_GB2312" w:eastAsia="华文新魏"/>
      <w:b/>
      <w:kern w:val="2"/>
      <w:sz w:val="28"/>
      <w:szCs w:val="28"/>
    </w:rPr>
  </w:style>
  <w:style w:type="character" w:customStyle="1" w:styleId="405">
    <w:name w:val="font21"/>
    <w:basedOn w:val="48"/>
    <w:qFormat/>
    <w:uiPriority w:val="0"/>
    <w:rPr>
      <w:rFonts w:hint="eastAsia" w:ascii="宋体" w:hAnsi="宋体" w:eastAsia="宋体"/>
      <w:b/>
      <w:bCs/>
      <w:color w:val="000000"/>
      <w:sz w:val="21"/>
      <w:szCs w:val="21"/>
      <w:u w:val="none"/>
    </w:rPr>
  </w:style>
  <w:style w:type="character" w:customStyle="1" w:styleId="406">
    <w:name w:val="font111"/>
    <w:basedOn w:val="48"/>
    <w:qFormat/>
    <w:uiPriority w:val="0"/>
    <w:rPr>
      <w:rFonts w:hint="default" w:ascii="Times New Roman" w:hAnsi="Times New Roman" w:cs="Times New Roman"/>
      <w:b/>
      <w:bCs/>
      <w:color w:val="000000"/>
      <w:sz w:val="21"/>
      <w:szCs w:val="21"/>
      <w:u w:val="none"/>
    </w:rPr>
  </w:style>
  <w:style w:type="character" w:customStyle="1" w:styleId="407">
    <w:name w:val="font12"/>
    <w:basedOn w:val="48"/>
    <w:qFormat/>
    <w:uiPriority w:val="0"/>
    <w:rPr>
      <w:rFonts w:hint="eastAsia" w:ascii="宋体" w:hAnsi="宋体" w:eastAsia="宋体"/>
      <w:b/>
      <w:bCs/>
      <w:color w:val="000000"/>
      <w:sz w:val="21"/>
      <w:szCs w:val="21"/>
      <w:u w:val="none"/>
    </w:rPr>
  </w:style>
  <w:style w:type="character" w:customStyle="1" w:styleId="408">
    <w:name w:val="font71"/>
    <w:basedOn w:val="48"/>
    <w:qFormat/>
    <w:uiPriority w:val="0"/>
    <w:rPr>
      <w:rFonts w:hint="eastAsia" w:ascii="宋体" w:hAnsi="宋体" w:eastAsia="宋体"/>
      <w:color w:val="000000"/>
      <w:sz w:val="22"/>
      <w:szCs w:val="22"/>
      <w:u w:val="none"/>
    </w:rPr>
  </w:style>
  <w:style w:type="character" w:customStyle="1" w:styleId="409">
    <w:name w:val="font11"/>
    <w:basedOn w:val="48"/>
    <w:qFormat/>
    <w:uiPriority w:val="0"/>
    <w:rPr>
      <w:rFonts w:hint="default" w:ascii="Times New Roman" w:hAnsi="Times New Roman" w:cs="Times New Roman"/>
      <w:b/>
      <w:bCs/>
      <w:color w:val="000000"/>
      <w:sz w:val="21"/>
      <w:szCs w:val="21"/>
      <w:u w:val="none"/>
    </w:rPr>
  </w:style>
  <w:style w:type="character" w:customStyle="1" w:styleId="410">
    <w:name w:val="font31"/>
    <w:basedOn w:val="48"/>
    <w:qFormat/>
    <w:uiPriority w:val="0"/>
    <w:rPr>
      <w:rFonts w:hint="eastAsia" w:ascii="宋体" w:hAnsi="宋体" w:eastAsia="宋体"/>
      <w:b/>
      <w:bCs/>
      <w:color w:val="000000"/>
      <w:sz w:val="21"/>
      <w:szCs w:val="21"/>
      <w:u w:val="none"/>
    </w:rPr>
  </w:style>
  <w:style w:type="character" w:customStyle="1" w:styleId="411">
    <w:name w:val="number"/>
    <w:basedOn w:val="48"/>
    <w:qFormat/>
    <w:uiPriority w:val="0"/>
  </w:style>
  <w:style w:type="character" w:customStyle="1" w:styleId="412">
    <w:name w:val="title12"/>
    <w:basedOn w:val="48"/>
    <w:qFormat/>
    <w:uiPriority w:val="0"/>
    <w:rPr>
      <w:rFonts w:hint="default" w:ascii="Times New Roman" w:hAnsi="Times New Roman" w:cs="Times New Roman"/>
    </w:rPr>
  </w:style>
  <w:style w:type="character" w:customStyle="1" w:styleId="413">
    <w:name w:val="Body Text Indent Char1"/>
    <w:basedOn w:val="48"/>
    <w:qFormat/>
    <w:uiPriority w:val="0"/>
    <w:rPr>
      <w:rFonts w:hint="default" w:ascii="Calibri" w:hAnsi="Calibri" w:cs="Calibri"/>
      <w:sz w:val="28"/>
    </w:rPr>
  </w:style>
  <w:style w:type="character" w:customStyle="1" w:styleId="414">
    <w:name w:val="标题1"/>
    <w:basedOn w:val="48"/>
    <w:qFormat/>
    <w:uiPriority w:val="0"/>
    <w:rPr>
      <w:rFonts w:hint="default" w:ascii="Times New Roman" w:hAnsi="Times New Roman" w:cs="Times New Roman"/>
    </w:rPr>
  </w:style>
  <w:style w:type="character" w:customStyle="1" w:styleId="415">
    <w:name w:val="lemmatitleh1"/>
    <w:basedOn w:val="48"/>
    <w:qFormat/>
    <w:uiPriority w:val="0"/>
    <w:rPr>
      <w:rFonts w:hint="default" w:ascii="Times New Roman" w:hAnsi="Times New Roman" w:cs="Times New Roman"/>
    </w:rPr>
  </w:style>
  <w:style w:type="character" w:customStyle="1" w:styleId="416">
    <w:name w:val="Body Text Char"/>
    <w:qFormat/>
    <w:uiPriority w:val="0"/>
    <w:rPr>
      <w:kern w:val="2"/>
      <w:sz w:val="24"/>
    </w:rPr>
  </w:style>
  <w:style w:type="character" w:customStyle="1" w:styleId="417">
    <w:name w:val="text_img"/>
    <w:basedOn w:val="48"/>
    <w:qFormat/>
    <w:uiPriority w:val="0"/>
    <w:rPr>
      <w:rFonts w:hint="default" w:ascii="Times New Roman" w:hAnsi="Times New Roman" w:cs="Times New Roman"/>
    </w:rPr>
  </w:style>
  <w:style w:type="character" w:customStyle="1" w:styleId="418">
    <w:name w:val="Body Text Char1"/>
    <w:basedOn w:val="48"/>
    <w:qFormat/>
    <w:uiPriority w:val="0"/>
    <w:rPr>
      <w:rFonts w:hint="default" w:ascii="Calibri" w:hAnsi="Calibri" w:cs="Calibri"/>
      <w:sz w:val="28"/>
    </w:rPr>
  </w:style>
  <w:style w:type="character" w:customStyle="1" w:styleId="419">
    <w:name w:val="Char Char9"/>
    <w:basedOn w:val="48"/>
    <w:qFormat/>
    <w:uiPriority w:val="0"/>
    <w:rPr>
      <w:rFonts w:hint="default" w:ascii="Calibri" w:hAnsi="Calibri" w:cs="Times New Roman"/>
      <w:kern w:val="2"/>
      <w:sz w:val="18"/>
      <w:szCs w:val="18"/>
    </w:rPr>
  </w:style>
  <w:style w:type="character" w:customStyle="1" w:styleId="420">
    <w:name w:val="albumcount"/>
    <w:basedOn w:val="48"/>
    <w:qFormat/>
    <w:uiPriority w:val="0"/>
    <w:rPr>
      <w:rFonts w:hint="default" w:ascii="Times New Roman" w:hAnsi="Times New Roman" w:cs="Times New Roman"/>
    </w:rPr>
  </w:style>
  <w:style w:type="character" w:customStyle="1" w:styleId="421">
    <w:name w:val="count4"/>
    <w:basedOn w:val="48"/>
    <w:qFormat/>
    <w:uiPriority w:val="0"/>
    <w:rPr>
      <w:rFonts w:hint="default" w:ascii="Times New Roman" w:hAnsi="Times New Roman" w:cs="Times New Roman"/>
    </w:rPr>
  </w:style>
  <w:style w:type="character" w:customStyle="1" w:styleId="422">
    <w:name w:val="Body Text Indent 2 Char"/>
    <w:qFormat/>
    <w:uiPriority w:val="0"/>
    <w:rPr>
      <w:kern w:val="2"/>
      <w:sz w:val="24"/>
    </w:rPr>
  </w:style>
  <w:style w:type="character" w:customStyle="1" w:styleId="423">
    <w:name w:val="Char Char10"/>
    <w:basedOn w:val="48"/>
    <w:qFormat/>
    <w:uiPriority w:val="0"/>
    <w:rPr>
      <w:rFonts w:hint="default" w:ascii="Calibri" w:hAnsi="Calibri" w:cs="Times New Roman"/>
      <w:kern w:val="2"/>
      <w:sz w:val="18"/>
      <w:szCs w:val="18"/>
    </w:rPr>
  </w:style>
  <w:style w:type="character" w:customStyle="1" w:styleId="424">
    <w:name w:val="Body Text Indent 2 Char1"/>
    <w:basedOn w:val="48"/>
    <w:qFormat/>
    <w:uiPriority w:val="0"/>
    <w:rPr>
      <w:rFonts w:hint="default" w:ascii="Calibri" w:hAnsi="Calibri" w:cs="Calibri"/>
      <w:sz w:val="28"/>
    </w:rPr>
  </w:style>
  <w:style w:type="character" w:customStyle="1" w:styleId="425">
    <w:name w:val="Body Text Indent Char"/>
    <w:qFormat/>
    <w:uiPriority w:val="0"/>
    <w:rPr>
      <w:rFonts w:hint="eastAsia" w:ascii="仿宋_GB2312" w:eastAsia="仿宋_GB2312"/>
      <w:kern w:val="2"/>
      <w:sz w:val="24"/>
    </w:rPr>
  </w:style>
  <w:style w:type="character" w:customStyle="1" w:styleId="426">
    <w:name w:val="Plain Text Char"/>
    <w:basedOn w:val="48"/>
    <w:qFormat/>
    <w:uiPriority w:val="0"/>
    <w:rPr>
      <w:rFonts w:hint="eastAsia" w:ascii="宋体" w:hAnsi="Courier New" w:eastAsia="宋体" w:cs="Courier New"/>
      <w:szCs w:val="21"/>
    </w:rPr>
  </w:style>
  <w:style w:type="character" w:customStyle="1" w:styleId="427">
    <w:name w:val="lemmatitleh11"/>
    <w:basedOn w:val="48"/>
    <w:qFormat/>
    <w:uiPriority w:val="0"/>
  </w:style>
  <w:style w:type="character" w:customStyle="1" w:styleId="428">
    <w:name w:val="明显引用 字符1"/>
    <w:basedOn w:val="48"/>
    <w:qFormat/>
    <w:uiPriority w:val="30"/>
    <w:rPr>
      <w:rFonts w:hint="default" w:ascii="Times New Roman" w:hAnsi="Times New Roman" w:eastAsia="宋体" w:cs="Times New Roman"/>
      <w:i/>
      <w:iCs/>
      <w:color w:val="4F81BD"/>
      <w:szCs w:val="24"/>
    </w:rPr>
  </w:style>
  <w:style w:type="character" w:customStyle="1" w:styleId="429">
    <w:name w:val="明显引用 Char1"/>
    <w:basedOn w:val="48"/>
    <w:qFormat/>
    <w:uiPriority w:val="30"/>
    <w:rPr>
      <w:rFonts w:hint="default" w:ascii="Times New Roman" w:hAnsi="Times New Roman" w:eastAsia="宋体" w:cs="Times New Roman"/>
      <w:b/>
      <w:bCs/>
      <w:i/>
      <w:iCs/>
      <w:color w:val="4F81BD"/>
      <w:szCs w:val="24"/>
    </w:rPr>
  </w:style>
  <w:style w:type="character" w:customStyle="1" w:styleId="430">
    <w:name w:val="标题 字符1"/>
    <w:basedOn w:val="48"/>
    <w:qFormat/>
    <w:uiPriority w:val="10"/>
    <w:rPr>
      <w:rFonts w:hint="default" w:ascii="Cambria" w:hAnsi="Cambria" w:eastAsia="宋体" w:cs="Times New Roman"/>
      <w:b/>
      <w:bCs/>
      <w:sz w:val="32"/>
      <w:szCs w:val="32"/>
    </w:rPr>
  </w:style>
  <w:style w:type="character" w:customStyle="1" w:styleId="431">
    <w:name w:val="标题 Char1"/>
    <w:basedOn w:val="48"/>
    <w:qFormat/>
    <w:uiPriority w:val="0"/>
    <w:rPr>
      <w:rFonts w:hint="default" w:ascii="Cambria" w:hAnsi="Cambria" w:eastAsia="宋体" w:cs="Times New Roman"/>
      <w:b/>
      <w:bCs/>
      <w:sz w:val="32"/>
      <w:szCs w:val="32"/>
    </w:rPr>
  </w:style>
  <w:style w:type="character" w:customStyle="1" w:styleId="432">
    <w:name w:val="引用 字符1"/>
    <w:basedOn w:val="48"/>
    <w:qFormat/>
    <w:uiPriority w:val="29"/>
    <w:rPr>
      <w:rFonts w:hint="default" w:ascii="Times New Roman" w:hAnsi="Times New Roman" w:eastAsia="宋体" w:cs="Times New Roman"/>
      <w:i/>
      <w:iCs/>
      <w:color w:val="404040"/>
      <w:szCs w:val="24"/>
    </w:rPr>
  </w:style>
  <w:style w:type="character" w:customStyle="1" w:styleId="433">
    <w:name w:val="引用 Char1"/>
    <w:basedOn w:val="48"/>
    <w:qFormat/>
    <w:uiPriority w:val="29"/>
    <w:rPr>
      <w:rFonts w:hint="default" w:ascii="Times New Roman" w:hAnsi="Times New Roman" w:eastAsia="宋体" w:cs="Times New Roman"/>
      <w:i/>
      <w:iCs/>
      <w:color w:val="000000"/>
      <w:szCs w:val="24"/>
    </w:rPr>
  </w:style>
  <w:style w:type="character" w:customStyle="1" w:styleId="434">
    <w:name w:val="con"/>
    <w:basedOn w:val="48"/>
    <w:qFormat/>
    <w:uiPriority w:val="0"/>
  </w:style>
  <w:style w:type="character" w:customStyle="1" w:styleId="435">
    <w:name w:val="font01"/>
    <w:basedOn w:val="48"/>
    <w:qFormat/>
    <w:uiPriority w:val="0"/>
    <w:rPr>
      <w:rFonts w:hint="default" w:ascii="Times New Roman" w:hAnsi="Times New Roman" w:cs="Times New Roman"/>
      <w:b/>
      <w:bCs/>
      <w:color w:val="000000"/>
      <w:sz w:val="21"/>
      <w:szCs w:val="21"/>
      <w:u w:val="none"/>
      <w:vertAlign w:val="superscript"/>
    </w:rPr>
  </w:style>
  <w:style w:type="character" w:customStyle="1" w:styleId="436">
    <w:name w:val="标题 1 Char1"/>
    <w:basedOn w:val="48"/>
    <w:qFormat/>
    <w:uiPriority w:val="0"/>
    <w:rPr>
      <w:rFonts w:hint="default" w:ascii="Times New Roman" w:hAnsi="Times New Roman" w:eastAsia="宋体" w:cs="Times New Roman"/>
      <w:b/>
      <w:bCs/>
      <w:kern w:val="44"/>
      <w:sz w:val="44"/>
      <w:szCs w:val="44"/>
    </w:rPr>
  </w:style>
  <w:style w:type="character" w:customStyle="1" w:styleId="437">
    <w:name w:val="标题 3 Char1"/>
    <w:basedOn w:val="48"/>
    <w:semiHidden/>
    <w:qFormat/>
    <w:uiPriority w:val="0"/>
    <w:rPr>
      <w:rFonts w:hint="default" w:ascii="Times New Roman" w:hAnsi="Times New Roman" w:eastAsia="宋体" w:cs="Times New Roman"/>
      <w:b/>
      <w:bCs/>
      <w:kern w:val="2"/>
      <w:sz w:val="32"/>
      <w:szCs w:val="32"/>
    </w:rPr>
  </w:style>
  <w:style w:type="character" w:customStyle="1" w:styleId="438">
    <w:name w:val="副标题 Char1"/>
    <w:basedOn w:val="48"/>
    <w:qFormat/>
    <w:uiPriority w:val="0"/>
    <w:rPr>
      <w:rFonts w:hint="default" w:ascii="Cambria" w:hAnsi="Cambria" w:eastAsia="宋体" w:cs="Times New Roman"/>
      <w:b/>
      <w:bCs/>
      <w:kern w:val="28"/>
      <w:sz w:val="32"/>
      <w:szCs w:val="32"/>
    </w:rPr>
  </w:style>
  <w:style w:type="character" w:customStyle="1" w:styleId="439">
    <w:name w:val="15"/>
    <w:qFormat/>
    <w:uiPriority w:val="0"/>
    <w:rPr>
      <w:rFonts w:hint="default" w:ascii="Times New Roman" w:hAnsi="Times New Roman" w:cs="Times New Roman"/>
      <w:color w:val="000000"/>
      <w:u w:val="none"/>
    </w:rPr>
  </w:style>
  <w:style w:type="character" w:customStyle="1" w:styleId="440">
    <w:name w:val="页眉 Char1"/>
    <w:semiHidden/>
    <w:qFormat/>
    <w:uiPriority w:val="99"/>
    <w:rPr>
      <w:rFonts w:hint="default" w:ascii="Times New Roman" w:hAnsi="Times New Roman" w:eastAsia="仿宋_GB2312" w:cs="宋体"/>
      <w:spacing w:val="8"/>
      <w:kern w:val="2"/>
      <w:sz w:val="18"/>
      <w:szCs w:val="18"/>
    </w:rPr>
  </w:style>
  <w:style w:type="character" w:customStyle="1" w:styleId="441">
    <w:name w:val="文档结构图 Char1"/>
    <w:semiHidden/>
    <w:qFormat/>
    <w:uiPriority w:val="99"/>
    <w:rPr>
      <w:rFonts w:hint="eastAsia" w:ascii="宋体" w:hAnsi="Times New Roman" w:eastAsia="仿宋_GB2312" w:cs="宋体"/>
      <w:spacing w:val="8"/>
      <w:kern w:val="2"/>
      <w:sz w:val="18"/>
      <w:szCs w:val="18"/>
    </w:rPr>
  </w:style>
  <w:style w:type="character" w:customStyle="1" w:styleId="442">
    <w:name w:val="批注主题 Char1"/>
    <w:semiHidden/>
    <w:qFormat/>
    <w:uiPriority w:val="99"/>
    <w:rPr>
      <w:rFonts w:hint="default" w:ascii="Times New Roman" w:hAnsi="Times New Roman" w:eastAsia="仿宋_GB2312" w:cs="宋体"/>
      <w:b/>
      <w:bCs/>
      <w:spacing w:val="8"/>
      <w:kern w:val="2"/>
      <w:sz w:val="21"/>
      <w:szCs w:val="22"/>
    </w:rPr>
  </w:style>
  <w:style w:type="character" w:customStyle="1" w:styleId="443">
    <w:name w:val="页脚 Char1"/>
    <w:semiHidden/>
    <w:qFormat/>
    <w:uiPriority w:val="99"/>
    <w:rPr>
      <w:rFonts w:hint="default" w:ascii="Times New Roman" w:hAnsi="Times New Roman" w:eastAsia="仿宋_GB2312" w:cs="宋体"/>
      <w:spacing w:val="8"/>
      <w:kern w:val="2"/>
      <w:sz w:val="18"/>
      <w:szCs w:val="18"/>
    </w:rPr>
  </w:style>
  <w:style w:type="character" w:customStyle="1" w:styleId="444">
    <w:name w:val="博论正文 Char Char"/>
    <w:basedOn w:val="48"/>
    <w:qFormat/>
    <w:uiPriority w:val="0"/>
    <w:rPr>
      <w:rFonts w:hint="default" w:ascii="Times New Roman" w:hAnsi="Times New Roman" w:eastAsia="宋体" w:cs="Times New Roman"/>
      <w:sz w:val="24"/>
      <w:szCs w:val="24"/>
    </w:rPr>
  </w:style>
  <w:style w:type="character" w:customStyle="1" w:styleId="445">
    <w:name w:val="明显参考111"/>
    <w:basedOn w:val="48"/>
    <w:qFormat/>
    <w:uiPriority w:val="0"/>
    <w:rPr>
      <w:rFonts w:hint="default" w:ascii="Times New Roman" w:hAnsi="Times New Roman" w:cs="Times New Roman"/>
      <w:b/>
      <w:bCs/>
      <w:smallCaps/>
      <w:color w:val="C0504D"/>
      <w:spacing w:val="5"/>
      <w:u w:val="single"/>
    </w:rPr>
  </w:style>
  <w:style w:type="character" w:customStyle="1" w:styleId="446">
    <w:name w:val="明显强调111"/>
    <w:basedOn w:val="48"/>
    <w:qFormat/>
    <w:uiPriority w:val="0"/>
    <w:rPr>
      <w:rFonts w:hint="default" w:ascii="Times New Roman" w:hAnsi="Times New Roman" w:cs="Times New Roman"/>
      <w:b/>
      <w:bCs/>
      <w:i/>
      <w:iCs/>
      <w:color w:val="4F81BD"/>
    </w:rPr>
  </w:style>
  <w:style w:type="character" w:customStyle="1" w:styleId="447">
    <w:name w:val="书籍标题111"/>
    <w:basedOn w:val="48"/>
    <w:qFormat/>
    <w:uiPriority w:val="0"/>
    <w:rPr>
      <w:rFonts w:hint="default" w:ascii="Times New Roman" w:hAnsi="Times New Roman" w:cs="Times New Roman"/>
      <w:b/>
      <w:bCs/>
      <w:smallCaps/>
      <w:spacing w:val="5"/>
    </w:rPr>
  </w:style>
  <w:style w:type="character" w:customStyle="1" w:styleId="448">
    <w:name w:val="不明显参考111"/>
    <w:basedOn w:val="48"/>
    <w:qFormat/>
    <w:uiPriority w:val="0"/>
    <w:rPr>
      <w:rFonts w:hint="default" w:ascii="Times New Roman" w:hAnsi="Times New Roman" w:cs="Times New Roman"/>
      <w:smallCaps/>
      <w:color w:val="C0504D"/>
      <w:u w:val="single"/>
    </w:rPr>
  </w:style>
  <w:style w:type="character" w:customStyle="1" w:styleId="449">
    <w:name w:val="不明显强调111"/>
    <w:basedOn w:val="48"/>
    <w:qFormat/>
    <w:uiPriority w:val="0"/>
    <w:rPr>
      <w:rFonts w:hint="default" w:ascii="Times New Roman" w:hAnsi="Times New Roman" w:cs="Times New Roman"/>
      <w:i/>
      <w:iCs/>
      <w:color w:val="808080"/>
    </w:rPr>
  </w:style>
  <w:style w:type="character" w:customStyle="1" w:styleId="450">
    <w:name w:val="样式 四号"/>
    <w:qFormat/>
    <w:uiPriority w:val="0"/>
    <w:rPr>
      <w:rFonts w:hint="eastAsia" w:ascii="仿宋_GB2312" w:eastAsia="仿宋_GB2312"/>
      <w:sz w:val="28"/>
    </w:rPr>
  </w:style>
  <w:style w:type="character" w:customStyle="1" w:styleId="451">
    <w:name w:val="font51"/>
    <w:basedOn w:val="48"/>
    <w:qFormat/>
    <w:uiPriority w:val="0"/>
    <w:rPr>
      <w:rFonts w:hint="eastAsia" w:ascii="楷体" w:hAnsi="楷体" w:eastAsia="楷体" w:cs="楷体"/>
      <w:b/>
      <w:color w:val="000000"/>
      <w:sz w:val="32"/>
      <w:szCs w:val="32"/>
      <w:u w:val="none"/>
    </w:rPr>
  </w:style>
  <w:style w:type="character" w:customStyle="1" w:styleId="452">
    <w:name w:val="font41"/>
    <w:basedOn w:val="48"/>
    <w:qFormat/>
    <w:uiPriority w:val="0"/>
    <w:rPr>
      <w:rFonts w:hint="eastAsia" w:ascii="宋体" w:hAnsi="宋体" w:eastAsia="宋体" w:cs="宋体"/>
      <w:color w:val="000000"/>
      <w:sz w:val="28"/>
      <w:szCs w:val="28"/>
      <w:u w:val="none"/>
    </w:rPr>
  </w:style>
  <w:style w:type="character" w:customStyle="1" w:styleId="453">
    <w:name w:val="正文方正仿宋简体 三号"/>
    <w:qFormat/>
    <w:uiPriority w:val="0"/>
    <w:rPr>
      <w:rFonts w:hint="eastAsia" w:ascii="方正仿宋简体" w:hAnsi="方正仿宋简体" w:eastAsia="方正仿宋简体"/>
      <w:color w:val="000000"/>
      <w:kern w:val="0"/>
      <w:sz w:val="32"/>
      <w:szCs w:val="32"/>
    </w:rPr>
  </w:style>
  <w:style w:type="table" w:customStyle="1" w:styleId="454">
    <w:name w:val="网格型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网格型11"/>
    <w:basedOn w:val="46"/>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6">
    <w:name w:val="网格型21"/>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网格型3"/>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网格型8"/>
    <w:basedOn w:val="46"/>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9">
    <w:name w:val="附录五级条标题"/>
    <w:basedOn w:val="298"/>
    <w:next w:val="1"/>
    <w:qFormat/>
    <w:uiPriority w:val="99"/>
    <w:pPr>
      <w:outlineLvl w:val="6"/>
    </w:pPr>
  </w:style>
  <w:style w:type="table" w:customStyle="1" w:styleId="460">
    <w:name w:val="网格型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网格型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2">
    <w:name w:val="未处理的提及1"/>
    <w:basedOn w:val="48"/>
    <w:semiHidden/>
    <w:unhideWhenUsed/>
    <w:qFormat/>
    <w:uiPriority w:val="99"/>
    <w:rPr>
      <w:color w:val="605E5C"/>
      <w:shd w:val="clear" w:color="auto" w:fill="E1DFDD"/>
    </w:rPr>
  </w:style>
  <w:style w:type="table" w:customStyle="1" w:styleId="463">
    <w:name w:val="网格型4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4">
    <w:name w:val="福安正文内容"/>
    <w:basedOn w:val="63"/>
    <w:link w:val="465"/>
    <w:qFormat/>
    <w:uiPriority w:val="0"/>
    <w:rPr>
      <w:rFonts w:ascii="Times New Roman" w:hAnsi="Times New Roman"/>
      <w:color w:val="auto"/>
    </w:rPr>
  </w:style>
  <w:style w:type="character" w:customStyle="1" w:styleId="465">
    <w:name w:val="福安正文内容 字符"/>
    <w:basedOn w:val="64"/>
    <w:link w:val="464"/>
    <w:qFormat/>
    <w:uiPriority w:val="0"/>
    <w:rPr>
      <w:rFonts w:ascii="Times New Roman" w:hAnsi="Times New Roman" w:eastAsia="仿宋_GB2312" w:cs="Times New Roman"/>
      <w:color w:val="000000"/>
      <w:sz w:val="28"/>
    </w:rPr>
  </w:style>
  <w:style w:type="paragraph" w:customStyle="1" w:styleId="466">
    <w:name w:val="福安三级标题"/>
    <w:basedOn w:val="5"/>
    <w:link w:val="467"/>
    <w:qFormat/>
    <w:uiPriority w:val="0"/>
    <w:pPr>
      <w:widowControl w:val="0"/>
      <w:spacing w:beforeLines="20" w:afterLines="20" w:line="376" w:lineRule="auto"/>
    </w:pPr>
    <w:rPr>
      <w:rFonts w:cs="Times New Roman"/>
    </w:rPr>
  </w:style>
  <w:style w:type="character" w:customStyle="1" w:styleId="467">
    <w:name w:val="福安三级标题 字符"/>
    <w:basedOn w:val="85"/>
    <w:link w:val="466"/>
    <w:qFormat/>
    <w:uiPriority w:val="0"/>
    <w:rPr>
      <w:rFonts w:ascii="Times New Roman" w:hAnsi="Times New Roman" w:eastAsia="仿宋_GB2312" w:cs="Times New Roman"/>
      <w:sz w:val="28"/>
      <w:szCs w:val="28"/>
    </w:rPr>
  </w:style>
  <w:style w:type="paragraph" w:customStyle="1" w:styleId="468">
    <w:name w:val="福安二级标题"/>
    <w:basedOn w:val="1"/>
    <w:qFormat/>
    <w:uiPriority w:val="0"/>
    <w:pPr>
      <w:autoSpaceDE w:val="0"/>
      <w:autoSpaceDN w:val="0"/>
      <w:spacing w:before="120" w:after="120" w:line="360" w:lineRule="auto"/>
      <w:jc w:val="left"/>
      <w:outlineLvl w:val="2"/>
    </w:pPr>
    <w:rPr>
      <w:rFonts w:ascii="Times New Roman" w:hAnsi="Times New Roman" w:eastAsia="黑体" w:cs="Times New Roman"/>
      <w:b/>
      <w:bCs/>
      <w:kern w:val="28"/>
      <w:sz w:val="30"/>
      <w:szCs w:val="32"/>
    </w:rPr>
  </w:style>
  <w:style w:type="paragraph" w:customStyle="1" w:styleId="469">
    <w:name w:val="样式1"/>
    <w:basedOn w:val="1"/>
    <w:qFormat/>
    <w:uiPriority w:val="0"/>
    <w:pPr>
      <w:ind w:right="-1"/>
    </w:pPr>
    <w:rPr>
      <w:rFonts w:ascii="Times New Roman" w:hAnsi="Times New Roman" w:eastAsia="仿宋_GB2312" w:cs="Times New Roman"/>
      <w:szCs w:val="21"/>
    </w:rPr>
  </w:style>
  <w:style w:type="paragraph" w:customStyle="1" w:styleId="470">
    <w:name w:val="正文003"/>
    <w:next w:val="313"/>
    <w:qFormat/>
    <w:uiPriority w:val="0"/>
    <w:pPr>
      <w:spacing w:after="360"/>
      <w:ind w:firstLine="442"/>
      <w:jc w:val="both"/>
    </w:pPr>
    <w:rPr>
      <w:rFonts w:ascii="Times New Roman" w:hAnsi="Times New Roman" w:eastAsia="仿宋_GB2312" w:cs="Times New Roman"/>
      <w:color w:val="0D0D0D" w:themeColor="text1" w:themeTint="F2"/>
      <w:sz w:val="21"/>
      <w:szCs w:val="21"/>
      <w:lang w:val="en-US" w:eastAsia="zh-CN" w:bidi="ar-SA"/>
      <w14:textFill>
        <w14:solidFill>
          <w14:schemeClr w14:val="tx1">
            <w14:lumMod w14:val="95000"/>
            <w14:lumOff w14:val="5000"/>
          </w14:schemeClr>
        </w14:solidFill>
      </w14:textFill>
    </w:rPr>
  </w:style>
  <w:style w:type="table" w:customStyle="1" w:styleId="471">
    <w:name w:val="表格样式002"/>
    <w:basedOn w:val="46"/>
    <w:qFormat/>
    <w:uiPriority w:val="99"/>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shd w:val="clear" w:color="auto" w:fill="auto"/>
      <w:vAlign w:val="center"/>
    </w:tcPr>
  </w:style>
  <w:style w:type="character" w:customStyle="1" w:styleId="472">
    <w:name w:val="福安一级标题 字符"/>
    <w:basedOn w:val="48"/>
    <w:link w:val="103"/>
    <w:qFormat/>
    <w:uiPriority w:val="0"/>
    <w:rPr>
      <w:rFonts w:ascii="Times New Roman" w:hAnsi="Times New Roman" w:eastAsia="黑体" w:cs="Times New Roman"/>
      <w:b/>
      <w:bCs/>
      <w:sz w:val="32"/>
      <w:szCs w:val="32"/>
    </w:rPr>
  </w:style>
  <w:style w:type="paragraph" w:customStyle="1" w:styleId="473">
    <w:name w:val="TOC 标题11"/>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74">
    <w:name w:val="修订11"/>
    <w:semiHidden/>
    <w:qFormat/>
    <w:uiPriority w:val="99"/>
    <w:rPr>
      <w:rFonts w:ascii="Times New Roman" w:hAnsi="Times New Roman" w:eastAsia="宋体" w:cs="Times New Roman"/>
      <w:kern w:val="2"/>
      <w:sz w:val="21"/>
      <w:lang w:val="en-US" w:eastAsia="zh-CN" w:bidi="ar-SA"/>
    </w:rPr>
  </w:style>
  <w:style w:type="character" w:customStyle="1" w:styleId="475">
    <w:name w:val="明显参考11"/>
    <w:basedOn w:val="48"/>
    <w:qFormat/>
    <w:uiPriority w:val="0"/>
    <w:rPr>
      <w:rFonts w:hint="default" w:ascii="Times New Roman" w:hAnsi="Times New Roman" w:cs="Times New Roman"/>
      <w:b/>
      <w:bCs/>
      <w:smallCaps/>
      <w:color w:val="C0504D"/>
      <w:spacing w:val="5"/>
      <w:u w:val="single"/>
    </w:rPr>
  </w:style>
  <w:style w:type="character" w:customStyle="1" w:styleId="476">
    <w:name w:val="明显强调11"/>
    <w:basedOn w:val="48"/>
    <w:qFormat/>
    <w:uiPriority w:val="0"/>
    <w:rPr>
      <w:rFonts w:hint="default" w:ascii="Times New Roman" w:hAnsi="Times New Roman" w:cs="Times New Roman"/>
      <w:b/>
      <w:bCs/>
      <w:i/>
      <w:iCs/>
      <w:color w:val="4F81BD"/>
    </w:rPr>
  </w:style>
  <w:style w:type="character" w:customStyle="1" w:styleId="477">
    <w:name w:val="书籍标题11"/>
    <w:basedOn w:val="48"/>
    <w:qFormat/>
    <w:uiPriority w:val="0"/>
    <w:rPr>
      <w:rFonts w:hint="default" w:ascii="Times New Roman" w:hAnsi="Times New Roman" w:cs="Times New Roman"/>
      <w:b/>
      <w:bCs/>
      <w:smallCaps/>
      <w:spacing w:val="5"/>
    </w:rPr>
  </w:style>
  <w:style w:type="character" w:customStyle="1" w:styleId="478">
    <w:name w:val="不明显参考11"/>
    <w:basedOn w:val="48"/>
    <w:qFormat/>
    <w:uiPriority w:val="0"/>
    <w:rPr>
      <w:rFonts w:hint="default" w:ascii="Times New Roman" w:hAnsi="Times New Roman" w:cs="Times New Roman"/>
      <w:smallCaps/>
      <w:color w:val="C0504D"/>
      <w:u w:val="single"/>
    </w:rPr>
  </w:style>
  <w:style w:type="character" w:customStyle="1" w:styleId="479">
    <w:name w:val="不明显强调11"/>
    <w:basedOn w:val="48"/>
    <w:qFormat/>
    <w:uiPriority w:val="0"/>
    <w:rPr>
      <w:rFonts w:hint="default" w:ascii="Times New Roman" w:hAnsi="Times New Roman" w:cs="Times New Roman"/>
      <w:i/>
      <w:iCs/>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3.jpeg"/><Relationship Id="rId30" Type="http://schemas.openxmlformats.org/officeDocument/2006/relationships/image" Target="media/image2.jpeg"/><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chart" Target="charts/chart4.xml"/><Relationship Id="rId27" Type="http://schemas.openxmlformats.org/officeDocument/2006/relationships/chart" Target="charts/chart3.xml"/><Relationship Id="rId26" Type="http://schemas.openxmlformats.org/officeDocument/2006/relationships/chart" Target="charts/chart2.xml"/><Relationship Id="rId25" Type="http://schemas.openxmlformats.org/officeDocument/2006/relationships/chart" Target="charts/chart1.xml"/><Relationship Id="rId24" Type="http://schemas.openxmlformats.org/officeDocument/2006/relationships/theme" Target="theme/theme1.xml"/><Relationship Id="rId23" Type="http://schemas.openxmlformats.org/officeDocument/2006/relationships/header" Target="header15.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019&#24180;&#24037;&#20316;\2019.6.19&#20048;&#26124;&#26862;&#26519;&#22478;&#24066;&#24635;&#20307;&#35268;&#21010;\4.&#24191;&#19996;&#20048;&#26124;&#24066;&#22269;&#23478;&#26862;&#26519;&#22478;&#24066;&#24635;&#20307;&#35268;&#21010;\2&#39033;&#30446;&#21306;&#27010;&#20917;\&#32463;&#27982;&#24773;&#209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19&#24180;&#24037;&#20316;\2019.6.19&#20048;&#26124;&#26862;&#26519;&#22478;&#24066;&#24635;&#20307;&#35268;&#21010;\4.&#24191;&#19996;&#20048;&#26124;&#24066;&#22269;&#23478;&#26862;&#26519;&#22478;&#24066;&#24635;&#20307;&#35268;&#21010;\2&#39033;&#30446;&#21306;&#27010;&#20917;\&#29983;&#24577;&#29615;&#22659;&#29366;&#20917;&#32479;&#35745;&#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19&#24180;&#24037;&#20316;\2019.6.19&#20048;&#26124;&#26862;&#26519;&#22478;&#24066;&#24635;&#20307;&#35268;&#21010;\4.&#24191;&#19996;&#20048;&#26124;&#24066;&#22269;&#23478;&#26862;&#26519;&#22478;&#24066;&#24635;&#20307;&#35268;&#21010;\2&#39033;&#30446;&#21306;&#27010;&#20917;\&#29983;&#24577;&#29615;&#22659;&#29366;&#20917;&#32479;&#35745;&#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19&#24180;&#24037;&#20316;\2019.6.19&#20048;&#26124;&#26862;&#26519;&#22478;&#24066;&#24635;&#20307;&#35268;&#21010;\4.&#24191;&#19996;&#20048;&#26124;&#24066;&#22269;&#23478;&#26862;&#26519;&#22478;&#24066;&#24635;&#20307;&#35268;&#21010;\3\&#21333;&#20301;&#38754;&#31215;&#33988;&#312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生产总值</a:t>
            </a:r>
            <a:endParaRPr lang="zh-CN" altLang="en-US"/>
          </a:p>
        </c:rich>
      </c:tx>
      <c:layout/>
      <c:overlay val="0"/>
      <c:spPr>
        <a:noFill/>
        <a:ln>
          <a:noFill/>
        </a:ln>
        <a:effectLst/>
      </c:spPr>
    </c:title>
    <c:autoTitleDeleted val="0"/>
    <c:plotArea>
      <c:layout>
        <c:manualLayout>
          <c:layoutTarget val="inner"/>
          <c:xMode val="edge"/>
          <c:yMode val="edge"/>
          <c:x val="0.11175"/>
          <c:y val="0.157407407407407"/>
          <c:w val="0.857694444444444"/>
          <c:h val="0.730648148148148"/>
        </c:manualLayout>
      </c:layout>
      <c:barChart>
        <c:barDir val="col"/>
        <c:grouping val="clustered"/>
        <c:varyColors val="0"/>
        <c:ser>
          <c:idx val="1"/>
          <c:order val="0"/>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trendline>
            <c:spPr>
              <a:ln w="19050" cap="rnd" cmpd="sng" algn="ctr">
                <a:solidFill>
                  <a:schemeClr val="accent2"/>
                </a:solidFill>
                <a:prstDash val="sysDot"/>
                <a:round/>
              </a:ln>
              <a:effectLst/>
            </c:spPr>
            <c:trendlineType val="linear"/>
            <c:dispRSqr val="0"/>
            <c:dispEq val="0"/>
          </c:trendline>
          <c:cat>
            <c:strRef>
              <c:f>Sheet1!$A$2:$A$6</c:f>
              <c:strCache>
                <c:ptCount val="5"/>
                <c:pt idx="0">
                  <c:v>2014年</c:v>
                </c:pt>
                <c:pt idx="1">
                  <c:v>2015年</c:v>
                </c:pt>
                <c:pt idx="2">
                  <c:v>2016年</c:v>
                </c:pt>
                <c:pt idx="3">
                  <c:v>2017年</c:v>
                </c:pt>
                <c:pt idx="4">
                  <c:v>2018年</c:v>
                </c:pt>
              </c:strCache>
            </c:strRef>
          </c:cat>
          <c:val>
            <c:numRef>
              <c:f>Sheet1!$B$2:$B$6</c:f>
              <c:numCache>
                <c:formatCode>General</c:formatCode>
                <c:ptCount val="5"/>
                <c:pt idx="0">
                  <c:v>103.89</c:v>
                </c:pt>
                <c:pt idx="1">
                  <c:v>107.08</c:v>
                </c:pt>
                <c:pt idx="2">
                  <c:v>117.38</c:v>
                </c:pt>
                <c:pt idx="3">
                  <c:v>122.27</c:v>
                </c:pt>
                <c:pt idx="4">
                  <c:v>124.62</c:v>
                </c:pt>
              </c:numCache>
            </c:numRef>
          </c:val>
        </c:ser>
        <c:dLbls>
          <c:showLegendKey val="0"/>
          <c:showVal val="1"/>
          <c:showCatName val="0"/>
          <c:showSerName val="0"/>
          <c:showPercent val="0"/>
          <c:showBubbleSize val="0"/>
        </c:dLbls>
        <c:gapWidth val="150"/>
        <c:axId val="694932992"/>
        <c:axId val="694934528"/>
      </c:barChart>
      <c:catAx>
        <c:axId val="694932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934528"/>
        <c:crosses val="autoZero"/>
        <c:auto val="1"/>
        <c:lblAlgn val="ctr"/>
        <c:lblOffset val="100"/>
        <c:noMultiLvlLbl val="0"/>
      </c:catAx>
      <c:valAx>
        <c:axId val="694934528"/>
        <c:scaling>
          <c:orientation val="minMax"/>
          <c:min val="80"/>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单位：亿元</a:t>
                </a:r>
                <a:endParaRPr lang="zh-CN" altLang="en-US"/>
              </a:p>
            </c:rich>
          </c:tx>
          <c:layout>
            <c:manualLayout>
              <c:xMode val="edge"/>
              <c:yMode val="edge"/>
              <c:x val="0.0347222222222222"/>
              <c:y val="0.0604629629629629"/>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932992"/>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1968503937008"/>
          <c:y val="0.10232648002333"/>
          <c:w val="0.696969597550306"/>
          <c:h val="0.778013269174686"/>
        </c:manualLayout>
      </c:layout>
      <c:lineChart>
        <c:grouping val="standard"/>
        <c:varyColors val="0"/>
        <c:ser>
          <c:idx val="0"/>
          <c:order val="0"/>
          <c:tx>
            <c:strRef>
              <c:f>空气环境状况!$B$1</c:f>
              <c:strCache>
                <c:ptCount val="1"/>
                <c:pt idx="0">
                  <c:v>SO2</c:v>
                </c:pt>
              </c:strCache>
            </c:strRef>
          </c:tx>
          <c:dLbls>
            <c:delete val="1"/>
          </c:dLbls>
          <c:cat>
            <c:strRef>
              <c:f>空气环境状况!$A$2:$A$6</c:f>
              <c:strCache>
                <c:ptCount val="5"/>
                <c:pt idx="0">
                  <c:v>2014年</c:v>
                </c:pt>
                <c:pt idx="1">
                  <c:v>2015年</c:v>
                </c:pt>
                <c:pt idx="2">
                  <c:v>2016年</c:v>
                </c:pt>
                <c:pt idx="3">
                  <c:v>2017年</c:v>
                </c:pt>
                <c:pt idx="4">
                  <c:v>2018年</c:v>
                </c:pt>
              </c:strCache>
            </c:strRef>
          </c:cat>
          <c:val>
            <c:numRef>
              <c:f>空气环境状况!$B$2:$B$6</c:f>
              <c:numCache>
                <c:formatCode>General</c:formatCode>
                <c:ptCount val="5"/>
                <c:pt idx="0">
                  <c:v>0.02</c:v>
                </c:pt>
                <c:pt idx="1">
                  <c:v>0.013</c:v>
                </c:pt>
                <c:pt idx="2">
                  <c:v>0.014</c:v>
                </c:pt>
                <c:pt idx="3">
                  <c:v>0.011</c:v>
                </c:pt>
                <c:pt idx="4">
                  <c:v>0.011</c:v>
                </c:pt>
              </c:numCache>
            </c:numRef>
          </c:val>
          <c:smooth val="0"/>
        </c:ser>
        <c:ser>
          <c:idx val="1"/>
          <c:order val="1"/>
          <c:tx>
            <c:strRef>
              <c:f>空气环境状况!$C$1</c:f>
              <c:strCache>
                <c:ptCount val="1"/>
                <c:pt idx="0">
                  <c:v>NO2</c:v>
                </c:pt>
              </c:strCache>
            </c:strRef>
          </c:tx>
          <c:dLbls>
            <c:delete val="1"/>
          </c:dLbls>
          <c:cat>
            <c:strRef>
              <c:f>空气环境状况!$A$2:$A$6</c:f>
              <c:strCache>
                <c:ptCount val="5"/>
                <c:pt idx="0">
                  <c:v>2014年</c:v>
                </c:pt>
                <c:pt idx="1">
                  <c:v>2015年</c:v>
                </c:pt>
                <c:pt idx="2">
                  <c:v>2016年</c:v>
                </c:pt>
                <c:pt idx="3">
                  <c:v>2017年</c:v>
                </c:pt>
                <c:pt idx="4">
                  <c:v>2018年</c:v>
                </c:pt>
              </c:strCache>
            </c:strRef>
          </c:cat>
          <c:val>
            <c:numRef>
              <c:f>空气环境状况!$C$2:$C$6</c:f>
              <c:numCache>
                <c:formatCode>General</c:formatCode>
                <c:ptCount val="5"/>
                <c:pt idx="0">
                  <c:v>0.019</c:v>
                </c:pt>
                <c:pt idx="1">
                  <c:v>0.019</c:v>
                </c:pt>
                <c:pt idx="2">
                  <c:v>0.02</c:v>
                </c:pt>
                <c:pt idx="3">
                  <c:v>0.022</c:v>
                </c:pt>
                <c:pt idx="4">
                  <c:v>0.018</c:v>
                </c:pt>
              </c:numCache>
            </c:numRef>
          </c:val>
          <c:smooth val="0"/>
        </c:ser>
        <c:ser>
          <c:idx val="2"/>
          <c:order val="2"/>
          <c:tx>
            <c:strRef>
              <c:f>空气环境状况!$D$1</c:f>
              <c:strCache>
                <c:ptCount val="1"/>
                <c:pt idx="0">
                  <c:v>PM10</c:v>
                </c:pt>
              </c:strCache>
            </c:strRef>
          </c:tx>
          <c:dLbls>
            <c:delete val="1"/>
          </c:dLbls>
          <c:cat>
            <c:strRef>
              <c:f>空气环境状况!$A$2:$A$6</c:f>
              <c:strCache>
                <c:ptCount val="5"/>
                <c:pt idx="0">
                  <c:v>2014年</c:v>
                </c:pt>
                <c:pt idx="1">
                  <c:v>2015年</c:v>
                </c:pt>
                <c:pt idx="2">
                  <c:v>2016年</c:v>
                </c:pt>
                <c:pt idx="3">
                  <c:v>2017年</c:v>
                </c:pt>
                <c:pt idx="4">
                  <c:v>2018年</c:v>
                </c:pt>
              </c:strCache>
            </c:strRef>
          </c:cat>
          <c:val>
            <c:numRef>
              <c:f>空气环境状况!$D$2:$D$6</c:f>
              <c:numCache>
                <c:formatCode>General</c:formatCode>
                <c:ptCount val="5"/>
                <c:pt idx="0">
                  <c:v>0.042</c:v>
                </c:pt>
                <c:pt idx="1">
                  <c:v>0.032</c:v>
                </c:pt>
                <c:pt idx="2">
                  <c:v>0.052</c:v>
                </c:pt>
                <c:pt idx="3">
                  <c:v>0.046</c:v>
                </c:pt>
                <c:pt idx="4">
                  <c:v>0.045</c:v>
                </c:pt>
              </c:numCache>
            </c:numRef>
          </c:val>
          <c:smooth val="0"/>
        </c:ser>
        <c:ser>
          <c:idx val="3"/>
          <c:order val="3"/>
          <c:tx>
            <c:strRef>
              <c:f>空气环境状况!$E$1</c:f>
              <c:strCache>
                <c:ptCount val="1"/>
                <c:pt idx="0">
                  <c:v>PM2.5</c:v>
                </c:pt>
              </c:strCache>
            </c:strRef>
          </c:tx>
          <c:dLbls>
            <c:delete val="1"/>
          </c:dLbls>
          <c:cat>
            <c:strRef>
              <c:f>空气环境状况!$A$2:$A$6</c:f>
              <c:strCache>
                <c:ptCount val="5"/>
                <c:pt idx="0">
                  <c:v>2014年</c:v>
                </c:pt>
                <c:pt idx="1">
                  <c:v>2015年</c:v>
                </c:pt>
                <c:pt idx="2">
                  <c:v>2016年</c:v>
                </c:pt>
                <c:pt idx="3">
                  <c:v>2017年</c:v>
                </c:pt>
                <c:pt idx="4">
                  <c:v>2018年</c:v>
                </c:pt>
              </c:strCache>
            </c:strRef>
          </c:cat>
          <c:val>
            <c:numRef>
              <c:f>空气环境状况!$E$2:$E$6</c:f>
              <c:numCache>
                <c:formatCode>General</c:formatCode>
                <c:ptCount val="5"/>
                <c:pt idx="2">
                  <c:v>0.025</c:v>
                </c:pt>
                <c:pt idx="3">
                  <c:v>0.031</c:v>
                </c:pt>
                <c:pt idx="4">
                  <c:v>0.03</c:v>
                </c:pt>
              </c:numCache>
            </c:numRef>
          </c:val>
          <c:smooth val="0"/>
        </c:ser>
        <c:dLbls>
          <c:showLegendKey val="0"/>
          <c:showVal val="0"/>
          <c:showCatName val="0"/>
          <c:showSerName val="0"/>
          <c:showPercent val="0"/>
          <c:showBubbleSize val="0"/>
        </c:dLbls>
        <c:marker val="1"/>
        <c:smooth val="0"/>
        <c:axId val="572870016"/>
        <c:axId val="596780160"/>
      </c:lineChart>
      <c:catAx>
        <c:axId val="5728700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96780160"/>
        <c:crosses val="autoZero"/>
        <c:auto val="1"/>
        <c:lblAlgn val="ctr"/>
        <c:lblOffset val="100"/>
        <c:noMultiLvlLbl val="0"/>
      </c:catAx>
      <c:valAx>
        <c:axId val="596780160"/>
        <c:scaling>
          <c:orientation val="minMax"/>
        </c:scaling>
        <c:delete val="0"/>
        <c:axPos val="l"/>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sz="1000" b="1" i="0" u="none" strike="noStrike" baseline="0">
                    <a:effectLst/>
                  </a:rPr>
                  <a:t>mg/m</a:t>
                </a:r>
                <a:r>
                  <a:rPr lang="en-US" altLang="zh-CN" sz="1000" b="1" i="0" u="none" strike="noStrike" baseline="30000">
                    <a:effectLst/>
                  </a:rPr>
                  <a:t>3</a:t>
                </a:r>
                <a:endParaRPr lang="zh-CN" altLang="en-US"/>
              </a:p>
            </c:rich>
          </c:tx>
          <c:layout>
            <c:manualLayout>
              <c:xMode val="edge"/>
              <c:yMode val="edge"/>
              <c:x val="0"/>
              <c:y val="0.0005923738699329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287001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696850393701"/>
          <c:y val="0.125474628171479"/>
          <c:w val="0.866747594050744"/>
          <c:h val="0.629865121026538"/>
        </c:manualLayout>
      </c:layout>
      <c:lineChart>
        <c:grouping val="standard"/>
        <c:varyColors val="0"/>
        <c:ser>
          <c:idx val="0"/>
          <c:order val="0"/>
          <c:tx>
            <c:strRef>
              <c:f>声环境!$B$1</c:f>
              <c:strCache>
                <c:ptCount val="1"/>
                <c:pt idx="0">
                  <c:v>城市区域</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声环境!$A$2:$A$6</c:f>
              <c:strCache>
                <c:ptCount val="5"/>
                <c:pt idx="0">
                  <c:v>2014年</c:v>
                </c:pt>
                <c:pt idx="1">
                  <c:v>2015年</c:v>
                </c:pt>
                <c:pt idx="2">
                  <c:v>2016年</c:v>
                </c:pt>
                <c:pt idx="3">
                  <c:v>2017年</c:v>
                </c:pt>
                <c:pt idx="4">
                  <c:v>2018年</c:v>
                </c:pt>
              </c:strCache>
            </c:strRef>
          </c:cat>
          <c:val>
            <c:numRef>
              <c:f>声环境!$B$2:$B$6</c:f>
              <c:numCache>
                <c:formatCode>0.0_ </c:formatCode>
                <c:ptCount val="5"/>
                <c:pt idx="0">
                  <c:v>54.7</c:v>
                </c:pt>
                <c:pt idx="1">
                  <c:v>54.8</c:v>
                </c:pt>
                <c:pt idx="2">
                  <c:v>55</c:v>
                </c:pt>
                <c:pt idx="3">
                  <c:v>54.9</c:v>
                </c:pt>
                <c:pt idx="4">
                  <c:v>54.6</c:v>
                </c:pt>
              </c:numCache>
            </c:numRef>
          </c:val>
          <c:smooth val="0"/>
        </c:ser>
        <c:ser>
          <c:idx val="1"/>
          <c:order val="1"/>
          <c:tx>
            <c:strRef>
              <c:f>声环境!$C$1</c:f>
              <c:strCache>
                <c:ptCount val="1"/>
                <c:pt idx="0">
                  <c:v>道路交通</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声环境!$A$2:$A$6</c:f>
              <c:strCache>
                <c:ptCount val="5"/>
                <c:pt idx="0">
                  <c:v>2014年</c:v>
                </c:pt>
                <c:pt idx="1">
                  <c:v>2015年</c:v>
                </c:pt>
                <c:pt idx="2">
                  <c:v>2016年</c:v>
                </c:pt>
                <c:pt idx="3">
                  <c:v>2017年</c:v>
                </c:pt>
                <c:pt idx="4">
                  <c:v>2018年</c:v>
                </c:pt>
              </c:strCache>
            </c:strRef>
          </c:cat>
          <c:val>
            <c:numRef>
              <c:f>声环境!$C$2:$C$6</c:f>
              <c:numCache>
                <c:formatCode>0.0_ </c:formatCode>
                <c:ptCount val="5"/>
                <c:pt idx="0">
                  <c:v>67.8</c:v>
                </c:pt>
                <c:pt idx="1">
                  <c:v>67.8</c:v>
                </c:pt>
                <c:pt idx="2">
                  <c:v>67.6</c:v>
                </c:pt>
                <c:pt idx="3">
                  <c:v>67.7</c:v>
                </c:pt>
                <c:pt idx="4">
                  <c:v>67.6</c:v>
                </c:pt>
              </c:numCache>
            </c:numRef>
          </c:val>
          <c:smooth val="0"/>
        </c:ser>
        <c:dLbls>
          <c:showLegendKey val="0"/>
          <c:showVal val="1"/>
          <c:showCatName val="0"/>
          <c:showSerName val="0"/>
          <c:showPercent val="0"/>
          <c:showBubbleSize val="0"/>
        </c:dLbls>
        <c:marker val="1"/>
        <c:smooth val="0"/>
        <c:axId val="227762560"/>
        <c:axId val="227764096"/>
      </c:lineChart>
      <c:catAx>
        <c:axId val="2277625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7764096"/>
        <c:crosses val="autoZero"/>
        <c:auto val="1"/>
        <c:lblAlgn val="ctr"/>
        <c:lblOffset val="100"/>
        <c:noMultiLvlLbl val="0"/>
      </c:catAx>
      <c:valAx>
        <c:axId val="227764096"/>
        <c:scaling>
          <c:orientation val="minMax"/>
          <c:max val="70"/>
          <c:min val="50"/>
        </c:scaling>
        <c:delete val="0"/>
        <c:axPos val="l"/>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ltLang="zh-CN"/>
                  <a:t>dB</a:t>
                </a:r>
                <a:r>
                  <a:rPr lang="zh-CN" altLang="en-US"/>
                  <a:t>（</a:t>
                </a:r>
                <a:r>
                  <a:rPr lang="en-US" altLang="zh-CN"/>
                  <a:t>A</a:t>
                </a:r>
                <a:r>
                  <a:rPr lang="zh-CN" altLang="en-US"/>
                  <a:t>）</a:t>
                </a:r>
                <a:endParaRPr lang="zh-CN" altLang="en-US"/>
              </a:p>
            </c:rich>
          </c:tx>
          <c:layout>
            <c:manualLayout>
              <c:xMode val="edge"/>
              <c:yMode val="edge"/>
              <c:x val="0"/>
              <c:y val="0.00290718868474774"/>
            </c:manualLayout>
          </c:layout>
          <c:overlay val="0"/>
        </c:title>
        <c:numFmt formatCode="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7762560"/>
        <c:crosses val="autoZero"/>
        <c:crossBetween val="between"/>
        <c:majorUnit val="5"/>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r">
              <a:defRPr lang="zh-CN" sz="1800" b="1" i="0" u="none" strike="noStrike" kern="1200" baseline="0">
                <a:solidFill>
                  <a:schemeClr val="tx1"/>
                </a:solidFill>
                <a:latin typeface="+mn-lt"/>
                <a:ea typeface="+mn-ea"/>
                <a:cs typeface="+mn-cs"/>
              </a:defRPr>
            </a:pPr>
            <a:r>
              <a:rPr lang="zh-CN" altLang="zh-CN" sz="1400" b="1" i="0" baseline="0">
                <a:effectLst/>
              </a:rPr>
              <a:t>各林龄单位面积森林蓄积量</a:t>
            </a:r>
            <a:r>
              <a:rPr lang="zh-CN" altLang="en-US" sz="1400" b="1" i="0" baseline="0">
                <a:effectLst/>
              </a:rPr>
              <a:t>（</a:t>
            </a:r>
            <a:r>
              <a:rPr lang="en-US" altLang="zh-CN" sz="1400" b="1" i="0" baseline="0">
                <a:effectLst/>
              </a:rPr>
              <a:t>hm</a:t>
            </a:r>
            <a:r>
              <a:rPr lang="en-US" altLang="zh-CN" sz="1400" b="1" i="0" baseline="30000">
                <a:effectLst/>
              </a:rPr>
              <a:t>2</a:t>
            </a:r>
            <a:r>
              <a:rPr lang="en-US" altLang="zh-CN" sz="1400" b="1" i="0" baseline="0">
                <a:effectLst/>
              </a:rPr>
              <a:t>/m</a:t>
            </a:r>
            <a:r>
              <a:rPr lang="en-US" altLang="zh-CN" sz="1400" b="1" i="0" baseline="30000">
                <a:effectLst/>
              </a:rPr>
              <a:t>3</a:t>
            </a:r>
            <a:r>
              <a:rPr lang="zh-CN" altLang="en-US" sz="1400" b="1" i="0" baseline="0">
                <a:effectLst/>
              </a:rPr>
              <a:t>）</a:t>
            </a:r>
            <a:endParaRPr lang="zh-CN" altLang="zh-CN" sz="1400">
              <a:effectLst/>
            </a:endParaRPr>
          </a:p>
        </c:rich>
      </c:tx>
      <c:layout/>
      <c:overlay val="0"/>
    </c:title>
    <c:autoTitleDeleted val="0"/>
    <c:plotArea>
      <c:layout>
        <c:manualLayout>
          <c:layoutTarget val="inner"/>
          <c:xMode val="edge"/>
          <c:yMode val="edge"/>
          <c:x val="0.115111928765914"/>
          <c:y val="0.166123325493404"/>
          <c:w val="0.770435330654761"/>
          <c:h val="0.746043705862733"/>
        </c:manualLayout>
      </c:layout>
      <c:barChart>
        <c:barDir val="col"/>
        <c:grouping val="clustered"/>
        <c:varyColors val="0"/>
        <c:ser>
          <c:idx val="0"/>
          <c:order val="0"/>
          <c:invertIfNegative val="0"/>
          <c:dLbls>
            <c:dLbl>
              <c:idx val="0"/>
              <c:layout>
                <c:manualLayout>
                  <c:x val="0.00210637177461822"/>
                  <c:y val="0.008762053914531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31633241977349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09159089920389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09822653383796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66743521700671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乔木林林龄蓄积!$A$10:$A$14</c:f>
              <c:strCache>
                <c:ptCount val="5"/>
                <c:pt idx="0">
                  <c:v>幼龄林</c:v>
                </c:pt>
                <c:pt idx="1">
                  <c:v>中龄林</c:v>
                </c:pt>
                <c:pt idx="2">
                  <c:v>近熟林</c:v>
                </c:pt>
                <c:pt idx="3">
                  <c:v>成熟林</c:v>
                </c:pt>
                <c:pt idx="4">
                  <c:v>过熟林</c:v>
                </c:pt>
              </c:strCache>
            </c:strRef>
          </c:cat>
          <c:val>
            <c:numRef>
              <c:f>乔木林林龄蓄积!$D$10:$D$14</c:f>
              <c:numCache>
                <c:formatCode>0.00_ </c:formatCode>
                <c:ptCount val="5"/>
                <c:pt idx="0">
                  <c:v>48.5649273882956</c:v>
                </c:pt>
                <c:pt idx="1">
                  <c:v>89.8798129754486</c:v>
                </c:pt>
                <c:pt idx="2">
                  <c:v>135.885200895522</c:v>
                </c:pt>
                <c:pt idx="3">
                  <c:v>160.573277701585</c:v>
                </c:pt>
                <c:pt idx="4">
                  <c:v>84.4810335573602</c:v>
                </c:pt>
              </c:numCache>
            </c:numRef>
          </c:val>
        </c:ser>
        <c:dLbls>
          <c:showLegendKey val="0"/>
          <c:showVal val="1"/>
          <c:showCatName val="0"/>
          <c:showSerName val="0"/>
          <c:showPercent val="0"/>
          <c:showBubbleSize val="0"/>
        </c:dLbls>
        <c:gapWidth val="150"/>
        <c:axId val="149520384"/>
        <c:axId val="149521920"/>
      </c:barChart>
      <c:lineChart>
        <c:grouping val="standard"/>
        <c:varyColors val="0"/>
        <c:ser>
          <c:idx val="1"/>
          <c:order val="1"/>
          <c:spPr>
            <a:ln w="28575" cap="rnd" cmpd="sng" algn="ctr">
              <a:solidFill>
                <a:schemeClr val="accent2">
                  <a:shade val="95000"/>
                  <a:satMod val="105000"/>
                </a:schemeClr>
              </a:solidFill>
              <a:prstDash val="dash"/>
              <a:round/>
            </a:ln>
          </c:spPr>
          <c:marker>
            <c:symbol val="none"/>
          </c:marker>
          <c:dLbls>
            <c:dLbl>
              <c:idx val="0"/>
              <c:delete val="1"/>
            </c:dLbl>
            <c:dLbl>
              <c:idx val="1"/>
              <c:delete val="1"/>
            </c:dLbl>
            <c:dLbl>
              <c:idx val="2"/>
              <c:delete val="1"/>
            </c:dLbl>
            <c:dLbl>
              <c:idx val="3"/>
              <c:delete val="1"/>
            </c:dLbl>
            <c:dLbl>
              <c:idx val="4"/>
              <c:layout>
                <c:manualLayout>
                  <c:x val="0"/>
                  <c:y val="0.02851245866993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全国平均值线：</a:t>
                    </a:r>
                    <a:r>
                      <a:rPr lang="en-US" altLang="zh-CN"/>
                      <a:t>89.79</a:t>
                    </a:r>
                    <a:endParaRPr lang="en-US" altLang="zh-CN"/>
                  </a:p>
                </c:rich>
              </c:tx>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乔木林林龄蓄积!$A$10:$A$14</c:f>
              <c:strCache>
                <c:ptCount val="5"/>
                <c:pt idx="0">
                  <c:v>幼龄林</c:v>
                </c:pt>
                <c:pt idx="1">
                  <c:v>中龄林</c:v>
                </c:pt>
                <c:pt idx="2">
                  <c:v>近熟林</c:v>
                </c:pt>
                <c:pt idx="3">
                  <c:v>成熟林</c:v>
                </c:pt>
                <c:pt idx="4">
                  <c:v>过熟林</c:v>
                </c:pt>
              </c:strCache>
            </c:strRef>
          </c:cat>
          <c:val>
            <c:numRef>
              <c:f>乔木林林龄蓄积!$E$10:$E$14</c:f>
              <c:numCache>
                <c:formatCode>General</c:formatCode>
                <c:ptCount val="5"/>
                <c:pt idx="0">
                  <c:v>89.79</c:v>
                </c:pt>
                <c:pt idx="1">
                  <c:v>89.79</c:v>
                </c:pt>
                <c:pt idx="2">
                  <c:v>89.79</c:v>
                </c:pt>
                <c:pt idx="3">
                  <c:v>89.79</c:v>
                </c:pt>
                <c:pt idx="4">
                  <c:v>89.79</c:v>
                </c:pt>
              </c:numCache>
            </c:numRef>
          </c:val>
          <c:smooth val="0"/>
        </c:ser>
        <c:dLbls>
          <c:showLegendKey val="0"/>
          <c:showVal val="1"/>
          <c:showCatName val="0"/>
          <c:showSerName val="0"/>
          <c:showPercent val="0"/>
          <c:showBubbleSize val="0"/>
        </c:dLbls>
        <c:marker val="0"/>
        <c:smooth val="0"/>
        <c:axId val="149520384"/>
        <c:axId val="149521920"/>
      </c:lineChart>
      <c:catAx>
        <c:axId val="14952038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9521920"/>
        <c:crosses val="autoZero"/>
        <c:auto val="1"/>
        <c:lblAlgn val="ctr"/>
        <c:lblOffset val="100"/>
        <c:noMultiLvlLbl val="0"/>
      </c:catAx>
      <c:valAx>
        <c:axId val="149521920"/>
        <c:scaling>
          <c:orientation val="minMax"/>
        </c:scaling>
        <c:delete val="0"/>
        <c:axPos val="l"/>
        <c:majorGridlines/>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952038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176</Pages>
  <Words>15456</Words>
  <Characters>88105</Characters>
  <Lines>734</Lines>
  <Paragraphs>206</Paragraphs>
  <TotalTime>5</TotalTime>
  <ScaleCrop>false</ScaleCrop>
  <LinksUpToDate>false</LinksUpToDate>
  <CharactersWithSpaces>103355</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2020-09-01T22:43:00Z</dcterms:created>
  <dc:creator>Microsoft</dc:creator>
  <cp:lastModifiedBy>user</cp:lastModifiedBy>
  <cp:lastPrinted>2020-08-11T12:00:00Z</cp:lastPrinted>
  <dcterms:modified xsi:type="dcterms:W3CDTF">2023-08-21T15:32:35Z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ED743323F25297991313E36419B581AE</vt:lpwstr>
  </property>
</Properties>
</file>