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仿宋_GB2312"/>
          <w:color w:val="auto"/>
          <w:sz w:val="36"/>
          <w:szCs w:val="36"/>
        </w:rPr>
      </w:pPr>
    </w:p>
    <w:p>
      <w:pPr>
        <w:rPr>
          <w:rFonts w:eastAsia="仿宋_GB2312"/>
          <w:color w:val="auto"/>
          <w:sz w:val="36"/>
          <w:szCs w:val="36"/>
        </w:rPr>
      </w:pPr>
    </w:p>
    <w:p>
      <w:pPr>
        <w:rPr>
          <w:rFonts w:eastAsia="仿宋_GB2312"/>
          <w:color w:val="auto"/>
          <w:sz w:val="36"/>
          <w:szCs w:val="36"/>
        </w:rPr>
      </w:pPr>
    </w:p>
    <w:p>
      <w:pPr>
        <w:rPr>
          <w:rFonts w:eastAsia="仿宋_GB2312"/>
          <w:color w:val="auto"/>
          <w:sz w:val="36"/>
          <w:szCs w:val="36"/>
        </w:rPr>
      </w:pPr>
    </w:p>
    <w:p>
      <w:pPr>
        <w:adjustRightInd w:val="0"/>
        <w:snapToGrid w:val="0"/>
        <w:jc w:val="center"/>
        <w:rPr>
          <w:rFonts w:eastAsia="方正小标宋_GBK"/>
          <w:bCs/>
          <w:color w:val="auto"/>
          <w:sz w:val="72"/>
          <w:szCs w:val="72"/>
        </w:rPr>
      </w:pPr>
      <w:bookmarkStart w:id="0" w:name="_Toc23697"/>
      <w:bookmarkStart w:id="1" w:name="_Toc9229"/>
      <w:bookmarkStart w:id="2" w:name="_Toc8779"/>
      <w:r>
        <w:rPr>
          <w:rFonts w:eastAsia="方正小标宋_GBK"/>
          <w:bCs/>
          <w:color w:val="auto"/>
          <w:sz w:val="72"/>
          <w:szCs w:val="72"/>
        </w:rPr>
        <w:t>建设项目环境影响报告表</w:t>
      </w:r>
      <w:bookmarkEnd w:id="0"/>
      <w:bookmarkEnd w:id="1"/>
      <w:bookmarkEnd w:id="2"/>
    </w:p>
    <w:p>
      <w:pPr>
        <w:adjustRightInd w:val="0"/>
        <w:snapToGrid w:val="0"/>
        <w:spacing w:before="192" w:beforeLines="80"/>
        <w:jc w:val="center"/>
        <w:rPr>
          <w:rFonts w:eastAsia="楷体_GB2312"/>
          <w:bCs/>
          <w:color w:val="auto"/>
          <w:sz w:val="48"/>
          <w:szCs w:val="48"/>
        </w:rPr>
      </w:pPr>
      <w:r>
        <w:rPr>
          <w:rFonts w:eastAsia="楷体_GB2312"/>
          <w:bCs/>
          <w:color w:val="auto"/>
          <w:sz w:val="48"/>
          <w:szCs w:val="48"/>
        </w:rPr>
        <w:t>（污染影响类）</w:t>
      </w:r>
    </w:p>
    <w:p>
      <w:pPr>
        <w:rPr>
          <w:color w:val="auto"/>
        </w:rPr>
      </w:pPr>
    </w:p>
    <w:p>
      <w:pPr>
        <w:jc w:val="center"/>
        <w:rPr>
          <w:rFonts w:eastAsia="仿宋"/>
          <w:color w:val="auto"/>
          <w:sz w:val="52"/>
          <w:szCs w:val="52"/>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p>
      <w:pPr>
        <w:adjustRightInd w:val="0"/>
        <w:snapToGrid w:val="0"/>
        <w:spacing w:line="288" w:lineRule="auto"/>
        <w:ind w:left="0" w:leftChars="0" w:firstLine="838" w:firstLineChars="233"/>
        <w:rPr>
          <w:rFonts w:hint="eastAsia" w:ascii="仿宋" w:hAnsi="仿宋" w:eastAsia="仿宋" w:cs="仿宋"/>
          <w:color w:val="auto"/>
          <w:sz w:val="36"/>
          <w:szCs w:val="36"/>
        </w:rPr>
      </w:pPr>
    </w:p>
    <w:p>
      <w:pPr>
        <w:adjustRightInd w:val="0"/>
        <w:snapToGrid w:val="0"/>
        <w:spacing w:line="288" w:lineRule="auto"/>
        <w:ind w:left="0" w:leftChars="0" w:firstLine="838" w:firstLineChars="233"/>
        <w:rPr>
          <w:rFonts w:hint="eastAsia" w:ascii="仿宋" w:hAnsi="仿宋" w:eastAsia="仿宋" w:cs="仿宋"/>
          <w:color w:val="auto"/>
          <w:sz w:val="36"/>
          <w:szCs w:val="36"/>
        </w:rPr>
      </w:pPr>
    </w:p>
    <w:p>
      <w:pPr>
        <w:adjustRightInd w:val="0"/>
        <w:snapToGrid w:val="0"/>
        <w:spacing w:line="288" w:lineRule="auto"/>
        <w:ind w:left="0" w:leftChars="0" w:firstLine="838" w:firstLineChars="233"/>
        <w:rPr>
          <w:rFonts w:ascii="仿宋" w:hAnsi="仿宋" w:eastAsia="仿宋" w:cs="仿宋"/>
          <w:color w:val="auto"/>
          <w:sz w:val="36"/>
          <w:szCs w:val="36"/>
          <w:u w:val="single"/>
        </w:rPr>
      </w:pPr>
      <w:r>
        <w:rPr>
          <w:rFonts w:hint="eastAsia" w:ascii="仿宋" w:hAnsi="仿宋" w:eastAsia="仿宋" w:cs="仿宋"/>
          <w:color w:val="auto"/>
          <w:sz w:val="36"/>
          <w:szCs w:val="36"/>
        </w:rPr>
        <w:t>项目名称：</w:t>
      </w:r>
      <w:r>
        <w:rPr>
          <w:rFonts w:hint="eastAsia" w:ascii="仿宋" w:hAnsi="仿宋" w:eastAsia="仿宋" w:cs="仿宋"/>
          <w:color w:val="auto"/>
          <w:sz w:val="36"/>
          <w:szCs w:val="36"/>
          <w:u w:val="single"/>
        </w:rPr>
        <w:t xml:space="preserve">  乐昌市莞益电子科技项目</w:t>
      </w:r>
      <w:r>
        <w:rPr>
          <w:rFonts w:hint="eastAsia" w:ascii="仿宋" w:hAnsi="仿宋" w:eastAsia="仿宋" w:cs="仿宋"/>
          <w:color w:val="auto"/>
          <w:sz w:val="36"/>
          <w:szCs w:val="36"/>
          <w:u w:val="single"/>
          <w:lang w:val="en-US" w:eastAsia="zh-CN"/>
        </w:rPr>
        <w:t xml:space="preserve">   </w:t>
      </w:r>
      <w:r>
        <w:rPr>
          <w:rFonts w:hint="eastAsia" w:ascii="仿宋" w:hAnsi="仿宋" w:eastAsia="仿宋" w:cs="仿宋"/>
          <w:color w:val="auto"/>
          <w:sz w:val="36"/>
          <w:szCs w:val="36"/>
          <w:u w:val="single"/>
        </w:rPr>
        <w:t xml:space="preserve">  </w:t>
      </w:r>
    </w:p>
    <w:p>
      <w:pPr>
        <w:adjustRightInd w:val="0"/>
        <w:snapToGrid w:val="0"/>
        <w:spacing w:line="288" w:lineRule="auto"/>
        <w:ind w:left="0" w:leftChars="0" w:firstLine="838" w:firstLineChars="233"/>
        <w:rPr>
          <w:rFonts w:ascii="仿宋" w:hAnsi="仿宋" w:eastAsia="仿宋" w:cs="仿宋"/>
          <w:color w:val="auto"/>
          <w:sz w:val="36"/>
          <w:szCs w:val="36"/>
          <w:u w:val="single"/>
        </w:rPr>
      </w:pPr>
      <w:r>
        <w:rPr>
          <w:rFonts w:hint="eastAsia" w:ascii="仿宋" w:hAnsi="仿宋" w:eastAsia="仿宋" w:cs="仿宋"/>
          <w:color w:val="auto"/>
          <w:sz w:val="36"/>
          <w:szCs w:val="36"/>
        </w:rPr>
        <w:t>建设单位（盖章）：</w:t>
      </w:r>
      <w:r>
        <w:rPr>
          <w:rFonts w:hint="eastAsia" w:ascii="仿宋" w:hAnsi="仿宋" w:eastAsia="仿宋" w:cs="仿宋"/>
          <w:color w:val="auto"/>
          <w:sz w:val="36"/>
          <w:szCs w:val="36"/>
          <w:u w:val="single"/>
        </w:rPr>
        <w:t xml:space="preserve">广东冠益灯饰有限公司 </w:t>
      </w:r>
    </w:p>
    <w:p>
      <w:pPr>
        <w:adjustRightInd w:val="0"/>
        <w:snapToGrid w:val="0"/>
        <w:spacing w:line="288" w:lineRule="auto"/>
        <w:ind w:left="0" w:leftChars="0" w:firstLine="838" w:firstLineChars="233"/>
        <w:rPr>
          <w:rFonts w:eastAsia="仿宋_GB2312"/>
          <w:color w:val="auto"/>
          <w:sz w:val="36"/>
          <w:szCs w:val="36"/>
          <w:u w:val="single"/>
        </w:rPr>
      </w:pPr>
      <w:r>
        <w:rPr>
          <w:rFonts w:hint="eastAsia" w:ascii="仿宋" w:hAnsi="仿宋" w:eastAsia="仿宋" w:cs="仿宋"/>
          <w:color w:val="auto"/>
          <w:sz w:val="36"/>
          <w:szCs w:val="36"/>
        </w:rPr>
        <w:t>编制日期：</w:t>
      </w:r>
      <w:r>
        <w:rPr>
          <w:rFonts w:hint="eastAsia" w:ascii="仿宋" w:hAnsi="仿宋" w:eastAsia="仿宋" w:cs="仿宋"/>
          <w:color w:val="auto"/>
          <w:sz w:val="36"/>
          <w:szCs w:val="36"/>
          <w:u w:val="single"/>
        </w:rPr>
        <w:t xml:space="preserve">     2022年1</w:t>
      </w:r>
      <w:r>
        <w:rPr>
          <w:rFonts w:hint="eastAsia" w:ascii="仿宋" w:hAnsi="仿宋" w:eastAsia="仿宋" w:cs="仿宋"/>
          <w:color w:val="auto"/>
          <w:sz w:val="36"/>
          <w:szCs w:val="36"/>
          <w:u w:val="single"/>
          <w:lang w:val="en-US" w:eastAsia="zh-CN"/>
        </w:rPr>
        <w:t>1</w:t>
      </w:r>
      <w:r>
        <w:rPr>
          <w:rFonts w:hint="eastAsia" w:ascii="仿宋" w:hAnsi="仿宋" w:eastAsia="仿宋" w:cs="仿宋"/>
          <w:color w:val="auto"/>
          <w:sz w:val="36"/>
          <w:szCs w:val="36"/>
          <w:u w:val="single"/>
        </w:rPr>
        <w:t xml:space="preserve">月      </w:t>
      </w:r>
      <w:r>
        <w:rPr>
          <w:rFonts w:hint="eastAsia" w:ascii="仿宋" w:hAnsi="仿宋" w:eastAsia="仿宋" w:cs="仿宋"/>
          <w:color w:val="auto"/>
          <w:sz w:val="36"/>
          <w:szCs w:val="36"/>
          <w:u w:val="single"/>
          <w:lang w:val="en-US" w:eastAsia="zh-CN"/>
        </w:rPr>
        <w:t xml:space="preserve"> </w:t>
      </w:r>
      <w:r>
        <w:rPr>
          <w:rFonts w:hint="eastAsia" w:ascii="仿宋" w:hAnsi="仿宋" w:eastAsia="仿宋" w:cs="仿宋"/>
          <w:color w:val="auto"/>
          <w:sz w:val="36"/>
          <w:szCs w:val="36"/>
          <w:u w:val="single"/>
        </w:rPr>
        <w:t xml:space="preserve">      </w:t>
      </w:r>
    </w:p>
    <w:p>
      <w:pPr>
        <w:adjustRightInd w:val="0"/>
        <w:snapToGrid w:val="0"/>
        <w:spacing w:line="288" w:lineRule="auto"/>
        <w:ind w:firstLine="1040"/>
        <w:rPr>
          <w:rFonts w:eastAsia="仿宋_GB2312"/>
          <w:color w:val="auto"/>
          <w:sz w:val="36"/>
          <w:szCs w:val="36"/>
          <w:u w:val="single"/>
        </w:rPr>
      </w:pPr>
      <w:bookmarkStart w:id="3" w:name="_Hlk57884087"/>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bookmarkEnd w:id="3"/>
    <w:p>
      <w:pPr>
        <w:adjustRightInd w:val="0"/>
        <w:snapToGrid w:val="0"/>
        <w:spacing w:line="288" w:lineRule="auto"/>
        <w:jc w:val="center"/>
        <w:rPr>
          <w:rFonts w:eastAsia="楷体_GB2312"/>
          <w:color w:val="auto"/>
          <w:sz w:val="36"/>
          <w:szCs w:val="36"/>
        </w:rPr>
      </w:pPr>
    </w:p>
    <w:p>
      <w:pPr>
        <w:adjustRightInd w:val="0"/>
        <w:snapToGrid w:val="0"/>
        <w:spacing w:line="288" w:lineRule="auto"/>
        <w:jc w:val="center"/>
        <w:rPr>
          <w:rFonts w:eastAsia="楷体_GB2312"/>
          <w:color w:val="auto"/>
          <w:sz w:val="36"/>
          <w:szCs w:val="36"/>
        </w:rPr>
      </w:pPr>
    </w:p>
    <w:p>
      <w:pPr>
        <w:adjustRightInd w:val="0"/>
        <w:snapToGrid w:val="0"/>
        <w:spacing w:line="288" w:lineRule="auto"/>
        <w:jc w:val="center"/>
        <w:rPr>
          <w:rFonts w:eastAsia="楷体_GB2312"/>
          <w:color w:val="auto"/>
          <w:sz w:val="36"/>
          <w:szCs w:val="36"/>
        </w:rPr>
      </w:pPr>
    </w:p>
    <w:p>
      <w:pPr>
        <w:adjustRightInd w:val="0"/>
        <w:snapToGrid w:val="0"/>
        <w:spacing w:line="288" w:lineRule="auto"/>
        <w:jc w:val="center"/>
        <w:rPr>
          <w:rFonts w:eastAsia="楷体_GB2312"/>
          <w:color w:val="auto"/>
          <w:sz w:val="36"/>
          <w:szCs w:val="36"/>
        </w:rPr>
      </w:pPr>
      <w:r>
        <w:rPr>
          <w:rFonts w:eastAsia="楷体_GB2312"/>
          <w:color w:val="auto"/>
          <w:sz w:val="36"/>
          <w:szCs w:val="36"/>
        </w:rPr>
        <w:t>中华人民共和国生态环境部制</w:t>
      </w: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r>
        <w:rPr>
          <w:rFonts w:hint="eastAsia" w:eastAsia="宋体"/>
          <w:color w:val="auto"/>
          <w:sz w:val="24"/>
          <w:lang w:eastAsia="zh-CN"/>
        </w:rPr>
        <w:drawing>
          <wp:anchor distT="0" distB="0" distL="114300" distR="114300" simplePos="0" relativeHeight="251674624" behindDoc="0" locked="0" layoutInCell="1" allowOverlap="1">
            <wp:simplePos x="0" y="0"/>
            <wp:positionH relativeFrom="column">
              <wp:posOffset>2350135</wp:posOffset>
            </wp:positionH>
            <wp:positionV relativeFrom="paragraph">
              <wp:posOffset>2916555</wp:posOffset>
            </wp:positionV>
            <wp:extent cx="1409065" cy="1015365"/>
            <wp:effectExtent l="0" t="0" r="635" b="13335"/>
            <wp:wrapNone/>
            <wp:docPr id="41" name="图片 41" descr="新建位图图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新建位图图像"/>
                    <pic:cNvPicPr>
                      <a:picLocks noChangeAspect="1"/>
                    </pic:cNvPicPr>
                  </pic:nvPicPr>
                  <pic:blipFill>
                    <a:blip r:embed="rId10"/>
                    <a:stretch>
                      <a:fillRect/>
                    </a:stretch>
                  </pic:blipFill>
                  <pic:spPr>
                    <a:xfrm>
                      <a:off x="0" y="0"/>
                      <a:ext cx="1409065" cy="1015365"/>
                    </a:xfrm>
                    <a:prstGeom prst="rect">
                      <a:avLst/>
                    </a:prstGeom>
                  </pic:spPr>
                </pic:pic>
              </a:graphicData>
            </a:graphic>
          </wp:anchor>
        </w:drawing>
      </w:r>
      <w:r>
        <w:rPr>
          <w:rFonts w:hint="eastAsia" w:eastAsia="仿宋_GB2312"/>
          <w:color w:val="auto"/>
          <w:sz w:val="36"/>
          <w:szCs w:val="36"/>
          <w:lang w:eastAsia="zh-CN"/>
        </w:rPr>
        <w:drawing>
          <wp:inline distT="0" distB="0" distL="114300" distR="114300">
            <wp:extent cx="5608320" cy="2876550"/>
            <wp:effectExtent l="0" t="0" r="11430" b="0"/>
            <wp:docPr id="40" name="图片 40" descr="新建位图图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新建位图图像"/>
                    <pic:cNvPicPr>
                      <a:picLocks noChangeAspect="1"/>
                    </pic:cNvPicPr>
                  </pic:nvPicPr>
                  <pic:blipFill>
                    <a:blip r:embed="rId10"/>
                    <a:stretch>
                      <a:fillRect/>
                    </a:stretch>
                  </pic:blipFill>
                  <pic:spPr>
                    <a:xfrm>
                      <a:off x="0" y="0"/>
                      <a:ext cx="5608320" cy="2876550"/>
                    </a:xfrm>
                    <a:prstGeom prst="rect">
                      <a:avLst/>
                    </a:prstGeom>
                  </pic:spPr>
                </pic:pic>
              </a:graphicData>
            </a:graphic>
          </wp:inline>
        </w:drawing>
      </w:r>
      <w:bookmarkStart w:id="99" w:name="_GoBack"/>
      <w:r>
        <w:rPr>
          <w:rFonts w:hint="eastAsia" w:eastAsia="仿宋_GB2312"/>
          <w:color w:val="auto"/>
          <w:sz w:val="36"/>
          <w:szCs w:val="36"/>
          <w:lang w:eastAsia="zh-CN"/>
        </w:rPr>
        <w:drawing>
          <wp:anchor distT="0" distB="0" distL="114300" distR="114300" simplePos="0" relativeHeight="251659264" behindDoc="0" locked="0" layoutInCell="1" allowOverlap="1">
            <wp:simplePos x="0" y="0"/>
            <wp:positionH relativeFrom="column">
              <wp:posOffset>-923925</wp:posOffset>
            </wp:positionH>
            <wp:positionV relativeFrom="paragraph">
              <wp:posOffset>-1000760</wp:posOffset>
            </wp:positionV>
            <wp:extent cx="7300595" cy="10055225"/>
            <wp:effectExtent l="0" t="0" r="14605" b="3175"/>
            <wp:wrapNone/>
            <wp:docPr id="39" name="图片 39" descr="第1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第1页-1"/>
                    <pic:cNvPicPr>
                      <a:picLocks noChangeAspect="1"/>
                    </pic:cNvPicPr>
                  </pic:nvPicPr>
                  <pic:blipFill>
                    <a:blip r:embed="rId11"/>
                    <a:stretch>
                      <a:fillRect/>
                    </a:stretch>
                  </pic:blipFill>
                  <pic:spPr>
                    <a:xfrm>
                      <a:off x="0" y="0"/>
                      <a:ext cx="7300595" cy="10055225"/>
                    </a:xfrm>
                    <a:prstGeom prst="rect">
                      <a:avLst/>
                    </a:prstGeom>
                  </pic:spPr>
                </pic:pic>
              </a:graphicData>
            </a:graphic>
          </wp:anchor>
        </w:drawing>
      </w:r>
      <w:bookmarkEnd w:id="99"/>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hint="eastAsia" w:eastAsia="仿宋_GB2312"/>
          <w:color w:val="auto"/>
          <w:sz w:val="36"/>
          <w:szCs w:val="36"/>
          <w:lang w:eastAsia="zh-CN"/>
        </w:rPr>
        <w:sectPr>
          <w:footerReference r:id="rId3" w:type="default"/>
          <w:footerReference r:id="rId4" w:type="even"/>
          <w:pgSz w:w="11906" w:h="16838"/>
          <w:pgMar w:top="1701" w:right="1531" w:bottom="1701" w:left="1531" w:header="851" w:footer="1077" w:gutter="0"/>
          <w:pgNumType w:fmt="decimal" w:start="1"/>
          <w:cols w:space="720" w:num="1"/>
          <w:titlePg/>
          <w:docGrid w:linePitch="312" w:charSpace="0"/>
        </w:sectPr>
      </w:pPr>
      <w:r>
        <w:rPr>
          <w:rFonts w:hint="eastAsia" w:eastAsia="宋体"/>
          <w:color w:val="auto"/>
          <w:sz w:val="24"/>
          <w:lang w:eastAsia="zh-CN"/>
        </w:rPr>
        <w:drawing>
          <wp:anchor distT="0" distB="0" distL="114300" distR="114300" simplePos="0" relativeHeight="251676672" behindDoc="0" locked="0" layoutInCell="1" allowOverlap="1">
            <wp:simplePos x="0" y="0"/>
            <wp:positionH relativeFrom="column">
              <wp:posOffset>4452620</wp:posOffset>
            </wp:positionH>
            <wp:positionV relativeFrom="paragraph">
              <wp:posOffset>3798570</wp:posOffset>
            </wp:positionV>
            <wp:extent cx="1099820" cy="309880"/>
            <wp:effectExtent l="0" t="0" r="5080" b="13970"/>
            <wp:wrapNone/>
            <wp:docPr id="43" name="图片 43" descr="新建位图图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新建位图图像"/>
                    <pic:cNvPicPr>
                      <a:picLocks noChangeAspect="1"/>
                    </pic:cNvPicPr>
                  </pic:nvPicPr>
                  <pic:blipFill>
                    <a:blip r:embed="rId10"/>
                    <a:stretch>
                      <a:fillRect/>
                    </a:stretch>
                  </pic:blipFill>
                  <pic:spPr>
                    <a:xfrm>
                      <a:off x="0" y="0"/>
                      <a:ext cx="1099820" cy="309880"/>
                    </a:xfrm>
                    <a:prstGeom prst="rect">
                      <a:avLst/>
                    </a:prstGeom>
                  </pic:spPr>
                </pic:pic>
              </a:graphicData>
            </a:graphic>
          </wp:anchor>
        </w:drawing>
      </w:r>
      <w:r>
        <w:rPr>
          <w:rFonts w:hint="eastAsia" w:eastAsia="宋体"/>
          <w:color w:val="auto"/>
          <w:sz w:val="24"/>
          <w:lang w:eastAsia="zh-CN"/>
        </w:rPr>
        <w:drawing>
          <wp:anchor distT="0" distB="0" distL="114300" distR="114300" simplePos="0" relativeHeight="251675648" behindDoc="0" locked="0" layoutInCell="1" allowOverlap="1">
            <wp:simplePos x="0" y="0"/>
            <wp:positionH relativeFrom="column">
              <wp:posOffset>4359910</wp:posOffset>
            </wp:positionH>
            <wp:positionV relativeFrom="paragraph">
              <wp:posOffset>2765425</wp:posOffset>
            </wp:positionV>
            <wp:extent cx="1099820" cy="309880"/>
            <wp:effectExtent l="0" t="0" r="5080" b="13970"/>
            <wp:wrapNone/>
            <wp:docPr id="42" name="图片 42" descr="新建位图图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新建位图图像"/>
                    <pic:cNvPicPr>
                      <a:picLocks noChangeAspect="1"/>
                    </pic:cNvPicPr>
                  </pic:nvPicPr>
                  <pic:blipFill>
                    <a:blip r:embed="rId10"/>
                    <a:stretch>
                      <a:fillRect/>
                    </a:stretch>
                  </pic:blipFill>
                  <pic:spPr>
                    <a:xfrm>
                      <a:off x="0" y="0"/>
                      <a:ext cx="1099820" cy="309880"/>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b/>
          <w:bCs/>
          <w:color w:val="auto"/>
          <w:sz w:val="44"/>
          <w:szCs w:val="44"/>
        </w:rPr>
      </w:pPr>
      <w:r>
        <w:rPr>
          <w:rFonts w:hint="eastAsia" w:ascii="黑体" w:hAnsi="黑体" w:eastAsia="黑体" w:cs="黑体"/>
          <w:color w:val="auto"/>
          <w:sz w:val="36"/>
          <w:szCs w:val="36"/>
        </w:rPr>
        <w:t>目</w:t>
      </w:r>
      <w:r>
        <w:rPr>
          <w:rFonts w:hint="eastAsia" w:ascii="黑体" w:hAnsi="黑体" w:eastAsia="黑体" w:cs="黑体"/>
          <w:color w:val="auto"/>
          <w:sz w:val="36"/>
          <w:szCs w:val="36"/>
          <w:lang w:val="en-US" w:eastAsia="zh-CN"/>
        </w:rPr>
        <w:t xml:space="preserve">  </w:t>
      </w:r>
      <w:r>
        <w:rPr>
          <w:rFonts w:hint="eastAsia" w:ascii="黑体" w:hAnsi="黑体" w:eastAsia="黑体" w:cs="黑体"/>
          <w:color w:val="auto"/>
          <w:sz w:val="36"/>
          <w:szCs w:val="36"/>
        </w:rPr>
        <w:t>录</w:t>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TOC \o "1-1" \h \u </w:instrText>
      </w:r>
      <w:r>
        <w:rPr>
          <w:color w:val="auto"/>
          <w:sz w:val="24"/>
          <w:szCs w:val="24"/>
        </w:rPr>
        <w:fldChar w:fldCharType="separate"/>
      </w:r>
      <w:r>
        <w:rPr>
          <w:color w:val="auto"/>
          <w:sz w:val="24"/>
          <w:szCs w:val="24"/>
        </w:rPr>
        <w:fldChar w:fldCharType="begin"/>
      </w:r>
      <w:r>
        <w:rPr>
          <w:color w:val="auto"/>
          <w:sz w:val="24"/>
          <w:szCs w:val="24"/>
        </w:rPr>
        <w:instrText xml:space="preserve"> HYPERLINK \l _Toc16 </w:instrText>
      </w:r>
      <w:r>
        <w:rPr>
          <w:color w:val="auto"/>
          <w:sz w:val="24"/>
          <w:szCs w:val="24"/>
        </w:rPr>
        <w:fldChar w:fldCharType="separate"/>
      </w:r>
      <w:r>
        <w:rPr>
          <w:rFonts w:ascii="Times New Roman" w:hAnsi="Times New Roman" w:eastAsia="黑体"/>
          <w:snapToGrid w:val="0"/>
          <w:color w:val="auto"/>
          <w:sz w:val="24"/>
          <w:szCs w:val="24"/>
        </w:rPr>
        <w:t>一、建设项目基本情况</w:t>
      </w:r>
      <w:r>
        <w:rPr>
          <w:color w:val="auto"/>
          <w:sz w:val="24"/>
          <w:szCs w:val="24"/>
        </w:rPr>
        <w:tab/>
      </w:r>
      <w:r>
        <w:rPr>
          <w:color w:val="auto"/>
          <w:sz w:val="24"/>
          <w:szCs w:val="24"/>
        </w:rPr>
        <w:fldChar w:fldCharType="begin"/>
      </w:r>
      <w:r>
        <w:rPr>
          <w:color w:val="auto"/>
          <w:sz w:val="24"/>
          <w:szCs w:val="24"/>
        </w:rPr>
        <w:instrText xml:space="preserve"> PAGEREF _Toc16 \h </w:instrText>
      </w:r>
      <w:r>
        <w:rPr>
          <w:color w:val="auto"/>
          <w:sz w:val="24"/>
          <w:szCs w:val="24"/>
        </w:rPr>
        <w:fldChar w:fldCharType="separate"/>
      </w:r>
      <w:r>
        <w:rPr>
          <w:color w:val="auto"/>
          <w:sz w:val="24"/>
          <w:szCs w:val="24"/>
        </w:rPr>
        <w:t>1</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_Toc6739 </w:instrText>
      </w:r>
      <w:r>
        <w:rPr>
          <w:color w:val="auto"/>
          <w:sz w:val="24"/>
          <w:szCs w:val="24"/>
        </w:rPr>
        <w:fldChar w:fldCharType="separate"/>
      </w:r>
      <w:r>
        <w:rPr>
          <w:rFonts w:ascii="Times New Roman" w:hAnsi="Times New Roman" w:eastAsia="黑体"/>
          <w:snapToGrid w:val="0"/>
          <w:color w:val="auto"/>
          <w:sz w:val="24"/>
          <w:szCs w:val="24"/>
        </w:rPr>
        <w:t>二、建设项目工程分析</w:t>
      </w:r>
      <w:r>
        <w:rPr>
          <w:color w:val="auto"/>
          <w:sz w:val="24"/>
          <w:szCs w:val="24"/>
        </w:rPr>
        <w:tab/>
      </w:r>
      <w:r>
        <w:rPr>
          <w:color w:val="auto"/>
          <w:sz w:val="24"/>
          <w:szCs w:val="24"/>
        </w:rPr>
        <w:fldChar w:fldCharType="begin"/>
      </w:r>
      <w:r>
        <w:rPr>
          <w:color w:val="auto"/>
          <w:sz w:val="24"/>
          <w:szCs w:val="24"/>
        </w:rPr>
        <w:instrText xml:space="preserve"> PAGEREF _Toc6739 \h </w:instrText>
      </w:r>
      <w:r>
        <w:rPr>
          <w:color w:val="auto"/>
          <w:sz w:val="24"/>
          <w:szCs w:val="24"/>
        </w:rPr>
        <w:fldChar w:fldCharType="separate"/>
      </w:r>
      <w:r>
        <w:rPr>
          <w:color w:val="auto"/>
          <w:sz w:val="24"/>
          <w:szCs w:val="24"/>
        </w:rPr>
        <w:t>14</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_Toc29510 </w:instrText>
      </w:r>
      <w:r>
        <w:rPr>
          <w:color w:val="auto"/>
          <w:sz w:val="24"/>
          <w:szCs w:val="24"/>
        </w:rPr>
        <w:fldChar w:fldCharType="separate"/>
      </w:r>
      <w:r>
        <w:rPr>
          <w:rFonts w:ascii="Times New Roman" w:hAnsi="Times New Roman" w:eastAsia="黑体"/>
          <w:snapToGrid w:val="0"/>
          <w:color w:val="auto"/>
          <w:sz w:val="24"/>
          <w:szCs w:val="24"/>
        </w:rPr>
        <w:t>三、区域环境质量现状、环境保护目标及评价标准</w:t>
      </w:r>
      <w:r>
        <w:rPr>
          <w:color w:val="auto"/>
          <w:sz w:val="24"/>
          <w:szCs w:val="24"/>
        </w:rPr>
        <w:tab/>
      </w:r>
      <w:r>
        <w:rPr>
          <w:color w:val="auto"/>
          <w:sz w:val="24"/>
          <w:szCs w:val="24"/>
        </w:rPr>
        <w:fldChar w:fldCharType="begin"/>
      </w:r>
      <w:r>
        <w:rPr>
          <w:color w:val="auto"/>
          <w:sz w:val="24"/>
          <w:szCs w:val="24"/>
        </w:rPr>
        <w:instrText xml:space="preserve"> PAGEREF _Toc29510 \h </w:instrText>
      </w:r>
      <w:r>
        <w:rPr>
          <w:color w:val="auto"/>
          <w:sz w:val="24"/>
          <w:szCs w:val="24"/>
        </w:rPr>
        <w:fldChar w:fldCharType="separate"/>
      </w:r>
      <w:r>
        <w:rPr>
          <w:color w:val="auto"/>
          <w:sz w:val="24"/>
          <w:szCs w:val="24"/>
        </w:rPr>
        <w:t>29</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_Toc31453 </w:instrText>
      </w:r>
      <w:r>
        <w:rPr>
          <w:color w:val="auto"/>
          <w:sz w:val="24"/>
          <w:szCs w:val="24"/>
        </w:rPr>
        <w:fldChar w:fldCharType="separate"/>
      </w:r>
      <w:r>
        <w:rPr>
          <w:rFonts w:ascii="Times New Roman" w:hAnsi="Times New Roman" w:eastAsia="黑体"/>
          <w:snapToGrid w:val="0"/>
          <w:color w:val="auto"/>
          <w:sz w:val="24"/>
          <w:szCs w:val="24"/>
        </w:rPr>
        <w:t>四、主要环境影响和保护措施</w:t>
      </w:r>
      <w:r>
        <w:rPr>
          <w:color w:val="auto"/>
          <w:sz w:val="24"/>
          <w:szCs w:val="24"/>
        </w:rPr>
        <w:tab/>
      </w:r>
      <w:r>
        <w:rPr>
          <w:color w:val="auto"/>
          <w:sz w:val="24"/>
          <w:szCs w:val="24"/>
        </w:rPr>
        <w:fldChar w:fldCharType="begin"/>
      </w:r>
      <w:r>
        <w:rPr>
          <w:color w:val="auto"/>
          <w:sz w:val="24"/>
          <w:szCs w:val="24"/>
        </w:rPr>
        <w:instrText xml:space="preserve"> PAGEREF _Toc31453 \h </w:instrText>
      </w:r>
      <w:r>
        <w:rPr>
          <w:color w:val="auto"/>
          <w:sz w:val="24"/>
          <w:szCs w:val="24"/>
        </w:rPr>
        <w:fldChar w:fldCharType="separate"/>
      </w:r>
      <w:r>
        <w:rPr>
          <w:color w:val="auto"/>
          <w:sz w:val="24"/>
          <w:szCs w:val="24"/>
        </w:rPr>
        <w:t>37</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_Toc29339 </w:instrText>
      </w:r>
      <w:r>
        <w:rPr>
          <w:color w:val="auto"/>
          <w:sz w:val="24"/>
          <w:szCs w:val="24"/>
        </w:rPr>
        <w:fldChar w:fldCharType="separate"/>
      </w:r>
      <w:r>
        <w:rPr>
          <w:rFonts w:ascii="Times New Roman" w:hAnsi="Times New Roman" w:eastAsia="黑体"/>
          <w:snapToGrid w:val="0"/>
          <w:color w:val="auto"/>
          <w:sz w:val="24"/>
          <w:szCs w:val="24"/>
        </w:rPr>
        <w:t>五、环境保护措施监督检查清单</w:t>
      </w:r>
      <w:r>
        <w:rPr>
          <w:color w:val="auto"/>
          <w:sz w:val="24"/>
          <w:szCs w:val="24"/>
        </w:rPr>
        <w:tab/>
      </w:r>
      <w:r>
        <w:rPr>
          <w:color w:val="auto"/>
          <w:sz w:val="24"/>
          <w:szCs w:val="24"/>
        </w:rPr>
        <w:fldChar w:fldCharType="begin"/>
      </w:r>
      <w:r>
        <w:rPr>
          <w:color w:val="auto"/>
          <w:sz w:val="24"/>
          <w:szCs w:val="24"/>
        </w:rPr>
        <w:instrText xml:space="preserve"> PAGEREF _Toc29339 \h </w:instrText>
      </w:r>
      <w:r>
        <w:rPr>
          <w:color w:val="auto"/>
          <w:sz w:val="24"/>
          <w:szCs w:val="24"/>
        </w:rPr>
        <w:fldChar w:fldCharType="separate"/>
      </w:r>
      <w:r>
        <w:rPr>
          <w:color w:val="auto"/>
          <w:sz w:val="24"/>
          <w:szCs w:val="24"/>
        </w:rPr>
        <w:t>62</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_Toc3183 </w:instrText>
      </w:r>
      <w:r>
        <w:rPr>
          <w:color w:val="auto"/>
          <w:sz w:val="24"/>
          <w:szCs w:val="24"/>
        </w:rPr>
        <w:fldChar w:fldCharType="separate"/>
      </w:r>
      <w:r>
        <w:rPr>
          <w:rFonts w:ascii="Times New Roman" w:hAnsi="Times New Roman" w:eastAsia="黑体"/>
          <w:snapToGrid w:val="0"/>
          <w:color w:val="auto"/>
          <w:sz w:val="24"/>
          <w:szCs w:val="24"/>
        </w:rPr>
        <w:t>六、结论</w:t>
      </w:r>
      <w:r>
        <w:rPr>
          <w:color w:val="auto"/>
          <w:sz w:val="24"/>
          <w:szCs w:val="24"/>
        </w:rPr>
        <w:tab/>
      </w:r>
      <w:r>
        <w:rPr>
          <w:color w:val="auto"/>
          <w:sz w:val="24"/>
          <w:szCs w:val="24"/>
        </w:rPr>
        <w:fldChar w:fldCharType="begin"/>
      </w:r>
      <w:r>
        <w:rPr>
          <w:color w:val="auto"/>
          <w:sz w:val="24"/>
          <w:szCs w:val="24"/>
        </w:rPr>
        <w:instrText xml:space="preserve"> PAGEREF _Toc3183 \h </w:instrText>
      </w:r>
      <w:r>
        <w:rPr>
          <w:color w:val="auto"/>
          <w:sz w:val="24"/>
          <w:szCs w:val="24"/>
        </w:rPr>
        <w:fldChar w:fldCharType="separate"/>
      </w:r>
      <w:r>
        <w:rPr>
          <w:color w:val="auto"/>
          <w:sz w:val="24"/>
          <w:szCs w:val="24"/>
        </w:rPr>
        <w:t>64</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_Toc10936 </w:instrText>
      </w:r>
      <w:r>
        <w:rPr>
          <w:color w:val="auto"/>
          <w:sz w:val="24"/>
          <w:szCs w:val="24"/>
        </w:rPr>
        <w:fldChar w:fldCharType="separate"/>
      </w:r>
      <w:r>
        <w:rPr>
          <w:rFonts w:ascii="Times New Roman" w:hAnsi="Times New Roman" w:eastAsia="方正小标宋_GBK"/>
          <w:snapToGrid w:val="0"/>
          <w:color w:val="auto"/>
          <w:sz w:val="24"/>
          <w:szCs w:val="24"/>
        </w:rPr>
        <w:t>建设项目污染物排放量汇总表</w:t>
      </w:r>
      <w:r>
        <w:rPr>
          <w:color w:val="auto"/>
          <w:sz w:val="24"/>
          <w:szCs w:val="24"/>
        </w:rPr>
        <w:tab/>
      </w:r>
      <w:r>
        <w:rPr>
          <w:color w:val="auto"/>
          <w:sz w:val="24"/>
          <w:szCs w:val="24"/>
        </w:rPr>
        <w:fldChar w:fldCharType="begin"/>
      </w:r>
      <w:r>
        <w:rPr>
          <w:color w:val="auto"/>
          <w:sz w:val="24"/>
          <w:szCs w:val="24"/>
        </w:rPr>
        <w:instrText xml:space="preserve"> PAGEREF _Toc10936 \h </w:instrText>
      </w:r>
      <w:r>
        <w:rPr>
          <w:color w:val="auto"/>
          <w:sz w:val="24"/>
          <w:szCs w:val="24"/>
        </w:rPr>
        <w:fldChar w:fldCharType="separate"/>
      </w:r>
      <w:r>
        <w:rPr>
          <w:color w:val="auto"/>
          <w:sz w:val="24"/>
          <w:szCs w:val="24"/>
        </w:rPr>
        <w:t>65</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_Toc32706 </w:instrText>
      </w:r>
      <w:r>
        <w:rPr>
          <w:color w:val="auto"/>
          <w:sz w:val="24"/>
          <w:szCs w:val="24"/>
        </w:rPr>
        <w:fldChar w:fldCharType="separate"/>
      </w:r>
      <w:r>
        <w:rPr>
          <w:rFonts w:ascii="Times New Roman" w:hAnsi="Times New Roman" w:eastAsiaTheme="minorEastAsia"/>
          <w:bCs/>
          <w:snapToGrid w:val="0"/>
          <w:color w:val="auto"/>
          <w:sz w:val="24"/>
          <w:szCs w:val="24"/>
        </w:rPr>
        <w:t xml:space="preserve">附图1 </w:t>
      </w:r>
      <w:r>
        <w:rPr>
          <w:rFonts w:hint="eastAsia"/>
          <w:bCs/>
          <w:color w:val="auto"/>
          <w:sz w:val="24"/>
          <w:szCs w:val="24"/>
        </w:rPr>
        <w:t>项目地理位置图</w:t>
      </w:r>
      <w:r>
        <w:rPr>
          <w:color w:val="auto"/>
          <w:sz w:val="24"/>
          <w:szCs w:val="24"/>
        </w:rPr>
        <w:tab/>
      </w:r>
      <w:r>
        <w:rPr>
          <w:color w:val="auto"/>
          <w:sz w:val="24"/>
          <w:szCs w:val="24"/>
        </w:rPr>
        <w:fldChar w:fldCharType="begin"/>
      </w:r>
      <w:r>
        <w:rPr>
          <w:color w:val="auto"/>
          <w:sz w:val="24"/>
          <w:szCs w:val="24"/>
        </w:rPr>
        <w:instrText xml:space="preserve"> PAGEREF _Toc32706 \h </w:instrText>
      </w:r>
      <w:r>
        <w:rPr>
          <w:color w:val="auto"/>
          <w:sz w:val="24"/>
          <w:szCs w:val="24"/>
        </w:rPr>
        <w:fldChar w:fldCharType="separate"/>
      </w:r>
      <w:r>
        <w:rPr>
          <w:color w:val="auto"/>
          <w:sz w:val="24"/>
          <w:szCs w:val="24"/>
        </w:rPr>
        <w:t>66</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_Toc22368 </w:instrText>
      </w:r>
      <w:r>
        <w:rPr>
          <w:color w:val="auto"/>
          <w:sz w:val="24"/>
          <w:szCs w:val="24"/>
        </w:rPr>
        <w:fldChar w:fldCharType="separate"/>
      </w:r>
      <w:r>
        <w:rPr>
          <w:rFonts w:hint="eastAsia" w:ascii="Times New Roman" w:hAnsi="Times New Roman" w:eastAsiaTheme="minorEastAsia"/>
          <w:bCs/>
          <w:snapToGrid w:val="0"/>
          <w:color w:val="auto"/>
          <w:sz w:val="24"/>
          <w:szCs w:val="24"/>
        </w:rPr>
        <w:t xml:space="preserve">附图2 </w:t>
      </w:r>
      <w:r>
        <w:rPr>
          <w:rFonts w:hint="eastAsia"/>
          <w:bCs/>
          <w:color w:val="auto"/>
          <w:sz w:val="24"/>
          <w:szCs w:val="24"/>
        </w:rPr>
        <w:t>平面布置图</w:t>
      </w:r>
      <w:r>
        <w:rPr>
          <w:color w:val="auto"/>
          <w:sz w:val="24"/>
          <w:szCs w:val="24"/>
        </w:rPr>
        <w:tab/>
      </w:r>
      <w:r>
        <w:rPr>
          <w:color w:val="auto"/>
          <w:sz w:val="24"/>
          <w:szCs w:val="24"/>
        </w:rPr>
        <w:fldChar w:fldCharType="begin"/>
      </w:r>
      <w:r>
        <w:rPr>
          <w:color w:val="auto"/>
          <w:sz w:val="24"/>
          <w:szCs w:val="24"/>
        </w:rPr>
        <w:instrText xml:space="preserve"> PAGEREF _Toc22368 \h </w:instrText>
      </w:r>
      <w:r>
        <w:rPr>
          <w:color w:val="auto"/>
          <w:sz w:val="24"/>
          <w:szCs w:val="24"/>
        </w:rPr>
        <w:fldChar w:fldCharType="separate"/>
      </w:r>
      <w:r>
        <w:rPr>
          <w:color w:val="auto"/>
          <w:sz w:val="24"/>
          <w:szCs w:val="24"/>
        </w:rPr>
        <w:t>67</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_Toc22787 </w:instrText>
      </w:r>
      <w:r>
        <w:rPr>
          <w:color w:val="auto"/>
          <w:sz w:val="24"/>
          <w:szCs w:val="24"/>
        </w:rPr>
        <w:fldChar w:fldCharType="separate"/>
      </w:r>
      <w:r>
        <w:rPr>
          <w:rFonts w:hint="eastAsia" w:ascii="Times New Roman" w:hAnsi="Times New Roman" w:eastAsiaTheme="minorEastAsia"/>
          <w:bCs/>
          <w:snapToGrid w:val="0"/>
          <w:color w:val="auto"/>
          <w:sz w:val="24"/>
          <w:szCs w:val="24"/>
        </w:rPr>
        <w:t>附图3 环境保护目标分布图</w:t>
      </w:r>
      <w:r>
        <w:rPr>
          <w:color w:val="auto"/>
          <w:sz w:val="24"/>
          <w:szCs w:val="24"/>
        </w:rPr>
        <w:tab/>
      </w:r>
      <w:r>
        <w:rPr>
          <w:color w:val="auto"/>
          <w:sz w:val="24"/>
          <w:szCs w:val="24"/>
        </w:rPr>
        <w:fldChar w:fldCharType="begin"/>
      </w:r>
      <w:r>
        <w:rPr>
          <w:color w:val="auto"/>
          <w:sz w:val="24"/>
          <w:szCs w:val="24"/>
        </w:rPr>
        <w:instrText xml:space="preserve"> PAGEREF _Toc22787 \h </w:instrText>
      </w:r>
      <w:r>
        <w:rPr>
          <w:color w:val="auto"/>
          <w:sz w:val="24"/>
          <w:szCs w:val="24"/>
        </w:rPr>
        <w:fldChar w:fldCharType="separate"/>
      </w:r>
      <w:r>
        <w:rPr>
          <w:color w:val="auto"/>
          <w:sz w:val="24"/>
          <w:szCs w:val="24"/>
        </w:rPr>
        <w:t>68</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_Toc21649 </w:instrText>
      </w:r>
      <w:r>
        <w:rPr>
          <w:color w:val="auto"/>
          <w:sz w:val="24"/>
          <w:szCs w:val="24"/>
        </w:rPr>
        <w:fldChar w:fldCharType="separate"/>
      </w:r>
      <w:r>
        <w:rPr>
          <w:rFonts w:hint="eastAsia" w:ascii="Times New Roman" w:hAnsi="Times New Roman" w:eastAsiaTheme="minorEastAsia"/>
          <w:bCs/>
          <w:snapToGrid w:val="0"/>
          <w:color w:val="auto"/>
          <w:sz w:val="24"/>
          <w:szCs w:val="24"/>
        </w:rPr>
        <w:t xml:space="preserve">附图4 </w:t>
      </w:r>
      <w:r>
        <w:rPr>
          <w:rFonts w:hint="eastAsia"/>
          <w:bCs/>
          <w:color w:val="auto"/>
          <w:sz w:val="24"/>
          <w:szCs w:val="24"/>
        </w:rPr>
        <w:t>本项目与乐昌产业园位置关系图</w:t>
      </w:r>
      <w:r>
        <w:rPr>
          <w:color w:val="auto"/>
          <w:sz w:val="24"/>
          <w:szCs w:val="24"/>
        </w:rPr>
        <w:tab/>
      </w:r>
      <w:r>
        <w:rPr>
          <w:color w:val="auto"/>
          <w:sz w:val="24"/>
          <w:szCs w:val="24"/>
        </w:rPr>
        <w:fldChar w:fldCharType="begin"/>
      </w:r>
      <w:r>
        <w:rPr>
          <w:color w:val="auto"/>
          <w:sz w:val="24"/>
          <w:szCs w:val="24"/>
        </w:rPr>
        <w:instrText xml:space="preserve"> PAGEREF _Toc21649 \h </w:instrText>
      </w:r>
      <w:r>
        <w:rPr>
          <w:color w:val="auto"/>
          <w:sz w:val="24"/>
          <w:szCs w:val="24"/>
        </w:rPr>
        <w:fldChar w:fldCharType="separate"/>
      </w:r>
      <w:r>
        <w:rPr>
          <w:color w:val="auto"/>
          <w:sz w:val="24"/>
          <w:szCs w:val="24"/>
        </w:rPr>
        <w:t>69</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_Toc21173 </w:instrText>
      </w:r>
      <w:r>
        <w:rPr>
          <w:color w:val="auto"/>
          <w:sz w:val="24"/>
          <w:szCs w:val="24"/>
        </w:rPr>
        <w:fldChar w:fldCharType="separate"/>
      </w:r>
      <w:r>
        <w:rPr>
          <w:rFonts w:hint="eastAsia" w:ascii="Times New Roman" w:hAnsi="Times New Roman" w:eastAsiaTheme="minorEastAsia"/>
          <w:bCs/>
          <w:snapToGrid w:val="0"/>
          <w:color w:val="auto"/>
          <w:sz w:val="24"/>
          <w:szCs w:val="24"/>
        </w:rPr>
        <w:t>附图5 项目与园区</w:t>
      </w:r>
      <w:r>
        <w:rPr>
          <w:rFonts w:hint="eastAsia"/>
          <w:bCs/>
          <w:color w:val="auto"/>
          <w:sz w:val="24"/>
          <w:szCs w:val="24"/>
        </w:rPr>
        <w:t>企业分布图位置关系</w:t>
      </w:r>
      <w:r>
        <w:rPr>
          <w:color w:val="auto"/>
          <w:sz w:val="24"/>
          <w:szCs w:val="24"/>
        </w:rPr>
        <w:tab/>
      </w:r>
      <w:r>
        <w:rPr>
          <w:color w:val="auto"/>
          <w:sz w:val="24"/>
          <w:szCs w:val="24"/>
        </w:rPr>
        <w:fldChar w:fldCharType="begin"/>
      </w:r>
      <w:r>
        <w:rPr>
          <w:color w:val="auto"/>
          <w:sz w:val="24"/>
          <w:szCs w:val="24"/>
        </w:rPr>
        <w:instrText xml:space="preserve"> PAGEREF _Toc21173 \h </w:instrText>
      </w:r>
      <w:r>
        <w:rPr>
          <w:color w:val="auto"/>
          <w:sz w:val="24"/>
          <w:szCs w:val="24"/>
        </w:rPr>
        <w:fldChar w:fldCharType="separate"/>
      </w:r>
      <w:r>
        <w:rPr>
          <w:color w:val="auto"/>
          <w:sz w:val="24"/>
          <w:szCs w:val="24"/>
        </w:rPr>
        <w:t>70</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_Toc28501 </w:instrText>
      </w:r>
      <w:r>
        <w:rPr>
          <w:color w:val="auto"/>
          <w:sz w:val="24"/>
          <w:szCs w:val="24"/>
        </w:rPr>
        <w:fldChar w:fldCharType="separate"/>
      </w:r>
      <w:r>
        <w:rPr>
          <w:rFonts w:hint="eastAsia" w:ascii="Times New Roman" w:hAnsi="Times New Roman" w:eastAsiaTheme="minorEastAsia"/>
          <w:bCs/>
          <w:snapToGrid w:val="0"/>
          <w:color w:val="auto"/>
          <w:sz w:val="24"/>
          <w:szCs w:val="24"/>
        </w:rPr>
        <w:t xml:space="preserve">附图6 </w:t>
      </w:r>
      <w:r>
        <w:rPr>
          <w:rFonts w:hint="eastAsia"/>
          <w:bCs/>
          <w:color w:val="auto"/>
          <w:sz w:val="24"/>
          <w:szCs w:val="24"/>
        </w:rPr>
        <w:t>本项目位置与广东省“三线一单”平台叠置图</w:t>
      </w:r>
      <w:r>
        <w:rPr>
          <w:color w:val="auto"/>
          <w:sz w:val="24"/>
          <w:szCs w:val="24"/>
        </w:rPr>
        <w:tab/>
      </w:r>
      <w:r>
        <w:rPr>
          <w:color w:val="auto"/>
          <w:sz w:val="24"/>
          <w:szCs w:val="24"/>
        </w:rPr>
        <w:fldChar w:fldCharType="begin"/>
      </w:r>
      <w:r>
        <w:rPr>
          <w:color w:val="auto"/>
          <w:sz w:val="24"/>
          <w:szCs w:val="24"/>
        </w:rPr>
        <w:instrText xml:space="preserve"> PAGEREF _Toc28501 \h </w:instrText>
      </w:r>
      <w:r>
        <w:rPr>
          <w:color w:val="auto"/>
          <w:sz w:val="24"/>
          <w:szCs w:val="24"/>
        </w:rPr>
        <w:fldChar w:fldCharType="separate"/>
      </w:r>
      <w:r>
        <w:rPr>
          <w:color w:val="auto"/>
          <w:sz w:val="24"/>
          <w:szCs w:val="24"/>
        </w:rPr>
        <w:t>71</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_Toc22524 </w:instrText>
      </w:r>
      <w:r>
        <w:rPr>
          <w:color w:val="auto"/>
          <w:sz w:val="24"/>
          <w:szCs w:val="24"/>
        </w:rPr>
        <w:fldChar w:fldCharType="separate"/>
      </w:r>
      <w:r>
        <w:rPr>
          <w:rFonts w:hint="eastAsia"/>
          <w:bCs/>
          <w:color w:val="auto"/>
          <w:sz w:val="24"/>
          <w:szCs w:val="24"/>
        </w:rPr>
        <w:t>附</w:t>
      </w:r>
      <w:r>
        <w:rPr>
          <w:bCs/>
          <w:color w:val="auto"/>
          <w:sz w:val="24"/>
          <w:szCs w:val="24"/>
        </w:rPr>
        <w:t>图</w:t>
      </w:r>
      <w:r>
        <w:rPr>
          <w:rFonts w:hint="eastAsia"/>
          <w:bCs/>
          <w:color w:val="auto"/>
          <w:sz w:val="24"/>
          <w:szCs w:val="24"/>
        </w:rPr>
        <w:t>7</w:t>
      </w:r>
      <w:r>
        <w:rPr>
          <w:bCs/>
          <w:color w:val="auto"/>
          <w:sz w:val="24"/>
          <w:szCs w:val="24"/>
        </w:rPr>
        <w:t xml:space="preserve"> </w:t>
      </w:r>
      <w:r>
        <w:rPr>
          <w:rFonts w:hint="eastAsia"/>
          <w:bCs/>
          <w:color w:val="auto"/>
          <w:sz w:val="24"/>
          <w:szCs w:val="24"/>
        </w:rPr>
        <w:t>环境质量</w:t>
      </w:r>
      <w:r>
        <w:rPr>
          <w:bCs/>
          <w:color w:val="auto"/>
          <w:sz w:val="24"/>
          <w:szCs w:val="24"/>
        </w:rPr>
        <w:t>现状</w:t>
      </w:r>
      <w:r>
        <w:rPr>
          <w:rFonts w:hint="eastAsia"/>
          <w:bCs/>
          <w:color w:val="auto"/>
          <w:sz w:val="24"/>
          <w:szCs w:val="24"/>
        </w:rPr>
        <w:t>补充</w:t>
      </w:r>
      <w:r>
        <w:rPr>
          <w:bCs/>
          <w:color w:val="auto"/>
          <w:sz w:val="24"/>
          <w:szCs w:val="24"/>
        </w:rPr>
        <w:t>监测布点图</w:t>
      </w:r>
      <w:r>
        <w:rPr>
          <w:rFonts w:hint="eastAsia"/>
          <w:bCs/>
          <w:color w:val="auto"/>
          <w:sz w:val="24"/>
          <w:szCs w:val="24"/>
        </w:rPr>
        <w:t>（环境空气</w:t>
      </w:r>
      <w:r>
        <w:rPr>
          <w:rFonts w:hint="eastAsia"/>
          <w:bCs/>
          <w:color w:val="auto"/>
          <w:sz w:val="24"/>
          <w:szCs w:val="24"/>
          <w:lang w:val="en-US" w:eastAsia="zh-CN"/>
        </w:rPr>
        <w:t>监测点位A1</w:t>
      </w:r>
      <w:r>
        <w:rPr>
          <w:rFonts w:hint="eastAsia"/>
          <w:bCs/>
          <w:color w:val="auto"/>
          <w:sz w:val="24"/>
          <w:szCs w:val="24"/>
        </w:rPr>
        <w:t>）</w:t>
      </w:r>
      <w:r>
        <w:rPr>
          <w:color w:val="auto"/>
          <w:sz w:val="24"/>
          <w:szCs w:val="24"/>
        </w:rPr>
        <w:tab/>
      </w:r>
      <w:r>
        <w:rPr>
          <w:color w:val="auto"/>
          <w:sz w:val="24"/>
          <w:szCs w:val="24"/>
        </w:rPr>
        <w:fldChar w:fldCharType="begin"/>
      </w:r>
      <w:r>
        <w:rPr>
          <w:color w:val="auto"/>
          <w:sz w:val="24"/>
          <w:szCs w:val="24"/>
        </w:rPr>
        <w:instrText xml:space="preserve"> PAGEREF _Toc22524 \h </w:instrText>
      </w:r>
      <w:r>
        <w:rPr>
          <w:color w:val="auto"/>
          <w:sz w:val="24"/>
          <w:szCs w:val="24"/>
        </w:rPr>
        <w:fldChar w:fldCharType="separate"/>
      </w:r>
      <w:r>
        <w:rPr>
          <w:color w:val="auto"/>
          <w:sz w:val="24"/>
          <w:szCs w:val="24"/>
        </w:rPr>
        <w:t>72</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_Toc5983 </w:instrText>
      </w:r>
      <w:r>
        <w:rPr>
          <w:color w:val="auto"/>
          <w:sz w:val="24"/>
          <w:szCs w:val="24"/>
        </w:rPr>
        <w:fldChar w:fldCharType="separate"/>
      </w:r>
      <w:r>
        <w:rPr>
          <w:rFonts w:hint="eastAsia" w:ascii="Times New Roman" w:hAnsi="Times New Roman" w:eastAsiaTheme="minorEastAsia"/>
          <w:bCs/>
          <w:snapToGrid w:val="0"/>
          <w:color w:val="auto"/>
          <w:sz w:val="24"/>
          <w:szCs w:val="24"/>
        </w:rPr>
        <w:t>附件1 项目备案证</w:t>
      </w:r>
      <w:r>
        <w:rPr>
          <w:color w:val="auto"/>
          <w:sz w:val="24"/>
          <w:szCs w:val="24"/>
        </w:rPr>
        <w:tab/>
      </w:r>
      <w:r>
        <w:rPr>
          <w:color w:val="auto"/>
          <w:sz w:val="24"/>
          <w:szCs w:val="24"/>
        </w:rPr>
        <w:fldChar w:fldCharType="begin"/>
      </w:r>
      <w:r>
        <w:rPr>
          <w:color w:val="auto"/>
          <w:sz w:val="24"/>
          <w:szCs w:val="24"/>
        </w:rPr>
        <w:instrText xml:space="preserve"> PAGEREF _Toc5983 \h </w:instrText>
      </w:r>
      <w:r>
        <w:rPr>
          <w:color w:val="auto"/>
          <w:sz w:val="24"/>
          <w:szCs w:val="24"/>
        </w:rPr>
        <w:fldChar w:fldCharType="separate"/>
      </w:r>
      <w:r>
        <w:rPr>
          <w:color w:val="auto"/>
          <w:sz w:val="24"/>
          <w:szCs w:val="24"/>
        </w:rPr>
        <w:t>73</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_Toc3682 </w:instrText>
      </w:r>
      <w:r>
        <w:rPr>
          <w:color w:val="auto"/>
          <w:sz w:val="24"/>
          <w:szCs w:val="24"/>
        </w:rPr>
        <w:fldChar w:fldCharType="separate"/>
      </w:r>
      <w:r>
        <w:rPr>
          <w:rFonts w:hint="eastAsia" w:ascii="Times New Roman" w:hAnsi="Times New Roman" w:eastAsiaTheme="minorEastAsia"/>
          <w:bCs/>
          <w:snapToGrid w:val="0"/>
          <w:color w:val="auto"/>
          <w:sz w:val="24"/>
          <w:szCs w:val="24"/>
        </w:rPr>
        <w:t>附件</w:t>
      </w:r>
      <w:r>
        <w:rPr>
          <w:rFonts w:ascii="Times New Roman" w:hAnsi="Times New Roman" w:eastAsiaTheme="minorEastAsia"/>
          <w:bCs/>
          <w:snapToGrid w:val="0"/>
          <w:color w:val="auto"/>
          <w:sz w:val="24"/>
          <w:szCs w:val="24"/>
        </w:rPr>
        <w:t>2</w:t>
      </w:r>
      <w:r>
        <w:rPr>
          <w:rFonts w:hint="eastAsia" w:ascii="Times New Roman" w:hAnsi="Times New Roman" w:eastAsiaTheme="minorEastAsia"/>
          <w:bCs/>
          <w:snapToGrid w:val="0"/>
          <w:color w:val="auto"/>
          <w:sz w:val="24"/>
          <w:szCs w:val="24"/>
        </w:rPr>
        <w:t xml:space="preserve"> </w:t>
      </w:r>
      <w:r>
        <w:rPr>
          <w:rFonts w:ascii="Times New Roman" w:hAnsi="Times New Roman"/>
          <w:bCs/>
          <w:color w:val="auto"/>
          <w:sz w:val="24"/>
          <w:szCs w:val="24"/>
        </w:rPr>
        <w:t>关于《乐昌产业转移工业园二期规划环境影响报告书审查小组意见》的函（粤环函</w:t>
      </w:r>
      <w:r>
        <w:rPr>
          <w:rFonts w:hint="eastAsia" w:ascii="Times New Roman" w:hAnsi="Times New Roman"/>
          <w:bCs/>
          <w:color w:val="auto"/>
          <w:sz w:val="24"/>
          <w:szCs w:val="24"/>
          <w:lang w:eastAsia="zh-CN"/>
        </w:rPr>
        <w:t>〔</w:t>
      </w:r>
      <w:r>
        <w:rPr>
          <w:rFonts w:ascii="Times New Roman" w:hAnsi="Times New Roman"/>
          <w:bCs/>
          <w:color w:val="auto"/>
          <w:sz w:val="24"/>
          <w:szCs w:val="24"/>
        </w:rPr>
        <w:t>2016</w:t>
      </w:r>
      <w:r>
        <w:rPr>
          <w:rFonts w:hint="eastAsia" w:ascii="Times New Roman" w:hAnsi="Times New Roman"/>
          <w:bCs/>
          <w:color w:val="auto"/>
          <w:sz w:val="24"/>
          <w:szCs w:val="24"/>
          <w:lang w:eastAsia="zh-CN"/>
        </w:rPr>
        <w:t>〕</w:t>
      </w:r>
      <w:r>
        <w:rPr>
          <w:rFonts w:ascii="Times New Roman" w:hAnsi="Times New Roman"/>
          <w:bCs/>
          <w:color w:val="auto"/>
          <w:sz w:val="24"/>
          <w:szCs w:val="24"/>
        </w:rPr>
        <w:t>956号）</w:t>
      </w:r>
      <w:r>
        <w:rPr>
          <w:color w:val="auto"/>
          <w:sz w:val="24"/>
          <w:szCs w:val="24"/>
        </w:rPr>
        <w:tab/>
      </w:r>
      <w:r>
        <w:rPr>
          <w:color w:val="auto"/>
          <w:sz w:val="24"/>
          <w:szCs w:val="24"/>
        </w:rPr>
        <w:fldChar w:fldCharType="begin"/>
      </w:r>
      <w:r>
        <w:rPr>
          <w:color w:val="auto"/>
          <w:sz w:val="24"/>
          <w:szCs w:val="24"/>
        </w:rPr>
        <w:instrText xml:space="preserve"> PAGEREF _Toc3682 \h </w:instrText>
      </w:r>
      <w:r>
        <w:rPr>
          <w:color w:val="auto"/>
          <w:sz w:val="24"/>
          <w:szCs w:val="24"/>
        </w:rPr>
        <w:fldChar w:fldCharType="separate"/>
      </w:r>
      <w:r>
        <w:rPr>
          <w:color w:val="auto"/>
          <w:sz w:val="24"/>
          <w:szCs w:val="24"/>
        </w:rPr>
        <w:t>74</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_Toc21130 </w:instrText>
      </w:r>
      <w:r>
        <w:rPr>
          <w:color w:val="auto"/>
          <w:sz w:val="24"/>
          <w:szCs w:val="24"/>
        </w:rPr>
        <w:fldChar w:fldCharType="separate"/>
      </w:r>
      <w:r>
        <w:rPr>
          <w:bCs/>
          <w:snapToGrid w:val="0"/>
          <w:color w:val="auto"/>
          <w:sz w:val="24"/>
          <w:szCs w:val="24"/>
        </w:rPr>
        <w:t>附件</w:t>
      </w:r>
      <w:r>
        <w:rPr>
          <w:rFonts w:hint="eastAsia"/>
          <w:bCs/>
          <w:snapToGrid w:val="0"/>
          <w:color w:val="auto"/>
          <w:sz w:val="24"/>
          <w:szCs w:val="24"/>
          <w:lang w:val="en-US" w:eastAsia="zh-CN"/>
        </w:rPr>
        <w:t>3</w:t>
      </w:r>
      <w:r>
        <w:rPr>
          <w:bCs/>
          <w:snapToGrid w:val="0"/>
          <w:color w:val="auto"/>
          <w:sz w:val="24"/>
          <w:szCs w:val="24"/>
        </w:rPr>
        <w:t xml:space="preserve"> </w:t>
      </w:r>
      <w:r>
        <w:rPr>
          <w:rFonts w:hint="eastAsia"/>
          <w:bCs/>
          <w:snapToGrid w:val="0"/>
          <w:color w:val="auto"/>
          <w:sz w:val="24"/>
          <w:szCs w:val="24"/>
          <w:lang w:val="en-US" w:eastAsia="zh-CN"/>
        </w:rPr>
        <w:t>不动产权证</w:t>
      </w:r>
      <w:r>
        <w:rPr>
          <w:color w:val="auto"/>
          <w:sz w:val="24"/>
          <w:szCs w:val="24"/>
        </w:rPr>
        <w:tab/>
      </w:r>
      <w:r>
        <w:rPr>
          <w:color w:val="auto"/>
          <w:sz w:val="24"/>
          <w:szCs w:val="24"/>
        </w:rPr>
        <w:fldChar w:fldCharType="begin"/>
      </w:r>
      <w:r>
        <w:rPr>
          <w:color w:val="auto"/>
          <w:sz w:val="24"/>
          <w:szCs w:val="24"/>
        </w:rPr>
        <w:instrText xml:space="preserve"> PAGEREF _Toc21130 \h </w:instrText>
      </w:r>
      <w:r>
        <w:rPr>
          <w:color w:val="auto"/>
          <w:sz w:val="24"/>
          <w:szCs w:val="24"/>
        </w:rPr>
        <w:fldChar w:fldCharType="separate"/>
      </w:r>
      <w:r>
        <w:rPr>
          <w:color w:val="auto"/>
          <w:sz w:val="24"/>
          <w:szCs w:val="24"/>
        </w:rPr>
        <w:t>84</w:t>
      </w:r>
      <w:r>
        <w:rPr>
          <w:color w:val="auto"/>
          <w:sz w:val="24"/>
          <w:szCs w:val="24"/>
        </w:rPr>
        <w:fldChar w:fldCharType="end"/>
      </w:r>
      <w:r>
        <w:rPr>
          <w:color w:val="auto"/>
          <w:sz w:val="24"/>
          <w:szCs w:val="24"/>
        </w:rPr>
        <w:fldChar w:fldCharType="end"/>
      </w:r>
    </w:p>
    <w:p>
      <w:pPr>
        <w:pStyle w:val="19"/>
        <w:tabs>
          <w:tab w:val="right" w:leader="dot" w:pos="8844"/>
        </w:tabs>
        <w:spacing w:line="360" w:lineRule="auto"/>
        <w:rPr>
          <w:color w:val="auto"/>
          <w:sz w:val="24"/>
          <w:szCs w:val="24"/>
        </w:rPr>
      </w:pPr>
      <w:r>
        <w:rPr>
          <w:color w:val="auto"/>
          <w:sz w:val="24"/>
          <w:szCs w:val="24"/>
        </w:rPr>
        <w:fldChar w:fldCharType="begin"/>
      </w:r>
      <w:r>
        <w:rPr>
          <w:color w:val="auto"/>
          <w:sz w:val="24"/>
          <w:szCs w:val="24"/>
        </w:rPr>
        <w:instrText xml:space="preserve"> HYPERLINK \l _Toc26542 </w:instrText>
      </w:r>
      <w:r>
        <w:rPr>
          <w:color w:val="auto"/>
          <w:sz w:val="24"/>
          <w:szCs w:val="24"/>
        </w:rPr>
        <w:fldChar w:fldCharType="separate"/>
      </w:r>
      <w:r>
        <w:rPr>
          <w:rFonts w:hint="eastAsia"/>
          <w:bCs/>
          <w:snapToGrid w:val="0"/>
          <w:color w:val="auto"/>
          <w:sz w:val="24"/>
          <w:szCs w:val="24"/>
          <w:lang w:val="en-US" w:eastAsia="zh-CN"/>
        </w:rPr>
        <w:t xml:space="preserve">附件4 </w:t>
      </w:r>
      <w:r>
        <w:rPr>
          <w:bCs/>
          <w:snapToGrid w:val="0"/>
          <w:color w:val="auto"/>
          <w:sz w:val="24"/>
          <w:szCs w:val="24"/>
        </w:rPr>
        <w:t>广东省生态环境厅关于VOCs总量申请回复</w:t>
      </w:r>
      <w:r>
        <w:rPr>
          <w:color w:val="auto"/>
          <w:sz w:val="24"/>
          <w:szCs w:val="24"/>
        </w:rPr>
        <w:tab/>
      </w:r>
      <w:r>
        <w:rPr>
          <w:color w:val="auto"/>
          <w:sz w:val="24"/>
          <w:szCs w:val="24"/>
        </w:rPr>
        <w:fldChar w:fldCharType="begin"/>
      </w:r>
      <w:r>
        <w:rPr>
          <w:color w:val="auto"/>
          <w:sz w:val="24"/>
          <w:szCs w:val="24"/>
        </w:rPr>
        <w:instrText xml:space="preserve"> PAGEREF _Toc26542 \h </w:instrText>
      </w:r>
      <w:r>
        <w:rPr>
          <w:color w:val="auto"/>
          <w:sz w:val="24"/>
          <w:szCs w:val="24"/>
        </w:rPr>
        <w:fldChar w:fldCharType="separate"/>
      </w:r>
      <w:r>
        <w:rPr>
          <w:color w:val="auto"/>
          <w:sz w:val="24"/>
          <w:szCs w:val="24"/>
        </w:rPr>
        <w:t>86</w:t>
      </w:r>
      <w:r>
        <w:rPr>
          <w:color w:val="auto"/>
          <w:sz w:val="24"/>
          <w:szCs w:val="24"/>
        </w:rPr>
        <w:fldChar w:fldCharType="end"/>
      </w:r>
      <w:r>
        <w:rPr>
          <w:color w:val="auto"/>
          <w:sz w:val="24"/>
          <w:szCs w:val="24"/>
        </w:rPr>
        <w:fldChar w:fldCharType="end"/>
      </w:r>
    </w:p>
    <w:p>
      <w:pPr>
        <w:spacing w:line="360" w:lineRule="auto"/>
        <w:rPr>
          <w:snapToGrid w:val="0"/>
          <w:color w:val="auto"/>
          <w:sz w:val="28"/>
          <w:szCs w:val="28"/>
        </w:rPr>
        <w:sectPr>
          <w:footerReference r:id="rId6" w:type="first"/>
          <w:footerReference r:id="rId5" w:type="default"/>
          <w:pgSz w:w="11906" w:h="16838"/>
          <w:pgMar w:top="1701" w:right="1531" w:bottom="1701" w:left="1531" w:header="851" w:footer="1077" w:gutter="0"/>
          <w:pgNumType w:fmt="decimal" w:start="1"/>
          <w:cols w:space="720" w:num="1"/>
          <w:titlePg/>
          <w:docGrid w:linePitch="312" w:charSpace="0"/>
        </w:sectPr>
      </w:pPr>
      <w:r>
        <w:rPr>
          <w:color w:val="auto"/>
          <w:sz w:val="24"/>
          <w:szCs w:val="24"/>
        </w:rPr>
        <w:fldChar w:fldCharType="end"/>
      </w:r>
    </w:p>
    <w:p>
      <w:pPr>
        <w:pStyle w:val="23"/>
        <w:spacing w:before="0" w:beforeAutospacing="0"/>
        <w:jc w:val="center"/>
        <w:outlineLvl w:val="0"/>
        <w:rPr>
          <w:rFonts w:ascii="Times New Roman" w:hAnsi="Times New Roman" w:eastAsia="黑体"/>
          <w:snapToGrid w:val="0"/>
          <w:color w:val="auto"/>
          <w:sz w:val="30"/>
          <w:szCs w:val="30"/>
        </w:rPr>
      </w:pPr>
      <w:bookmarkStart w:id="4" w:name="_Toc16"/>
      <w:bookmarkStart w:id="5" w:name="_Toc17743"/>
      <w:r>
        <w:rPr>
          <w:rFonts w:ascii="Times New Roman" w:hAnsi="Times New Roman" w:eastAsia="黑体"/>
          <w:snapToGrid w:val="0"/>
          <w:color w:val="auto"/>
          <w:sz w:val="30"/>
          <w:szCs w:val="30"/>
        </w:rPr>
        <w:t>一、建设项目基本情况</w:t>
      </w:r>
      <w:bookmarkEnd w:id="4"/>
      <w:bookmarkEnd w:id="5"/>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902"/>
        <w:gridCol w:w="2364"/>
        <w:gridCol w:w="1965"/>
        <w:gridCol w:w="263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建设项目名称</w:t>
            </w:r>
          </w:p>
        </w:tc>
        <w:tc>
          <w:tcPr>
            <w:tcW w:w="6968" w:type="dxa"/>
            <w:gridSpan w:val="3"/>
            <w:vAlign w:val="center"/>
          </w:tcPr>
          <w:p>
            <w:pPr>
              <w:adjustRightInd w:val="0"/>
              <w:snapToGrid w:val="0"/>
              <w:jc w:val="center"/>
              <w:rPr>
                <w:color w:val="auto"/>
                <w:sz w:val="24"/>
              </w:rPr>
            </w:pPr>
            <w:r>
              <w:rPr>
                <w:rFonts w:hint="eastAsia"/>
                <w:color w:val="auto"/>
                <w:sz w:val="24"/>
              </w:rPr>
              <w:t>乐昌市莞益电子科技项目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项目代码</w:t>
            </w:r>
          </w:p>
        </w:tc>
        <w:tc>
          <w:tcPr>
            <w:tcW w:w="6968" w:type="dxa"/>
            <w:gridSpan w:val="3"/>
            <w:vAlign w:val="center"/>
          </w:tcPr>
          <w:p>
            <w:pPr>
              <w:adjustRightInd w:val="0"/>
              <w:snapToGrid w:val="0"/>
              <w:jc w:val="center"/>
              <w:rPr>
                <w:color w:val="auto"/>
                <w:sz w:val="24"/>
              </w:rPr>
            </w:pPr>
            <w:r>
              <w:rPr>
                <w:rFonts w:hint="eastAsia"/>
                <w:color w:val="auto"/>
                <w:sz w:val="24"/>
              </w:rPr>
              <w:t>2206-440281-04-01-392182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建设单位联系人</w:t>
            </w:r>
          </w:p>
        </w:tc>
        <w:tc>
          <w:tcPr>
            <w:tcW w:w="2364" w:type="dxa"/>
            <w:vAlign w:val="center"/>
          </w:tcPr>
          <w:p>
            <w:pPr>
              <w:adjustRightInd w:val="0"/>
              <w:snapToGrid w:val="0"/>
              <w:jc w:val="center"/>
              <w:rPr>
                <w:rFonts w:hint="eastAsia" w:eastAsia="宋体"/>
                <w:color w:val="auto"/>
                <w:sz w:val="24"/>
                <w:lang w:eastAsia="zh-CN"/>
              </w:rPr>
            </w:pPr>
            <w:r>
              <w:rPr>
                <w:rFonts w:hint="eastAsia" w:eastAsia="宋体"/>
                <w:color w:val="auto"/>
                <w:sz w:val="24"/>
                <w:lang w:eastAsia="zh-CN"/>
              </w:rPr>
              <w:drawing>
                <wp:anchor distT="0" distB="0" distL="114300" distR="114300" simplePos="0" relativeHeight="251672576" behindDoc="0" locked="0" layoutInCell="1" allowOverlap="1">
                  <wp:simplePos x="0" y="0"/>
                  <wp:positionH relativeFrom="column">
                    <wp:posOffset>16510</wp:posOffset>
                  </wp:positionH>
                  <wp:positionV relativeFrom="paragraph">
                    <wp:posOffset>24765</wp:posOffset>
                  </wp:positionV>
                  <wp:extent cx="1273175" cy="242570"/>
                  <wp:effectExtent l="0" t="0" r="3175" b="5080"/>
                  <wp:wrapNone/>
                  <wp:docPr id="37" name="图片 37" descr="新建位图图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新建位图图像"/>
                          <pic:cNvPicPr>
                            <a:picLocks noChangeAspect="1"/>
                          </pic:cNvPicPr>
                        </pic:nvPicPr>
                        <pic:blipFill>
                          <a:blip r:embed="rId10"/>
                          <a:stretch>
                            <a:fillRect/>
                          </a:stretch>
                        </pic:blipFill>
                        <pic:spPr>
                          <a:xfrm>
                            <a:off x="0" y="0"/>
                            <a:ext cx="1273175" cy="242570"/>
                          </a:xfrm>
                          <a:prstGeom prst="rect">
                            <a:avLst/>
                          </a:prstGeom>
                        </pic:spPr>
                      </pic:pic>
                    </a:graphicData>
                  </a:graphic>
                </wp:anchor>
              </w:drawing>
            </w:r>
            <w:r>
              <w:rPr>
                <w:rFonts w:hint="eastAsia"/>
                <w:color w:val="auto"/>
                <w:sz w:val="24"/>
              </w:rPr>
              <w:t>王世方</w:t>
            </w:r>
          </w:p>
        </w:tc>
        <w:tc>
          <w:tcPr>
            <w:tcW w:w="1965" w:type="dxa"/>
            <w:vAlign w:val="center"/>
          </w:tcPr>
          <w:p>
            <w:pPr>
              <w:adjustRightInd w:val="0"/>
              <w:snapToGrid w:val="0"/>
              <w:jc w:val="center"/>
              <w:rPr>
                <w:color w:val="auto"/>
                <w:sz w:val="24"/>
              </w:rPr>
            </w:pPr>
            <w:r>
              <w:rPr>
                <w:color w:val="auto"/>
                <w:sz w:val="24"/>
              </w:rPr>
              <w:t>联系方式</w:t>
            </w:r>
          </w:p>
        </w:tc>
        <w:tc>
          <w:tcPr>
            <w:tcW w:w="2639" w:type="dxa"/>
            <w:vAlign w:val="center"/>
          </w:tcPr>
          <w:p>
            <w:pPr>
              <w:adjustRightInd w:val="0"/>
              <w:snapToGrid w:val="0"/>
              <w:jc w:val="center"/>
              <w:rPr>
                <w:color w:val="auto"/>
                <w:sz w:val="24"/>
              </w:rPr>
            </w:pPr>
            <w:r>
              <w:rPr>
                <w:rFonts w:hint="eastAsia" w:eastAsia="宋体"/>
                <w:color w:val="auto"/>
                <w:sz w:val="24"/>
                <w:lang w:eastAsia="zh-CN"/>
              </w:rPr>
              <w:drawing>
                <wp:anchor distT="0" distB="0" distL="114300" distR="114300" simplePos="0" relativeHeight="251673600" behindDoc="0" locked="0" layoutInCell="1" allowOverlap="1">
                  <wp:simplePos x="0" y="0"/>
                  <wp:positionH relativeFrom="column">
                    <wp:posOffset>110490</wp:posOffset>
                  </wp:positionH>
                  <wp:positionV relativeFrom="paragraph">
                    <wp:posOffset>34290</wp:posOffset>
                  </wp:positionV>
                  <wp:extent cx="1273175" cy="242570"/>
                  <wp:effectExtent l="0" t="0" r="3175" b="5080"/>
                  <wp:wrapNone/>
                  <wp:docPr id="38" name="图片 38" descr="新建位图图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新建位图图像"/>
                          <pic:cNvPicPr>
                            <a:picLocks noChangeAspect="1"/>
                          </pic:cNvPicPr>
                        </pic:nvPicPr>
                        <pic:blipFill>
                          <a:blip r:embed="rId10"/>
                          <a:stretch>
                            <a:fillRect/>
                          </a:stretch>
                        </pic:blipFill>
                        <pic:spPr>
                          <a:xfrm>
                            <a:off x="0" y="0"/>
                            <a:ext cx="1273175" cy="242570"/>
                          </a:xfrm>
                          <a:prstGeom prst="rect">
                            <a:avLst/>
                          </a:prstGeom>
                        </pic:spPr>
                      </pic:pic>
                    </a:graphicData>
                  </a:graphic>
                </wp:anchor>
              </w:drawing>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建设地点</w:t>
            </w:r>
          </w:p>
        </w:tc>
        <w:tc>
          <w:tcPr>
            <w:tcW w:w="6968" w:type="dxa"/>
            <w:gridSpan w:val="3"/>
            <w:vAlign w:val="center"/>
          </w:tcPr>
          <w:p>
            <w:pPr>
              <w:adjustRightInd w:val="0"/>
              <w:snapToGrid w:val="0"/>
              <w:jc w:val="center"/>
              <w:rPr>
                <w:color w:val="auto"/>
                <w:sz w:val="24"/>
              </w:rPr>
            </w:pPr>
            <w:r>
              <w:rPr>
                <w:rFonts w:hint="eastAsia"/>
                <w:color w:val="auto"/>
                <w:sz w:val="24"/>
                <w:lang w:val="en-US" w:eastAsia="zh-CN"/>
              </w:rPr>
              <w:t>广东省</w:t>
            </w:r>
            <w:r>
              <w:rPr>
                <w:rFonts w:hint="eastAsia"/>
                <w:color w:val="auto"/>
                <w:sz w:val="24"/>
              </w:rPr>
              <w:t>韶关市乐昌市乐昌产业转移工业园金岭七路三号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地理坐标</w:t>
            </w:r>
          </w:p>
        </w:tc>
        <w:tc>
          <w:tcPr>
            <w:tcW w:w="6968" w:type="dxa"/>
            <w:gridSpan w:val="3"/>
            <w:vAlign w:val="center"/>
          </w:tcPr>
          <w:p>
            <w:pPr>
              <w:jc w:val="center"/>
              <w:rPr>
                <w:color w:val="auto"/>
                <w:sz w:val="24"/>
              </w:rPr>
            </w:pPr>
            <w:r>
              <w:rPr>
                <w:color w:val="auto"/>
                <w:sz w:val="24"/>
              </w:rPr>
              <w:t>（</w:t>
            </w:r>
            <w:r>
              <w:rPr>
                <w:color w:val="auto"/>
                <w:sz w:val="24"/>
                <w:u w:val="single"/>
              </w:rPr>
              <w:t xml:space="preserve"> </w:t>
            </w:r>
            <w:r>
              <w:rPr>
                <w:rFonts w:hint="eastAsia"/>
                <w:color w:val="auto"/>
                <w:sz w:val="24"/>
                <w:u w:val="single"/>
              </w:rPr>
              <w:t>11</w:t>
            </w:r>
            <w:r>
              <w:rPr>
                <w:color w:val="auto"/>
                <w:sz w:val="24"/>
                <w:u w:val="single"/>
              </w:rPr>
              <w:t xml:space="preserve">3 </w:t>
            </w:r>
            <w:r>
              <w:rPr>
                <w:color w:val="auto"/>
                <w:sz w:val="24"/>
              </w:rPr>
              <w:t>度</w:t>
            </w:r>
            <w:r>
              <w:rPr>
                <w:color w:val="auto"/>
                <w:sz w:val="24"/>
                <w:u w:val="single"/>
              </w:rPr>
              <w:t xml:space="preserve"> </w:t>
            </w:r>
            <w:r>
              <w:rPr>
                <w:rFonts w:hint="eastAsia"/>
                <w:color w:val="auto"/>
                <w:sz w:val="24"/>
                <w:u w:val="single"/>
              </w:rPr>
              <w:t>24</w:t>
            </w:r>
            <w:r>
              <w:rPr>
                <w:color w:val="auto"/>
                <w:sz w:val="24"/>
                <w:u w:val="single"/>
              </w:rPr>
              <w:t xml:space="preserve"> </w:t>
            </w:r>
            <w:r>
              <w:rPr>
                <w:color w:val="auto"/>
                <w:sz w:val="24"/>
              </w:rPr>
              <w:t>分</w:t>
            </w:r>
            <w:r>
              <w:rPr>
                <w:color w:val="auto"/>
                <w:sz w:val="24"/>
                <w:u w:val="single"/>
              </w:rPr>
              <w:t xml:space="preserve"> </w:t>
            </w:r>
            <w:r>
              <w:rPr>
                <w:rFonts w:hint="eastAsia"/>
                <w:color w:val="auto"/>
                <w:sz w:val="24"/>
                <w:u w:val="single"/>
              </w:rPr>
              <w:t>58.377</w:t>
            </w:r>
            <w:r>
              <w:rPr>
                <w:color w:val="auto"/>
                <w:sz w:val="24"/>
                <w:u w:val="single"/>
              </w:rPr>
              <w:t xml:space="preserve"> </w:t>
            </w:r>
            <w:r>
              <w:rPr>
                <w:color w:val="auto"/>
                <w:sz w:val="24"/>
              </w:rPr>
              <w:t>秒，</w:t>
            </w:r>
            <w:r>
              <w:rPr>
                <w:color w:val="auto"/>
                <w:sz w:val="24"/>
                <w:u w:val="single"/>
              </w:rPr>
              <w:t xml:space="preserve"> 2</w:t>
            </w:r>
            <w:r>
              <w:rPr>
                <w:rFonts w:hint="eastAsia"/>
                <w:color w:val="auto"/>
                <w:sz w:val="24"/>
                <w:u w:val="single"/>
              </w:rPr>
              <w:t>5</w:t>
            </w:r>
            <w:r>
              <w:rPr>
                <w:color w:val="auto"/>
                <w:sz w:val="24"/>
                <w:u w:val="single"/>
              </w:rPr>
              <w:t xml:space="preserve"> </w:t>
            </w:r>
            <w:r>
              <w:rPr>
                <w:color w:val="auto"/>
                <w:sz w:val="24"/>
              </w:rPr>
              <w:t>度</w:t>
            </w:r>
            <w:r>
              <w:rPr>
                <w:color w:val="auto"/>
                <w:sz w:val="24"/>
                <w:u w:val="single"/>
              </w:rPr>
              <w:t xml:space="preserve"> </w:t>
            </w:r>
            <w:r>
              <w:rPr>
                <w:rFonts w:hint="eastAsia"/>
                <w:color w:val="auto"/>
                <w:sz w:val="24"/>
                <w:u w:val="single"/>
              </w:rPr>
              <w:t>7</w:t>
            </w:r>
            <w:r>
              <w:rPr>
                <w:color w:val="auto"/>
                <w:sz w:val="24"/>
                <w:u w:val="single"/>
              </w:rPr>
              <w:t xml:space="preserve"> </w:t>
            </w:r>
            <w:r>
              <w:rPr>
                <w:color w:val="auto"/>
                <w:sz w:val="24"/>
              </w:rPr>
              <w:t>分</w:t>
            </w:r>
            <w:r>
              <w:rPr>
                <w:color w:val="auto"/>
                <w:sz w:val="24"/>
                <w:u w:val="single"/>
              </w:rPr>
              <w:t xml:space="preserve"> </w:t>
            </w:r>
            <w:r>
              <w:rPr>
                <w:rFonts w:hint="eastAsia"/>
                <w:color w:val="auto"/>
                <w:sz w:val="24"/>
                <w:u w:val="single"/>
              </w:rPr>
              <w:t>23.348</w:t>
            </w:r>
            <w:r>
              <w:rPr>
                <w:color w:val="auto"/>
                <w:sz w:val="24"/>
                <w:u w:val="single"/>
              </w:rPr>
              <w:t xml:space="preserve"> </w:t>
            </w:r>
            <w:r>
              <w:rPr>
                <w:color w:val="auto"/>
                <w:sz w:val="24"/>
              </w:rP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国民经济</w:t>
            </w:r>
          </w:p>
          <w:p>
            <w:pPr>
              <w:adjustRightInd w:val="0"/>
              <w:snapToGrid w:val="0"/>
              <w:jc w:val="center"/>
              <w:rPr>
                <w:color w:val="auto"/>
                <w:sz w:val="24"/>
              </w:rPr>
            </w:pPr>
            <w:r>
              <w:rPr>
                <w:color w:val="auto"/>
                <w:sz w:val="24"/>
              </w:rPr>
              <w:t>行业类别</w:t>
            </w:r>
          </w:p>
        </w:tc>
        <w:tc>
          <w:tcPr>
            <w:tcW w:w="2364" w:type="dxa"/>
            <w:vAlign w:val="center"/>
          </w:tcPr>
          <w:p>
            <w:pPr>
              <w:adjustRightInd w:val="0"/>
              <w:snapToGrid w:val="0"/>
              <w:jc w:val="center"/>
              <w:rPr>
                <w:color w:val="auto"/>
                <w:sz w:val="24"/>
              </w:rPr>
            </w:pPr>
            <w:r>
              <w:rPr>
                <w:rFonts w:hint="eastAsia"/>
                <w:color w:val="auto"/>
                <w:sz w:val="24"/>
              </w:rPr>
              <w:t>C3872照明灯具制造</w:t>
            </w:r>
          </w:p>
        </w:tc>
        <w:tc>
          <w:tcPr>
            <w:tcW w:w="1965" w:type="dxa"/>
            <w:vAlign w:val="center"/>
          </w:tcPr>
          <w:p>
            <w:pPr>
              <w:adjustRightInd w:val="0"/>
              <w:snapToGrid w:val="0"/>
              <w:jc w:val="center"/>
              <w:rPr>
                <w:color w:val="auto"/>
                <w:sz w:val="24"/>
              </w:rPr>
            </w:pPr>
            <w:bookmarkStart w:id="6" w:name="_Hlk49843745"/>
            <w:r>
              <w:rPr>
                <w:color w:val="auto"/>
                <w:sz w:val="24"/>
              </w:rPr>
              <w:t>建设项目</w:t>
            </w:r>
          </w:p>
          <w:p>
            <w:pPr>
              <w:adjustRightInd w:val="0"/>
              <w:snapToGrid w:val="0"/>
              <w:jc w:val="center"/>
              <w:rPr>
                <w:color w:val="auto"/>
                <w:sz w:val="24"/>
              </w:rPr>
            </w:pPr>
            <w:r>
              <w:rPr>
                <w:color w:val="auto"/>
                <w:sz w:val="24"/>
              </w:rPr>
              <w:t>行业类别</w:t>
            </w:r>
            <w:bookmarkEnd w:id="6"/>
          </w:p>
        </w:tc>
        <w:tc>
          <w:tcPr>
            <w:tcW w:w="2639" w:type="dxa"/>
            <w:vAlign w:val="center"/>
          </w:tcPr>
          <w:p>
            <w:pPr>
              <w:adjustRightInd w:val="0"/>
              <w:snapToGrid w:val="0"/>
              <w:rPr>
                <w:rFonts w:hint="eastAsia" w:eastAsia="宋体"/>
                <w:color w:val="auto"/>
                <w:sz w:val="24"/>
                <w:lang w:eastAsia="zh-CN"/>
              </w:rPr>
            </w:pPr>
            <w:r>
              <w:rPr>
                <w:rFonts w:hint="eastAsia"/>
                <w:color w:val="auto"/>
                <w:sz w:val="24"/>
              </w:rPr>
              <w:t>77 照明器具制造387</w:t>
            </w:r>
            <w:r>
              <w:rPr>
                <w:rFonts w:hint="eastAsia"/>
                <w:color w:val="auto"/>
                <w:sz w:val="24"/>
                <w:lang w:eastAsia="zh-CN"/>
              </w:rPr>
              <w:t>——</w:t>
            </w:r>
            <w:r>
              <w:rPr>
                <w:rFonts w:hint="eastAsia"/>
                <w:color w:val="auto"/>
                <w:sz w:val="24"/>
                <w:lang w:val="en-US" w:eastAsia="zh-CN"/>
              </w:rPr>
              <w:t>其他（仅分割、焊接、组装的除外；年用非溶剂型低VOCs含量涂料10吨以下的除外）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建设性质</w:t>
            </w:r>
          </w:p>
        </w:tc>
        <w:tc>
          <w:tcPr>
            <w:tcW w:w="2364" w:type="dxa"/>
            <w:vAlign w:val="center"/>
          </w:tcPr>
          <w:p>
            <w:pPr>
              <w:jc w:val="left"/>
              <w:rPr>
                <w:color w:val="auto"/>
                <w:sz w:val="24"/>
              </w:rPr>
            </w:pPr>
            <w:r>
              <w:rPr>
                <w:rFonts w:hint="eastAsia"/>
                <w:color w:val="auto"/>
                <w:sz w:val="24"/>
              </w:rPr>
              <w:sym w:font="Wingdings 2" w:char="0052"/>
            </w:r>
            <w:r>
              <w:rPr>
                <w:color w:val="auto"/>
                <w:sz w:val="24"/>
              </w:rPr>
              <w:t>新建（迁建）</w:t>
            </w:r>
          </w:p>
          <w:p>
            <w:pPr>
              <w:jc w:val="left"/>
              <w:rPr>
                <w:color w:val="auto"/>
                <w:sz w:val="24"/>
              </w:rPr>
            </w:pPr>
            <w:r>
              <w:rPr>
                <w:rFonts w:hint="eastAsia"/>
                <w:color w:val="auto"/>
                <w:sz w:val="24"/>
              </w:rPr>
              <w:t>□</w:t>
            </w:r>
            <w:r>
              <w:rPr>
                <w:color w:val="auto"/>
                <w:sz w:val="24"/>
              </w:rPr>
              <w:t>改建</w:t>
            </w:r>
          </w:p>
          <w:p>
            <w:pPr>
              <w:jc w:val="left"/>
              <w:rPr>
                <w:color w:val="auto"/>
                <w:sz w:val="24"/>
              </w:rPr>
            </w:pPr>
            <w:r>
              <w:rPr>
                <w:rFonts w:hint="eastAsia"/>
                <w:color w:val="auto"/>
                <w:sz w:val="24"/>
              </w:rPr>
              <w:t>□</w:t>
            </w:r>
            <w:r>
              <w:rPr>
                <w:color w:val="auto"/>
                <w:sz w:val="24"/>
              </w:rPr>
              <w:t>扩建</w:t>
            </w:r>
          </w:p>
          <w:p>
            <w:pPr>
              <w:jc w:val="left"/>
              <w:rPr>
                <w:color w:val="auto"/>
                <w:sz w:val="24"/>
              </w:rPr>
            </w:pPr>
            <w:r>
              <w:rPr>
                <w:rFonts w:hint="eastAsia"/>
                <w:color w:val="auto"/>
                <w:sz w:val="24"/>
              </w:rPr>
              <w:t>□</w:t>
            </w:r>
            <w:r>
              <w:rPr>
                <w:color w:val="auto"/>
                <w:sz w:val="24"/>
              </w:rPr>
              <w:t>技术改造</w:t>
            </w:r>
          </w:p>
        </w:tc>
        <w:tc>
          <w:tcPr>
            <w:tcW w:w="1965" w:type="dxa"/>
            <w:vAlign w:val="center"/>
          </w:tcPr>
          <w:p>
            <w:pPr>
              <w:adjustRightInd w:val="0"/>
              <w:snapToGrid w:val="0"/>
              <w:jc w:val="center"/>
              <w:rPr>
                <w:color w:val="auto"/>
                <w:sz w:val="24"/>
              </w:rPr>
            </w:pPr>
            <w:r>
              <w:rPr>
                <w:color w:val="auto"/>
                <w:sz w:val="24"/>
              </w:rPr>
              <w:t>建设项目</w:t>
            </w:r>
          </w:p>
          <w:p>
            <w:pPr>
              <w:adjustRightInd w:val="0"/>
              <w:snapToGrid w:val="0"/>
              <w:jc w:val="center"/>
              <w:rPr>
                <w:color w:val="auto"/>
                <w:sz w:val="24"/>
              </w:rPr>
            </w:pPr>
            <w:r>
              <w:rPr>
                <w:color w:val="auto"/>
                <w:sz w:val="24"/>
              </w:rPr>
              <w:t>申报情形</w:t>
            </w:r>
          </w:p>
        </w:tc>
        <w:tc>
          <w:tcPr>
            <w:tcW w:w="2639" w:type="dxa"/>
            <w:vAlign w:val="center"/>
          </w:tcPr>
          <w:p>
            <w:pPr>
              <w:jc w:val="left"/>
              <w:rPr>
                <w:color w:val="auto"/>
                <w:sz w:val="24"/>
              </w:rPr>
            </w:pPr>
            <w:r>
              <w:rPr>
                <w:rFonts w:hint="eastAsia"/>
                <w:color w:val="auto"/>
                <w:sz w:val="24"/>
              </w:rPr>
              <w:sym w:font="Wingdings 2" w:char="0052"/>
            </w:r>
            <w:r>
              <w:rPr>
                <w:color w:val="auto"/>
                <w:sz w:val="24"/>
              </w:rPr>
              <w:t>首次申报项目</w:t>
            </w:r>
          </w:p>
          <w:p>
            <w:pPr>
              <w:jc w:val="left"/>
              <w:rPr>
                <w:color w:val="auto"/>
                <w:sz w:val="24"/>
              </w:rPr>
            </w:pPr>
            <w:r>
              <w:rPr>
                <w:rFonts w:hint="eastAsia"/>
                <w:color w:val="auto"/>
                <w:sz w:val="24"/>
              </w:rPr>
              <w:t>□</w:t>
            </w:r>
            <w:r>
              <w:rPr>
                <w:color w:val="auto"/>
                <w:sz w:val="24"/>
              </w:rPr>
              <w:t>不予批准后再次申报项目</w:t>
            </w:r>
          </w:p>
          <w:p>
            <w:pPr>
              <w:jc w:val="left"/>
              <w:rPr>
                <w:color w:val="auto"/>
                <w:sz w:val="24"/>
              </w:rPr>
            </w:pPr>
            <w:r>
              <w:rPr>
                <w:color w:val="auto"/>
                <w:sz w:val="24"/>
              </w:rPr>
              <w:sym w:font="Wingdings 2" w:char="00A3"/>
            </w:r>
            <w:r>
              <w:rPr>
                <w:color w:val="auto"/>
                <w:sz w:val="24"/>
              </w:rPr>
              <w:t>超五年重新审核项目</w:t>
            </w:r>
          </w:p>
          <w:p>
            <w:pPr>
              <w:jc w:val="left"/>
              <w:rPr>
                <w:color w:val="auto"/>
                <w:sz w:val="24"/>
              </w:rPr>
            </w:pPr>
            <w:r>
              <w:rPr>
                <w:rFonts w:hint="eastAsia"/>
                <w:color w:val="auto"/>
                <w:sz w:val="24"/>
              </w:rPr>
              <w:t>□</w:t>
            </w:r>
            <w:r>
              <w:rPr>
                <w:color w:val="auto"/>
                <w:sz w:val="24"/>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项目审批（核准/</w:t>
            </w:r>
          </w:p>
          <w:p>
            <w:pPr>
              <w:adjustRightInd w:val="0"/>
              <w:snapToGrid w:val="0"/>
              <w:jc w:val="center"/>
              <w:rPr>
                <w:color w:val="auto"/>
                <w:sz w:val="24"/>
              </w:rPr>
            </w:pPr>
            <w:r>
              <w:rPr>
                <w:color w:val="auto"/>
                <w:sz w:val="24"/>
              </w:rPr>
              <w:t>备案）部门（选填）</w:t>
            </w:r>
          </w:p>
        </w:tc>
        <w:tc>
          <w:tcPr>
            <w:tcW w:w="2364" w:type="dxa"/>
            <w:vAlign w:val="center"/>
          </w:tcPr>
          <w:p>
            <w:pPr>
              <w:adjustRightInd w:val="0"/>
              <w:snapToGrid w:val="0"/>
              <w:jc w:val="center"/>
              <w:rPr>
                <w:color w:val="auto"/>
                <w:sz w:val="24"/>
              </w:rPr>
            </w:pPr>
            <w:r>
              <w:rPr>
                <w:rFonts w:hint="eastAsia"/>
                <w:color w:val="auto"/>
                <w:sz w:val="24"/>
              </w:rPr>
              <w:t>乐昌市发展和改革局</w:t>
            </w:r>
          </w:p>
        </w:tc>
        <w:tc>
          <w:tcPr>
            <w:tcW w:w="1965" w:type="dxa"/>
            <w:vAlign w:val="center"/>
          </w:tcPr>
          <w:p>
            <w:pPr>
              <w:adjustRightInd w:val="0"/>
              <w:snapToGrid w:val="0"/>
              <w:jc w:val="center"/>
              <w:rPr>
                <w:color w:val="auto"/>
                <w:sz w:val="24"/>
              </w:rPr>
            </w:pPr>
            <w:r>
              <w:rPr>
                <w:color w:val="auto"/>
                <w:sz w:val="24"/>
              </w:rPr>
              <w:t>项目审批（核准/</w:t>
            </w:r>
          </w:p>
          <w:p>
            <w:pPr>
              <w:adjustRightInd w:val="0"/>
              <w:snapToGrid w:val="0"/>
              <w:jc w:val="center"/>
              <w:rPr>
                <w:color w:val="auto"/>
                <w:sz w:val="24"/>
              </w:rPr>
            </w:pPr>
            <w:r>
              <w:rPr>
                <w:color w:val="auto"/>
                <w:sz w:val="24"/>
              </w:rPr>
              <w:t>备案）文号（选填）</w:t>
            </w:r>
          </w:p>
        </w:tc>
        <w:tc>
          <w:tcPr>
            <w:tcW w:w="2639" w:type="dxa"/>
            <w:vAlign w:val="center"/>
          </w:tcPr>
          <w:p>
            <w:pPr>
              <w:adjustRightInd w:val="0"/>
              <w:snapToGrid w:val="0"/>
              <w:jc w:val="center"/>
              <w:rPr>
                <w:color w:val="auto"/>
                <w:sz w:val="24"/>
              </w:rPr>
            </w:pPr>
            <w:r>
              <w:rPr>
                <w:rFonts w:hint="eastAsia"/>
                <w:color w:val="auto"/>
                <w:sz w:val="24"/>
              </w:rPr>
              <w:t>2206-440281-04-01-392182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总投资（万元）</w:t>
            </w:r>
          </w:p>
        </w:tc>
        <w:tc>
          <w:tcPr>
            <w:tcW w:w="2364" w:type="dxa"/>
            <w:vAlign w:val="center"/>
          </w:tcPr>
          <w:p>
            <w:pPr>
              <w:adjustRightInd w:val="0"/>
              <w:snapToGrid w:val="0"/>
              <w:jc w:val="center"/>
              <w:rPr>
                <w:color w:val="auto"/>
                <w:sz w:val="24"/>
              </w:rPr>
            </w:pPr>
            <w:r>
              <w:rPr>
                <w:rFonts w:hint="eastAsia"/>
                <w:color w:val="auto"/>
                <w:sz w:val="24"/>
              </w:rPr>
              <w:t>6000</w:t>
            </w:r>
          </w:p>
        </w:tc>
        <w:tc>
          <w:tcPr>
            <w:tcW w:w="1965" w:type="dxa"/>
            <w:tcMar>
              <w:top w:w="16" w:type="dxa"/>
              <w:left w:w="16" w:type="dxa"/>
              <w:right w:w="16" w:type="dxa"/>
            </w:tcMar>
            <w:vAlign w:val="center"/>
          </w:tcPr>
          <w:p>
            <w:pPr>
              <w:adjustRightInd w:val="0"/>
              <w:snapToGrid w:val="0"/>
              <w:jc w:val="center"/>
              <w:rPr>
                <w:color w:val="auto"/>
                <w:sz w:val="24"/>
              </w:rPr>
            </w:pPr>
            <w:r>
              <w:rPr>
                <w:color w:val="auto"/>
                <w:sz w:val="24"/>
              </w:rPr>
              <w:t>环保投资（万元）</w:t>
            </w:r>
          </w:p>
        </w:tc>
        <w:tc>
          <w:tcPr>
            <w:tcW w:w="2639" w:type="dxa"/>
            <w:vAlign w:val="center"/>
          </w:tcPr>
          <w:p>
            <w:pPr>
              <w:adjustRightInd w:val="0"/>
              <w:snapToGrid w:val="0"/>
              <w:jc w:val="center"/>
              <w:rPr>
                <w:color w:val="auto"/>
                <w:sz w:val="24"/>
              </w:rPr>
            </w:pPr>
            <w:r>
              <w:rPr>
                <w:rFonts w:hint="eastAsia"/>
                <w:color w:val="auto"/>
                <w:sz w:val="24"/>
              </w:rPr>
              <w:t>40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环保投资占比（%）</w:t>
            </w:r>
          </w:p>
        </w:tc>
        <w:tc>
          <w:tcPr>
            <w:tcW w:w="2364" w:type="dxa"/>
            <w:vAlign w:val="center"/>
          </w:tcPr>
          <w:p>
            <w:pPr>
              <w:adjustRightInd w:val="0"/>
              <w:snapToGrid w:val="0"/>
              <w:jc w:val="center"/>
              <w:rPr>
                <w:color w:val="auto"/>
                <w:sz w:val="24"/>
              </w:rPr>
            </w:pPr>
            <w:r>
              <w:rPr>
                <w:rFonts w:hint="eastAsia"/>
                <w:color w:val="auto"/>
                <w:sz w:val="24"/>
              </w:rPr>
              <w:t>0.67</w:t>
            </w:r>
          </w:p>
        </w:tc>
        <w:tc>
          <w:tcPr>
            <w:tcW w:w="1965" w:type="dxa"/>
            <w:tcMar>
              <w:top w:w="16" w:type="dxa"/>
              <w:left w:w="16" w:type="dxa"/>
              <w:right w:w="16" w:type="dxa"/>
            </w:tcMar>
            <w:vAlign w:val="center"/>
          </w:tcPr>
          <w:p>
            <w:pPr>
              <w:adjustRightInd w:val="0"/>
              <w:snapToGrid w:val="0"/>
              <w:jc w:val="center"/>
              <w:rPr>
                <w:color w:val="auto"/>
                <w:sz w:val="24"/>
              </w:rPr>
            </w:pPr>
            <w:r>
              <w:rPr>
                <w:color w:val="auto"/>
                <w:sz w:val="24"/>
              </w:rPr>
              <w:t>施工工期</w:t>
            </w:r>
          </w:p>
        </w:tc>
        <w:tc>
          <w:tcPr>
            <w:tcW w:w="2639" w:type="dxa"/>
            <w:vAlign w:val="center"/>
          </w:tcPr>
          <w:p>
            <w:pPr>
              <w:adjustRightInd w:val="0"/>
              <w:snapToGrid w:val="0"/>
              <w:jc w:val="center"/>
              <w:rPr>
                <w:color w:val="auto"/>
                <w:sz w:val="24"/>
              </w:rPr>
            </w:pPr>
            <w:r>
              <w:rPr>
                <w:rFonts w:hint="eastAsia"/>
                <w:color w:val="auto"/>
                <w:sz w:val="24"/>
              </w:rPr>
              <w:t>6个月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02" w:type="dxa"/>
            <w:tcMar>
              <w:top w:w="16" w:type="dxa"/>
              <w:left w:w="16" w:type="dxa"/>
              <w:right w:w="16" w:type="dxa"/>
            </w:tcMar>
            <w:vAlign w:val="center"/>
          </w:tcPr>
          <w:p>
            <w:pPr>
              <w:adjustRightInd w:val="0"/>
              <w:snapToGrid w:val="0"/>
              <w:jc w:val="center"/>
              <w:rPr>
                <w:color w:val="auto"/>
                <w:sz w:val="24"/>
              </w:rPr>
            </w:pPr>
            <w:r>
              <w:rPr>
                <w:color w:val="auto"/>
                <w:sz w:val="24"/>
              </w:rPr>
              <w:t>是否开工建设</w:t>
            </w:r>
          </w:p>
        </w:tc>
        <w:tc>
          <w:tcPr>
            <w:tcW w:w="2364" w:type="dxa"/>
            <w:vAlign w:val="center"/>
          </w:tcPr>
          <w:p>
            <w:pPr>
              <w:adjustRightInd w:val="0"/>
              <w:snapToGrid w:val="0"/>
              <w:rPr>
                <w:color w:val="auto"/>
                <w:sz w:val="24"/>
              </w:rPr>
            </w:pPr>
            <w:r>
              <w:rPr>
                <w:rFonts w:hint="eastAsia"/>
                <w:color w:val="auto"/>
                <w:sz w:val="24"/>
              </w:rPr>
              <w:sym w:font="Wingdings 2" w:char="0052"/>
            </w:r>
            <w:r>
              <w:rPr>
                <w:color w:val="auto"/>
                <w:sz w:val="24"/>
              </w:rPr>
              <w:t>否</w:t>
            </w:r>
          </w:p>
          <w:p>
            <w:pPr>
              <w:adjustRightInd w:val="0"/>
              <w:snapToGrid w:val="0"/>
              <w:rPr>
                <w:color w:val="auto"/>
                <w:sz w:val="24"/>
              </w:rPr>
            </w:pPr>
            <w:r>
              <w:rPr>
                <w:rFonts w:hint="eastAsia"/>
                <w:color w:val="auto"/>
                <w:sz w:val="24"/>
              </w:rPr>
              <w:sym w:font="Wingdings 2" w:char="00A3"/>
            </w:r>
            <w:r>
              <w:rPr>
                <w:color w:val="auto"/>
                <w:sz w:val="24"/>
              </w:rPr>
              <w:t>是：</w:t>
            </w:r>
            <w:r>
              <w:rPr>
                <w:color w:val="auto"/>
                <w:sz w:val="24"/>
                <w:u w:val="single"/>
              </w:rPr>
              <w:t xml:space="preserve">        </w:t>
            </w:r>
          </w:p>
        </w:tc>
        <w:tc>
          <w:tcPr>
            <w:tcW w:w="1965" w:type="dxa"/>
            <w:tcMar>
              <w:top w:w="16" w:type="dxa"/>
              <w:left w:w="16" w:type="dxa"/>
              <w:right w:w="16" w:type="dxa"/>
            </w:tcMar>
            <w:vAlign w:val="center"/>
          </w:tcPr>
          <w:p>
            <w:pPr>
              <w:adjustRightInd w:val="0"/>
              <w:snapToGrid w:val="0"/>
              <w:jc w:val="center"/>
              <w:rPr>
                <w:color w:val="auto"/>
                <w:spacing w:val="-6"/>
                <w:sz w:val="24"/>
              </w:rPr>
            </w:pPr>
            <w:r>
              <w:rPr>
                <w:color w:val="auto"/>
                <w:spacing w:val="-6"/>
                <w:sz w:val="24"/>
              </w:rPr>
              <w:t>用地（用海）</w:t>
            </w:r>
          </w:p>
          <w:p>
            <w:pPr>
              <w:adjustRightInd w:val="0"/>
              <w:snapToGrid w:val="0"/>
              <w:jc w:val="center"/>
              <w:rPr>
                <w:color w:val="auto"/>
                <w:sz w:val="24"/>
              </w:rPr>
            </w:pPr>
            <w:r>
              <w:rPr>
                <w:color w:val="auto"/>
                <w:spacing w:val="-6"/>
                <w:sz w:val="24"/>
              </w:rPr>
              <w:t>面积（m</w:t>
            </w:r>
            <w:r>
              <w:rPr>
                <w:color w:val="auto"/>
                <w:spacing w:val="-6"/>
                <w:sz w:val="24"/>
                <w:vertAlign w:val="superscript"/>
              </w:rPr>
              <w:t>2</w:t>
            </w:r>
            <w:r>
              <w:rPr>
                <w:color w:val="auto"/>
                <w:spacing w:val="-6"/>
                <w:sz w:val="24"/>
              </w:rPr>
              <w:t>）</w:t>
            </w:r>
          </w:p>
        </w:tc>
        <w:tc>
          <w:tcPr>
            <w:tcW w:w="2639" w:type="dxa"/>
            <w:vAlign w:val="center"/>
          </w:tcPr>
          <w:p>
            <w:pPr>
              <w:adjustRightInd w:val="0"/>
              <w:snapToGrid w:val="0"/>
              <w:jc w:val="center"/>
              <w:rPr>
                <w:color w:val="auto"/>
                <w:sz w:val="24"/>
              </w:rPr>
            </w:pPr>
            <w:r>
              <w:rPr>
                <w:rFonts w:hint="eastAsia"/>
                <w:color w:val="auto"/>
                <w:sz w:val="24"/>
              </w:rPr>
              <w:t>13333.4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02" w:type="dxa"/>
            <w:vAlign w:val="center"/>
          </w:tcPr>
          <w:p>
            <w:pPr>
              <w:autoSpaceDE w:val="0"/>
              <w:autoSpaceDN w:val="0"/>
              <w:adjustRightInd w:val="0"/>
              <w:snapToGrid w:val="0"/>
              <w:jc w:val="center"/>
              <w:rPr>
                <w:color w:val="auto"/>
                <w:kern w:val="0"/>
                <w:sz w:val="24"/>
              </w:rPr>
            </w:pPr>
            <w:r>
              <w:rPr>
                <w:color w:val="auto"/>
                <w:kern w:val="0"/>
                <w:sz w:val="24"/>
              </w:rPr>
              <w:t>专项评价设置情况</w:t>
            </w:r>
          </w:p>
        </w:tc>
        <w:tc>
          <w:tcPr>
            <w:tcW w:w="6968" w:type="dxa"/>
            <w:gridSpan w:val="3"/>
            <w:vAlign w:val="center"/>
          </w:tcPr>
          <w:p>
            <w:pPr>
              <w:autoSpaceDE w:val="0"/>
              <w:autoSpaceDN w:val="0"/>
              <w:adjustRightInd w:val="0"/>
              <w:snapToGrid w:val="0"/>
              <w:spacing w:before="120" w:beforeLines="50" w:line="360" w:lineRule="auto"/>
              <w:jc w:val="center"/>
              <w:rPr>
                <w:color w:val="auto"/>
                <w:kern w:val="0"/>
                <w:sz w:val="24"/>
              </w:rPr>
            </w:pPr>
            <w:r>
              <w:rPr>
                <w:rFonts w:hint="eastAsia"/>
                <w:color w:val="auto"/>
                <w:kern w:val="0"/>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02" w:type="dxa"/>
            <w:vAlign w:val="center"/>
          </w:tcPr>
          <w:p>
            <w:pPr>
              <w:autoSpaceDE w:val="0"/>
              <w:autoSpaceDN w:val="0"/>
              <w:adjustRightInd w:val="0"/>
              <w:snapToGrid w:val="0"/>
              <w:jc w:val="center"/>
              <w:rPr>
                <w:color w:val="auto"/>
                <w:kern w:val="0"/>
                <w:sz w:val="24"/>
              </w:rPr>
            </w:pPr>
            <w:r>
              <w:rPr>
                <w:color w:val="auto"/>
                <w:sz w:val="24"/>
              </w:rPr>
              <w:t>规划情况</w:t>
            </w:r>
          </w:p>
        </w:tc>
        <w:tc>
          <w:tcPr>
            <w:tcW w:w="6968" w:type="dxa"/>
            <w:gridSpan w:val="3"/>
            <w:vAlign w:val="center"/>
          </w:tcPr>
          <w:p>
            <w:pPr>
              <w:autoSpaceDE w:val="0"/>
              <w:autoSpaceDN w:val="0"/>
              <w:adjustRightInd w:val="0"/>
              <w:snapToGrid w:val="0"/>
              <w:ind w:firstLine="480" w:firstLineChars="200"/>
              <w:rPr>
                <w:rFonts w:hint="eastAsia" w:hAnsi="宋体"/>
                <w:color w:val="auto"/>
                <w:sz w:val="24"/>
                <w:lang w:val="en-US" w:eastAsia="zh-CN"/>
              </w:rPr>
            </w:pPr>
            <w:r>
              <w:rPr>
                <w:rFonts w:hint="eastAsia" w:hAnsi="宋体"/>
                <w:color w:val="auto"/>
                <w:sz w:val="24"/>
                <w:lang w:val="en-US" w:eastAsia="zh-CN"/>
              </w:rPr>
              <w:t>规划名称：</w:t>
            </w:r>
            <w:r>
              <w:rPr>
                <w:rFonts w:hint="eastAsia" w:hAnsi="宋体"/>
                <w:color w:val="auto"/>
                <w:sz w:val="24"/>
              </w:rPr>
              <w:t>《东莞东坑（乐昌）产业转移工业园》</w:t>
            </w:r>
            <w:r>
              <w:rPr>
                <w:rFonts w:hint="eastAsia" w:hAnsi="宋体"/>
                <w:color w:val="auto"/>
                <w:sz w:val="24"/>
                <w:lang w:val="en-US" w:eastAsia="zh-CN"/>
              </w:rPr>
              <w:t>；</w:t>
            </w:r>
          </w:p>
          <w:p>
            <w:pPr>
              <w:autoSpaceDE w:val="0"/>
              <w:autoSpaceDN w:val="0"/>
              <w:adjustRightInd w:val="0"/>
              <w:snapToGrid w:val="0"/>
              <w:ind w:firstLine="480" w:firstLineChars="200"/>
              <w:rPr>
                <w:rFonts w:hint="eastAsia" w:hAnsi="宋体"/>
                <w:color w:val="auto"/>
                <w:sz w:val="24"/>
                <w:lang w:val="en-US" w:eastAsia="zh-CN"/>
              </w:rPr>
            </w:pPr>
            <w:r>
              <w:rPr>
                <w:rFonts w:hint="eastAsia" w:hAnsi="宋体"/>
                <w:color w:val="auto"/>
                <w:sz w:val="24"/>
                <w:lang w:val="en-US" w:eastAsia="zh-CN"/>
              </w:rPr>
              <w:t>审批机关：于2006年9月经广东省人民政府批准设立；</w:t>
            </w:r>
          </w:p>
          <w:p>
            <w:pPr>
              <w:autoSpaceDE w:val="0"/>
              <w:autoSpaceDN w:val="0"/>
              <w:adjustRightInd w:val="0"/>
              <w:snapToGrid w:val="0"/>
              <w:ind w:firstLine="480" w:firstLineChars="200"/>
              <w:rPr>
                <w:color w:val="auto"/>
                <w:kern w:val="0"/>
                <w:sz w:val="24"/>
              </w:rPr>
            </w:pPr>
            <w:r>
              <w:rPr>
                <w:rFonts w:hint="eastAsia" w:hAnsi="宋体"/>
                <w:color w:val="auto"/>
                <w:sz w:val="24"/>
                <w:lang w:val="en-US" w:eastAsia="zh-CN"/>
              </w:rPr>
              <w:t>审批文号：粤经贸函〔2006〕877号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1902" w:type="dxa"/>
            <w:vAlign w:val="center"/>
          </w:tcPr>
          <w:p>
            <w:pPr>
              <w:adjustRightInd w:val="0"/>
              <w:snapToGrid w:val="0"/>
              <w:jc w:val="center"/>
              <w:rPr>
                <w:color w:val="auto"/>
                <w:sz w:val="24"/>
              </w:rPr>
            </w:pPr>
            <w:r>
              <w:rPr>
                <w:color w:val="auto"/>
                <w:sz w:val="24"/>
              </w:rPr>
              <w:t>规划环境影响</w:t>
            </w:r>
          </w:p>
          <w:p>
            <w:pPr>
              <w:adjustRightInd w:val="0"/>
              <w:snapToGrid w:val="0"/>
              <w:jc w:val="center"/>
              <w:rPr>
                <w:color w:val="auto"/>
                <w:kern w:val="0"/>
                <w:sz w:val="24"/>
              </w:rPr>
            </w:pPr>
            <w:r>
              <w:rPr>
                <w:color w:val="auto"/>
                <w:sz w:val="24"/>
              </w:rPr>
              <w:t>评价情况</w:t>
            </w:r>
          </w:p>
        </w:tc>
        <w:tc>
          <w:tcPr>
            <w:tcW w:w="6968" w:type="dxa"/>
            <w:gridSpan w:val="3"/>
            <w:vAlign w:val="center"/>
          </w:tcPr>
          <w:p>
            <w:pPr>
              <w:autoSpaceDE w:val="0"/>
              <w:autoSpaceDN w:val="0"/>
              <w:adjustRightInd w:val="0"/>
              <w:snapToGrid w:val="0"/>
              <w:spacing w:line="240" w:lineRule="auto"/>
              <w:ind w:firstLine="480" w:firstLineChars="200"/>
              <w:rPr>
                <w:rFonts w:hint="eastAsia" w:eastAsia="宋体"/>
                <w:color w:val="auto"/>
                <w:kern w:val="0"/>
                <w:sz w:val="24"/>
                <w:lang w:eastAsia="zh-CN"/>
              </w:rPr>
            </w:pPr>
            <w:r>
              <w:rPr>
                <w:rFonts w:hint="eastAsia"/>
                <w:color w:val="auto"/>
                <w:kern w:val="0"/>
                <w:sz w:val="24"/>
              </w:rPr>
              <w:t>《乐昌产业转移工业园二期规划环境影响报告书》于2</w:t>
            </w:r>
            <w:r>
              <w:rPr>
                <w:color w:val="auto"/>
                <w:kern w:val="0"/>
                <w:sz w:val="24"/>
              </w:rPr>
              <w:t>016</w:t>
            </w:r>
            <w:r>
              <w:rPr>
                <w:rFonts w:hint="eastAsia"/>
                <w:color w:val="auto"/>
                <w:kern w:val="0"/>
                <w:sz w:val="24"/>
              </w:rPr>
              <w:t>年8月取得原广东省环境保护厅关于印发《乐昌产业转移工业园二期规划环境影响报告书审查小组意见》的函</w:t>
            </w:r>
            <w:r>
              <w:rPr>
                <w:rFonts w:hint="eastAsia"/>
                <w:color w:val="auto"/>
                <w:kern w:val="0"/>
                <w:sz w:val="24"/>
                <w:lang w:eastAsia="zh-CN"/>
              </w:rPr>
              <w:t>（</w:t>
            </w:r>
            <w:r>
              <w:rPr>
                <w:rFonts w:hint="eastAsia"/>
                <w:color w:val="auto"/>
                <w:kern w:val="0"/>
                <w:sz w:val="24"/>
              </w:rPr>
              <w:t>粤环函</w:t>
            </w:r>
            <w:r>
              <w:rPr>
                <w:rFonts w:hint="eastAsia"/>
                <w:color w:val="auto"/>
                <w:kern w:val="0"/>
                <w:sz w:val="24"/>
                <w:lang w:eastAsia="zh-CN"/>
              </w:rPr>
              <w:t>〔</w:t>
            </w:r>
            <w:r>
              <w:rPr>
                <w:rFonts w:hint="eastAsia"/>
                <w:color w:val="auto"/>
                <w:kern w:val="0"/>
                <w:sz w:val="24"/>
              </w:rPr>
              <w:t>2016</w:t>
            </w:r>
            <w:r>
              <w:rPr>
                <w:rFonts w:hint="eastAsia"/>
                <w:color w:val="auto"/>
                <w:kern w:val="0"/>
                <w:sz w:val="24"/>
                <w:lang w:eastAsia="zh-CN"/>
              </w:rPr>
              <w:t>〕</w:t>
            </w:r>
            <w:r>
              <w:rPr>
                <w:color w:val="auto"/>
                <w:kern w:val="0"/>
                <w:sz w:val="24"/>
              </w:rPr>
              <w:t>956</w:t>
            </w:r>
            <w:r>
              <w:rPr>
                <w:rFonts w:hint="eastAsia"/>
                <w:color w:val="auto"/>
                <w:kern w:val="0"/>
                <w:sz w:val="24"/>
              </w:rPr>
              <w:t>号</w:t>
            </w:r>
            <w:r>
              <w:rPr>
                <w:rFonts w:hint="eastAsia"/>
                <w:color w:val="auto"/>
                <w:kern w:val="0"/>
                <w:sz w:val="24"/>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1902" w:type="dxa"/>
            <w:vAlign w:val="center"/>
          </w:tcPr>
          <w:p>
            <w:pPr>
              <w:autoSpaceDE w:val="0"/>
              <w:autoSpaceDN w:val="0"/>
              <w:adjustRightInd w:val="0"/>
              <w:snapToGrid w:val="0"/>
              <w:jc w:val="center"/>
              <w:rPr>
                <w:color w:val="auto"/>
                <w:kern w:val="0"/>
                <w:sz w:val="24"/>
              </w:rPr>
            </w:pPr>
            <w:r>
              <w:rPr>
                <w:color w:val="auto"/>
                <w:kern w:val="0"/>
                <w:sz w:val="24"/>
              </w:rPr>
              <w:t>规划及规划环境</w:t>
            </w:r>
          </w:p>
          <w:p>
            <w:pPr>
              <w:autoSpaceDE w:val="0"/>
              <w:autoSpaceDN w:val="0"/>
              <w:adjustRightInd w:val="0"/>
              <w:snapToGrid w:val="0"/>
              <w:jc w:val="center"/>
              <w:rPr>
                <w:color w:val="auto"/>
                <w:kern w:val="0"/>
                <w:sz w:val="24"/>
              </w:rPr>
            </w:pPr>
            <w:r>
              <w:rPr>
                <w:color w:val="auto"/>
                <w:kern w:val="0"/>
                <w:sz w:val="24"/>
              </w:rPr>
              <w:t>影响评价符合性分析</w:t>
            </w:r>
          </w:p>
        </w:tc>
        <w:tc>
          <w:tcPr>
            <w:tcW w:w="6968" w:type="dxa"/>
            <w:gridSpan w:val="3"/>
            <w:vAlign w:val="center"/>
          </w:tcPr>
          <w:p>
            <w:pPr>
              <w:widowControl/>
              <w:spacing w:line="360" w:lineRule="auto"/>
              <w:ind w:firstLine="480" w:firstLineChars="200"/>
              <w:rPr>
                <w:color w:val="auto"/>
                <w:kern w:val="0"/>
                <w:sz w:val="24"/>
              </w:rPr>
            </w:pPr>
            <w:r>
              <w:rPr>
                <w:rFonts w:hint="eastAsia"/>
                <w:color w:val="auto"/>
                <w:kern w:val="0"/>
                <w:sz w:val="24"/>
              </w:rPr>
              <w:t>本项目紧邻乐昌产业转移工业园以及广东乐昌经济开发区，根据已批复的乐昌产业转移工业园及广东乐昌经济开发区红线图，本项目选址不在已批复红线范围内。根据乐昌产业转移工业园管理委员会提供的乐昌产业转移工业园熟地及储备用地示意图</w:t>
            </w:r>
            <w:r>
              <w:rPr>
                <w:rFonts w:hint="eastAsia"/>
                <w:color w:val="auto"/>
                <w:kern w:val="0"/>
                <w:sz w:val="24"/>
                <w:lang w:eastAsia="zh-CN"/>
              </w:rPr>
              <w:t>（</w:t>
            </w:r>
            <w:r>
              <w:rPr>
                <w:rFonts w:hint="eastAsia"/>
                <w:color w:val="auto"/>
                <w:kern w:val="0"/>
                <w:sz w:val="24"/>
                <w:lang w:val="en-US" w:eastAsia="zh-CN"/>
              </w:rPr>
              <w:t>详见附图5</w:t>
            </w:r>
            <w:r>
              <w:rPr>
                <w:rFonts w:hint="eastAsia"/>
                <w:color w:val="auto"/>
                <w:kern w:val="0"/>
                <w:sz w:val="24"/>
                <w:lang w:eastAsia="zh-CN"/>
              </w:rPr>
              <w:t>）</w:t>
            </w:r>
            <w:r>
              <w:rPr>
                <w:rFonts w:hint="eastAsia"/>
                <w:color w:val="auto"/>
                <w:kern w:val="0"/>
                <w:sz w:val="24"/>
              </w:rPr>
              <w:t>，本项目纳入园区管理。</w:t>
            </w:r>
          </w:p>
          <w:p>
            <w:pPr>
              <w:widowControl/>
              <w:spacing w:line="360" w:lineRule="auto"/>
              <w:ind w:firstLine="480" w:firstLineChars="200"/>
              <w:rPr>
                <w:color w:val="auto"/>
                <w:kern w:val="0"/>
                <w:sz w:val="24"/>
              </w:rPr>
            </w:pPr>
            <w:r>
              <w:rPr>
                <w:rFonts w:hint="eastAsia" w:ascii="宋体" w:hAnsi="宋体" w:cs="宋体"/>
                <w:color w:val="auto"/>
                <w:kern w:val="0"/>
                <w:sz w:val="24"/>
                <w:lang w:bidi="ar"/>
              </w:rPr>
              <w:t>乐昌产业转移工业园园区拟引进的规划产业应符合主导产业要求，应为轻工纺织、机械制造、电子信息、家具制造、金属制品等产业。主要选择具有以下特点的企业：高附加值、高土地产出密度、高税收、高成长性、高关联效应、高技术层次与含量、无不良环境影响的产业。</w:t>
            </w:r>
            <w:r>
              <w:rPr>
                <w:rFonts w:hint="eastAsia"/>
                <w:color w:val="auto"/>
                <w:kern w:val="0"/>
                <w:sz w:val="24"/>
              </w:rPr>
              <w:t>引入产业需符合相关产业政策的要求，新引入企业不得包括《产业结构调整指导目录》（2019年本）限制类和淘汰类行业、工艺设备、产品。根据规划主导产业类型和清洁生产要求，重点发展</w:t>
            </w:r>
            <w:r>
              <w:rPr>
                <w:color w:val="auto"/>
                <w:sz w:val="24"/>
              </w:rPr>
              <w:t>轻工纺织、机械制造、电子信息、家具制造、金属制品产业</w:t>
            </w:r>
            <w:r>
              <w:rPr>
                <w:rFonts w:hint="eastAsia"/>
                <w:color w:val="auto"/>
                <w:kern w:val="0"/>
                <w:sz w:val="24"/>
              </w:rPr>
              <w:t>，优先引进无污染物或轻污染项目，</w:t>
            </w:r>
            <w:r>
              <w:rPr>
                <w:rFonts w:hint="eastAsia" w:ascii="宋体" w:hAnsi="宋体" w:cs="宋体"/>
                <w:color w:val="auto"/>
                <w:kern w:val="0"/>
                <w:sz w:val="24"/>
                <w:lang w:bidi="ar"/>
              </w:rPr>
              <w:t>严禁引入化学制浆、印染、电镀、鞣革、化工、有色、冶炼、发酵酿造和危险废物处置（不含医疗废物处置）、造纸、建材等重污染行业或者生产工序，不得引入新建向河流排放第一类污染物和持久性有机污染物的项目或者生产工序，重点发展无污染或轻污染、低水耗的产业。</w:t>
            </w:r>
          </w:p>
          <w:p>
            <w:pPr>
              <w:autoSpaceDE w:val="0"/>
              <w:autoSpaceDN w:val="0"/>
              <w:adjustRightInd w:val="0"/>
              <w:snapToGrid w:val="0"/>
              <w:spacing w:line="360" w:lineRule="auto"/>
              <w:ind w:firstLine="480" w:firstLineChars="200"/>
              <w:rPr>
                <w:color w:val="auto"/>
                <w:kern w:val="0"/>
                <w:sz w:val="24"/>
              </w:rPr>
            </w:pPr>
            <w:r>
              <w:rPr>
                <w:rFonts w:hint="eastAsia"/>
                <w:color w:val="auto"/>
                <w:kern w:val="0"/>
                <w:sz w:val="24"/>
              </w:rPr>
              <w:t>本项目为照明器具制造项目，属园区规划主导项目，满足国家和地方相关产业政策，不排放一类污染物和有毒有害物质，不向河流排放含汞、砷、镉、铬、铅等重金属污染物和持久性有机污染物，</w:t>
            </w:r>
            <w:r>
              <w:rPr>
                <w:color w:val="auto"/>
                <w:sz w:val="24"/>
              </w:rPr>
              <w:t>不属于乐昌产业转移工业园的禁止引入项目，符合乐昌产业转移工业园的准入要求</w:t>
            </w:r>
            <w:r>
              <w:rPr>
                <w:rFonts w:hint="eastAsia"/>
                <w:color w:val="auto"/>
                <w:kern w:val="0"/>
                <w:sz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1902" w:type="dxa"/>
            <w:vAlign w:val="center"/>
          </w:tcPr>
          <w:p>
            <w:pPr>
              <w:autoSpaceDE w:val="0"/>
              <w:autoSpaceDN w:val="0"/>
              <w:adjustRightInd w:val="0"/>
              <w:snapToGrid w:val="0"/>
              <w:jc w:val="center"/>
              <w:rPr>
                <w:color w:val="auto"/>
                <w:kern w:val="0"/>
                <w:sz w:val="24"/>
              </w:rPr>
            </w:pPr>
            <w:r>
              <w:rPr>
                <w:color w:val="auto"/>
                <w:kern w:val="0"/>
                <w:sz w:val="24"/>
              </w:rPr>
              <w:t>其他符合性分析</w:t>
            </w:r>
          </w:p>
        </w:tc>
        <w:tc>
          <w:tcPr>
            <w:tcW w:w="6968" w:type="dxa"/>
            <w:gridSpan w:val="3"/>
            <w:vAlign w:val="center"/>
          </w:tcPr>
          <w:p>
            <w:pPr>
              <w:autoSpaceDE w:val="0"/>
              <w:autoSpaceDN w:val="0"/>
              <w:adjustRightInd w:val="0"/>
              <w:snapToGrid w:val="0"/>
              <w:spacing w:line="360" w:lineRule="auto"/>
              <w:ind w:firstLine="482" w:firstLineChars="200"/>
              <w:jc w:val="left"/>
              <w:rPr>
                <w:b/>
                <w:color w:val="auto"/>
                <w:kern w:val="0"/>
                <w:sz w:val="24"/>
              </w:rPr>
            </w:pPr>
            <w:r>
              <w:rPr>
                <w:rFonts w:hint="eastAsia"/>
                <w:b/>
                <w:color w:val="auto"/>
                <w:kern w:val="0"/>
                <w:sz w:val="24"/>
              </w:rPr>
              <w:t>1.产业政策相符性</w:t>
            </w:r>
          </w:p>
          <w:p>
            <w:pPr>
              <w:pStyle w:val="38"/>
              <w:spacing w:line="360" w:lineRule="auto"/>
              <w:ind w:firstLine="480" w:firstLineChars="200"/>
              <w:rPr>
                <w:rFonts w:ascii="Times New Roman" w:hAnsi="Times New Roman" w:cs="Times New Roman"/>
                <w:color w:val="auto"/>
              </w:rPr>
            </w:pPr>
            <w:r>
              <w:rPr>
                <w:rFonts w:hint="eastAsia" w:ascii="Times New Roman" w:hAnsi="Times New Roman" w:cs="Times New Roman"/>
                <w:color w:val="auto"/>
                <w:kern w:val="0"/>
              </w:rPr>
              <w:t>本项目主要为照明器具制造，于20</w:t>
            </w:r>
            <w:r>
              <w:rPr>
                <w:rFonts w:ascii="Times New Roman" w:hAnsi="Times New Roman" w:cs="Times New Roman"/>
                <w:color w:val="auto"/>
                <w:kern w:val="0"/>
              </w:rPr>
              <w:t>22</w:t>
            </w:r>
            <w:r>
              <w:rPr>
                <w:rFonts w:hint="eastAsia" w:ascii="Times New Roman" w:hAnsi="Times New Roman" w:cs="Times New Roman"/>
                <w:color w:val="auto"/>
                <w:kern w:val="0"/>
              </w:rPr>
              <w:t>年7月获得乐昌市发展和改革局备案（项目代</w:t>
            </w:r>
            <w:r>
              <w:rPr>
                <w:rFonts w:ascii="Times New Roman" w:hAnsi="Times New Roman" w:cs="Times New Roman"/>
                <w:color w:val="auto"/>
                <w:kern w:val="0"/>
              </w:rPr>
              <w:t>码</w:t>
            </w:r>
            <w:r>
              <w:rPr>
                <w:rFonts w:ascii="Times New Roman" w:hAnsi="Times New Roman" w:cs="Times New Roman"/>
                <w:color w:val="auto"/>
              </w:rPr>
              <w:t>2206-440281-04-01-392182</w:t>
            </w:r>
            <w:r>
              <w:rPr>
                <w:rFonts w:hint="eastAsia" w:ascii="Times New Roman" w:hAnsi="Times New Roman" w:cs="Times New Roman"/>
                <w:color w:val="auto"/>
                <w:kern w:val="0"/>
              </w:rPr>
              <w:t>，见附件1）。经检索，不属于国家《产业结构调整指导目录（2019 年本）》及《国家发展改革委关于修改&lt;产业结构调整指导目录（2019年本）&gt;的决定》（中华人民共和国国家发展和改革委员会令第49号）中限制和淘汰类项目，不属于《市场准入负面清单（202</w:t>
            </w:r>
            <w:r>
              <w:rPr>
                <w:rFonts w:ascii="Times New Roman" w:hAnsi="Times New Roman" w:cs="Times New Roman"/>
                <w:color w:val="auto"/>
                <w:kern w:val="0"/>
              </w:rPr>
              <w:t>2</w:t>
            </w:r>
            <w:r>
              <w:rPr>
                <w:rFonts w:hint="eastAsia" w:ascii="Times New Roman" w:hAnsi="Times New Roman" w:cs="Times New Roman"/>
                <w:color w:val="auto"/>
                <w:kern w:val="0"/>
              </w:rPr>
              <w:t>年版）》和《广东省国家重点生态功能区产业准入负面清单（试行）》（粤发改规划</w:t>
            </w:r>
            <w:r>
              <w:rPr>
                <w:rFonts w:hint="eastAsia" w:hAnsi="宋体"/>
                <w:color w:val="auto"/>
                <w:kern w:val="0"/>
              </w:rPr>
              <w:t>〔</w:t>
            </w:r>
            <w:r>
              <w:rPr>
                <w:rFonts w:hint="eastAsia" w:ascii="Times New Roman" w:hAnsi="Times New Roman" w:cs="Times New Roman"/>
                <w:color w:val="auto"/>
                <w:kern w:val="0"/>
              </w:rPr>
              <w:t>2017</w:t>
            </w:r>
            <w:r>
              <w:rPr>
                <w:rFonts w:hint="eastAsia" w:hAnsi="宋体"/>
                <w:color w:val="auto"/>
                <w:kern w:val="0"/>
              </w:rPr>
              <w:t>〕</w:t>
            </w:r>
            <w:r>
              <w:rPr>
                <w:rFonts w:hint="eastAsia" w:ascii="Times New Roman" w:hAnsi="Times New Roman" w:cs="Times New Roman"/>
                <w:color w:val="auto"/>
                <w:kern w:val="0"/>
              </w:rPr>
              <w:t>331号）中所列负面清单，属允许类。因此，本项目符合国家及地方的相关产业政策。</w:t>
            </w:r>
          </w:p>
          <w:p>
            <w:pPr>
              <w:autoSpaceDE w:val="0"/>
              <w:autoSpaceDN w:val="0"/>
              <w:adjustRightInd w:val="0"/>
              <w:snapToGrid w:val="0"/>
              <w:spacing w:line="360" w:lineRule="auto"/>
              <w:ind w:firstLine="482" w:firstLineChars="200"/>
              <w:jc w:val="left"/>
              <w:rPr>
                <w:rFonts w:hint="eastAsia"/>
                <w:b/>
                <w:color w:val="auto"/>
                <w:kern w:val="0"/>
                <w:sz w:val="24"/>
              </w:rPr>
            </w:pPr>
            <w:r>
              <w:rPr>
                <w:rFonts w:hint="eastAsia"/>
                <w:b/>
                <w:color w:val="auto"/>
                <w:kern w:val="0"/>
                <w:sz w:val="24"/>
              </w:rPr>
              <w:t>2.选址合理性</w:t>
            </w:r>
          </w:p>
          <w:p>
            <w:pPr>
              <w:autoSpaceDE w:val="0"/>
              <w:autoSpaceDN w:val="0"/>
              <w:adjustRightInd w:val="0"/>
              <w:snapToGrid w:val="0"/>
              <w:spacing w:line="360" w:lineRule="auto"/>
              <w:ind w:firstLine="480" w:firstLineChars="200"/>
              <w:jc w:val="left"/>
              <w:rPr>
                <w:color w:val="auto"/>
                <w:sz w:val="24"/>
              </w:rPr>
            </w:pPr>
            <w:r>
              <w:rPr>
                <w:rFonts w:hint="eastAsia"/>
                <w:color w:val="auto"/>
                <w:sz w:val="24"/>
              </w:rPr>
              <w:t>本项目</w:t>
            </w:r>
            <w:r>
              <w:rPr>
                <w:rFonts w:hint="eastAsia"/>
                <w:color w:val="auto"/>
                <w:kern w:val="0"/>
                <w:sz w:val="24"/>
              </w:rPr>
              <w:t>紧邻乐昌产业转移工业园以及广东乐昌经济开发区</w:t>
            </w:r>
            <w:r>
              <w:rPr>
                <w:rFonts w:hint="eastAsia"/>
                <w:color w:val="auto"/>
                <w:sz w:val="24"/>
              </w:rPr>
              <w:t>，</w:t>
            </w:r>
            <w:r>
              <w:rPr>
                <w:rFonts w:hint="eastAsia"/>
                <w:color w:val="auto"/>
                <w:kern w:val="0"/>
                <w:sz w:val="24"/>
              </w:rPr>
              <w:t>纳入园区管理，</w:t>
            </w:r>
            <w:r>
              <w:rPr>
                <w:rFonts w:hint="eastAsia"/>
                <w:color w:val="auto"/>
                <w:sz w:val="24"/>
              </w:rPr>
              <w:t>选址位于韶关市乐昌市廊田镇乐园大道21号，地理位置图见附图1。厂址所在地，不涉及自然保护区、风景名胜区、饮用水源保护区、基本农田保护区等特殊、重要生态敏感目标，符合要求。</w:t>
            </w:r>
          </w:p>
          <w:p>
            <w:pPr>
              <w:autoSpaceDE w:val="0"/>
              <w:autoSpaceDN w:val="0"/>
              <w:adjustRightInd w:val="0"/>
              <w:snapToGrid w:val="0"/>
              <w:spacing w:line="360" w:lineRule="auto"/>
              <w:ind w:firstLine="480" w:firstLineChars="200"/>
              <w:jc w:val="left"/>
              <w:rPr>
                <w:rFonts w:hint="default" w:eastAsia="宋体"/>
                <w:color w:val="auto"/>
                <w:sz w:val="24"/>
                <w:lang w:val="en-US" w:eastAsia="zh-CN"/>
              </w:rPr>
            </w:pPr>
            <w:r>
              <w:rPr>
                <w:rFonts w:hint="eastAsia"/>
                <w:color w:val="auto"/>
                <w:sz w:val="24"/>
                <w:lang w:val="en-US" w:eastAsia="zh-CN"/>
              </w:rPr>
              <w:t>根据项目不动产权证（粤( 2022）乐昌市不动产权第0033049号）（详见附件4），项目所在地块属于工业用地，符合用地性质要求。</w:t>
            </w:r>
          </w:p>
          <w:p>
            <w:pPr>
              <w:autoSpaceDE w:val="0"/>
              <w:autoSpaceDN w:val="0"/>
              <w:adjustRightInd w:val="0"/>
              <w:snapToGrid w:val="0"/>
              <w:spacing w:line="360" w:lineRule="auto"/>
              <w:ind w:firstLine="480" w:firstLineChars="200"/>
              <w:jc w:val="left"/>
              <w:rPr>
                <w:b/>
                <w:color w:val="auto"/>
                <w:sz w:val="24"/>
              </w:rPr>
            </w:pPr>
            <w:r>
              <w:rPr>
                <w:rFonts w:hint="eastAsia"/>
                <w:color w:val="auto"/>
                <w:sz w:val="24"/>
              </w:rPr>
              <w:t>可见，本项目选址合理。</w:t>
            </w:r>
          </w:p>
          <w:p>
            <w:pPr>
              <w:autoSpaceDE w:val="0"/>
              <w:autoSpaceDN w:val="0"/>
              <w:adjustRightInd w:val="0"/>
              <w:snapToGrid w:val="0"/>
              <w:spacing w:line="360" w:lineRule="auto"/>
              <w:ind w:firstLine="482" w:firstLineChars="200"/>
              <w:jc w:val="left"/>
              <w:rPr>
                <w:b/>
                <w:color w:val="auto"/>
                <w:kern w:val="0"/>
                <w:sz w:val="24"/>
              </w:rPr>
            </w:pPr>
            <w:r>
              <w:rPr>
                <w:b/>
                <w:bCs/>
                <w:color w:val="auto"/>
                <w:kern w:val="0"/>
                <w:sz w:val="24"/>
              </w:rPr>
              <w:t>3</w:t>
            </w:r>
            <w:r>
              <w:rPr>
                <w:rFonts w:hint="eastAsia"/>
                <w:b/>
                <w:bCs/>
                <w:color w:val="auto"/>
                <w:kern w:val="0"/>
                <w:sz w:val="24"/>
              </w:rPr>
              <w:t>.与</w:t>
            </w:r>
            <w:r>
              <w:rPr>
                <w:rFonts w:hint="eastAsia"/>
                <w:b/>
                <w:color w:val="auto"/>
                <w:kern w:val="0"/>
                <w:sz w:val="24"/>
              </w:rPr>
              <w:t>韶关市“三线一单”相符性</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根据广东省人民政府《关于印发广东省“三线一单”生态环境分区管控方案的通知》（粤府〔2020〕71号）、《韶关市人民政府关于印发韶关市“三线一单”生态环境分区管控方案的通知》（韶府〔2021〕10号），从区域布局管控、能源资源利用、污染物排放管控和环境风险防控等方面明确准入要求，建立“1+3+N”三级生态环境准入清单体系。“1”为全省总体管控要求，“3”为“一核一带一区”区域管控要求，“N”为1912个陆域环境管控单元和471个海域环境管控单元的管控要求。本项目与“三线一单”相符性分析如下：</w:t>
            </w:r>
          </w:p>
          <w:p>
            <w:pPr>
              <w:autoSpaceDE w:val="0"/>
              <w:autoSpaceDN w:val="0"/>
              <w:adjustRightInd w:val="0"/>
              <w:snapToGrid w:val="0"/>
              <w:spacing w:line="360" w:lineRule="auto"/>
              <w:ind w:firstLine="480" w:firstLineChars="200"/>
              <w:jc w:val="left"/>
              <w:rPr>
                <w:bCs/>
                <w:color w:val="auto"/>
                <w:kern w:val="0"/>
                <w:sz w:val="24"/>
              </w:rPr>
            </w:pPr>
            <w:r>
              <w:rPr>
                <w:rFonts w:hint="eastAsia"/>
                <w:bCs/>
                <w:color w:val="auto"/>
                <w:kern w:val="0"/>
                <w:sz w:val="24"/>
              </w:rPr>
              <w:t>（1）与“一核一带一区”区域管控要求的相符性分析</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本项目所在区域为“一核一带一区”中的“一区”，即“北部生态发展区”。坚持生态优先，强化生态系统保护与修复，筑牢北部生态屏障。区域管控要求如下：</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区域布局管控要求。大力强化生态保护和建设，严格控制开发强度。重点加强南岭山地保护，推进广东南岭国家公园建设，保护生态系统完整性与生物多样性，构建和巩固北部生态屏障。引导工业项目科学布局，新建项目原则上入园管理，推动现有工业项目集中进园。推动绿色钢铁、有色金属、建筑材料等先进材料产业集群向规模化、绿色化、高端化转型发展，打造特色优势产业集群，积极推动中高时延大数据中心项目布局落地。科学布局现代农业产业平台，打造现代农业与食品产业集群。严格控制涉重金属及有毒有害污染物排放的项目建设，新建、改建、扩建涉重金属重点行业的项目应明确重金属污染物总量来源。逐步扩大高污染燃料禁燃区范围。</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ⅱ能源资源利用要求。进一步优化调整能源结构，鼓励使用天然气及可再生能源。县级及以上城市建成区，禁止新建每小时35蒸吨以下燃煤锅炉。原则上不再新建小水电以及除国家和省规划外的风电项目，对不符合生态环境要求的小水电进行清理整改。严格落实东江、北江、韩江流域等重要控制断面生态流量保障目标。推动矿产资源开发合理布局和节约集约利用，提高矿产资源开发项目准入门槛，严格执行开采总量指标管控，加快淘汰落后采选工艺，提高资源产出率。</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ⅲ污染物排放管控要求。在可核查、可监管的基础上，新建项目原则上实施氮氧化物和挥发性有机物等量替代。北江流域严格实行重点重金属污染物减量替代。加快镇级生活污水处理设施及配套管网建设，因地制宜建设农村生活污水处理设施。加强养殖污染防治，推动养殖尾水达标排放或资源化利用。加快推进钢铁、陶瓷、水泥等重点行业提标改造（或“煤改气”改造）。加快矿山改造升级，逐步达到绿色矿山建设要求，凡口铅锌矿及其周边、大宝山矿及其周边等区域严格执行部分重金属水污染物特别排放限值的相关规定。</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ⅳ环境风险防控要求。强化流域上游生态保护与水源涵养功能，建立完善突发环境事件应急管理体系，保障饮用水安全。加快落实受污染农用地的安全利用与严格管控措施，防范农产品重金属含量超标风险。加强尾矿库的环境风险排查与防范。加强金属矿采选、金属冶炼企业的重金属污染风险防控。强化选矿废水治理设施的升级改造，选矿废水原则上回用不外排。</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本项目属于照明灯具制造的生产建设项目，不涉及重金属和有毒有害污染物的产生和排放，故不涉及重金属排放总量指标，符合区域布局管控要求；项目生产全部使用电能，未燃用高污染燃料，符合能源资源利用要求；本项目不新增氮氧化物的总量控制指标</w:t>
            </w:r>
            <w:r>
              <w:rPr>
                <w:rFonts w:hint="eastAsia"/>
                <w:bCs/>
                <w:color w:val="auto"/>
                <w:kern w:val="0"/>
                <w:sz w:val="24"/>
                <w:highlight w:val="none"/>
              </w:rPr>
              <w:t>，新增挥发性有机物总量</w:t>
            </w:r>
            <w:r>
              <w:rPr>
                <w:rFonts w:hint="eastAsia"/>
                <w:bCs/>
                <w:color w:val="auto"/>
                <w:kern w:val="0"/>
                <w:sz w:val="24"/>
                <w:highlight w:val="none"/>
                <w:lang w:val="en-US" w:eastAsia="zh-CN"/>
              </w:rPr>
              <w:t>小于300kg</w:t>
            </w:r>
            <w:r>
              <w:rPr>
                <w:rFonts w:hint="eastAsia"/>
                <w:bCs/>
                <w:color w:val="auto"/>
                <w:kern w:val="0"/>
                <w:sz w:val="24"/>
                <w:highlight w:val="none"/>
              </w:rPr>
              <w:t>，无需分配总量控制指标；废水</w:t>
            </w:r>
            <w:r>
              <w:rPr>
                <w:rFonts w:hint="eastAsia"/>
                <w:bCs/>
                <w:color w:val="auto"/>
                <w:kern w:val="0"/>
                <w:sz w:val="24"/>
              </w:rPr>
              <w:t>不涉及排放一类重金属污染物，符合污染物排放管控要求；本项目不涉及受污染农用地的安全利用，不属于金属矿采选、金属冶炼企业，不涉及重金属污染风险，符合环境风险防控要求。</w:t>
            </w:r>
          </w:p>
          <w:p>
            <w:pPr>
              <w:autoSpaceDE w:val="0"/>
              <w:autoSpaceDN w:val="0"/>
              <w:adjustRightInd w:val="0"/>
              <w:snapToGrid w:val="0"/>
              <w:spacing w:line="360" w:lineRule="auto"/>
              <w:ind w:firstLine="480" w:firstLineChars="200"/>
              <w:jc w:val="left"/>
              <w:rPr>
                <w:bCs/>
                <w:color w:val="auto"/>
                <w:kern w:val="0"/>
                <w:sz w:val="24"/>
              </w:rPr>
            </w:pPr>
            <w:r>
              <w:rPr>
                <w:bCs/>
                <w:color w:val="auto"/>
                <w:kern w:val="0"/>
                <w:sz w:val="24"/>
              </w:rPr>
              <w:t>（2）</w:t>
            </w:r>
            <w:r>
              <w:rPr>
                <w:rFonts w:hint="eastAsia"/>
                <w:bCs/>
                <w:color w:val="auto"/>
                <w:kern w:val="0"/>
                <w:sz w:val="24"/>
              </w:rPr>
              <w:t>项目环境管控单元总体管控要求的相符性</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根据广东省“三线一单”数据管理及应用平台叠置分析（详见附图</w:t>
            </w:r>
            <w:r>
              <w:rPr>
                <w:rFonts w:hint="eastAsia"/>
                <w:bCs/>
                <w:color w:val="auto"/>
                <w:kern w:val="0"/>
                <w:sz w:val="24"/>
                <w:lang w:val="en-US" w:eastAsia="zh-CN"/>
              </w:rPr>
              <w:t>6</w:t>
            </w:r>
            <w:r>
              <w:rPr>
                <w:rFonts w:hint="eastAsia"/>
                <w:bCs/>
                <w:color w:val="auto"/>
                <w:kern w:val="0"/>
                <w:sz w:val="24"/>
              </w:rPr>
              <w:t>），本项目选址紧邻乐昌产业转移工业园，属于“ZH44028130001 乐昌市一般管控单元”</w:t>
            </w:r>
            <w:r>
              <w:rPr>
                <w:bCs/>
                <w:color w:val="auto"/>
                <w:kern w:val="0"/>
                <w:sz w:val="24"/>
              </w:rPr>
              <w:t>，总体管控要求如下：</w:t>
            </w:r>
          </w:p>
          <w:p>
            <w:pPr>
              <w:autoSpaceDE w:val="0"/>
              <w:autoSpaceDN w:val="0"/>
              <w:adjustRightInd w:val="0"/>
              <w:snapToGrid w:val="0"/>
              <w:spacing w:line="360" w:lineRule="auto"/>
              <w:jc w:val="center"/>
              <w:rPr>
                <w:b/>
                <w:color w:val="auto"/>
                <w:kern w:val="0"/>
                <w:sz w:val="24"/>
                <w:highlight w:val="none"/>
              </w:rPr>
            </w:pPr>
            <w:r>
              <w:rPr>
                <w:rFonts w:hint="eastAsia"/>
                <w:b/>
                <w:color w:val="auto"/>
                <w:kern w:val="0"/>
                <w:sz w:val="24"/>
                <w:highlight w:val="none"/>
              </w:rPr>
              <w:t>表</w:t>
            </w:r>
            <w:r>
              <w:rPr>
                <w:rFonts w:hint="eastAsia"/>
                <w:b/>
                <w:color w:val="auto"/>
                <w:kern w:val="0"/>
                <w:sz w:val="24"/>
                <w:highlight w:val="none"/>
                <w:lang w:val="en-US" w:eastAsia="zh-CN"/>
              </w:rPr>
              <w:t>1-</w:t>
            </w:r>
            <w:r>
              <w:rPr>
                <w:rFonts w:hint="eastAsia"/>
                <w:b/>
                <w:color w:val="auto"/>
                <w:kern w:val="0"/>
                <w:sz w:val="24"/>
                <w:highlight w:val="none"/>
              </w:rPr>
              <w:t>1 环境管控单元要求相符性分析表</w:t>
            </w:r>
          </w:p>
          <w:tbl>
            <w:tblPr>
              <w:tblStyle w:val="80"/>
              <w:tblW w:w="67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495"/>
              <w:gridCol w:w="1635"/>
              <w:gridCol w:w="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720" w:type="dxa"/>
                  <w:vAlign w:val="center"/>
                </w:tcPr>
                <w:p>
                  <w:pPr>
                    <w:pStyle w:val="38"/>
                    <w:adjustRightInd/>
                    <w:jc w:val="center"/>
                    <w:rPr>
                      <w:rFonts w:ascii="Times New Roman" w:hAnsi="Times New Roman" w:eastAsia="Times New Roman" w:cs="Times New Roman"/>
                      <w:b/>
                      <w:bCs/>
                      <w:color w:val="auto"/>
                      <w:kern w:val="0"/>
                      <w:sz w:val="21"/>
                      <w:szCs w:val="21"/>
                    </w:rPr>
                  </w:pPr>
                  <w:r>
                    <w:rPr>
                      <w:rFonts w:hint="eastAsia" w:ascii="Times New Roman" w:hAnsi="Times New Roman" w:eastAsia="Times New Roman" w:cs="Times New Roman"/>
                      <w:b/>
                      <w:bCs/>
                      <w:color w:val="auto"/>
                      <w:kern w:val="0"/>
                      <w:sz w:val="21"/>
                      <w:szCs w:val="21"/>
                    </w:rPr>
                    <w:t>管控维度</w:t>
                  </w:r>
                </w:p>
              </w:tc>
              <w:tc>
                <w:tcPr>
                  <w:tcW w:w="3495" w:type="dxa"/>
                  <w:vAlign w:val="center"/>
                </w:tcPr>
                <w:p>
                  <w:pPr>
                    <w:pStyle w:val="38"/>
                    <w:adjustRightInd/>
                    <w:jc w:val="center"/>
                    <w:rPr>
                      <w:rFonts w:ascii="Times New Roman" w:hAnsi="Times New Roman" w:eastAsia="Times New Roman" w:cs="Times New Roman"/>
                      <w:b/>
                      <w:bCs/>
                      <w:color w:val="auto"/>
                      <w:kern w:val="0"/>
                      <w:sz w:val="21"/>
                      <w:szCs w:val="21"/>
                    </w:rPr>
                  </w:pPr>
                  <w:r>
                    <w:rPr>
                      <w:rFonts w:hint="eastAsia" w:ascii="Times New Roman" w:hAnsi="Times New Roman" w:eastAsia="Times New Roman" w:cs="Times New Roman"/>
                      <w:b/>
                      <w:bCs/>
                      <w:color w:val="auto"/>
                      <w:kern w:val="0"/>
                      <w:sz w:val="21"/>
                      <w:szCs w:val="21"/>
                    </w:rPr>
                    <w:t>管控要求</w:t>
                  </w:r>
                </w:p>
              </w:tc>
              <w:tc>
                <w:tcPr>
                  <w:tcW w:w="1635" w:type="dxa"/>
                  <w:vAlign w:val="center"/>
                </w:tcPr>
                <w:p>
                  <w:pPr>
                    <w:pStyle w:val="38"/>
                    <w:adjustRightInd/>
                    <w:jc w:val="center"/>
                    <w:rPr>
                      <w:rFonts w:ascii="Times New Roman" w:hAnsi="Times New Roman" w:eastAsia="Times New Roman" w:cs="Times New Roman"/>
                      <w:b/>
                      <w:bCs/>
                      <w:color w:val="auto"/>
                      <w:kern w:val="0"/>
                      <w:sz w:val="21"/>
                      <w:szCs w:val="21"/>
                    </w:rPr>
                  </w:pPr>
                  <w:r>
                    <w:rPr>
                      <w:rFonts w:hint="eastAsia" w:ascii="Times New Roman" w:hAnsi="Times New Roman" w:eastAsia="Times New Roman" w:cs="Times New Roman"/>
                      <w:b/>
                      <w:bCs/>
                      <w:color w:val="auto"/>
                      <w:kern w:val="0"/>
                      <w:sz w:val="21"/>
                      <w:szCs w:val="21"/>
                    </w:rPr>
                    <w:t>本项目情况</w:t>
                  </w:r>
                </w:p>
              </w:tc>
              <w:tc>
                <w:tcPr>
                  <w:tcW w:w="885" w:type="dxa"/>
                  <w:vAlign w:val="center"/>
                </w:tcPr>
                <w:p>
                  <w:pPr>
                    <w:pStyle w:val="38"/>
                    <w:adjustRightInd/>
                    <w:jc w:val="center"/>
                    <w:rPr>
                      <w:rFonts w:ascii="Times New Roman" w:hAnsi="Times New Roman" w:eastAsia="Times New Roman" w:cs="Times New Roman"/>
                      <w:b/>
                      <w:bCs/>
                      <w:color w:val="auto"/>
                      <w:kern w:val="0"/>
                      <w:sz w:val="21"/>
                      <w:szCs w:val="21"/>
                    </w:rPr>
                  </w:pPr>
                  <w:r>
                    <w:rPr>
                      <w:rFonts w:hint="eastAsia" w:ascii="Times New Roman" w:hAnsi="Times New Roman" w:eastAsia="Times New Roman" w:cs="Times New Roman"/>
                      <w:b/>
                      <w:bCs/>
                      <w:color w:val="auto"/>
                      <w:kern w:val="0"/>
                      <w:sz w:val="21"/>
                      <w:szCs w:val="21"/>
                    </w:rPr>
                    <w:t>相符性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jc w:val="center"/>
              </w:trPr>
              <w:tc>
                <w:tcPr>
                  <w:tcW w:w="720" w:type="dxa"/>
                  <w:vMerge w:val="restart"/>
                  <w:vAlign w:val="center"/>
                </w:tcPr>
                <w:p>
                  <w:pPr>
                    <w:pStyle w:val="38"/>
                    <w:adjustRightInd/>
                    <w:jc w:val="center"/>
                    <w:rPr>
                      <w:rFonts w:ascii="Times New Roman" w:hAnsi="Times New Roman" w:eastAsia="Times New Roman" w:cs="Times New Roman"/>
                      <w:b/>
                      <w:bCs/>
                      <w:color w:val="auto"/>
                      <w:kern w:val="0"/>
                      <w:sz w:val="21"/>
                      <w:szCs w:val="21"/>
                    </w:rPr>
                  </w:pPr>
                  <w:r>
                    <w:rPr>
                      <w:rFonts w:ascii="Times New Roman" w:hAnsi="Times New Roman" w:eastAsia="Times New Roman" w:cs="Times New Roman"/>
                      <w:b/>
                      <w:bCs/>
                      <w:color w:val="auto"/>
                      <w:kern w:val="0"/>
                      <w:sz w:val="21"/>
                      <w:szCs w:val="21"/>
                    </w:rPr>
                    <w:t>区域布局管控</w:t>
                  </w: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-1.【产业/鼓励引导类】以粤湘桂三省边界区域为服务范围，以应急救援、旅游观光、飞行体验及培训为重点，大力推动乐昌通用机场建设。通过政府引导、市场运作，加快坪石发电厂集中供热管网向宜章县境内热负荷集中区域延伸，促进区域内资源高效循环利用。对接中国（郴州）跨境电子商务综合试验区，协调推动坪石、白石渡等货运站场改造，加快运力整合及集疏运体系建设，共同打造粤湘桂边界现代物流中心。</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6"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1-2.【生态/禁止类】生态保护红线内，严格禁止开发性、生产性建设活动，在符合现行法律法规前提下，除国家重大战略项目外，仅允许对生态功能不造成破坏的有限人为活动。</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本项目选址位于生态空间一般管控区，不涉及生态保护红线。</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7"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-3.【生态/限制类】单元内一般生态空间，加强生态保护与恢复，恢复与重建水源涵养区森林、湿地等生态系统，提高生态系统的水源涵养能力。原则上禁止在25度以上的陡坡地开垦种植农作物，禁止在崩塌、滑坡危险区、泥石流易发区从事采石、取土、采砂等可能造成水土流失的活动。禁止从事非法猎捕、毒杀、采伐、采集野生动植物等活动，禁止破坏野生动物栖息地。一般生态空间内的人工商品林，允许依法进行抚育采伐、择伐和树种更新等经营活动。一般生态空间内可进行已纳入市级及以上矿产资源开发利用规划采矿权与探矿权的新设、延续，新设和延续的矿山应满足绿色矿山的相关要求。一般生态空间的风电项目须符合省级及以上的开发利用规划，光伏发电项目应满足土地使用的相关要求。</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本项目选址位于生态空间一般管控区，不涉及一般生态空间。</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1-4.【产业/限制类】严格限制新建除热电联产以外的煤电项目；严格限制新（改、扩）建钢铁、建材（平板玻璃）、焦化、有色、石化等高污染行业项目。</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本项目不属于煤电项目、高污染行业项目。</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8"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1-5 【水/限制类】严格执行畜禽养殖禁养区管理要求，畜禽养殖禁养区内严禁建设规模化畜禽养殖场和规模化畜禽养殖小区，禁养区外的养殖场应配套污染防治设施。</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1"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-6.【岸线/限制类】岸线优先保护区内，严格水域岸线用途管制，新建项目一律不得违规占用水域（国家和省的重点项目除外）。严禁破坏生态的岸线利用行为和不符合其功能定位的开发建设活动，严禁围垦湖泊、非法采砂等。</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1-7.【矿产/限制类】严格控制矿产资源开采及冶炼过程中产生环境污染和生态破坏。严禁在基本农田保护区、居民集中区等环境敏感地区审批新增有镉、汞、砷、铅、铬5种重金属排放的矿产资源开发利用项目。</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-8.【其他/综合类】对生态公益林及境内生态脆弱区的林草地实施封育保护，逐步扩大生态公益林保护面积。对面状等轻度水土流失采取封禁、植物措施等进行治理，对坡地、火烧迹地等严重水土流失采取工程措施和植物措施进行综合整治。</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-9.【其他/综合类】推进石漠化治理，实施封山育林、植树造林、退耕还林，开展渠道、陂头和山塘建设。积极推进天然林生态修复与林分改造，加快岩溶地区石漠化治理和重点区域水土流失防治，统筹推进森林进城围城工程、重点林业生态工程。因地制宜采取封山育林、人工造林、退耕还林、土地综合整治等多种措施，着力加强森林植被保护与恢复，推进水土资源合理利用</w:t>
                  </w:r>
                  <w:r>
                    <w:rPr>
                      <w:rFonts w:hint="eastAsia" w:ascii="Times New Roman" w:hAnsi="Times New Roman" w:cs="Times New Roman"/>
                      <w:color w:val="auto"/>
                      <w:kern w:val="0"/>
                      <w:sz w:val="21"/>
                      <w:szCs w:val="21"/>
                      <w:lang w:eastAsia="zh-CN"/>
                    </w:rPr>
                    <w:t>。</w:t>
                  </w:r>
                  <w:r>
                    <w:rPr>
                      <w:rFonts w:ascii="Times New Roman" w:hAnsi="Times New Roman" w:eastAsia="Times New Roman" w:cs="Times New Roman"/>
                      <w:color w:val="auto"/>
                      <w:kern w:val="0"/>
                      <w:sz w:val="21"/>
                      <w:szCs w:val="21"/>
                    </w:rPr>
                    <w:t>对石漠化和其他特别脆弱地区，在经过综合评估后，可考虑采</w:t>
                  </w:r>
                  <w:r>
                    <w:rPr>
                      <w:rFonts w:hint="eastAsia" w:hAnsi="宋体" w:eastAsia="Times New Roman"/>
                      <w:color w:val="auto"/>
                      <w:kern w:val="0"/>
                      <w:sz w:val="21"/>
                      <w:szCs w:val="21"/>
                    </w:rPr>
                    <w:t>取“光伏+”的形</w:t>
                  </w:r>
                  <w:r>
                    <w:rPr>
                      <w:rFonts w:ascii="Times New Roman" w:hAnsi="Times New Roman" w:eastAsia="Times New Roman" w:cs="Times New Roman"/>
                      <w:color w:val="auto"/>
                      <w:kern w:val="0"/>
                      <w:sz w:val="21"/>
                      <w:szCs w:val="21"/>
                    </w:rPr>
                    <w:t>式推进修复工作。</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1-10.【土壤/禁止类】禁止在居民区和学校、医院、疗养院、养老院等单位周边新建、改建、扩建可能造成土壤污染的建设项目。</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highlight w:val="none"/>
                    </w:rPr>
                    <w:t>本项目500m范围内存在</w:t>
                  </w:r>
                  <w:r>
                    <w:rPr>
                      <w:rFonts w:hint="eastAsia" w:ascii="Times New Roman" w:hAnsi="Times New Roman" w:eastAsia="宋体" w:cs="Times New Roman"/>
                      <w:color w:val="auto"/>
                      <w:kern w:val="0"/>
                      <w:sz w:val="21"/>
                      <w:szCs w:val="21"/>
                      <w:highlight w:val="none"/>
                      <w:lang w:val="en-US" w:eastAsia="zh-CN"/>
                    </w:rPr>
                    <w:t>的</w:t>
                  </w:r>
                  <w:r>
                    <w:rPr>
                      <w:rFonts w:hint="eastAsia" w:ascii="Times New Roman" w:hAnsi="Times New Roman" w:eastAsia="Times New Roman" w:cs="Times New Roman"/>
                      <w:color w:val="auto"/>
                      <w:kern w:val="0"/>
                      <w:sz w:val="21"/>
                      <w:szCs w:val="21"/>
                      <w:highlight w:val="none"/>
                    </w:rPr>
                    <w:t>环境敏感点</w:t>
                  </w:r>
                  <w:r>
                    <w:rPr>
                      <w:rFonts w:hint="eastAsia" w:ascii="Times New Roman" w:hAnsi="Times New Roman" w:eastAsia="宋体" w:cs="Times New Roman"/>
                      <w:color w:val="auto"/>
                      <w:kern w:val="0"/>
                      <w:sz w:val="21"/>
                      <w:szCs w:val="21"/>
                      <w:highlight w:val="none"/>
                      <w:lang w:val="en-US" w:eastAsia="zh-CN"/>
                    </w:rPr>
                    <w:t>为东北面370m处的</w:t>
                  </w:r>
                  <w:r>
                    <w:rPr>
                      <w:rFonts w:hint="eastAsia" w:ascii="Times New Roman" w:hAnsi="Times New Roman" w:eastAsia="Times New Roman" w:cs="Times New Roman"/>
                      <w:color w:val="auto"/>
                      <w:kern w:val="0"/>
                      <w:sz w:val="21"/>
                      <w:szCs w:val="21"/>
                      <w:highlight w:val="none"/>
                    </w:rPr>
                    <w:t>付村</w:t>
                  </w:r>
                  <w:r>
                    <w:rPr>
                      <w:rFonts w:ascii="Times New Roman" w:hAnsi="Times New Roman" w:eastAsia="Times New Roman" w:cs="Times New Roman"/>
                      <w:color w:val="auto"/>
                      <w:kern w:val="0"/>
                      <w:sz w:val="21"/>
                      <w:szCs w:val="21"/>
                      <w:highlight w:val="none"/>
                    </w:rPr>
                    <w:t>，</w:t>
                  </w:r>
                  <w:r>
                    <w:rPr>
                      <w:rFonts w:hint="eastAsia" w:ascii="Times New Roman" w:hAnsi="Times New Roman" w:eastAsia="Times New Roman" w:cs="Times New Roman"/>
                      <w:color w:val="auto"/>
                      <w:kern w:val="0"/>
                      <w:sz w:val="21"/>
                      <w:szCs w:val="21"/>
                      <w:highlight w:val="none"/>
                    </w:rPr>
                    <w:t>项目运营期大气污染较小，且与附近敏感点保持合理间距，不会造成</w:t>
                  </w:r>
                  <w:r>
                    <w:rPr>
                      <w:rFonts w:ascii="Times New Roman" w:hAnsi="Times New Roman" w:eastAsia="Times New Roman" w:cs="Times New Roman"/>
                      <w:color w:val="auto"/>
                      <w:kern w:val="0"/>
                      <w:sz w:val="21"/>
                      <w:szCs w:val="21"/>
                      <w:highlight w:val="none"/>
                    </w:rPr>
                    <w:t>土壤污染</w:t>
                  </w:r>
                  <w:r>
                    <w:rPr>
                      <w:rFonts w:hint="eastAsia" w:ascii="Times New Roman" w:hAnsi="Times New Roman" w:eastAsia="Times New Roman" w:cs="Times New Roman"/>
                      <w:color w:val="auto"/>
                      <w:kern w:val="0"/>
                      <w:sz w:val="21"/>
                      <w:szCs w:val="21"/>
                      <w:highlight w:val="none"/>
                    </w:rPr>
                    <w:t>。</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jc w:val="center"/>
              </w:trPr>
              <w:tc>
                <w:tcPr>
                  <w:tcW w:w="720" w:type="dxa"/>
                  <w:vAlign w:val="center"/>
                </w:tcPr>
                <w:p>
                  <w:pPr>
                    <w:pStyle w:val="38"/>
                    <w:adjustRightInd/>
                    <w:jc w:val="center"/>
                    <w:rPr>
                      <w:rFonts w:ascii="Times New Roman" w:hAnsi="Times New Roman" w:eastAsia="Times New Roman" w:cs="Times New Roman"/>
                      <w:b/>
                      <w:bCs/>
                      <w:color w:val="auto"/>
                      <w:kern w:val="0"/>
                      <w:sz w:val="21"/>
                      <w:szCs w:val="21"/>
                    </w:rPr>
                  </w:pPr>
                  <w:r>
                    <w:rPr>
                      <w:rFonts w:ascii="Times New Roman" w:hAnsi="Times New Roman" w:eastAsia="Times New Roman" w:cs="Times New Roman"/>
                      <w:b/>
                      <w:bCs/>
                      <w:color w:val="auto"/>
                      <w:kern w:val="0"/>
                      <w:sz w:val="21"/>
                      <w:szCs w:val="21"/>
                    </w:rPr>
                    <w:t>能源资源利用</w:t>
                  </w: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2-1.【水资源/综合类】贯彻落</w:t>
                  </w:r>
                  <w:r>
                    <w:rPr>
                      <w:rFonts w:hint="eastAsia" w:hAnsi="宋体" w:eastAsia="Times New Roman"/>
                      <w:color w:val="auto"/>
                      <w:kern w:val="0"/>
                      <w:sz w:val="21"/>
                      <w:szCs w:val="21"/>
                    </w:rPr>
                    <w:t>实“节水优先”方针，实行最严</w:t>
                  </w:r>
                  <w:r>
                    <w:rPr>
                      <w:rFonts w:ascii="Times New Roman" w:hAnsi="Times New Roman" w:eastAsia="Times New Roman" w:cs="Times New Roman"/>
                      <w:color w:val="auto"/>
                      <w:kern w:val="0"/>
                      <w:sz w:val="21"/>
                      <w:szCs w:val="21"/>
                    </w:rPr>
                    <w:t>格水资源管理制度。严格控制用水总量。</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本项目</w:t>
                  </w:r>
                  <w:r>
                    <w:rPr>
                      <w:rFonts w:hint="eastAsia" w:ascii="Times New Roman" w:hAnsi="Times New Roman" w:eastAsia="Times New Roman" w:cs="Times New Roman"/>
                      <w:color w:val="auto"/>
                      <w:kern w:val="0"/>
                      <w:sz w:val="21"/>
                      <w:szCs w:val="21"/>
                    </w:rPr>
                    <w:t>生产用水循环使用</w:t>
                  </w:r>
                  <w:r>
                    <w:rPr>
                      <w:rFonts w:ascii="Times New Roman" w:hAnsi="Times New Roman" w:eastAsia="Times New Roman" w:cs="Times New Roman"/>
                      <w:color w:val="auto"/>
                      <w:kern w:val="0"/>
                      <w:sz w:val="21"/>
                      <w:szCs w:val="21"/>
                    </w:rPr>
                    <w:t>。</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7" w:hRule="atLeast"/>
                <w:jc w:val="center"/>
              </w:trPr>
              <w:tc>
                <w:tcPr>
                  <w:tcW w:w="720" w:type="dxa"/>
                  <w:vMerge w:val="restart"/>
                  <w:vAlign w:val="center"/>
                </w:tcPr>
                <w:p>
                  <w:pPr>
                    <w:pStyle w:val="38"/>
                    <w:adjustRightInd/>
                    <w:jc w:val="center"/>
                    <w:rPr>
                      <w:rFonts w:ascii="Times New Roman" w:hAnsi="Times New Roman" w:eastAsia="Times New Roman" w:cs="Times New Roman"/>
                      <w:b/>
                      <w:bCs/>
                      <w:color w:val="auto"/>
                      <w:kern w:val="0"/>
                      <w:sz w:val="21"/>
                      <w:szCs w:val="21"/>
                    </w:rPr>
                  </w:pPr>
                  <w:r>
                    <w:rPr>
                      <w:rFonts w:ascii="Times New Roman" w:hAnsi="Times New Roman" w:eastAsia="Times New Roman" w:cs="Times New Roman"/>
                      <w:b/>
                      <w:bCs/>
                      <w:color w:val="auto"/>
                      <w:kern w:val="0"/>
                      <w:sz w:val="21"/>
                      <w:szCs w:val="21"/>
                    </w:rPr>
                    <w:t>污染物排放管控</w:t>
                  </w: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3-1.【水/限制类】新建、改建、扩建增加重金属污染物排放总量的建设项目应通过实</w:t>
                  </w:r>
                  <w:r>
                    <w:rPr>
                      <w:rFonts w:hint="eastAsia" w:hAnsi="宋体" w:eastAsia="Times New Roman"/>
                      <w:color w:val="auto"/>
                      <w:kern w:val="0"/>
                      <w:sz w:val="21"/>
                      <w:szCs w:val="21"/>
                    </w:rPr>
                    <w:t>施“区域削减”，</w:t>
                  </w:r>
                  <w:r>
                    <w:rPr>
                      <w:rFonts w:ascii="Times New Roman" w:hAnsi="Times New Roman" w:eastAsia="Times New Roman" w:cs="Times New Roman"/>
                      <w:color w:val="auto"/>
                      <w:kern w:val="0"/>
                      <w:sz w:val="21"/>
                      <w:szCs w:val="21"/>
                    </w:rPr>
                    <w:t>实现增产减污。铅锌工业废水中总锌、总铅、总镉、总汞、总砷、总镍、总铬执行《铅、锌工业污染物排放标准》（GB 25466-2010）特别排放限值。</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本项目</w:t>
                  </w:r>
                  <w:r>
                    <w:rPr>
                      <w:rFonts w:hint="eastAsia" w:ascii="Times New Roman" w:hAnsi="Times New Roman" w:eastAsia="Times New Roman" w:cs="Times New Roman"/>
                      <w:color w:val="auto"/>
                      <w:kern w:val="0"/>
                      <w:sz w:val="21"/>
                      <w:szCs w:val="21"/>
                    </w:rPr>
                    <w:t>不涉及</w:t>
                  </w:r>
                  <w:r>
                    <w:rPr>
                      <w:rFonts w:ascii="Times New Roman" w:hAnsi="Times New Roman" w:eastAsia="Times New Roman" w:cs="Times New Roman"/>
                      <w:color w:val="auto"/>
                      <w:kern w:val="0"/>
                      <w:sz w:val="21"/>
                      <w:szCs w:val="21"/>
                    </w:rPr>
                    <w:t>重金属污染物排放。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3-2.【水/综合类】持续推进化肥农药减量增效，加强种植业、水产养殖业废水收集处理，鼓励实施农田灌溉退水生态治理。</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720" w:type="dxa"/>
                  <w:vMerge w:val="continue"/>
                  <w:vAlign w:val="center"/>
                </w:tcPr>
                <w:p>
                  <w:pPr>
                    <w:pStyle w:val="38"/>
                    <w:adjustRightInd/>
                    <w:jc w:val="center"/>
                    <w:rPr>
                      <w:rFonts w:ascii="Times New Roman" w:hAnsi="Times New Roman" w:eastAsia="Times New Roman" w:cs="Times New Roman"/>
                      <w:b/>
                      <w:bCs/>
                      <w:color w:val="auto"/>
                      <w:kern w:val="0"/>
                      <w:sz w:val="21"/>
                      <w:szCs w:val="21"/>
                    </w:rPr>
                  </w:pP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3-3.【水/综合类】以集中处理为主、分散处理为辅，科学筛选适合本地区的污水治理模式、技术和设施设备，因地制宜加强农村生活污水处理。</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7" w:hRule="atLeast"/>
                <w:jc w:val="center"/>
              </w:trPr>
              <w:tc>
                <w:tcPr>
                  <w:tcW w:w="720" w:type="dxa"/>
                  <w:vAlign w:val="center"/>
                </w:tcPr>
                <w:p>
                  <w:pPr>
                    <w:pStyle w:val="38"/>
                    <w:adjustRightInd/>
                    <w:jc w:val="center"/>
                    <w:rPr>
                      <w:rFonts w:ascii="Times New Roman" w:hAnsi="Times New Roman" w:eastAsia="Times New Roman" w:cs="Times New Roman"/>
                      <w:b/>
                      <w:bCs/>
                      <w:color w:val="auto"/>
                      <w:kern w:val="0"/>
                      <w:sz w:val="21"/>
                      <w:szCs w:val="21"/>
                    </w:rPr>
                  </w:pPr>
                  <w:r>
                    <w:rPr>
                      <w:rFonts w:ascii="Times New Roman" w:hAnsi="Times New Roman" w:eastAsia="Times New Roman" w:cs="Times New Roman"/>
                      <w:b/>
                      <w:bCs/>
                      <w:color w:val="auto"/>
                      <w:kern w:val="0"/>
                      <w:sz w:val="21"/>
                      <w:szCs w:val="21"/>
                    </w:rPr>
                    <w:t>环境风险防控</w:t>
                  </w:r>
                </w:p>
              </w:tc>
              <w:tc>
                <w:tcPr>
                  <w:tcW w:w="3495" w:type="dxa"/>
                  <w:vAlign w:val="center"/>
                </w:tcPr>
                <w:p>
                  <w:pPr>
                    <w:pStyle w:val="38"/>
                    <w:adjustRightInd/>
                    <w:jc w:val="center"/>
                    <w:rPr>
                      <w:rFonts w:ascii="Times New Roman" w:hAnsi="Times New Roman" w:eastAsia="Times New Roman" w:cs="Times New Roman"/>
                      <w:color w:val="auto"/>
                      <w:kern w:val="0"/>
                      <w:sz w:val="21"/>
                      <w:szCs w:val="21"/>
                    </w:rPr>
                  </w:pPr>
                  <w:r>
                    <w:rPr>
                      <w:rFonts w:ascii="Times New Roman" w:hAnsi="Times New Roman" w:eastAsia="Times New Roman" w:cs="Times New Roman"/>
                      <w:color w:val="auto"/>
                      <w:kern w:val="0"/>
                      <w:sz w:val="21"/>
                      <w:szCs w:val="21"/>
                    </w:rPr>
                    <w:t>4-1.【其他/综合类】建立健全政府主导、部门协调、分级负责的环境应急管理机制，构建多级环境风险应急预案体系，加强和完善基层环境应急管理。</w:t>
                  </w:r>
                </w:p>
              </w:tc>
              <w:tc>
                <w:tcPr>
                  <w:tcW w:w="163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本项目不涉及该条款。</w:t>
                  </w:r>
                </w:p>
              </w:tc>
              <w:tc>
                <w:tcPr>
                  <w:tcW w:w="885" w:type="dxa"/>
                  <w:vAlign w:val="center"/>
                </w:tcPr>
                <w:p>
                  <w:pPr>
                    <w:pStyle w:val="38"/>
                    <w:adjustRightInd/>
                    <w:jc w:val="center"/>
                    <w:rPr>
                      <w:rFonts w:ascii="Times New Roman" w:hAnsi="Times New Roman" w:eastAsia="Times New Roman" w:cs="Times New Roman"/>
                      <w:color w:val="auto"/>
                      <w:kern w:val="0"/>
                      <w:sz w:val="21"/>
                      <w:szCs w:val="21"/>
                    </w:rPr>
                  </w:pPr>
                  <w:r>
                    <w:rPr>
                      <w:rFonts w:hint="eastAsia" w:ascii="Times New Roman" w:hAnsi="Times New Roman" w:eastAsia="Times New Roman" w:cs="Times New Roman"/>
                      <w:color w:val="auto"/>
                      <w:kern w:val="0"/>
                      <w:sz w:val="21"/>
                      <w:szCs w:val="21"/>
                    </w:rPr>
                    <w:t>无关项</w:t>
                  </w:r>
                </w:p>
              </w:tc>
            </w:tr>
          </w:tbl>
          <w:p>
            <w:pPr>
              <w:keepNext w:val="0"/>
              <w:keepLines w:val="0"/>
              <w:pageBreakBefore w:val="0"/>
              <w:widowControl w:val="0"/>
              <w:kinsoku/>
              <w:wordWrap/>
              <w:overflowPunct/>
              <w:topLinePunct w:val="0"/>
              <w:autoSpaceDE w:val="0"/>
              <w:autoSpaceDN w:val="0"/>
              <w:bidi w:val="0"/>
              <w:adjustRightInd w:val="0"/>
              <w:snapToGrid w:val="0"/>
              <w:spacing w:before="157" w:beforeLines="50" w:line="360" w:lineRule="auto"/>
              <w:ind w:firstLine="480" w:firstLineChars="200"/>
              <w:textAlignment w:val="auto"/>
              <w:rPr>
                <w:bCs/>
                <w:color w:val="auto"/>
                <w:kern w:val="0"/>
                <w:sz w:val="24"/>
              </w:rPr>
            </w:pPr>
            <w:r>
              <w:rPr>
                <w:rFonts w:hint="eastAsia"/>
                <w:bCs/>
                <w:color w:val="auto"/>
                <w:kern w:val="0"/>
                <w:sz w:val="24"/>
              </w:rPr>
              <w:t>由表</w:t>
            </w:r>
            <w:r>
              <w:rPr>
                <w:bCs/>
                <w:color w:val="auto"/>
                <w:kern w:val="0"/>
                <w:sz w:val="24"/>
              </w:rPr>
              <w:t>1</w:t>
            </w:r>
            <w:r>
              <w:rPr>
                <w:rFonts w:hint="eastAsia"/>
                <w:bCs/>
                <w:color w:val="auto"/>
                <w:kern w:val="0"/>
                <w:sz w:val="24"/>
                <w:lang w:val="en-US" w:eastAsia="zh-CN"/>
              </w:rPr>
              <w:t>-1</w:t>
            </w:r>
            <w:r>
              <w:rPr>
                <w:rFonts w:hint="eastAsia"/>
                <w:bCs/>
                <w:color w:val="auto"/>
                <w:kern w:val="0"/>
                <w:sz w:val="24"/>
              </w:rPr>
              <w:t>可知，本项目符合环境管控单元总体管控要求。</w:t>
            </w:r>
          </w:p>
          <w:p>
            <w:pPr>
              <w:autoSpaceDE w:val="0"/>
              <w:autoSpaceDN w:val="0"/>
              <w:adjustRightInd w:val="0"/>
              <w:snapToGrid w:val="0"/>
              <w:spacing w:line="360" w:lineRule="auto"/>
              <w:ind w:firstLine="480" w:firstLineChars="200"/>
              <w:rPr>
                <w:bCs/>
                <w:color w:val="auto"/>
                <w:kern w:val="0"/>
                <w:sz w:val="24"/>
              </w:rPr>
            </w:pPr>
            <w:r>
              <w:rPr>
                <w:rFonts w:hint="eastAsia"/>
                <w:bCs/>
                <w:color w:val="auto"/>
                <w:kern w:val="0"/>
                <w:sz w:val="24"/>
              </w:rPr>
              <w:t>（3</w:t>
            </w:r>
            <w:r>
              <w:rPr>
                <w:bCs/>
                <w:color w:val="auto"/>
                <w:kern w:val="0"/>
                <w:sz w:val="24"/>
              </w:rPr>
              <w:t>）环境质量</w:t>
            </w:r>
            <w:r>
              <w:rPr>
                <w:rFonts w:hint="eastAsia"/>
                <w:bCs/>
                <w:color w:val="auto"/>
                <w:kern w:val="0"/>
                <w:sz w:val="24"/>
              </w:rPr>
              <w:t>底线要求相符性</w:t>
            </w:r>
          </w:p>
          <w:p>
            <w:pPr>
              <w:autoSpaceDE w:val="0"/>
              <w:autoSpaceDN w:val="0"/>
              <w:adjustRightInd w:val="0"/>
              <w:snapToGrid w:val="0"/>
              <w:spacing w:line="360" w:lineRule="auto"/>
              <w:ind w:firstLine="480" w:firstLineChars="200"/>
              <w:rPr>
                <w:bCs/>
                <w:color w:val="auto"/>
                <w:kern w:val="0"/>
                <w:sz w:val="24"/>
              </w:rPr>
            </w:pPr>
            <w:r>
              <w:rPr>
                <w:bCs/>
                <w:color w:val="auto"/>
                <w:kern w:val="0"/>
                <w:sz w:val="24"/>
              </w:rPr>
              <w:t>项目所在区域环境空气质量满足《环境空气质量标准》（GB 3095-2012）及其修改单二级标准，各类废气经相应措施处理后达标排放，运营期环境空气质量仍可满足《环境空气质量标准》（GB 3095-2012）及其修改单二级标准或参考评价标准要求，项目实施不会造成区域大气环境质量恶化。</w:t>
            </w:r>
          </w:p>
          <w:p>
            <w:pPr>
              <w:autoSpaceDE w:val="0"/>
              <w:autoSpaceDN w:val="0"/>
              <w:adjustRightInd w:val="0"/>
              <w:snapToGrid w:val="0"/>
              <w:spacing w:line="360" w:lineRule="auto"/>
              <w:ind w:firstLine="480" w:firstLineChars="200"/>
              <w:rPr>
                <w:bCs/>
                <w:color w:val="auto"/>
                <w:kern w:val="0"/>
                <w:sz w:val="24"/>
              </w:rPr>
            </w:pPr>
            <w:r>
              <w:rPr>
                <w:rFonts w:hint="eastAsia"/>
                <w:bCs/>
                <w:color w:val="auto"/>
                <w:sz w:val="24"/>
              </w:rPr>
              <w:t>武水“</w:t>
            </w:r>
            <w:r>
              <w:rPr>
                <w:bCs/>
                <w:color w:val="auto"/>
                <w:sz w:val="24"/>
              </w:rPr>
              <w:t>乐昌城～犁市</w:t>
            </w:r>
            <w:r>
              <w:rPr>
                <w:rFonts w:hint="eastAsia"/>
                <w:bCs/>
                <w:color w:val="auto"/>
                <w:sz w:val="24"/>
              </w:rPr>
              <w:t>”</w:t>
            </w:r>
            <w:r>
              <w:rPr>
                <w:bCs/>
                <w:color w:val="auto"/>
                <w:kern w:val="0"/>
                <w:sz w:val="24"/>
              </w:rPr>
              <w:t>评价河段近三年水质保持达到或优于水环境功能区划要求的水质保护目标，水质现状保持良好。项目</w:t>
            </w:r>
            <w:r>
              <w:rPr>
                <w:rFonts w:hint="eastAsia"/>
                <w:bCs/>
                <w:color w:val="auto"/>
                <w:kern w:val="0"/>
                <w:sz w:val="24"/>
              </w:rPr>
              <w:t>生活污水三级化粪池预处理后由园区污水管网排入园区污水处理厂进一步处理</w:t>
            </w:r>
            <w:r>
              <w:rPr>
                <w:bCs/>
                <w:color w:val="auto"/>
                <w:kern w:val="0"/>
                <w:sz w:val="24"/>
              </w:rPr>
              <w:t>，</w:t>
            </w:r>
            <w:r>
              <w:rPr>
                <w:rFonts w:hint="eastAsia"/>
                <w:bCs/>
                <w:color w:val="auto"/>
                <w:kern w:val="0"/>
                <w:sz w:val="24"/>
              </w:rPr>
              <w:t>最终</w:t>
            </w:r>
            <w:r>
              <w:rPr>
                <w:rFonts w:hint="eastAsia"/>
                <w:bCs/>
                <w:color w:val="auto"/>
                <w:kern w:val="0"/>
                <w:sz w:val="24"/>
                <w:lang w:val="en-US" w:eastAsia="zh-CN"/>
              </w:rPr>
              <w:t>尾水</w:t>
            </w:r>
            <w:r>
              <w:rPr>
                <w:rFonts w:hint="eastAsia"/>
                <w:bCs/>
                <w:color w:val="auto"/>
                <w:kern w:val="0"/>
                <w:sz w:val="24"/>
              </w:rPr>
              <w:t>达到《城镇污水处理厂污染物排放标准》（</w:t>
            </w:r>
            <w:r>
              <w:rPr>
                <w:bCs/>
                <w:color w:val="auto"/>
                <w:kern w:val="0"/>
                <w:sz w:val="24"/>
              </w:rPr>
              <w:t>GB18918-2002</w:t>
            </w:r>
            <w:r>
              <w:rPr>
                <w:rFonts w:hint="eastAsia"/>
                <w:bCs/>
                <w:color w:val="auto"/>
                <w:kern w:val="0"/>
                <w:sz w:val="24"/>
              </w:rPr>
              <w:t>）</w:t>
            </w:r>
            <w:r>
              <w:rPr>
                <w:bCs/>
                <w:color w:val="auto"/>
                <w:kern w:val="0"/>
                <w:sz w:val="24"/>
              </w:rPr>
              <w:t>一级</w:t>
            </w:r>
            <w:r>
              <w:rPr>
                <w:rFonts w:hint="eastAsia"/>
                <w:bCs/>
                <w:color w:val="auto"/>
                <w:kern w:val="0"/>
                <w:sz w:val="24"/>
              </w:rPr>
              <w:t>B</w:t>
            </w:r>
            <w:r>
              <w:rPr>
                <w:bCs/>
                <w:color w:val="auto"/>
                <w:kern w:val="0"/>
                <w:sz w:val="24"/>
              </w:rPr>
              <w:t>标准和《水污染物排放限值》</w:t>
            </w:r>
            <w:r>
              <w:rPr>
                <w:rFonts w:hint="eastAsia"/>
                <w:bCs/>
                <w:color w:val="auto"/>
                <w:kern w:val="0"/>
                <w:sz w:val="24"/>
              </w:rPr>
              <w:t>（</w:t>
            </w:r>
            <w:r>
              <w:rPr>
                <w:bCs/>
                <w:color w:val="auto"/>
                <w:kern w:val="0"/>
                <w:sz w:val="24"/>
              </w:rPr>
              <w:t>DB44/26-2001</w:t>
            </w:r>
            <w:r>
              <w:rPr>
                <w:rFonts w:hint="eastAsia"/>
                <w:bCs/>
                <w:color w:val="auto"/>
                <w:kern w:val="0"/>
                <w:sz w:val="24"/>
              </w:rPr>
              <w:t>）</w:t>
            </w:r>
            <w:r>
              <w:rPr>
                <w:bCs/>
                <w:color w:val="auto"/>
                <w:kern w:val="0"/>
                <w:sz w:val="24"/>
              </w:rPr>
              <w:t>第二时段一级标准的严者后排入</w:t>
            </w:r>
            <w:r>
              <w:rPr>
                <w:rFonts w:hint="eastAsia"/>
                <w:bCs/>
                <w:color w:val="auto"/>
                <w:kern w:val="0"/>
                <w:sz w:val="24"/>
              </w:rPr>
              <w:t>武水</w:t>
            </w:r>
            <w:r>
              <w:rPr>
                <w:bCs/>
                <w:color w:val="auto"/>
                <w:kern w:val="0"/>
                <w:sz w:val="24"/>
              </w:rPr>
              <w:t>，其对下游</w:t>
            </w:r>
            <w:r>
              <w:rPr>
                <w:rFonts w:hint="eastAsia"/>
                <w:bCs/>
                <w:color w:val="auto"/>
                <w:kern w:val="0"/>
                <w:sz w:val="24"/>
              </w:rPr>
              <w:t>武水</w:t>
            </w:r>
            <w:r>
              <w:rPr>
                <w:bCs/>
                <w:color w:val="auto"/>
                <w:kern w:val="0"/>
                <w:sz w:val="24"/>
              </w:rPr>
              <w:t>水环境影响较小，不会造成</w:t>
            </w:r>
            <w:r>
              <w:rPr>
                <w:rFonts w:hint="eastAsia"/>
                <w:bCs/>
                <w:color w:val="auto"/>
                <w:kern w:val="0"/>
                <w:sz w:val="24"/>
              </w:rPr>
              <w:t>武水</w:t>
            </w:r>
            <w:r>
              <w:rPr>
                <w:bCs/>
                <w:color w:val="auto"/>
                <w:kern w:val="0"/>
                <w:sz w:val="24"/>
              </w:rPr>
              <w:t>水环境恶化。</w:t>
            </w:r>
          </w:p>
          <w:p>
            <w:pPr>
              <w:autoSpaceDE w:val="0"/>
              <w:autoSpaceDN w:val="0"/>
              <w:adjustRightInd w:val="0"/>
              <w:snapToGrid w:val="0"/>
              <w:spacing w:line="360" w:lineRule="auto"/>
              <w:ind w:firstLine="480" w:firstLineChars="200"/>
              <w:rPr>
                <w:bCs/>
                <w:color w:val="auto"/>
                <w:kern w:val="0"/>
                <w:sz w:val="24"/>
              </w:rPr>
            </w:pPr>
            <w:r>
              <w:rPr>
                <w:bCs/>
                <w:color w:val="auto"/>
                <w:kern w:val="0"/>
                <w:sz w:val="24"/>
              </w:rPr>
              <w:t>项目所在区域声环境质量满足《声环境质量标准》（GB 3096-2008）中3类功能区标准，项目建成后噪声经减噪措施后影响较小，仍可满足《声环境质量标准》（GB 3096-2008）中</w:t>
            </w:r>
            <w:r>
              <w:rPr>
                <w:rFonts w:hint="eastAsia"/>
                <w:bCs/>
                <w:color w:val="auto"/>
                <w:kern w:val="0"/>
                <w:sz w:val="24"/>
              </w:rPr>
              <w:t>相应</w:t>
            </w:r>
            <w:r>
              <w:rPr>
                <w:bCs/>
                <w:color w:val="auto"/>
                <w:kern w:val="0"/>
                <w:sz w:val="24"/>
              </w:rPr>
              <w:t>功能区标准。因此，项目符合环境质量底线要求。</w:t>
            </w:r>
          </w:p>
          <w:p>
            <w:pPr>
              <w:autoSpaceDE w:val="0"/>
              <w:autoSpaceDN w:val="0"/>
              <w:adjustRightInd w:val="0"/>
              <w:snapToGrid w:val="0"/>
              <w:spacing w:line="360" w:lineRule="auto"/>
              <w:ind w:firstLine="480" w:firstLineChars="200"/>
              <w:jc w:val="left"/>
              <w:rPr>
                <w:bCs/>
                <w:color w:val="auto"/>
                <w:kern w:val="0"/>
                <w:sz w:val="24"/>
              </w:rPr>
            </w:pPr>
            <w:r>
              <w:rPr>
                <w:rFonts w:hint="eastAsia"/>
                <w:bCs/>
                <w:color w:val="auto"/>
                <w:kern w:val="0"/>
                <w:sz w:val="24"/>
              </w:rPr>
              <w:t>（4</w:t>
            </w:r>
            <w:r>
              <w:rPr>
                <w:bCs/>
                <w:color w:val="auto"/>
                <w:kern w:val="0"/>
                <w:sz w:val="24"/>
              </w:rPr>
              <w:t>）环境准入负面清单相符性</w:t>
            </w:r>
          </w:p>
          <w:p>
            <w:pPr>
              <w:autoSpaceDE w:val="0"/>
              <w:autoSpaceDN w:val="0"/>
              <w:adjustRightInd w:val="0"/>
              <w:snapToGrid w:val="0"/>
              <w:spacing w:line="360" w:lineRule="auto"/>
              <w:ind w:firstLine="480" w:firstLineChars="200"/>
              <w:rPr>
                <w:bCs/>
                <w:color w:val="auto"/>
                <w:kern w:val="0"/>
                <w:sz w:val="24"/>
              </w:rPr>
            </w:pPr>
            <w:r>
              <w:rPr>
                <w:color w:val="auto"/>
                <w:sz w:val="24"/>
              </w:rPr>
              <w:t>本项目</w:t>
            </w:r>
            <w:r>
              <w:rPr>
                <w:rFonts w:hint="eastAsia"/>
                <w:color w:val="auto"/>
                <w:sz w:val="24"/>
              </w:rPr>
              <w:t>不属于《市场准入负面清单》（2022年版）中的禁止准入和许可准入类；不属于《广东省国家重点生态功能区产业准入负面清单（试行）》（粤发改规划</w:t>
            </w:r>
            <w:r>
              <w:rPr>
                <w:rFonts w:hint="eastAsia" w:ascii="宋体" w:hAnsi="宋体" w:cs="宋体"/>
                <w:color w:val="auto"/>
                <w:sz w:val="24"/>
              </w:rPr>
              <w:t>〔</w:t>
            </w:r>
            <w:r>
              <w:rPr>
                <w:rFonts w:hint="eastAsia"/>
                <w:color w:val="auto"/>
                <w:sz w:val="24"/>
              </w:rPr>
              <w:t>2017</w:t>
            </w:r>
            <w:r>
              <w:rPr>
                <w:rFonts w:hint="eastAsia" w:ascii="宋体" w:hAnsi="宋体" w:cs="宋体"/>
                <w:color w:val="auto"/>
                <w:sz w:val="24"/>
              </w:rPr>
              <w:t>〕</w:t>
            </w:r>
            <w:r>
              <w:rPr>
                <w:rFonts w:hint="eastAsia"/>
                <w:color w:val="auto"/>
                <w:sz w:val="24"/>
              </w:rPr>
              <w:t>331号）中的限制类和禁止类；</w:t>
            </w:r>
            <w:r>
              <w:rPr>
                <w:color w:val="auto"/>
                <w:sz w:val="24"/>
              </w:rPr>
              <w:t>乐昌产业转移工业园（粤环函</w:t>
            </w:r>
            <w:r>
              <w:rPr>
                <w:rFonts w:hint="eastAsia"/>
                <w:color w:val="auto"/>
                <w:sz w:val="24"/>
                <w:lang w:eastAsia="zh-CN"/>
              </w:rPr>
              <w:t>〔</w:t>
            </w:r>
            <w:r>
              <w:rPr>
                <w:color w:val="auto"/>
                <w:sz w:val="24"/>
              </w:rPr>
              <w:t>2006</w:t>
            </w:r>
            <w:r>
              <w:rPr>
                <w:rFonts w:hint="eastAsia"/>
                <w:color w:val="auto"/>
                <w:sz w:val="24"/>
                <w:lang w:eastAsia="zh-CN"/>
              </w:rPr>
              <w:t>〕</w:t>
            </w:r>
            <w:r>
              <w:rPr>
                <w:color w:val="auto"/>
                <w:sz w:val="24"/>
              </w:rPr>
              <w:t>562号）主导产业为轻纺、电子、机械、五金、家具，优先引进无污染或轻污染的项目，禁止引入电镀、鞣革、印染、制浆造纸、重化工及稀土冶炼、分离、提取等水污染物排放量大或排放一类水污染物、持久性有机污染物的项目。本项目主要为</w:t>
            </w:r>
            <w:r>
              <w:rPr>
                <w:rFonts w:hint="eastAsia"/>
                <w:color w:val="auto"/>
                <w:sz w:val="24"/>
              </w:rPr>
              <w:t>照明灯具制品</w:t>
            </w:r>
            <w:r>
              <w:rPr>
                <w:color w:val="auto"/>
                <w:sz w:val="24"/>
              </w:rPr>
              <w:t>制造，</w:t>
            </w:r>
            <w:r>
              <w:rPr>
                <w:rFonts w:hint="eastAsia"/>
                <w:color w:val="auto"/>
                <w:sz w:val="24"/>
              </w:rPr>
              <w:t>不属于</w:t>
            </w:r>
            <w:r>
              <w:rPr>
                <w:color w:val="auto"/>
                <w:sz w:val="24"/>
              </w:rPr>
              <w:t>电镀、鞣革、印染、制浆造纸、重化工及稀土冶炼、分离、提取等水污染物排放量大或排放一类水污染物、持久性有机污染物的项目</w:t>
            </w:r>
            <w:r>
              <w:rPr>
                <w:rFonts w:hint="eastAsia"/>
                <w:color w:val="auto"/>
                <w:sz w:val="24"/>
              </w:rPr>
              <w:t>，</w:t>
            </w:r>
            <w:r>
              <w:rPr>
                <w:color w:val="auto"/>
                <w:sz w:val="24"/>
              </w:rPr>
              <w:t>与园区</w:t>
            </w:r>
            <w:r>
              <w:rPr>
                <w:rFonts w:hint="eastAsia"/>
                <w:color w:val="auto"/>
                <w:sz w:val="24"/>
              </w:rPr>
              <w:t>准入</w:t>
            </w:r>
            <w:r>
              <w:rPr>
                <w:color w:val="auto"/>
                <w:sz w:val="24"/>
              </w:rPr>
              <w:t>条件不冲突。</w:t>
            </w:r>
          </w:p>
          <w:p>
            <w:pPr>
              <w:pStyle w:val="38"/>
              <w:spacing w:line="360" w:lineRule="auto"/>
              <w:ind w:firstLine="480" w:firstLineChars="200"/>
              <w:rPr>
                <w:rFonts w:hint="eastAsia" w:ascii="Times New Roman" w:hAnsi="Times New Roman" w:cs="Times New Roman"/>
                <w:bCs/>
                <w:color w:val="auto"/>
                <w:kern w:val="0"/>
              </w:rPr>
            </w:pPr>
            <w:r>
              <w:rPr>
                <w:rFonts w:hint="eastAsia" w:ascii="Times New Roman" w:hAnsi="Times New Roman" w:cs="Times New Roman"/>
                <w:bCs/>
                <w:color w:val="auto"/>
                <w:kern w:val="0"/>
              </w:rPr>
              <w:t>综上所述，本项目符合“三线一单”各项管控要求。</w:t>
            </w:r>
          </w:p>
          <w:p>
            <w:pPr>
              <w:pStyle w:val="38"/>
              <w:spacing w:line="360" w:lineRule="auto"/>
              <w:ind w:firstLine="480" w:firstLineChars="200"/>
              <w:rPr>
                <w:rFonts w:hint="default" w:ascii="Times New Roman" w:hAnsi="Times New Roman" w:eastAsia="宋体" w:cs="Times New Roman"/>
                <w:b w:val="0"/>
                <w:bCs/>
                <w:color w:val="auto"/>
                <w:kern w:val="0"/>
                <w:lang w:val="en-US" w:eastAsia="zh-CN"/>
              </w:rPr>
            </w:pPr>
            <w:r>
              <w:rPr>
                <w:rFonts w:hint="eastAsia" w:ascii="Times New Roman" w:hAnsi="Times New Roman" w:cs="Times New Roman"/>
                <w:b w:val="0"/>
                <w:bCs/>
                <w:color w:val="auto"/>
                <w:kern w:val="0"/>
                <w:lang w:val="en-US" w:eastAsia="zh-CN"/>
              </w:rPr>
              <w:t>4.与韶关市人民政府办公室《关于印发&lt;韶关市生态环境保护“十四五”规划&gt;的通知》（韶府办〔2022〕1号）相符性分析</w:t>
            </w:r>
          </w:p>
          <w:p>
            <w:pPr>
              <w:pStyle w:val="38"/>
              <w:spacing w:line="360" w:lineRule="auto"/>
              <w:ind w:firstLine="480" w:firstLineChars="200"/>
              <w:rPr>
                <w:rFonts w:hint="eastAsia" w:ascii="Times New Roman" w:hAnsi="Times New Roman" w:cs="Times New Roman"/>
                <w:b w:val="0"/>
                <w:bCs/>
                <w:color w:val="auto"/>
                <w:kern w:val="0"/>
              </w:rPr>
            </w:pPr>
            <w:r>
              <w:rPr>
                <w:rFonts w:hint="eastAsia" w:ascii="Times New Roman" w:hAnsi="Times New Roman" w:cs="Times New Roman"/>
                <w:b w:val="0"/>
                <w:bCs/>
                <w:color w:val="auto"/>
                <w:kern w:val="0"/>
              </w:rPr>
              <w:t>《韶关市生态环境保护“十四五”规划》要求：推进挥发性有机物（VOCs）源头控制和重点行业深度治理。开展原油、成品油、有机化学品等涉VOCs物质储罐排查，深化重点行业VOCs排放基数调查，系统掌握工业源VOCs产生、处理、排放及分布情况，分类建立台账，实施VOCs精细化管理。严格落实国家产品VOCs含量限值标准，除现阶段确无法实施替代的工序外，禁止新建生产和使用高挥发性有机物原辅材料的项目。严格实施VOCs排放企业分级管控，全面推进涉VOCs排放企业深度治理。督促VOCs重点企业编制VOCs深度治理手册，组织和指导VOCs重点企业“照单施治”。抓好化工园区和化工企业VOCs排放管理。推动化工园区增加环境VOCs自动监测站点，强化重点企业VOCs排放监管。</w:t>
            </w:r>
          </w:p>
          <w:p>
            <w:pPr>
              <w:pStyle w:val="38"/>
              <w:spacing w:line="360" w:lineRule="auto"/>
              <w:ind w:firstLine="480" w:firstLineChars="200"/>
              <w:rPr>
                <w:rFonts w:hint="eastAsia" w:ascii="Times New Roman" w:hAnsi="Times New Roman" w:eastAsia="宋体" w:cs="Times New Roman"/>
                <w:bCs/>
                <w:color w:val="auto"/>
                <w:kern w:val="0"/>
                <w:lang w:eastAsia="zh-CN"/>
              </w:rPr>
            </w:pPr>
            <w:r>
              <w:rPr>
                <w:rFonts w:hint="eastAsia" w:ascii="Times New Roman" w:hAnsi="Times New Roman" w:cs="Times New Roman"/>
                <w:b w:val="0"/>
                <w:bCs/>
                <w:color w:val="auto"/>
                <w:kern w:val="0"/>
              </w:rPr>
              <w:t>本项目通过对原辅材料优选、废气收集和末端治理等措施，实现挥发性有机物全过程排放控制，且不使用低温等离子、光催化、光氧化等治理工艺。本项目产生的工业固体废物均得到妥善处置。故本项目与《韶关市生态环境保护“十四五”规划》是相符的</w:t>
            </w:r>
            <w:r>
              <w:rPr>
                <w:rFonts w:hint="eastAsia" w:ascii="Times New Roman" w:hAnsi="Times New Roman" w:cs="Times New Roman"/>
                <w:b w:val="0"/>
                <w:bCs/>
                <w:color w:val="auto"/>
                <w:kern w:val="0"/>
                <w:lang w:eastAsia="zh-CN"/>
              </w:rPr>
              <w:t>。</w:t>
            </w:r>
          </w:p>
          <w:p>
            <w:pPr>
              <w:pStyle w:val="38"/>
              <w:spacing w:line="360" w:lineRule="auto"/>
              <w:ind w:firstLine="482" w:firstLineChars="200"/>
              <w:rPr>
                <w:rFonts w:hint="default" w:ascii="Times New Roman" w:hAnsi="Times New Roman" w:eastAsia="宋体" w:cs="Times New Roman"/>
                <w:b/>
                <w:bCs w:val="0"/>
                <w:color w:val="auto"/>
                <w:kern w:val="0"/>
                <w:lang w:val="en-US" w:eastAsia="zh-CN"/>
              </w:rPr>
            </w:pPr>
            <w:r>
              <w:rPr>
                <w:rFonts w:hint="eastAsia" w:ascii="Times New Roman" w:hAnsi="Times New Roman" w:cs="Times New Roman"/>
                <w:b/>
                <w:bCs w:val="0"/>
                <w:color w:val="auto"/>
                <w:kern w:val="0"/>
                <w:lang w:val="en-US" w:eastAsia="zh-CN"/>
              </w:rPr>
              <w:t>5.与VOCs 污染控制政策相符性分析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eastAsia="宋体"/>
                <w:bCs/>
                <w:color w:val="auto"/>
                <w:kern w:val="0"/>
                <w:sz w:val="24"/>
                <w:szCs w:val="22"/>
              </w:rPr>
            </w:pPr>
            <w:r>
              <w:rPr>
                <w:rFonts w:hint="eastAsia" w:eastAsia="宋体"/>
                <w:bCs/>
                <w:color w:val="auto"/>
                <w:kern w:val="0"/>
                <w:sz w:val="24"/>
                <w:szCs w:val="22"/>
              </w:rPr>
              <w:t>本项目与国家、广东省、韶关市发布的有机物治理政策的相符性见下表：</w:t>
            </w:r>
          </w:p>
          <w:p>
            <w:pPr>
              <w:snapToGrid w:val="0"/>
              <w:spacing w:before="120" w:beforeLines="50" w:line="360" w:lineRule="auto"/>
              <w:ind w:firstLine="0" w:firstLineChars="0"/>
              <w:jc w:val="center"/>
              <w:rPr>
                <w:rFonts w:eastAsia="宋体"/>
                <w:b/>
                <w:color w:val="auto"/>
                <w:kern w:val="0"/>
                <w:sz w:val="21"/>
                <w:szCs w:val="20"/>
              </w:rPr>
            </w:pPr>
            <w:r>
              <w:rPr>
                <w:rFonts w:hint="eastAsia" w:eastAsia="宋体"/>
                <w:b/>
                <w:color w:val="auto"/>
                <w:kern w:val="0"/>
                <w:sz w:val="21"/>
                <w:szCs w:val="20"/>
              </w:rPr>
              <w:t>表1</w:t>
            </w:r>
            <w:r>
              <w:rPr>
                <w:rFonts w:eastAsia="宋体"/>
                <w:b/>
                <w:color w:val="auto"/>
                <w:kern w:val="0"/>
                <w:sz w:val="21"/>
                <w:szCs w:val="20"/>
              </w:rPr>
              <w:t>-</w:t>
            </w:r>
            <w:r>
              <w:rPr>
                <w:rFonts w:hint="eastAsia"/>
                <w:b/>
                <w:color w:val="auto"/>
                <w:kern w:val="0"/>
                <w:sz w:val="21"/>
                <w:szCs w:val="20"/>
                <w:lang w:val="en-US" w:eastAsia="zh-CN"/>
              </w:rPr>
              <w:t>2</w:t>
            </w:r>
            <w:r>
              <w:rPr>
                <w:rFonts w:eastAsia="宋体"/>
                <w:b/>
                <w:color w:val="auto"/>
                <w:kern w:val="0"/>
                <w:sz w:val="21"/>
                <w:szCs w:val="20"/>
              </w:rPr>
              <w:t xml:space="preserve">  </w:t>
            </w:r>
            <w:r>
              <w:rPr>
                <w:rFonts w:hint="eastAsia" w:eastAsia="宋体"/>
                <w:b/>
                <w:color w:val="auto"/>
                <w:kern w:val="0"/>
                <w:sz w:val="21"/>
                <w:szCs w:val="20"/>
              </w:rPr>
              <w:t>本项目与挥发性有机物污染治理政策相符性分析</w:t>
            </w:r>
          </w:p>
          <w:tbl>
            <w:tblPr>
              <w:tblStyle w:val="28"/>
              <w:tblW w:w="67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
              <w:gridCol w:w="1327"/>
              <w:gridCol w:w="2835"/>
              <w:gridCol w:w="1417"/>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464" w:type="dxa"/>
                  <w:shd w:val="clear" w:color="auto" w:fill="auto"/>
                  <w:vAlign w:val="center"/>
                </w:tcPr>
                <w:p>
                  <w:pPr>
                    <w:spacing w:before="0" w:beforeLines="0" w:line="240" w:lineRule="auto"/>
                    <w:ind w:firstLine="0" w:firstLineChars="0"/>
                    <w:jc w:val="center"/>
                    <w:rPr>
                      <w:rFonts w:eastAsia="宋体"/>
                      <w:b/>
                      <w:color w:val="auto"/>
                      <w:kern w:val="0"/>
                      <w:sz w:val="21"/>
                      <w:szCs w:val="20"/>
                    </w:rPr>
                  </w:pPr>
                  <w:r>
                    <w:rPr>
                      <w:rFonts w:hint="eastAsia" w:eastAsia="宋体"/>
                      <w:b/>
                      <w:color w:val="auto"/>
                      <w:kern w:val="0"/>
                      <w:sz w:val="21"/>
                      <w:szCs w:val="20"/>
                    </w:rPr>
                    <w:t>序号</w:t>
                  </w:r>
                </w:p>
              </w:tc>
              <w:tc>
                <w:tcPr>
                  <w:tcW w:w="1327" w:type="dxa"/>
                  <w:shd w:val="clear" w:color="auto" w:fill="auto"/>
                  <w:vAlign w:val="center"/>
                </w:tcPr>
                <w:p>
                  <w:pPr>
                    <w:spacing w:before="0" w:beforeLines="0" w:line="240" w:lineRule="auto"/>
                    <w:ind w:firstLine="0" w:firstLineChars="0"/>
                    <w:jc w:val="center"/>
                    <w:rPr>
                      <w:rFonts w:eastAsia="宋体"/>
                      <w:b/>
                      <w:color w:val="auto"/>
                      <w:kern w:val="0"/>
                      <w:sz w:val="21"/>
                      <w:szCs w:val="20"/>
                    </w:rPr>
                  </w:pPr>
                  <w:r>
                    <w:rPr>
                      <w:rFonts w:hint="eastAsia" w:eastAsia="宋体"/>
                      <w:b/>
                      <w:color w:val="auto"/>
                      <w:kern w:val="0"/>
                      <w:sz w:val="21"/>
                      <w:szCs w:val="20"/>
                    </w:rPr>
                    <w:t>文件</w:t>
                  </w:r>
                </w:p>
              </w:tc>
              <w:tc>
                <w:tcPr>
                  <w:tcW w:w="2835" w:type="dxa"/>
                  <w:shd w:val="clear" w:color="auto" w:fill="auto"/>
                  <w:vAlign w:val="center"/>
                </w:tcPr>
                <w:p>
                  <w:pPr>
                    <w:spacing w:before="0" w:beforeLines="0" w:line="240" w:lineRule="auto"/>
                    <w:ind w:firstLine="0" w:firstLineChars="0"/>
                    <w:jc w:val="center"/>
                    <w:rPr>
                      <w:rFonts w:eastAsia="宋体"/>
                      <w:b/>
                      <w:color w:val="auto"/>
                      <w:kern w:val="0"/>
                      <w:sz w:val="21"/>
                      <w:szCs w:val="20"/>
                    </w:rPr>
                  </w:pPr>
                  <w:r>
                    <w:rPr>
                      <w:rFonts w:hint="eastAsia" w:eastAsia="宋体"/>
                      <w:b/>
                      <w:color w:val="auto"/>
                      <w:kern w:val="0"/>
                      <w:sz w:val="21"/>
                      <w:szCs w:val="20"/>
                    </w:rPr>
                    <w:t>文件要求</w:t>
                  </w:r>
                </w:p>
              </w:tc>
              <w:tc>
                <w:tcPr>
                  <w:tcW w:w="1417" w:type="dxa"/>
                  <w:shd w:val="clear" w:color="auto" w:fill="auto"/>
                  <w:vAlign w:val="center"/>
                </w:tcPr>
                <w:p>
                  <w:pPr>
                    <w:spacing w:before="0" w:beforeLines="0" w:line="240" w:lineRule="auto"/>
                    <w:ind w:firstLine="0" w:firstLineChars="0"/>
                    <w:jc w:val="center"/>
                    <w:rPr>
                      <w:rFonts w:eastAsia="宋体"/>
                      <w:b/>
                      <w:color w:val="auto"/>
                      <w:kern w:val="0"/>
                      <w:sz w:val="21"/>
                      <w:szCs w:val="20"/>
                    </w:rPr>
                  </w:pPr>
                  <w:r>
                    <w:rPr>
                      <w:rFonts w:hint="eastAsia" w:eastAsia="宋体"/>
                      <w:b/>
                      <w:color w:val="auto"/>
                      <w:kern w:val="0"/>
                      <w:sz w:val="21"/>
                      <w:szCs w:val="20"/>
                    </w:rPr>
                    <w:t>本项目情况</w:t>
                  </w:r>
                </w:p>
              </w:tc>
              <w:tc>
                <w:tcPr>
                  <w:tcW w:w="709" w:type="dxa"/>
                  <w:shd w:val="clear" w:color="auto" w:fill="auto"/>
                  <w:vAlign w:val="center"/>
                </w:tcPr>
                <w:p>
                  <w:pPr>
                    <w:spacing w:before="0" w:beforeLines="0" w:line="240" w:lineRule="auto"/>
                    <w:ind w:firstLine="0" w:firstLineChars="0"/>
                    <w:jc w:val="center"/>
                    <w:rPr>
                      <w:rFonts w:eastAsia="宋体"/>
                      <w:b/>
                      <w:color w:val="auto"/>
                      <w:kern w:val="0"/>
                      <w:sz w:val="21"/>
                      <w:szCs w:val="20"/>
                    </w:rPr>
                  </w:pPr>
                  <w:r>
                    <w:rPr>
                      <w:rFonts w:hint="eastAsia" w:eastAsia="宋体"/>
                      <w:b/>
                      <w:color w:val="auto"/>
                      <w:kern w:val="0"/>
                      <w:sz w:val="21"/>
                      <w:szCs w:val="20"/>
                    </w:rPr>
                    <w:t>符合判定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464"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1</w:t>
                  </w:r>
                </w:p>
              </w:tc>
              <w:tc>
                <w:tcPr>
                  <w:tcW w:w="132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《关于印发&lt;重点行业挥发性有机物综合治理方案</w:t>
                  </w:r>
                  <w:r>
                    <w:rPr>
                      <w:rFonts w:eastAsia="宋体"/>
                      <w:bCs/>
                      <w:color w:val="auto"/>
                      <w:kern w:val="0"/>
                      <w:sz w:val="21"/>
                      <w:szCs w:val="20"/>
                    </w:rPr>
                    <w:t>&gt;</w:t>
                  </w:r>
                  <w:r>
                    <w:rPr>
                      <w:rFonts w:hint="eastAsia" w:eastAsia="宋体"/>
                      <w:bCs/>
                      <w:color w:val="auto"/>
                      <w:kern w:val="0"/>
                      <w:sz w:val="21"/>
                      <w:szCs w:val="20"/>
                    </w:rPr>
                    <w:t>的通知》（环大气[</w:t>
                  </w:r>
                  <w:r>
                    <w:rPr>
                      <w:rFonts w:eastAsia="宋体"/>
                      <w:bCs/>
                      <w:color w:val="auto"/>
                      <w:kern w:val="0"/>
                      <w:sz w:val="21"/>
                      <w:szCs w:val="20"/>
                    </w:rPr>
                    <w:t>2019]53</w:t>
                  </w:r>
                  <w:r>
                    <w:rPr>
                      <w:rFonts w:hint="eastAsia" w:eastAsia="宋体"/>
                      <w:bCs/>
                      <w:color w:val="auto"/>
                      <w:kern w:val="0"/>
                      <w:sz w:val="21"/>
                      <w:szCs w:val="20"/>
                    </w:rPr>
                    <w:t>号）</w:t>
                  </w:r>
                </w:p>
              </w:tc>
              <w:tc>
                <w:tcPr>
                  <w:tcW w:w="2835"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需要对重点区域（京津冀及周边地区、长三角地区、汾渭平原）、重点行业（石化、化工、工业涂装、包装印刷、油品储运销等行业）；①大力推进源头替代：通过使用水性、粉末等低 VOCs 含量的涂料，从源头减少 VOCs 的产生。</w:t>
                  </w:r>
                </w:p>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②全面加强无组织排放控制：重点对含 VOCs物料（包括含 VOCs 原辅材料、含 VOCs 产品、含VOCs 废料以及有机聚合物材料等）储存、转移和输送、设备与管线组件泄漏、敞开液面逸散以及工艺过程等五类排放源实施管控，通过采取设备与场所密闭、工艺改进、废气有效收集等措施，削减 VOCs无组织排放。</w:t>
                  </w:r>
                </w:p>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③推进建设适宜的高效治污设施：企业新建治污设施或对现有治污设施实施改造，应依据排放废气的浓度、组分、风量，温度、湿度、压力，以及生产工况等，合理选择治理技术</w:t>
                  </w:r>
                </w:p>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④深入实施精细化管控：各地应围绕当地环境空气质量改善需求，根据 O</w:t>
                  </w:r>
                  <w:r>
                    <w:rPr>
                      <w:rFonts w:hint="eastAsia" w:eastAsia="宋体"/>
                      <w:bCs/>
                      <w:color w:val="auto"/>
                      <w:kern w:val="0"/>
                      <w:sz w:val="21"/>
                      <w:szCs w:val="20"/>
                      <w:vertAlign w:val="subscript"/>
                    </w:rPr>
                    <w:t>3</w:t>
                  </w:r>
                  <w:r>
                    <w:rPr>
                      <w:rFonts w:hint="eastAsia" w:eastAsia="宋体"/>
                      <w:bCs/>
                      <w:color w:val="auto"/>
                      <w:kern w:val="0"/>
                      <w:sz w:val="21"/>
                      <w:szCs w:val="20"/>
                    </w:rPr>
                    <w:t xml:space="preserve"> 、PM</w:t>
                  </w:r>
                  <w:r>
                    <w:rPr>
                      <w:rFonts w:hint="eastAsia" w:eastAsia="宋体"/>
                      <w:bCs/>
                      <w:color w:val="auto"/>
                      <w:kern w:val="0"/>
                      <w:sz w:val="21"/>
                      <w:szCs w:val="20"/>
                      <w:vertAlign w:val="subscript"/>
                    </w:rPr>
                    <w:t xml:space="preserve"> 2.5</w:t>
                  </w:r>
                  <w:r>
                    <w:rPr>
                      <w:rFonts w:hint="eastAsia" w:eastAsia="宋体"/>
                      <w:bCs/>
                      <w:color w:val="auto"/>
                      <w:kern w:val="0"/>
                      <w:sz w:val="21"/>
                      <w:szCs w:val="20"/>
                    </w:rPr>
                    <w:t xml:space="preserve"> 来源解析，结合行业污染排放特征和VOCs物质光化学反应活性等，确定本地区 VOCs 控制的重点行业和重点污染物，兼顾恶臭污染物和有毒有害物质控制等，提出有效管控方案，提高 VOCs 治理的精准性、针对性和有效性。</w:t>
                  </w:r>
                </w:p>
              </w:tc>
              <w:tc>
                <w:tcPr>
                  <w:tcW w:w="141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本项目位于韶关市</w:t>
                  </w:r>
                  <w:r>
                    <w:rPr>
                      <w:rFonts w:hint="eastAsia"/>
                      <w:bCs/>
                      <w:color w:val="auto"/>
                      <w:kern w:val="0"/>
                      <w:sz w:val="21"/>
                      <w:szCs w:val="20"/>
                      <w:lang w:val="en-US" w:eastAsia="zh-CN"/>
                    </w:rPr>
                    <w:t>乐昌市</w:t>
                  </w:r>
                  <w:r>
                    <w:rPr>
                      <w:rFonts w:hint="eastAsia" w:eastAsia="宋体"/>
                      <w:bCs/>
                      <w:color w:val="auto"/>
                      <w:kern w:val="0"/>
                      <w:sz w:val="21"/>
                      <w:szCs w:val="20"/>
                    </w:rPr>
                    <w:t>，</w:t>
                  </w:r>
                  <w:r>
                    <w:rPr>
                      <w:rFonts w:hint="eastAsia"/>
                      <w:bCs/>
                      <w:color w:val="auto"/>
                      <w:kern w:val="0"/>
                      <w:sz w:val="21"/>
                      <w:szCs w:val="20"/>
                      <w:lang w:val="en-US" w:eastAsia="zh-CN"/>
                    </w:rPr>
                    <w:t>不</w:t>
                  </w:r>
                  <w:r>
                    <w:rPr>
                      <w:rFonts w:hint="eastAsia" w:eastAsia="宋体"/>
                      <w:bCs/>
                      <w:color w:val="auto"/>
                      <w:kern w:val="0"/>
                      <w:sz w:val="21"/>
                      <w:szCs w:val="20"/>
                    </w:rPr>
                    <w:t>属于重点行业，</w:t>
                  </w:r>
                  <w:r>
                    <w:rPr>
                      <w:rFonts w:hint="eastAsia"/>
                      <w:bCs/>
                      <w:color w:val="auto"/>
                      <w:kern w:val="0"/>
                      <w:sz w:val="21"/>
                      <w:szCs w:val="20"/>
                      <w:lang w:val="en-US" w:eastAsia="zh-CN"/>
                    </w:rPr>
                    <w:t>也</w:t>
                  </w:r>
                  <w:r>
                    <w:rPr>
                      <w:rFonts w:hint="eastAsia" w:eastAsia="宋体"/>
                      <w:bCs/>
                      <w:color w:val="auto"/>
                      <w:kern w:val="0"/>
                      <w:sz w:val="21"/>
                      <w:szCs w:val="20"/>
                    </w:rPr>
                    <w:t>不属于重点区域。</w:t>
                  </w:r>
                </w:p>
                <w:p>
                  <w:pPr>
                    <w:spacing w:before="0" w:beforeLines="0" w:line="240" w:lineRule="auto"/>
                    <w:ind w:firstLine="0" w:firstLineChars="0"/>
                    <w:rPr>
                      <w:rFonts w:eastAsia="宋体"/>
                      <w:bCs/>
                      <w:color w:val="auto"/>
                      <w:kern w:val="0"/>
                      <w:sz w:val="21"/>
                      <w:szCs w:val="20"/>
                    </w:rPr>
                  </w:pPr>
                  <w:r>
                    <w:rPr>
                      <w:rFonts w:eastAsia="宋体"/>
                      <w:bCs/>
                      <w:color w:val="auto"/>
                      <w:kern w:val="0"/>
                      <w:sz w:val="21"/>
                      <w:szCs w:val="20"/>
                    </w:rPr>
                    <w:t>本项目</w:t>
                  </w:r>
                  <w:r>
                    <w:rPr>
                      <w:rFonts w:hint="eastAsia"/>
                      <w:bCs/>
                      <w:color w:val="auto"/>
                      <w:kern w:val="0"/>
                      <w:sz w:val="21"/>
                      <w:szCs w:val="20"/>
                      <w:lang w:val="en-US" w:eastAsia="zh-CN"/>
                    </w:rPr>
                    <w:t>注塑成型</w:t>
                  </w:r>
                  <w:r>
                    <w:rPr>
                      <w:rFonts w:hint="eastAsia" w:eastAsia="宋体"/>
                      <w:bCs/>
                      <w:color w:val="auto"/>
                      <w:kern w:val="0"/>
                      <w:sz w:val="21"/>
                      <w:szCs w:val="20"/>
                    </w:rPr>
                    <w:t>过程中</w:t>
                  </w:r>
                  <w:r>
                    <w:rPr>
                      <w:rFonts w:eastAsia="宋体"/>
                      <w:bCs/>
                      <w:color w:val="auto"/>
                      <w:kern w:val="0"/>
                      <w:sz w:val="21"/>
                      <w:szCs w:val="20"/>
                    </w:rPr>
                    <w:t>产生的有机废气</w:t>
                  </w:r>
                  <w:r>
                    <w:rPr>
                      <w:rFonts w:hint="eastAsia" w:eastAsia="宋体"/>
                      <w:bCs/>
                      <w:color w:val="auto"/>
                      <w:kern w:val="0"/>
                      <w:sz w:val="21"/>
                      <w:szCs w:val="20"/>
                      <w:lang w:eastAsia="zh-CN"/>
                    </w:rPr>
                    <w:t>进入二级活性炭吸附装置处理，废气处理达标后经排气筒DA001高空排放</w:t>
                  </w:r>
                  <w:r>
                    <w:rPr>
                      <w:rFonts w:hint="eastAsia"/>
                      <w:bCs/>
                      <w:color w:val="auto"/>
                      <w:kern w:val="0"/>
                      <w:sz w:val="21"/>
                      <w:szCs w:val="20"/>
                      <w:lang w:eastAsia="zh-CN"/>
                    </w:rPr>
                    <w:t>，</w:t>
                  </w:r>
                  <w:r>
                    <w:rPr>
                      <w:rFonts w:hint="eastAsia" w:eastAsia="宋体"/>
                      <w:bCs/>
                      <w:color w:val="auto"/>
                      <w:kern w:val="0"/>
                      <w:sz w:val="21"/>
                      <w:szCs w:val="20"/>
                    </w:rPr>
                    <w:t>减少有机废气的无组织排放量。</w:t>
                  </w:r>
                </w:p>
              </w:tc>
              <w:tc>
                <w:tcPr>
                  <w:tcW w:w="709"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464" w:type="dxa"/>
                  <w:vMerge w:val="restart"/>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2</w:t>
                  </w:r>
                </w:p>
              </w:tc>
              <w:tc>
                <w:tcPr>
                  <w:tcW w:w="1327" w:type="dxa"/>
                  <w:vMerge w:val="restart"/>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广东省《固定污染源挥发性有机物综合排放标 准 》（DB44/2367</w:t>
                  </w:r>
                  <w:r>
                    <w:rPr>
                      <w:rFonts w:eastAsia="宋体"/>
                      <w:bCs/>
                      <w:color w:val="auto"/>
                      <w:kern w:val="0"/>
                      <w:sz w:val="21"/>
                      <w:szCs w:val="20"/>
                    </w:rPr>
                    <w:t>-</w:t>
                  </w:r>
                  <w:r>
                    <w:rPr>
                      <w:rFonts w:hint="eastAsia" w:eastAsia="宋体"/>
                      <w:bCs/>
                      <w:color w:val="auto"/>
                      <w:kern w:val="0"/>
                      <w:sz w:val="21"/>
                      <w:szCs w:val="20"/>
                    </w:rPr>
                    <w:t>2022）</w:t>
                  </w:r>
                </w:p>
              </w:tc>
              <w:tc>
                <w:tcPr>
                  <w:tcW w:w="2835"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VOCs 物料应储存于密闭的容器、包装袋、储罐、储库、料仓中；盛装 VOCs 物料的容器或包装袋应存放于室内，或存放于设置有雨棚、遮阳和防渗设施的专用场地，盛装 VOCs 物料的容器或包装袋在非取用状态时应加盖、封口、保持密闭；VOCs 物料储罐应密封良好，其中挥发性有机液体储罐应符合挥发性有机液体储罐的相关规定；VOCs 物料储库、料仓应满足对密闭空间的要求。</w:t>
                  </w:r>
                </w:p>
              </w:tc>
              <w:tc>
                <w:tcPr>
                  <w:tcW w:w="141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本项目</w:t>
                  </w:r>
                  <w:r>
                    <w:rPr>
                      <w:rFonts w:hint="eastAsia"/>
                      <w:bCs/>
                      <w:color w:val="auto"/>
                      <w:kern w:val="0"/>
                      <w:sz w:val="21"/>
                      <w:szCs w:val="20"/>
                      <w:lang w:val="en-US" w:eastAsia="zh-CN"/>
                    </w:rPr>
                    <w:t>使用的塑胶新粒在常温下不挥发</w:t>
                  </w:r>
                </w:p>
              </w:tc>
              <w:tc>
                <w:tcPr>
                  <w:tcW w:w="709"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464" w:type="dxa"/>
                  <w:vMerge w:val="continue"/>
                  <w:shd w:val="clear" w:color="auto" w:fill="auto"/>
                  <w:vAlign w:val="center"/>
                </w:tcPr>
                <w:p>
                  <w:pPr>
                    <w:spacing w:before="0" w:beforeLines="0" w:line="240" w:lineRule="auto"/>
                    <w:ind w:firstLine="0" w:firstLineChars="0"/>
                    <w:jc w:val="center"/>
                    <w:rPr>
                      <w:rFonts w:eastAsia="宋体"/>
                      <w:bCs/>
                      <w:color w:val="auto"/>
                      <w:kern w:val="0"/>
                      <w:sz w:val="21"/>
                      <w:szCs w:val="20"/>
                    </w:rPr>
                  </w:pPr>
                </w:p>
              </w:tc>
              <w:tc>
                <w:tcPr>
                  <w:tcW w:w="1327" w:type="dxa"/>
                  <w:vMerge w:val="continue"/>
                  <w:shd w:val="clear" w:color="auto" w:fill="auto"/>
                  <w:vAlign w:val="center"/>
                </w:tcPr>
                <w:p>
                  <w:pPr>
                    <w:spacing w:before="0" w:beforeLines="0" w:line="240" w:lineRule="auto"/>
                    <w:ind w:firstLine="0" w:firstLineChars="0"/>
                    <w:jc w:val="center"/>
                    <w:rPr>
                      <w:rFonts w:eastAsia="宋体"/>
                      <w:bCs/>
                      <w:color w:val="auto"/>
                      <w:kern w:val="0"/>
                      <w:sz w:val="21"/>
                      <w:szCs w:val="20"/>
                    </w:rPr>
                  </w:pPr>
                </w:p>
              </w:tc>
              <w:tc>
                <w:tcPr>
                  <w:tcW w:w="2835"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液态 VOCs 物料应采用密闭管道输送。采用非管道输送方式转移液体 VOCs 物料时，应采用密闭容器、罐车。粉状、粒状 VOCs 物料应采用气力输送设备、管状带式输送机、螺旋输送机等密闭输送方式，或者采用密闭的包装袋、容器或罐车进行物料转移。对挥发性有机液体进行装载时，应符合挥发性有机液体装载规定。</w:t>
                  </w:r>
                </w:p>
              </w:tc>
              <w:tc>
                <w:tcPr>
                  <w:tcW w:w="141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本项目</w:t>
                  </w:r>
                  <w:r>
                    <w:rPr>
                      <w:rFonts w:hint="eastAsia" w:eastAsia="宋体"/>
                      <w:bCs/>
                      <w:color w:val="auto"/>
                      <w:kern w:val="0"/>
                      <w:sz w:val="21"/>
                      <w:szCs w:val="20"/>
                      <w:lang w:val="en-US" w:eastAsia="zh-CN"/>
                    </w:rPr>
                    <w:t>使用的塑胶新粒在常温下不挥发</w:t>
                  </w:r>
                </w:p>
              </w:tc>
              <w:tc>
                <w:tcPr>
                  <w:tcW w:w="709"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464" w:type="dxa"/>
                  <w:vMerge w:val="continue"/>
                  <w:shd w:val="clear" w:color="auto" w:fill="auto"/>
                  <w:vAlign w:val="center"/>
                </w:tcPr>
                <w:p>
                  <w:pPr>
                    <w:spacing w:before="0" w:beforeLines="0" w:line="240" w:lineRule="auto"/>
                    <w:ind w:firstLine="0" w:firstLineChars="0"/>
                    <w:jc w:val="center"/>
                    <w:rPr>
                      <w:rFonts w:eastAsia="宋体"/>
                      <w:bCs/>
                      <w:color w:val="auto"/>
                      <w:kern w:val="0"/>
                      <w:sz w:val="21"/>
                      <w:szCs w:val="20"/>
                    </w:rPr>
                  </w:pPr>
                </w:p>
              </w:tc>
              <w:tc>
                <w:tcPr>
                  <w:tcW w:w="1327" w:type="dxa"/>
                  <w:vMerge w:val="continue"/>
                  <w:shd w:val="clear" w:color="auto" w:fill="auto"/>
                  <w:vAlign w:val="center"/>
                </w:tcPr>
                <w:p>
                  <w:pPr>
                    <w:spacing w:before="0" w:beforeLines="0" w:line="240" w:lineRule="auto"/>
                    <w:ind w:firstLine="0" w:firstLineChars="0"/>
                    <w:jc w:val="center"/>
                    <w:rPr>
                      <w:rFonts w:eastAsia="宋体"/>
                      <w:bCs/>
                      <w:color w:val="auto"/>
                      <w:kern w:val="0"/>
                      <w:sz w:val="21"/>
                      <w:szCs w:val="20"/>
                    </w:rPr>
                  </w:pPr>
                </w:p>
              </w:tc>
              <w:tc>
                <w:tcPr>
                  <w:tcW w:w="2835"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VOCs 质量占比大于等于 10%的含 VOCs 产品，其使用过程应采用密闭设备或在密闭空间内操作，废气应排至 VOCs 废气收集处理系统：无法密闭的，应采取局部气体收集措施，废气应排至 VOCs 废气收集处理系统。</w:t>
                  </w:r>
                </w:p>
              </w:tc>
              <w:tc>
                <w:tcPr>
                  <w:tcW w:w="141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本项目</w:t>
                  </w:r>
                  <w:r>
                    <w:rPr>
                      <w:rFonts w:hint="eastAsia" w:eastAsia="宋体"/>
                      <w:bCs/>
                      <w:color w:val="auto"/>
                      <w:kern w:val="0"/>
                      <w:sz w:val="21"/>
                      <w:szCs w:val="20"/>
                      <w:lang w:val="en-US" w:eastAsia="zh-CN"/>
                    </w:rPr>
                    <w:t>使用塑胶新粒</w:t>
                  </w:r>
                  <w:r>
                    <w:rPr>
                      <w:rFonts w:hint="eastAsia" w:eastAsia="宋体"/>
                      <w:bCs/>
                      <w:color w:val="auto"/>
                      <w:kern w:val="0"/>
                      <w:sz w:val="21"/>
                      <w:szCs w:val="20"/>
                    </w:rPr>
                    <w:t>属于低V</w:t>
                  </w:r>
                  <w:r>
                    <w:rPr>
                      <w:rFonts w:eastAsia="宋体"/>
                      <w:bCs/>
                      <w:color w:val="auto"/>
                      <w:kern w:val="0"/>
                      <w:sz w:val="21"/>
                      <w:szCs w:val="20"/>
                    </w:rPr>
                    <w:t>OC</w:t>
                  </w:r>
                  <w:r>
                    <w:rPr>
                      <w:rFonts w:hint="eastAsia" w:eastAsia="宋体"/>
                      <w:bCs/>
                      <w:color w:val="auto"/>
                      <w:kern w:val="0"/>
                      <w:sz w:val="21"/>
                      <w:szCs w:val="20"/>
                    </w:rPr>
                    <w:t>s含量</w:t>
                  </w:r>
                  <w:r>
                    <w:rPr>
                      <w:rFonts w:hint="eastAsia"/>
                      <w:bCs/>
                      <w:color w:val="auto"/>
                      <w:kern w:val="0"/>
                      <w:sz w:val="21"/>
                      <w:szCs w:val="20"/>
                      <w:lang w:val="en-US" w:eastAsia="zh-CN"/>
                    </w:rPr>
                    <w:t>物料</w:t>
                  </w:r>
                  <w:r>
                    <w:rPr>
                      <w:rFonts w:hint="eastAsia" w:eastAsia="宋体"/>
                      <w:bCs/>
                      <w:color w:val="auto"/>
                      <w:kern w:val="0"/>
                      <w:sz w:val="21"/>
                      <w:szCs w:val="20"/>
                    </w:rPr>
                    <w:t>，在产生V</w:t>
                  </w:r>
                  <w:r>
                    <w:rPr>
                      <w:rFonts w:eastAsia="宋体"/>
                      <w:bCs/>
                      <w:color w:val="auto"/>
                      <w:kern w:val="0"/>
                      <w:sz w:val="21"/>
                      <w:szCs w:val="20"/>
                    </w:rPr>
                    <w:t>OC</w:t>
                  </w:r>
                  <w:r>
                    <w:rPr>
                      <w:rFonts w:hint="eastAsia" w:eastAsia="宋体"/>
                      <w:bCs/>
                      <w:color w:val="auto"/>
                      <w:kern w:val="0"/>
                      <w:sz w:val="21"/>
                      <w:szCs w:val="20"/>
                    </w:rPr>
                    <w:t>s废气的环节采用</w:t>
                  </w:r>
                  <w:r>
                    <w:rPr>
                      <w:rFonts w:hint="eastAsia"/>
                      <w:bCs/>
                      <w:color w:val="auto"/>
                      <w:kern w:val="0"/>
                      <w:sz w:val="21"/>
                      <w:szCs w:val="20"/>
                      <w:lang w:val="en-US" w:eastAsia="zh-CN"/>
                    </w:rPr>
                    <w:t>了</w:t>
                  </w:r>
                  <w:r>
                    <w:rPr>
                      <w:rFonts w:hint="eastAsia" w:eastAsia="宋体"/>
                      <w:bCs/>
                      <w:color w:val="auto"/>
                      <w:kern w:val="0"/>
                      <w:sz w:val="21"/>
                      <w:szCs w:val="20"/>
                    </w:rPr>
                    <w:t>相应的废气收集措施，并将收集后的废气处理达标后通过排气筒高空排放。</w:t>
                  </w:r>
                </w:p>
              </w:tc>
              <w:tc>
                <w:tcPr>
                  <w:tcW w:w="709"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464" w:type="dxa"/>
                  <w:vMerge w:val="continue"/>
                  <w:shd w:val="clear" w:color="auto" w:fill="auto"/>
                  <w:vAlign w:val="center"/>
                </w:tcPr>
                <w:p>
                  <w:pPr>
                    <w:spacing w:before="0" w:beforeLines="0" w:line="240" w:lineRule="auto"/>
                    <w:ind w:firstLine="0" w:firstLineChars="0"/>
                    <w:jc w:val="center"/>
                    <w:rPr>
                      <w:rFonts w:eastAsia="宋体"/>
                      <w:bCs/>
                      <w:color w:val="auto"/>
                      <w:kern w:val="0"/>
                      <w:sz w:val="21"/>
                      <w:szCs w:val="20"/>
                    </w:rPr>
                  </w:pPr>
                </w:p>
              </w:tc>
              <w:tc>
                <w:tcPr>
                  <w:tcW w:w="1327" w:type="dxa"/>
                  <w:vMerge w:val="continue"/>
                  <w:shd w:val="clear" w:color="auto" w:fill="auto"/>
                  <w:vAlign w:val="center"/>
                </w:tcPr>
                <w:p>
                  <w:pPr>
                    <w:spacing w:before="0" w:beforeLines="0" w:line="240" w:lineRule="auto"/>
                    <w:ind w:firstLine="0" w:firstLineChars="0"/>
                    <w:jc w:val="center"/>
                    <w:rPr>
                      <w:rFonts w:eastAsia="宋体"/>
                      <w:bCs/>
                      <w:color w:val="auto"/>
                      <w:kern w:val="0"/>
                      <w:sz w:val="21"/>
                      <w:szCs w:val="20"/>
                    </w:rPr>
                  </w:pPr>
                </w:p>
              </w:tc>
              <w:tc>
                <w:tcPr>
                  <w:tcW w:w="2835"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VOCs 废气收集处理系统应与生产工艺设备同步运</w:t>
                  </w:r>
                </w:p>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行。VOCs 废气收集处理系统发生故障或检修时，对应的生产工艺设备应停止运行，待检修完毕后同步</w:t>
                  </w:r>
                  <w:r>
                    <w:rPr>
                      <w:rFonts w:hint="eastAsia"/>
                      <w:bCs/>
                      <w:color w:val="auto"/>
                      <w:kern w:val="0"/>
                      <w:sz w:val="21"/>
                      <w:szCs w:val="20"/>
                      <w:lang w:eastAsia="zh-CN"/>
                    </w:rPr>
                    <w:t>投入使用</w:t>
                  </w:r>
                  <w:r>
                    <w:rPr>
                      <w:rFonts w:hint="eastAsia" w:eastAsia="宋体"/>
                      <w:bCs/>
                      <w:color w:val="auto"/>
                      <w:kern w:val="0"/>
                      <w:sz w:val="21"/>
                      <w:szCs w:val="20"/>
                    </w:rPr>
                    <w:t>；生产工艺设备不能停止运行或不能及时停止运行的，应设置废气应急处理设施或采取其他替代措施。</w:t>
                  </w:r>
                </w:p>
              </w:tc>
              <w:tc>
                <w:tcPr>
                  <w:tcW w:w="141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本项目VOCs废气收集处理系统应与生产工艺设备同步运行。VOCs 废气收集处理系统发生故障或检修时，对应的生产工艺设备应停止运行，待检修完毕后同步投入使用</w:t>
                  </w:r>
                </w:p>
              </w:tc>
              <w:tc>
                <w:tcPr>
                  <w:tcW w:w="709"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464"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5</w:t>
                  </w:r>
                </w:p>
              </w:tc>
              <w:tc>
                <w:tcPr>
                  <w:tcW w:w="132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《广东省挥发性有机物治理设施运行管理技术规范》</w:t>
                  </w:r>
                </w:p>
              </w:tc>
              <w:tc>
                <w:tcPr>
                  <w:tcW w:w="2835"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文中规定了挥发性有机物治理设施的运行控制、故障（不正常运行）处理、记录与报告的管理规定与技术要求。VOCs 治理设施运行中的废气、废水、废渣、粉尘、噪声、振动等二次污染排放，应符合生态环境保护要求。</w:t>
                  </w:r>
                </w:p>
              </w:tc>
              <w:tc>
                <w:tcPr>
                  <w:tcW w:w="141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本项目废气治理设施运行中所产生的废活性炭委托有资质单位处理</w:t>
                  </w:r>
                </w:p>
              </w:tc>
              <w:tc>
                <w:tcPr>
                  <w:tcW w:w="709"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464"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6</w:t>
                  </w:r>
                </w:p>
              </w:tc>
              <w:tc>
                <w:tcPr>
                  <w:tcW w:w="132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《广东省涉挥发性有机物（VOCs）重点行业治理指引》（粤环办〔2021〕43号）</w:t>
                  </w:r>
                </w:p>
              </w:tc>
              <w:tc>
                <w:tcPr>
                  <w:tcW w:w="2835"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文件中对表面涂装行业（适用于本项目）的各生产环节产生的VOCs提出了控制要求，控制措施包括源头削减、过程控制、末端治理和环境管理等。源头控制主要通过对涂装、胶粘、清洗、印刷所用原料的VOCs或其他有机污染物含量作出推荐或要求。</w:t>
                  </w:r>
                </w:p>
              </w:tc>
              <w:tc>
                <w:tcPr>
                  <w:tcW w:w="1417" w:type="dxa"/>
                  <w:shd w:val="clear" w:color="auto" w:fill="auto"/>
                  <w:vAlign w:val="center"/>
                </w:tcPr>
                <w:p>
                  <w:pPr>
                    <w:spacing w:before="0" w:beforeLines="0" w:line="240" w:lineRule="auto"/>
                    <w:ind w:firstLine="0" w:firstLineChars="0"/>
                    <w:rPr>
                      <w:rFonts w:eastAsia="宋体"/>
                      <w:bCs/>
                      <w:color w:val="auto"/>
                      <w:kern w:val="0"/>
                      <w:sz w:val="21"/>
                      <w:szCs w:val="20"/>
                    </w:rPr>
                  </w:pPr>
                  <w:r>
                    <w:rPr>
                      <w:rFonts w:hint="eastAsia" w:eastAsia="宋体"/>
                      <w:bCs/>
                      <w:color w:val="auto"/>
                      <w:kern w:val="0"/>
                      <w:sz w:val="21"/>
                      <w:szCs w:val="20"/>
                    </w:rPr>
                    <w:t>本项目原料不涉及液态VOCs物料，可从源头有效控制VOCs排放，</w:t>
                  </w:r>
                  <w:r>
                    <w:rPr>
                      <w:rFonts w:hint="eastAsia"/>
                      <w:bCs/>
                      <w:color w:val="auto"/>
                      <w:kern w:val="0"/>
                      <w:sz w:val="21"/>
                      <w:szCs w:val="20"/>
                      <w:lang w:val="en-US" w:eastAsia="zh-CN"/>
                    </w:rPr>
                    <w:t>注塑成型工序</w:t>
                  </w:r>
                  <w:r>
                    <w:rPr>
                      <w:rFonts w:hint="eastAsia" w:eastAsia="宋体"/>
                      <w:bCs/>
                      <w:color w:val="auto"/>
                      <w:kern w:val="0"/>
                      <w:sz w:val="21"/>
                      <w:szCs w:val="20"/>
                    </w:rPr>
                    <w:t>产生的有机废气采用密闭车间结合集气罩收集，经“二级活性炭吸附装置”处理后由15m高排气筒（DA001）高空排放。因此，可做到源头削减、过程控制、末端治理</w:t>
                  </w:r>
                </w:p>
              </w:tc>
              <w:tc>
                <w:tcPr>
                  <w:tcW w:w="709" w:type="dxa"/>
                  <w:shd w:val="clear" w:color="auto" w:fill="auto"/>
                  <w:vAlign w:val="center"/>
                </w:tcPr>
                <w:p>
                  <w:pPr>
                    <w:spacing w:before="0" w:beforeLines="0" w:line="240" w:lineRule="auto"/>
                    <w:ind w:firstLine="0" w:firstLineChars="0"/>
                    <w:jc w:val="center"/>
                    <w:rPr>
                      <w:rFonts w:eastAsia="宋体"/>
                      <w:bCs/>
                      <w:color w:val="auto"/>
                      <w:kern w:val="0"/>
                      <w:sz w:val="21"/>
                      <w:szCs w:val="20"/>
                    </w:rPr>
                  </w:pPr>
                  <w:r>
                    <w:rPr>
                      <w:rFonts w:hint="eastAsia" w:eastAsia="宋体"/>
                      <w:bCs/>
                      <w:color w:val="auto"/>
                      <w:kern w:val="0"/>
                      <w:sz w:val="21"/>
                      <w:szCs w:val="20"/>
                    </w:rPr>
                    <w:t>符合</w:t>
                  </w:r>
                </w:p>
              </w:tc>
            </w:tr>
          </w:tbl>
          <w:p>
            <w:pPr>
              <w:pStyle w:val="38"/>
              <w:spacing w:line="360" w:lineRule="auto"/>
              <w:ind w:firstLine="480" w:firstLineChars="200"/>
              <w:rPr>
                <w:rFonts w:hint="eastAsia" w:ascii="Times New Roman" w:hAnsi="Times New Roman" w:cs="Times New Roman"/>
                <w:bCs/>
                <w:color w:val="auto"/>
                <w:kern w:val="0"/>
              </w:rPr>
            </w:pPr>
          </w:p>
          <w:p>
            <w:pPr>
              <w:pStyle w:val="38"/>
              <w:numPr>
                <w:ilvl w:val="0"/>
                <w:numId w:val="0"/>
              </w:numPr>
              <w:spacing w:line="360" w:lineRule="auto"/>
              <w:ind w:left="0" w:leftChars="0" w:firstLine="422" w:firstLineChars="175"/>
              <w:textAlignment w:val="auto"/>
              <w:rPr>
                <w:rFonts w:hint="default"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cs="Times New Roman"/>
                <w:b/>
                <w:bCs w:val="0"/>
                <w:color w:val="auto"/>
                <w:kern w:val="0"/>
                <w:lang w:val="en-US" w:eastAsia="zh-CN"/>
              </w:rPr>
              <w:t>6.</w:t>
            </w:r>
            <w:r>
              <w:rPr>
                <w:rFonts w:hint="default" w:ascii="Times New Roman" w:hAnsi="Times New Roman" w:eastAsia="宋体" w:cs="Times New Roman"/>
                <w:b/>
                <w:bCs w:val="0"/>
                <w:color w:val="auto"/>
                <w:kern w:val="2"/>
                <w:sz w:val="24"/>
                <w:szCs w:val="24"/>
                <w:highlight w:val="none"/>
                <w:lang w:val="en-US" w:eastAsia="zh-CN" w:bidi="ar-SA"/>
              </w:rPr>
              <w:t>与</w:t>
            </w:r>
            <w:r>
              <w:rPr>
                <w:rFonts w:hint="default" w:ascii="Times New Roman" w:hAnsi="Times New Roman" w:eastAsia="宋体" w:cs="Times New Roman"/>
                <w:b/>
                <w:bCs/>
                <w:color w:val="auto"/>
                <w:kern w:val="2"/>
                <w:sz w:val="24"/>
                <w:szCs w:val="24"/>
                <w:highlight w:val="none"/>
                <w:lang w:val="en-US" w:eastAsia="zh-CN" w:bidi="ar-SA"/>
              </w:rPr>
              <w:t>《广东省2021年大气、水、土壤污染防治工作方案》的相符性分析</w:t>
            </w:r>
          </w:p>
          <w:p>
            <w:pPr>
              <w:widowControl w:val="0"/>
              <w:wordWrap w:val="0"/>
              <w:bidi w:val="0"/>
              <w:spacing w:afterLines="0" w:afterAutospacing="0" w:line="360" w:lineRule="auto"/>
              <w:ind w:firstLine="480" w:firstLineChars="200"/>
              <w:jc w:val="both"/>
              <w:rPr>
                <w:rFonts w:hint="default" w:ascii="Times New Roman" w:hAnsi="Times New Roman" w:eastAsia="宋体" w:cs="Times New Roman"/>
                <w:b w:val="0"/>
                <w:bCs w:val="0"/>
                <w:color w:val="auto"/>
                <w:kern w:val="2"/>
                <w:sz w:val="24"/>
                <w:szCs w:val="24"/>
                <w:highlight w:val="none"/>
                <w:lang w:val="en-US" w:eastAsia="zh-CN" w:bidi="ar-SA"/>
              </w:rPr>
            </w:pPr>
            <w:r>
              <w:rPr>
                <w:rFonts w:hint="default" w:ascii="Times New Roman" w:hAnsi="Times New Roman" w:eastAsia="宋体" w:cs="Times New Roman"/>
                <w:b w:val="0"/>
                <w:bCs w:val="0"/>
                <w:color w:val="auto"/>
                <w:kern w:val="2"/>
                <w:sz w:val="24"/>
                <w:szCs w:val="24"/>
                <w:highlight w:val="none"/>
                <w:lang w:val="en-US" w:eastAsia="zh-CN" w:bidi="ar-SA"/>
              </w:rPr>
              <w:t>广东省2021年大气污染防治工作方案的重点工作（二）中提出：“实施低VOCs含量产品源头替代工程、全面深化涉VOCs排放企业深度治理……”。</w:t>
            </w:r>
            <w:r>
              <w:rPr>
                <w:rFonts w:hint="default" w:ascii="Times New Roman" w:hAnsi="Times New Roman" w:eastAsia="宋体" w:cs="Times New Roman"/>
                <w:color w:val="auto"/>
                <w:kern w:val="2"/>
                <w:sz w:val="24"/>
                <w:szCs w:val="24"/>
                <w:highlight w:val="none"/>
                <w:lang w:val="en-US" w:eastAsia="zh-CN" w:bidi="ar-SA"/>
              </w:rPr>
              <w:t>本项目产生的</w:t>
            </w:r>
            <w:r>
              <w:rPr>
                <w:rFonts w:hint="eastAsia" w:ascii="Times New Roman" w:hAnsi="Times New Roman" w:eastAsia="宋体" w:cs="Times New Roman"/>
                <w:color w:val="auto"/>
                <w:kern w:val="2"/>
                <w:sz w:val="24"/>
                <w:szCs w:val="24"/>
                <w:highlight w:val="none"/>
                <w:lang w:val="en-US" w:eastAsia="zh-CN" w:bidi="ar-SA"/>
              </w:rPr>
              <w:t>废气</w:t>
            </w:r>
            <w:r>
              <w:rPr>
                <w:rFonts w:hint="default" w:ascii="Times New Roman" w:hAnsi="Times New Roman" w:eastAsia="宋体" w:cs="Times New Roman"/>
                <w:color w:val="auto"/>
                <w:kern w:val="2"/>
                <w:sz w:val="24"/>
                <w:szCs w:val="24"/>
                <w:highlight w:val="none"/>
                <w:lang w:val="en-US" w:eastAsia="zh-CN" w:bidi="ar-SA"/>
              </w:rPr>
              <w:t>污染物主要有</w:t>
            </w:r>
            <w:r>
              <w:rPr>
                <w:rFonts w:hint="eastAsia" w:ascii="Times New Roman" w:hAnsi="Times New Roman" w:eastAsia="宋体" w:cs="Times New Roman"/>
                <w:color w:val="auto"/>
                <w:kern w:val="2"/>
                <w:sz w:val="24"/>
                <w:szCs w:val="24"/>
                <w:highlight w:val="none"/>
                <w:lang w:val="en-US" w:eastAsia="zh-CN" w:bidi="ar-SA"/>
              </w:rPr>
              <w:t>NMHC、颗粒物、锡及其化合物、臭气浓度</w:t>
            </w:r>
            <w:r>
              <w:rPr>
                <w:rFonts w:hint="default" w:ascii="Times New Roman" w:hAnsi="Times New Roman" w:eastAsia="宋体" w:cs="Times New Roman"/>
                <w:color w:val="auto"/>
                <w:kern w:val="2"/>
                <w:sz w:val="24"/>
                <w:szCs w:val="24"/>
                <w:highlight w:val="none"/>
                <w:lang w:val="en-US" w:eastAsia="zh-CN" w:bidi="ar-SA"/>
              </w:rPr>
              <w:t>，颗粒物、锡及其化合物</w:t>
            </w:r>
            <w:r>
              <w:rPr>
                <w:rFonts w:hint="eastAsia" w:ascii="Times New Roman" w:hAnsi="Times New Roman" w:eastAsia="宋体" w:cs="Times New Roman"/>
                <w:color w:val="auto"/>
                <w:kern w:val="2"/>
                <w:sz w:val="24"/>
                <w:szCs w:val="24"/>
                <w:highlight w:val="none"/>
                <w:lang w:val="en-US" w:eastAsia="zh-CN" w:bidi="ar-SA"/>
              </w:rPr>
              <w:t>产生量较少，经车间通风换气扩散后，对周边大气环境影响很小，注塑工序产生的非甲烷总烃废气经“</w:t>
            </w:r>
            <w:r>
              <w:rPr>
                <w:rFonts w:hint="default" w:ascii="Times New Roman" w:hAnsi="Times New Roman" w:eastAsia="宋体" w:cs="Times New Roman"/>
                <w:color w:val="auto"/>
                <w:kern w:val="2"/>
                <w:sz w:val="24"/>
                <w:szCs w:val="24"/>
                <w:highlight w:val="none"/>
                <w:lang w:val="en-US" w:eastAsia="zh-CN" w:bidi="ar-SA"/>
              </w:rPr>
              <w:t>二级活性炭吸附装置</w:t>
            </w:r>
            <w:r>
              <w:rPr>
                <w:rFonts w:hint="eastAsia" w:ascii="Times New Roman" w:hAnsi="Times New Roman" w:eastAsia="宋体" w:cs="Times New Roman"/>
                <w:color w:val="auto"/>
                <w:kern w:val="2"/>
                <w:sz w:val="24"/>
                <w:szCs w:val="24"/>
                <w:highlight w:val="none"/>
                <w:lang w:val="en-US" w:eastAsia="zh-CN" w:bidi="ar-SA"/>
              </w:rPr>
              <w:t>”处理后，</w:t>
            </w:r>
            <w:r>
              <w:rPr>
                <w:rFonts w:hint="default" w:ascii="Times New Roman" w:hAnsi="Times New Roman" w:eastAsia="宋体" w:cs="Times New Roman"/>
                <w:color w:val="auto"/>
                <w:kern w:val="2"/>
                <w:sz w:val="24"/>
                <w:szCs w:val="24"/>
                <w:highlight w:val="none"/>
                <w:lang w:val="en-US" w:eastAsia="zh-CN" w:bidi="ar-SA"/>
              </w:rPr>
              <w:t>经排气筒</w:t>
            </w:r>
            <w:r>
              <w:rPr>
                <w:rFonts w:hint="eastAsia" w:ascii="Times New Roman" w:hAnsi="Times New Roman" w:eastAsia="宋体" w:cs="Times New Roman"/>
                <w:color w:val="auto"/>
                <w:kern w:val="2"/>
                <w:sz w:val="24"/>
                <w:szCs w:val="24"/>
                <w:highlight w:val="none"/>
                <w:lang w:val="en-US" w:eastAsia="zh-CN" w:bidi="ar-SA"/>
              </w:rPr>
              <w:t>DA001</w:t>
            </w:r>
            <w:r>
              <w:rPr>
                <w:rFonts w:hint="default" w:ascii="Times New Roman" w:hAnsi="Times New Roman" w:eastAsia="宋体" w:cs="Times New Roman"/>
                <w:color w:val="auto"/>
                <w:kern w:val="2"/>
                <w:sz w:val="24"/>
                <w:szCs w:val="24"/>
                <w:highlight w:val="none"/>
                <w:lang w:val="en-US" w:eastAsia="zh-CN" w:bidi="ar-SA"/>
              </w:rPr>
              <w:t>高空排放，排放高度为</w:t>
            </w:r>
            <w:r>
              <w:rPr>
                <w:rFonts w:hint="eastAsia" w:ascii="Times New Roman" w:hAnsi="Times New Roman" w:eastAsia="宋体" w:cs="Times New Roman"/>
                <w:color w:val="auto"/>
                <w:kern w:val="2"/>
                <w:sz w:val="24"/>
                <w:szCs w:val="24"/>
                <w:highlight w:val="none"/>
                <w:lang w:val="en-US" w:eastAsia="zh-CN" w:bidi="ar-SA"/>
              </w:rPr>
              <w:t>15</w:t>
            </w:r>
            <w:r>
              <w:rPr>
                <w:rFonts w:hint="default" w:ascii="Times New Roman" w:hAnsi="Times New Roman" w:eastAsia="宋体" w:cs="Times New Roman"/>
                <w:color w:val="auto"/>
                <w:kern w:val="2"/>
                <w:sz w:val="24"/>
                <w:szCs w:val="24"/>
                <w:highlight w:val="none"/>
                <w:lang w:val="en-US" w:eastAsia="zh-CN" w:bidi="ar-SA"/>
              </w:rPr>
              <w:t>m。</w:t>
            </w:r>
            <w:r>
              <w:rPr>
                <w:rFonts w:hint="default" w:ascii="Times New Roman" w:hAnsi="Times New Roman" w:eastAsia="宋体" w:cs="Times New Roman"/>
                <w:b w:val="0"/>
                <w:bCs w:val="0"/>
                <w:color w:val="auto"/>
                <w:kern w:val="2"/>
                <w:sz w:val="24"/>
                <w:szCs w:val="24"/>
                <w:highlight w:val="none"/>
                <w:lang w:val="en-US" w:eastAsia="zh-CN" w:bidi="ar-SA"/>
              </w:rPr>
              <w:t>因此本项目符合大气污染防治工作方案</w:t>
            </w:r>
            <w:r>
              <w:rPr>
                <w:rFonts w:hint="eastAsia" w:ascii="Times New Roman" w:hAnsi="Times New Roman" w:eastAsia="宋体" w:cs="Times New Roman"/>
                <w:b w:val="0"/>
                <w:bCs w:val="0"/>
                <w:color w:val="auto"/>
                <w:kern w:val="2"/>
                <w:sz w:val="24"/>
                <w:szCs w:val="24"/>
                <w:highlight w:val="none"/>
                <w:lang w:val="en-US" w:eastAsia="zh-CN" w:bidi="ar-SA"/>
              </w:rPr>
              <w:t>的</w:t>
            </w:r>
            <w:r>
              <w:rPr>
                <w:rFonts w:hint="default" w:ascii="Times New Roman" w:hAnsi="Times New Roman" w:eastAsia="宋体" w:cs="Times New Roman"/>
                <w:b w:val="0"/>
                <w:bCs w:val="0"/>
                <w:color w:val="auto"/>
                <w:kern w:val="2"/>
                <w:sz w:val="24"/>
                <w:szCs w:val="24"/>
                <w:highlight w:val="none"/>
                <w:lang w:val="en-US" w:eastAsia="zh-CN" w:bidi="ar-SA"/>
              </w:rPr>
              <w:t>要求。</w:t>
            </w:r>
          </w:p>
          <w:p>
            <w:pPr>
              <w:widowControl w:val="0"/>
              <w:numPr>
                <w:ilvl w:val="0"/>
                <w:numId w:val="0"/>
              </w:numPr>
              <w:spacing w:line="360" w:lineRule="auto"/>
              <w:ind w:left="240" w:firstLine="480" w:firstLineChars="200"/>
              <w:jc w:val="both"/>
              <w:rPr>
                <w:rFonts w:hint="default" w:ascii="Times New Roman" w:hAnsi="Times New Roman" w:eastAsia="宋体" w:cs="Times New Roman"/>
                <w:b w:val="0"/>
                <w:bCs w:val="0"/>
                <w:color w:val="auto"/>
                <w:kern w:val="2"/>
                <w:sz w:val="24"/>
                <w:szCs w:val="24"/>
                <w:highlight w:val="none"/>
                <w:lang w:val="en-US" w:eastAsia="zh-CN" w:bidi="ar-SA"/>
              </w:rPr>
            </w:pPr>
            <w:r>
              <w:rPr>
                <w:rFonts w:hint="default" w:ascii="Times New Roman" w:hAnsi="Times New Roman" w:eastAsia="宋体" w:cs="Times New Roman"/>
                <w:b w:val="0"/>
                <w:bCs w:val="0"/>
                <w:color w:val="auto"/>
                <w:kern w:val="2"/>
                <w:sz w:val="24"/>
                <w:szCs w:val="24"/>
                <w:highlight w:val="none"/>
                <w:lang w:val="en-US" w:eastAsia="zh-CN" w:bidi="ar-SA"/>
              </w:rPr>
              <w:t>广东省2021年水污染防治工作方案的重点工作（二）中提出：“深入推进城市生活污水治理、深入推进工业污染治理……”。本项目生活污水经三级化粪池预处理</w:t>
            </w:r>
            <w:r>
              <w:rPr>
                <w:rFonts w:hint="eastAsia" w:ascii="Times New Roman" w:hAnsi="Times New Roman" w:eastAsia="宋体" w:cs="Times New Roman"/>
                <w:b w:val="0"/>
                <w:bCs w:val="0"/>
                <w:color w:val="auto"/>
                <w:kern w:val="2"/>
                <w:sz w:val="24"/>
                <w:szCs w:val="24"/>
                <w:highlight w:val="none"/>
                <w:lang w:val="en-US" w:eastAsia="zh-CN" w:bidi="ar-SA"/>
              </w:rPr>
              <w:t>后排入园区污水处理厂处理</w:t>
            </w:r>
            <w:r>
              <w:rPr>
                <w:rFonts w:hint="default" w:ascii="Times New Roman" w:hAnsi="Times New Roman" w:eastAsia="宋体" w:cs="Times New Roman"/>
                <w:b w:val="0"/>
                <w:bCs w:val="0"/>
                <w:color w:val="auto"/>
                <w:kern w:val="2"/>
                <w:sz w:val="24"/>
                <w:szCs w:val="24"/>
                <w:highlight w:val="none"/>
                <w:lang w:val="en-US" w:eastAsia="zh-CN" w:bidi="ar-SA"/>
              </w:rPr>
              <w:t>，符合要求。</w:t>
            </w:r>
          </w:p>
          <w:p>
            <w:pPr>
              <w:pStyle w:val="38"/>
              <w:spacing w:line="360" w:lineRule="auto"/>
              <w:ind w:firstLine="480" w:firstLineChars="200"/>
              <w:rPr>
                <w:rFonts w:hint="default" w:ascii="Times New Roman" w:hAnsi="Times New Roman" w:eastAsia="宋体" w:cs="Times New Roman"/>
                <w:bCs/>
                <w:color w:val="auto"/>
                <w:kern w:val="0"/>
                <w:lang w:val="en-US" w:eastAsia="zh-CN"/>
              </w:rPr>
            </w:pPr>
            <w:r>
              <w:rPr>
                <w:rFonts w:hint="default" w:ascii="Times New Roman" w:hAnsi="Times New Roman" w:eastAsia="宋体" w:cs="Times New Roman"/>
                <w:b w:val="0"/>
                <w:bCs w:val="0"/>
                <w:color w:val="auto"/>
                <w:kern w:val="2"/>
                <w:sz w:val="24"/>
                <w:szCs w:val="24"/>
                <w:highlight w:val="none"/>
                <w:lang w:val="en-US" w:eastAsia="zh-CN" w:bidi="ar-SA"/>
              </w:rPr>
              <w:t>广东省2021年土壤污染防治工作方案的重点工作中提出：“持续推进土壤污染状况详查，加强土壤污染源头控制，严格农用地安全利用和建设用地环境风险管控……”。本项目厂区按照规范和要求对生产车间以及危险废物暂存间等采取有效的防雨、防渗漏、防溢流等措施，生产车间已进行场地硬化，符合要求。</w:t>
            </w:r>
          </w:p>
          <w:p>
            <w:pPr>
              <w:pStyle w:val="38"/>
              <w:spacing w:line="360" w:lineRule="auto"/>
              <w:ind w:firstLine="480" w:firstLineChars="200"/>
              <w:rPr>
                <w:rFonts w:hint="eastAsia" w:ascii="Times New Roman" w:hAnsi="Times New Roman" w:cs="Times New Roman"/>
                <w:bCs/>
                <w:color w:val="auto"/>
                <w:kern w:val="0"/>
              </w:rPr>
            </w:pPr>
          </w:p>
          <w:p>
            <w:pPr>
              <w:pStyle w:val="38"/>
              <w:spacing w:line="360" w:lineRule="auto"/>
              <w:ind w:firstLine="480" w:firstLineChars="200"/>
              <w:rPr>
                <w:rFonts w:hint="eastAsia" w:ascii="Times New Roman" w:hAnsi="Times New Roman" w:cs="Times New Roman"/>
                <w:bCs/>
                <w:color w:val="auto"/>
                <w:kern w:val="0"/>
              </w:rPr>
            </w:pPr>
          </w:p>
          <w:p>
            <w:pPr>
              <w:pStyle w:val="38"/>
              <w:spacing w:line="360" w:lineRule="auto"/>
              <w:rPr>
                <w:rFonts w:hint="eastAsia" w:ascii="Times New Roman" w:hAnsi="Times New Roman" w:cs="Times New Roman"/>
                <w:bCs/>
                <w:color w:val="auto"/>
                <w:kern w:val="0"/>
              </w:rPr>
            </w:pPr>
          </w:p>
          <w:p>
            <w:pPr>
              <w:pStyle w:val="38"/>
              <w:spacing w:line="360" w:lineRule="auto"/>
              <w:rPr>
                <w:rFonts w:ascii="Times New Roman" w:hAnsi="Times New Roman" w:cs="Times New Roman"/>
                <w:color w:val="auto"/>
              </w:rPr>
            </w:pPr>
          </w:p>
          <w:p>
            <w:pPr>
              <w:rPr>
                <w:color w:val="auto"/>
              </w:rPr>
            </w:pPr>
          </w:p>
        </w:tc>
      </w:tr>
    </w:tbl>
    <w:p>
      <w:pPr>
        <w:spacing w:line="360" w:lineRule="auto"/>
        <w:rPr>
          <w:rFonts w:eastAsia="黑体"/>
          <w:color w:val="auto"/>
          <w:sz w:val="30"/>
        </w:rPr>
        <w:sectPr>
          <w:footerReference r:id="rId7" w:type="default"/>
          <w:pgSz w:w="11906" w:h="16838"/>
          <w:pgMar w:top="1701" w:right="1531" w:bottom="1701" w:left="1531" w:header="851" w:footer="1077" w:gutter="0"/>
          <w:pgNumType w:fmt="decimal" w:start="1"/>
          <w:cols w:space="720" w:num="1"/>
          <w:docGrid w:linePitch="312" w:charSpace="0"/>
        </w:sectPr>
      </w:pPr>
    </w:p>
    <w:p>
      <w:pPr>
        <w:pStyle w:val="23"/>
        <w:snapToGrid w:val="0"/>
        <w:spacing w:before="0" w:beforeAutospacing="0" w:after="0" w:afterAutospacing="0" w:line="360" w:lineRule="auto"/>
        <w:jc w:val="center"/>
        <w:outlineLvl w:val="0"/>
        <w:rPr>
          <w:rFonts w:ascii="Times New Roman" w:hAnsi="Times New Roman" w:eastAsia="黑体"/>
          <w:snapToGrid w:val="0"/>
          <w:color w:val="auto"/>
          <w:sz w:val="30"/>
          <w:szCs w:val="30"/>
        </w:rPr>
      </w:pPr>
      <w:bookmarkStart w:id="7" w:name="_Toc6739"/>
      <w:bookmarkStart w:id="8" w:name="_Toc13319"/>
      <w:r>
        <w:rPr>
          <w:rFonts w:ascii="Times New Roman" w:hAnsi="Times New Roman" w:eastAsia="黑体"/>
          <w:snapToGrid w:val="0"/>
          <w:color w:val="auto"/>
          <w:sz w:val="30"/>
          <w:szCs w:val="30"/>
        </w:rPr>
        <w:t>二、建设项目工程分析</w:t>
      </w:r>
      <w:bookmarkEnd w:id="7"/>
      <w:bookmarkEnd w:id="8"/>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5"/>
        <w:gridCol w:w="832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8" w:hRule="atLeast"/>
          <w:jc w:val="center"/>
        </w:trPr>
        <w:tc>
          <w:tcPr>
            <w:tcW w:w="735" w:type="dxa"/>
            <w:vAlign w:val="center"/>
          </w:tcPr>
          <w:p>
            <w:pPr>
              <w:pStyle w:val="23"/>
              <w:adjustRightInd w:val="0"/>
              <w:snapToGrid w:val="0"/>
              <w:spacing w:before="0" w:beforeAutospacing="0" w:after="0" w:afterAutospacing="0"/>
              <w:jc w:val="center"/>
              <w:rPr>
                <w:rFonts w:ascii="Times New Roman" w:hAnsi="Times New Roman"/>
                <w:color w:val="auto"/>
                <w:sz w:val="21"/>
                <w:szCs w:val="21"/>
              </w:rPr>
            </w:pPr>
            <w:r>
              <w:rPr>
                <w:rFonts w:ascii="Times New Roman" w:hAnsi="Times New Roman"/>
                <w:color w:val="auto"/>
                <w:szCs w:val="24"/>
              </w:rPr>
              <w:t>建设内容</w:t>
            </w:r>
          </w:p>
        </w:tc>
        <w:tc>
          <w:tcPr>
            <w:tcW w:w="8325" w:type="dxa"/>
          </w:tcPr>
          <w:p>
            <w:pPr>
              <w:adjustRightInd w:val="0"/>
              <w:snapToGrid w:val="0"/>
              <w:spacing w:line="360" w:lineRule="auto"/>
              <w:ind w:firstLine="482" w:firstLineChars="200"/>
              <w:jc w:val="left"/>
              <w:rPr>
                <w:b/>
                <w:bCs/>
                <w:color w:val="auto"/>
                <w:sz w:val="24"/>
                <w:szCs w:val="21"/>
              </w:rPr>
            </w:pPr>
            <w:r>
              <w:rPr>
                <w:b/>
                <w:bCs/>
                <w:color w:val="auto"/>
                <w:sz w:val="24"/>
                <w:szCs w:val="21"/>
              </w:rPr>
              <w:t>1.主要产品及产能</w:t>
            </w:r>
          </w:p>
          <w:p>
            <w:pPr>
              <w:adjustRightInd w:val="0"/>
              <w:snapToGrid w:val="0"/>
              <w:spacing w:line="360" w:lineRule="auto"/>
              <w:ind w:firstLine="480" w:firstLineChars="200"/>
              <w:jc w:val="left"/>
              <w:rPr>
                <w:color w:val="auto"/>
                <w:sz w:val="24"/>
              </w:rPr>
            </w:pPr>
            <w:r>
              <w:rPr>
                <w:rFonts w:hint="eastAsia"/>
                <w:bCs/>
                <w:color w:val="auto"/>
                <w:sz w:val="24"/>
              </w:rPr>
              <w:t>本项目为照明灯具制造行业，主要产品为灯串，具体产品方案如</w:t>
            </w:r>
            <w:r>
              <w:rPr>
                <w:color w:val="auto"/>
                <w:sz w:val="24"/>
                <w:szCs w:val="20"/>
              </w:rPr>
              <w:t>下表</w:t>
            </w:r>
            <w:r>
              <w:rPr>
                <w:color w:val="auto"/>
                <w:sz w:val="24"/>
              </w:rPr>
              <w:t>。</w:t>
            </w:r>
          </w:p>
          <w:p>
            <w:pPr>
              <w:adjustRightInd w:val="0"/>
              <w:snapToGrid w:val="0"/>
              <w:spacing w:line="360" w:lineRule="auto"/>
              <w:jc w:val="center"/>
              <w:rPr>
                <w:b/>
                <w:color w:val="auto"/>
                <w:sz w:val="24"/>
              </w:rPr>
            </w:pPr>
            <w:r>
              <w:rPr>
                <w:b/>
                <w:color w:val="auto"/>
                <w:sz w:val="24"/>
              </w:rPr>
              <w:t>表</w:t>
            </w:r>
            <w:r>
              <w:rPr>
                <w:rFonts w:hint="eastAsia"/>
                <w:b/>
                <w:color w:val="auto"/>
                <w:sz w:val="24"/>
              </w:rPr>
              <w:t>2</w:t>
            </w:r>
            <w:r>
              <w:rPr>
                <w:rFonts w:hint="eastAsia"/>
                <w:b/>
                <w:color w:val="auto"/>
                <w:sz w:val="24"/>
                <w:lang w:val="en-US" w:eastAsia="zh-CN"/>
              </w:rPr>
              <w:t>-1</w:t>
            </w:r>
            <w:r>
              <w:rPr>
                <w:b/>
                <w:color w:val="auto"/>
                <w:sz w:val="24"/>
              </w:rPr>
              <w:t xml:space="preserve"> 本项目产品方案一览表</w:t>
            </w:r>
          </w:p>
          <w:tbl>
            <w:tblPr>
              <w:tblStyle w:val="28"/>
              <w:tblW w:w="8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2235"/>
              <w:gridCol w:w="1743"/>
              <w:gridCol w:w="1312"/>
              <w:gridCol w:w="2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460" w:type="pct"/>
                  <w:shd w:val="clear" w:color="auto" w:fill="auto"/>
                  <w:vAlign w:val="center"/>
                </w:tcPr>
                <w:p>
                  <w:pPr>
                    <w:jc w:val="center"/>
                    <w:rPr>
                      <w:color w:val="auto"/>
                      <w:szCs w:val="21"/>
                    </w:rPr>
                  </w:pPr>
                  <w:r>
                    <w:rPr>
                      <w:b/>
                      <w:bCs/>
                      <w:color w:val="auto"/>
                      <w:szCs w:val="21"/>
                    </w:rPr>
                    <w:t>序号</w:t>
                  </w:r>
                </w:p>
              </w:tc>
              <w:tc>
                <w:tcPr>
                  <w:tcW w:w="1376" w:type="pct"/>
                  <w:shd w:val="clear" w:color="auto" w:fill="auto"/>
                  <w:vAlign w:val="center"/>
                </w:tcPr>
                <w:p>
                  <w:pPr>
                    <w:jc w:val="center"/>
                    <w:rPr>
                      <w:color w:val="auto"/>
                      <w:szCs w:val="21"/>
                    </w:rPr>
                  </w:pPr>
                  <w:r>
                    <w:rPr>
                      <w:b/>
                      <w:bCs/>
                      <w:color w:val="auto"/>
                      <w:szCs w:val="21"/>
                    </w:rPr>
                    <w:t>产品名称</w:t>
                  </w:r>
                </w:p>
              </w:tc>
              <w:tc>
                <w:tcPr>
                  <w:tcW w:w="1073" w:type="pct"/>
                  <w:shd w:val="clear" w:color="auto" w:fill="auto"/>
                  <w:vAlign w:val="center"/>
                </w:tcPr>
                <w:p>
                  <w:pPr>
                    <w:jc w:val="center"/>
                    <w:rPr>
                      <w:color w:val="auto"/>
                      <w:szCs w:val="21"/>
                    </w:rPr>
                  </w:pPr>
                  <w:r>
                    <w:rPr>
                      <w:b/>
                      <w:bCs/>
                      <w:color w:val="auto"/>
                      <w:szCs w:val="21"/>
                    </w:rPr>
                    <w:t>年产量</w:t>
                  </w:r>
                </w:p>
              </w:tc>
              <w:tc>
                <w:tcPr>
                  <w:tcW w:w="808" w:type="pct"/>
                  <w:vAlign w:val="center"/>
                </w:tcPr>
                <w:p>
                  <w:pPr>
                    <w:jc w:val="center"/>
                    <w:rPr>
                      <w:b/>
                      <w:bCs/>
                      <w:color w:val="auto"/>
                      <w:szCs w:val="21"/>
                    </w:rPr>
                  </w:pPr>
                  <w:r>
                    <w:rPr>
                      <w:b/>
                      <w:bCs/>
                      <w:color w:val="auto"/>
                      <w:szCs w:val="21"/>
                    </w:rPr>
                    <w:t>单位</w:t>
                  </w:r>
                </w:p>
              </w:tc>
              <w:tc>
                <w:tcPr>
                  <w:tcW w:w="1281" w:type="pct"/>
                  <w:vAlign w:val="center"/>
                </w:tcPr>
                <w:p>
                  <w:pPr>
                    <w:jc w:val="center"/>
                    <w:rPr>
                      <w:b/>
                      <w:bCs/>
                      <w:color w:val="auto"/>
                      <w:szCs w:val="21"/>
                    </w:rPr>
                  </w:pPr>
                  <w:r>
                    <w:rPr>
                      <w:rFonts w:hint="eastAsia"/>
                      <w:b/>
                      <w:bCs/>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460" w:type="pct"/>
                  <w:vAlign w:val="center"/>
                </w:tcPr>
                <w:p>
                  <w:pPr>
                    <w:jc w:val="center"/>
                    <w:rPr>
                      <w:color w:val="auto"/>
                      <w:szCs w:val="21"/>
                    </w:rPr>
                  </w:pPr>
                  <w:r>
                    <w:rPr>
                      <w:color w:val="auto"/>
                      <w:szCs w:val="21"/>
                    </w:rPr>
                    <w:t>1</w:t>
                  </w:r>
                </w:p>
              </w:tc>
              <w:tc>
                <w:tcPr>
                  <w:tcW w:w="1376" w:type="pct"/>
                  <w:vAlign w:val="center"/>
                </w:tcPr>
                <w:p>
                  <w:pPr>
                    <w:jc w:val="center"/>
                    <w:rPr>
                      <w:color w:val="auto"/>
                      <w:szCs w:val="21"/>
                    </w:rPr>
                  </w:pPr>
                  <w:r>
                    <w:rPr>
                      <w:rFonts w:hint="eastAsia"/>
                      <w:color w:val="auto"/>
                      <w:szCs w:val="21"/>
                    </w:rPr>
                    <w:t>灯串</w:t>
                  </w:r>
                </w:p>
              </w:tc>
              <w:tc>
                <w:tcPr>
                  <w:tcW w:w="1073" w:type="pct"/>
                  <w:vAlign w:val="center"/>
                </w:tcPr>
                <w:p>
                  <w:pPr>
                    <w:jc w:val="center"/>
                    <w:rPr>
                      <w:color w:val="auto"/>
                      <w:szCs w:val="21"/>
                    </w:rPr>
                  </w:pPr>
                  <w:r>
                    <w:rPr>
                      <w:rFonts w:hint="eastAsia"/>
                      <w:color w:val="auto"/>
                      <w:szCs w:val="21"/>
                    </w:rPr>
                    <w:t>2</w:t>
                  </w:r>
                  <w:r>
                    <w:rPr>
                      <w:rFonts w:hint="eastAsia"/>
                      <w:color w:val="auto"/>
                      <w:szCs w:val="21"/>
                      <w:lang w:val="en-US" w:eastAsia="zh-CN"/>
                    </w:rPr>
                    <w:t>0</w:t>
                  </w:r>
                  <w:r>
                    <w:rPr>
                      <w:rFonts w:hint="eastAsia"/>
                      <w:color w:val="auto"/>
                      <w:szCs w:val="21"/>
                    </w:rPr>
                    <w:t>0</w:t>
                  </w:r>
                </w:p>
              </w:tc>
              <w:tc>
                <w:tcPr>
                  <w:tcW w:w="808" w:type="pct"/>
                  <w:vAlign w:val="center"/>
                </w:tcPr>
                <w:p>
                  <w:pPr>
                    <w:jc w:val="center"/>
                    <w:rPr>
                      <w:color w:val="auto"/>
                    </w:rPr>
                  </w:pPr>
                  <w:r>
                    <w:rPr>
                      <w:rFonts w:hint="eastAsia"/>
                      <w:color w:val="auto"/>
                      <w:szCs w:val="21"/>
                    </w:rPr>
                    <w:t>万套/年</w:t>
                  </w:r>
                </w:p>
              </w:tc>
              <w:tc>
                <w:tcPr>
                  <w:tcW w:w="1281" w:type="pct"/>
                  <w:vAlign w:val="center"/>
                </w:tcPr>
                <w:p>
                  <w:pPr>
                    <w:jc w:val="center"/>
                    <w:rPr>
                      <w:color w:val="auto"/>
                      <w:szCs w:val="21"/>
                    </w:rPr>
                  </w:pPr>
                  <w:r>
                    <w:rPr>
                      <w:rFonts w:hint="eastAsia"/>
                      <w:color w:val="auto"/>
                      <w:szCs w:val="21"/>
                    </w:rPr>
                    <w:t>P</w:t>
                  </w:r>
                  <w:r>
                    <w:rPr>
                      <w:color w:val="auto"/>
                      <w:szCs w:val="21"/>
                    </w:rPr>
                    <w:t>P</w:t>
                  </w:r>
                  <w:r>
                    <w:rPr>
                      <w:rFonts w:hint="eastAsia"/>
                      <w:color w:val="auto"/>
                      <w:szCs w:val="21"/>
                    </w:rPr>
                    <w:t>、PVC材料</w:t>
                  </w:r>
                </w:p>
              </w:tc>
            </w:tr>
          </w:tbl>
          <w:p>
            <w:pPr>
              <w:adjustRightInd w:val="0"/>
              <w:snapToGrid w:val="0"/>
              <w:spacing w:before="120" w:beforeLines="50" w:line="360" w:lineRule="auto"/>
              <w:ind w:firstLine="482" w:firstLineChars="200"/>
              <w:jc w:val="left"/>
              <w:rPr>
                <w:b/>
                <w:bCs/>
                <w:color w:val="auto"/>
                <w:sz w:val="24"/>
                <w:szCs w:val="21"/>
              </w:rPr>
            </w:pPr>
            <w:r>
              <w:rPr>
                <w:b/>
                <w:bCs/>
                <w:color w:val="auto"/>
                <w:sz w:val="24"/>
                <w:szCs w:val="21"/>
              </w:rPr>
              <w:t>2.项目组成和平面布置</w:t>
            </w:r>
          </w:p>
          <w:p>
            <w:pPr>
              <w:adjustRightInd w:val="0"/>
              <w:snapToGrid w:val="0"/>
              <w:spacing w:line="360" w:lineRule="auto"/>
              <w:ind w:firstLine="480" w:firstLineChars="200"/>
              <w:jc w:val="both"/>
              <w:rPr>
                <w:color w:val="auto"/>
                <w:sz w:val="24"/>
              </w:rPr>
            </w:pPr>
            <w:r>
              <w:rPr>
                <w:color w:val="auto"/>
                <w:sz w:val="24"/>
              </w:rPr>
              <w:t>本项目位于</w:t>
            </w:r>
            <w:r>
              <w:rPr>
                <w:rFonts w:hint="eastAsia"/>
                <w:color w:val="auto"/>
                <w:sz w:val="24"/>
              </w:rPr>
              <w:t>乐昌市乐昌产业转移工业园金岭七路三号，</w:t>
            </w:r>
            <w:r>
              <w:rPr>
                <w:rFonts w:hint="eastAsia"/>
                <w:color w:val="auto"/>
                <w:sz w:val="24"/>
                <w:lang w:val="en-US" w:eastAsia="zh-CN"/>
              </w:rPr>
              <w:t>拟建2栋5层厂房，1栋4层研发车间，1栋4层宿舍楼，</w:t>
            </w:r>
            <w:r>
              <w:rPr>
                <w:color w:val="auto"/>
                <w:sz w:val="24"/>
              </w:rPr>
              <w:t>总占地面积</w:t>
            </w:r>
            <w:r>
              <w:rPr>
                <w:rFonts w:hint="eastAsia"/>
                <w:color w:val="auto"/>
                <w:sz w:val="24"/>
              </w:rPr>
              <w:t>13333.4</w:t>
            </w:r>
            <w:r>
              <w:rPr>
                <w:color w:val="auto"/>
                <w:sz w:val="24"/>
              </w:rPr>
              <w:t>m</w:t>
            </w:r>
            <w:r>
              <w:rPr>
                <w:color w:val="auto"/>
                <w:sz w:val="24"/>
                <w:vertAlign w:val="superscript"/>
              </w:rPr>
              <w:t>2</w:t>
            </w:r>
            <w:r>
              <w:rPr>
                <w:color w:val="auto"/>
                <w:sz w:val="24"/>
              </w:rPr>
              <w:t>，</w:t>
            </w:r>
            <w:r>
              <w:rPr>
                <w:rFonts w:hint="eastAsia"/>
                <w:color w:val="auto"/>
                <w:sz w:val="24"/>
              </w:rPr>
              <w:t>总</w:t>
            </w:r>
            <w:r>
              <w:rPr>
                <w:color w:val="auto"/>
                <w:sz w:val="24"/>
              </w:rPr>
              <w:t>建筑面积</w:t>
            </w:r>
            <w:r>
              <w:rPr>
                <w:rFonts w:hint="eastAsia"/>
                <w:color w:val="auto"/>
                <w:sz w:val="24"/>
              </w:rPr>
              <w:t>21510.29</w:t>
            </w:r>
            <w:r>
              <w:rPr>
                <w:color w:val="auto"/>
                <w:sz w:val="24"/>
              </w:rPr>
              <w:t>m</w:t>
            </w:r>
            <w:r>
              <w:rPr>
                <w:color w:val="auto"/>
                <w:sz w:val="24"/>
                <w:vertAlign w:val="superscript"/>
              </w:rPr>
              <w:t>2</w:t>
            </w:r>
            <w:r>
              <w:rPr>
                <w:color w:val="auto"/>
                <w:sz w:val="24"/>
              </w:rPr>
              <w:t>。项目具体组成见表</w:t>
            </w:r>
            <w:r>
              <w:rPr>
                <w:rFonts w:hint="eastAsia"/>
                <w:color w:val="auto"/>
                <w:sz w:val="24"/>
              </w:rPr>
              <w:t>3</w:t>
            </w:r>
            <w:r>
              <w:rPr>
                <w:color w:val="auto"/>
                <w:sz w:val="24"/>
              </w:rPr>
              <w:t>，厂区平面布置详见附图</w:t>
            </w:r>
            <w:r>
              <w:rPr>
                <w:rFonts w:hint="eastAsia"/>
                <w:color w:val="auto"/>
                <w:sz w:val="24"/>
              </w:rPr>
              <w:t>2</w:t>
            </w:r>
            <w:r>
              <w:rPr>
                <w:color w:val="auto"/>
                <w:sz w:val="24"/>
              </w:rPr>
              <w:t>。</w:t>
            </w:r>
          </w:p>
          <w:p>
            <w:pPr>
              <w:adjustRightInd w:val="0"/>
              <w:snapToGrid w:val="0"/>
              <w:spacing w:line="360" w:lineRule="auto"/>
              <w:jc w:val="center"/>
              <w:rPr>
                <w:b/>
                <w:color w:val="auto"/>
                <w:sz w:val="24"/>
              </w:rPr>
            </w:pPr>
            <w:r>
              <w:rPr>
                <w:b/>
                <w:color w:val="auto"/>
                <w:sz w:val="24"/>
              </w:rPr>
              <w:t>表</w:t>
            </w:r>
            <w:r>
              <w:rPr>
                <w:rFonts w:hint="eastAsia"/>
                <w:b/>
                <w:color w:val="auto"/>
                <w:sz w:val="24"/>
                <w:lang w:val="en-US" w:eastAsia="zh-CN"/>
              </w:rPr>
              <w:t>2-2</w:t>
            </w:r>
            <w:r>
              <w:rPr>
                <w:b/>
                <w:color w:val="auto"/>
                <w:sz w:val="24"/>
              </w:rPr>
              <w:t xml:space="preserve"> 项目组成一览表</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687"/>
              <w:gridCol w:w="1643"/>
              <w:gridCol w:w="5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42" w:type="pct"/>
                  <w:gridSpan w:val="3"/>
                  <w:tcBorders>
                    <w:tl2br w:val="nil"/>
                    <w:tr2bl w:val="nil"/>
                  </w:tcBorders>
                  <w:vAlign w:val="center"/>
                </w:tcPr>
                <w:p>
                  <w:pPr>
                    <w:adjustRightInd w:val="0"/>
                    <w:snapToGrid w:val="0"/>
                    <w:jc w:val="center"/>
                    <w:rPr>
                      <w:rFonts w:eastAsiaTheme="minorEastAsia"/>
                      <w:b/>
                      <w:bCs/>
                      <w:color w:val="auto"/>
                    </w:rPr>
                  </w:pPr>
                  <w:r>
                    <w:rPr>
                      <w:rFonts w:eastAsiaTheme="minorEastAsia"/>
                      <w:b/>
                      <w:bCs/>
                      <w:color w:val="auto"/>
                    </w:rPr>
                    <w:t>工程类别</w:t>
                  </w:r>
                </w:p>
              </w:tc>
              <w:tc>
                <w:tcPr>
                  <w:tcW w:w="3158" w:type="pct"/>
                  <w:tcBorders>
                    <w:tl2br w:val="nil"/>
                    <w:tr2bl w:val="nil"/>
                  </w:tcBorders>
                  <w:shd w:val="clear" w:color="auto" w:fill="auto"/>
                  <w:vAlign w:val="center"/>
                </w:tcPr>
                <w:p>
                  <w:pPr>
                    <w:adjustRightInd w:val="0"/>
                    <w:snapToGrid w:val="0"/>
                    <w:jc w:val="center"/>
                    <w:rPr>
                      <w:rFonts w:eastAsia="Times New Roman"/>
                      <w:b/>
                      <w:bCs/>
                      <w:color w:val="auto"/>
                    </w:rPr>
                  </w:pPr>
                  <w:r>
                    <w:rPr>
                      <w:b/>
                      <w:bCs/>
                      <w:color w:val="auto"/>
                    </w:rPr>
                    <w:t>项目组成内容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restart"/>
                  <w:tcBorders>
                    <w:tl2br w:val="nil"/>
                    <w:tr2bl w:val="nil"/>
                  </w:tcBorders>
                  <w:shd w:val="clear" w:color="auto" w:fill="auto"/>
                  <w:vAlign w:val="center"/>
                </w:tcPr>
                <w:p>
                  <w:pPr>
                    <w:adjustRightInd w:val="0"/>
                    <w:snapToGrid w:val="0"/>
                    <w:jc w:val="center"/>
                    <w:rPr>
                      <w:color w:val="auto"/>
                    </w:rPr>
                  </w:pPr>
                  <w:r>
                    <w:rPr>
                      <w:color w:val="auto"/>
                    </w:rPr>
                    <w:t>主体工程</w:t>
                  </w:r>
                </w:p>
              </w:tc>
              <w:tc>
                <w:tcPr>
                  <w:tcW w:w="1438" w:type="pct"/>
                  <w:gridSpan w:val="2"/>
                  <w:tcBorders>
                    <w:tl2br w:val="nil"/>
                    <w:tr2bl w:val="nil"/>
                  </w:tcBorders>
                  <w:shd w:val="clear" w:color="auto" w:fill="auto"/>
                  <w:vAlign w:val="center"/>
                </w:tcPr>
                <w:p>
                  <w:pPr>
                    <w:adjustRightInd w:val="0"/>
                    <w:snapToGrid w:val="0"/>
                    <w:jc w:val="center"/>
                    <w:rPr>
                      <w:color w:val="auto"/>
                    </w:rPr>
                  </w:pPr>
                  <w:r>
                    <w:rPr>
                      <w:rFonts w:hint="eastAsia"/>
                      <w:color w:val="auto"/>
                    </w:rPr>
                    <w:t>1#厂房</w:t>
                  </w:r>
                </w:p>
              </w:tc>
              <w:tc>
                <w:tcPr>
                  <w:tcW w:w="3158" w:type="pct"/>
                  <w:tcBorders>
                    <w:tl2br w:val="nil"/>
                    <w:tr2bl w:val="nil"/>
                  </w:tcBorders>
                  <w:shd w:val="clear" w:color="auto" w:fill="auto"/>
                  <w:vAlign w:val="center"/>
                </w:tcPr>
                <w:p>
                  <w:pPr>
                    <w:adjustRightInd w:val="0"/>
                    <w:snapToGrid w:val="0"/>
                    <w:ind w:left="210" w:hanging="210" w:hangingChars="100"/>
                    <w:jc w:val="center"/>
                    <w:rPr>
                      <w:color w:val="auto"/>
                    </w:rPr>
                  </w:pPr>
                  <w:r>
                    <w:rPr>
                      <w:rFonts w:hint="eastAsia"/>
                      <w:color w:val="auto"/>
                    </w:rPr>
                    <w:t>含注塑、挤塑生产线、焊锡区、包装区，</w:t>
                  </w:r>
                  <w:r>
                    <w:rPr>
                      <w:color w:val="auto"/>
                    </w:rPr>
                    <w:t>占地面积</w:t>
                  </w:r>
                  <w:r>
                    <w:rPr>
                      <w:rFonts w:hint="eastAsia"/>
                      <w:color w:val="auto"/>
                    </w:rPr>
                    <w:t>约1228.4</w:t>
                  </w:r>
                  <w:r>
                    <w:rPr>
                      <w:color w:val="auto"/>
                    </w:rPr>
                    <w:t>m</w:t>
                  </w:r>
                  <w:r>
                    <w:rPr>
                      <w:color w:val="auto"/>
                      <w:vertAlign w:val="superscript"/>
                    </w:rPr>
                    <w:t>2</w:t>
                  </w:r>
                  <w:r>
                    <w:rPr>
                      <w:color w:val="auto"/>
                    </w:rPr>
                    <w:t>，</w:t>
                  </w:r>
                  <w:r>
                    <w:rPr>
                      <w:rFonts w:hint="eastAsia"/>
                      <w:color w:val="auto"/>
                    </w:rPr>
                    <w:t>5</w:t>
                  </w:r>
                  <w:r>
                    <w:rPr>
                      <w:color w:val="auto"/>
                    </w:rPr>
                    <w:t>F，</w:t>
                  </w:r>
                  <w:r>
                    <w:rPr>
                      <w:rFonts w:hint="eastAsia"/>
                      <w:color w:val="auto"/>
                    </w:rPr>
                    <w:t>H=23.75m，</w:t>
                  </w:r>
                  <w:r>
                    <w:rPr>
                      <w:color w:val="auto"/>
                    </w:rPr>
                    <w:t>总建筑面积</w:t>
                  </w:r>
                  <w:r>
                    <w:rPr>
                      <w:rFonts w:hint="eastAsia"/>
                      <w:color w:val="auto"/>
                    </w:rPr>
                    <w:t>6142.14</w:t>
                  </w:r>
                  <w:r>
                    <w:rPr>
                      <w:color w:val="auto"/>
                    </w:rPr>
                    <w:t>m</w:t>
                  </w:r>
                  <w:r>
                    <w:rPr>
                      <w:color w:val="auto"/>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continue"/>
                  <w:tcBorders>
                    <w:tl2br w:val="nil"/>
                    <w:tr2bl w:val="nil"/>
                  </w:tcBorders>
                  <w:shd w:val="clear" w:color="auto" w:fill="auto"/>
                  <w:vAlign w:val="center"/>
                </w:tcPr>
                <w:p>
                  <w:pPr>
                    <w:adjustRightInd w:val="0"/>
                    <w:snapToGrid w:val="0"/>
                    <w:jc w:val="center"/>
                    <w:rPr>
                      <w:rFonts w:eastAsia="Times New Roman"/>
                      <w:color w:val="auto"/>
                    </w:rPr>
                  </w:pPr>
                </w:p>
              </w:tc>
              <w:tc>
                <w:tcPr>
                  <w:tcW w:w="1438" w:type="pct"/>
                  <w:gridSpan w:val="2"/>
                  <w:tcBorders>
                    <w:tl2br w:val="nil"/>
                    <w:tr2bl w:val="nil"/>
                  </w:tcBorders>
                  <w:shd w:val="clear" w:color="auto" w:fill="auto"/>
                  <w:vAlign w:val="center"/>
                </w:tcPr>
                <w:p>
                  <w:pPr>
                    <w:adjustRightInd w:val="0"/>
                    <w:snapToGrid w:val="0"/>
                    <w:jc w:val="center"/>
                    <w:rPr>
                      <w:color w:val="auto"/>
                    </w:rPr>
                  </w:pPr>
                  <w:r>
                    <w:rPr>
                      <w:rFonts w:hint="eastAsia"/>
                      <w:color w:val="auto"/>
                    </w:rPr>
                    <w:t>2#厂房</w:t>
                  </w:r>
                </w:p>
              </w:tc>
              <w:tc>
                <w:tcPr>
                  <w:tcW w:w="3158" w:type="pct"/>
                  <w:tcBorders>
                    <w:tl2br w:val="nil"/>
                    <w:tr2bl w:val="nil"/>
                  </w:tcBorders>
                  <w:shd w:val="clear" w:color="auto" w:fill="auto"/>
                  <w:vAlign w:val="center"/>
                </w:tcPr>
                <w:p>
                  <w:pPr>
                    <w:adjustRightInd w:val="0"/>
                    <w:snapToGrid w:val="0"/>
                    <w:jc w:val="center"/>
                    <w:rPr>
                      <w:color w:val="auto"/>
                    </w:rPr>
                  </w:pPr>
                  <w:r>
                    <w:rPr>
                      <w:rFonts w:hint="eastAsia"/>
                      <w:color w:val="auto"/>
                    </w:rPr>
                    <w:t>含注塑，成品组装区，包装区，</w:t>
                  </w:r>
                  <w:r>
                    <w:rPr>
                      <w:color w:val="auto"/>
                    </w:rPr>
                    <w:t>占地面积</w:t>
                  </w:r>
                  <w:r>
                    <w:rPr>
                      <w:rFonts w:hint="eastAsia"/>
                      <w:color w:val="auto"/>
                    </w:rPr>
                    <w:t>约1956.6</w:t>
                  </w:r>
                  <w:r>
                    <w:rPr>
                      <w:color w:val="auto"/>
                    </w:rPr>
                    <w:t>m</w:t>
                  </w:r>
                  <w:r>
                    <w:rPr>
                      <w:color w:val="auto"/>
                      <w:vertAlign w:val="superscript"/>
                    </w:rPr>
                    <w:t>2</w:t>
                  </w:r>
                  <w:r>
                    <w:rPr>
                      <w:color w:val="auto"/>
                    </w:rPr>
                    <w:t>，</w:t>
                  </w:r>
                  <w:r>
                    <w:rPr>
                      <w:rFonts w:hint="eastAsia"/>
                      <w:color w:val="auto"/>
                    </w:rPr>
                    <w:t>5</w:t>
                  </w:r>
                  <w:r>
                    <w:rPr>
                      <w:color w:val="auto"/>
                    </w:rPr>
                    <w:t>F，</w:t>
                  </w:r>
                  <w:r>
                    <w:rPr>
                      <w:rFonts w:hint="eastAsia"/>
                      <w:color w:val="auto"/>
                    </w:rPr>
                    <w:t>H=23.75m</w:t>
                  </w:r>
                  <w:r>
                    <w:rPr>
                      <w:color w:val="auto"/>
                    </w:rPr>
                    <w:t>，总建筑面积</w:t>
                  </w:r>
                  <w:r>
                    <w:rPr>
                      <w:rFonts w:hint="eastAsia"/>
                      <w:color w:val="auto"/>
                    </w:rPr>
                    <w:t>9782.99</w:t>
                  </w:r>
                  <w:r>
                    <w:rPr>
                      <w:color w:val="auto"/>
                    </w:rPr>
                    <w:t>m</w:t>
                  </w:r>
                  <w:r>
                    <w:rPr>
                      <w:color w:val="auto"/>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continue"/>
                  <w:tcBorders>
                    <w:tl2br w:val="nil"/>
                    <w:tr2bl w:val="nil"/>
                  </w:tcBorders>
                  <w:shd w:val="clear" w:color="auto" w:fill="auto"/>
                  <w:vAlign w:val="center"/>
                </w:tcPr>
                <w:p>
                  <w:pPr>
                    <w:adjustRightInd w:val="0"/>
                    <w:snapToGrid w:val="0"/>
                    <w:jc w:val="center"/>
                    <w:rPr>
                      <w:rFonts w:eastAsia="Times New Roman"/>
                      <w:color w:val="auto"/>
                    </w:rPr>
                  </w:pPr>
                </w:p>
              </w:tc>
              <w:tc>
                <w:tcPr>
                  <w:tcW w:w="1438" w:type="pct"/>
                  <w:gridSpan w:val="2"/>
                  <w:tcBorders>
                    <w:tl2br w:val="nil"/>
                    <w:tr2bl w:val="nil"/>
                  </w:tcBorders>
                  <w:shd w:val="clear" w:color="auto" w:fill="auto"/>
                  <w:vAlign w:val="center"/>
                </w:tcPr>
                <w:p>
                  <w:pPr>
                    <w:adjustRightInd w:val="0"/>
                    <w:snapToGrid w:val="0"/>
                    <w:jc w:val="center"/>
                    <w:rPr>
                      <w:color w:val="auto"/>
                    </w:rPr>
                  </w:pPr>
                  <w:r>
                    <w:rPr>
                      <w:rFonts w:hint="eastAsia"/>
                      <w:color w:val="auto"/>
                    </w:rPr>
                    <w:t>研发车间</w:t>
                  </w:r>
                </w:p>
              </w:tc>
              <w:tc>
                <w:tcPr>
                  <w:tcW w:w="3158" w:type="pct"/>
                  <w:tcBorders>
                    <w:tl2br w:val="nil"/>
                    <w:tr2bl w:val="nil"/>
                  </w:tcBorders>
                  <w:shd w:val="clear" w:color="auto" w:fill="auto"/>
                  <w:vAlign w:val="center"/>
                </w:tcPr>
                <w:p>
                  <w:pPr>
                    <w:adjustRightInd w:val="0"/>
                    <w:snapToGrid w:val="0"/>
                    <w:jc w:val="center"/>
                    <w:rPr>
                      <w:color w:val="auto"/>
                    </w:rPr>
                  </w:pPr>
                  <w:r>
                    <w:rPr>
                      <w:color w:val="auto"/>
                    </w:rPr>
                    <w:t>占地面积</w:t>
                  </w:r>
                  <w:r>
                    <w:rPr>
                      <w:rFonts w:hint="eastAsia"/>
                      <w:color w:val="auto"/>
                    </w:rPr>
                    <w:t>约507.3</w:t>
                  </w:r>
                  <w:r>
                    <w:rPr>
                      <w:color w:val="auto"/>
                    </w:rPr>
                    <w:t>m</w:t>
                  </w:r>
                  <w:r>
                    <w:rPr>
                      <w:color w:val="auto"/>
                      <w:vertAlign w:val="superscript"/>
                    </w:rPr>
                    <w:t>2</w:t>
                  </w:r>
                  <w:r>
                    <w:rPr>
                      <w:color w:val="auto"/>
                    </w:rPr>
                    <w:t>，</w:t>
                  </w:r>
                  <w:r>
                    <w:rPr>
                      <w:rFonts w:hint="eastAsia"/>
                      <w:color w:val="auto"/>
                    </w:rPr>
                    <w:t>4</w:t>
                  </w:r>
                  <w:r>
                    <w:rPr>
                      <w:color w:val="auto"/>
                    </w:rPr>
                    <w:t>F，</w:t>
                  </w:r>
                  <w:r>
                    <w:rPr>
                      <w:rFonts w:hint="eastAsia"/>
                      <w:color w:val="auto"/>
                    </w:rPr>
                    <w:t>H=15.45m</w:t>
                  </w:r>
                  <w:r>
                    <w:rPr>
                      <w:color w:val="auto"/>
                    </w:rPr>
                    <w:t>，总建筑面积</w:t>
                  </w:r>
                  <w:r>
                    <w:rPr>
                      <w:rFonts w:hint="eastAsia"/>
                      <w:color w:val="auto"/>
                    </w:rPr>
                    <w:t>2029.01</w:t>
                  </w:r>
                  <w:r>
                    <w:rPr>
                      <w:color w:val="auto"/>
                    </w:rPr>
                    <w:t>m</w:t>
                  </w:r>
                  <w:r>
                    <w:rPr>
                      <w:color w:val="auto"/>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tcBorders>
                    <w:tl2br w:val="nil"/>
                    <w:tr2bl w:val="nil"/>
                  </w:tcBorders>
                  <w:shd w:val="clear" w:color="auto" w:fill="auto"/>
                  <w:vAlign w:val="center"/>
                </w:tcPr>
                <w:p>
                  <w:pPr>
                    <w:adjustRightInd w:val="0"/>
                    <w:snapToGrid w:val="0"/>
                    <w:jc w:val="center"/>
                    <w:rPr>
                      <w:rFonts w:eastAsia="Times New Roman"/>
                      <w:color w:val="auto"/>
                    </w:rPr>
                  </w:pPr>
                  <w:r>
                    <w:rPr>
                      <w:color w:val="auto"/>
                    </w:rPr>
                    <w:t>辅助工程</w:t>
                  </w:r>
                </w:p>
              </w:tc>
              <w:tc>
                <w:tcPr>
                  <w:tcW w:w="1438" w:type="pct"/>
                  <w:gridSpan w:val="2"/>
                  <w:tcBorders>
                    <w:tl2br w:val="nil"/>
                    <w:tr2bl w:val="nil"/>
                  </w:tcBorders>
                  <w:shd w:val="clear" w:color="auto" w:fill="auto"/>
                  <w:vAlign w:val="center"/>
                </w:tcPr>
                <w:p>
                  <w:pPr>
                    <w:adjustRightInd w:val="0"/>
                    <w:snapToGrid w:val="0"/>
                    <w:jc w:val="center"/>
                    <w:rPr>
                      <w:color w:val="auto"/>
                    </w:rPr>
                  </w:pPr>
                  <w:r>
                    <w:rPr>
                      <w:rFonts w:hint="eastAsia"/>
                      <w:color w:val="auto"/>
                    </w:rPr>
                    <w:t>宿舍楼</w:t>
                  </w:r>
                </w:p>
              </w:tc>
              <w:tc>
                <w:tcPr>
                  <w:tcW w:w="3158" w:type="pct"/>
                  <w:tcBorders>
                    <w:tl2br w:val="nil"/>
                    <w:tr2bl w:val="nil"/>
                  </w:tcBorders>
                  <w:shd w:val="clear" w:color="auto" w:fill="auto"/>
                  <w:vAlign w:val="center"/>
                </w:tcPr>
                <w:p>
                  <w:pPr>
                    <w:adjustRightInd w:val="0"/>
                    <w:snapToGrid w:val="0"/>
                    <w:jc w:val="center"/>
                    <w:rPr>
                      <w:color w:val="auto"/>
                    </w:rPr>
                  </w:pPr>
                  <w:r>
                    <w:rPr>
                      <w:color w:val="auto"/>
                    </w:rPr>
                    <w:t>占地面积</w:t>
                  </w:r>
                  <w:r>
                    <w:rPr>
                      <w:rFonts w:hint="eastAsia"/>
                      <w:color w:val="auto"/>
                    </w:rPr>
                    <w:t>825.89</w:t>
                  </w:r>
                  <w:r>
                    <w:rPr>
                      <w:color w:val="auto"/>
                    </w:rPr>
                    <w:t>m</w:t>
                  </w:r>
                  <w:r>
                    <w:rPr>
                      <w:color w:val="auto"/>
                      <w:vertAlign w:val="superscript"/>
                    </w:rPr>
                    <w:t>2</w:t>
                  </w:r>
                  <w:r>
                    <w:rPr>
                      <w:color w:val="auto"/>
                    </w:rPr>
                    <w:t>，</w:t>
                  </w:r>
                  <w:r>
                    <w:rPr>
                      <w:rFonts w:hint="eastAsia"/>
                      <w:color w:val="auto"/>
                    </w:rPr>
                    <w:t>4</w:t>
                  </w:r>
                  <w:r>
                    <w:rPr>
                      <w:color w:val="auto"/>
                    </w:rPr>
                    <w:t>F，</w:t>
                  </w:r>
                  <w:r>
                    <w:rPr>
                      <w:rFonts w:hint="eastAsia"/>
                      <w:color w:val="auto"/>
                    </w:rPr>
                    <w:t>约14.55m高</w:t>
                  </w:r>
                  <w:r>
                    <w:rPr>
                      <w:color w:val="auto"/>
                    </w:rPr>
                    <w:t>，总建筑面积</w:t>
                  </w:r>
                  <w:r>
                    <w:rPr>
                      <w:rFonts w:hint="eastAsia"/>
                      <w:color w:val="auto"/>
                    </w:rPr>
                    <w:t>3303.55</w:t>
                  </w:r>
                  <w:r>
                    <w:rPr>
                      <w:color w:val="auto"/>
                    </w:rPr>
                    <w:t>m</w:t>
                  </w:r>
                  <w:r>
                    <w:rPr>
                      <w:color w:val="auto"/>
                      <w:vertAlign w:val="superscript"/>
                    </w:rPr>
                    <w:t>2</w:t>
                  </w:r>
                  <w:r>
                    <w:rPr>
                      <w:color w:val="auto"/>
                    </w:rPr>
                    <w:t>，主要</w:t>
                  </w:r>
                  <w:r>
                    <w:rPr>
                      <w:rFonts w:hint="eastAsia"/>
                      <w:color w:val="auto"/>
                      <w:lang w:eastAsia="zh-CN"/>
                    </w:rPr>
                    <w:t>用作</w:t>
                  </w:r>
                  <w:r>
                    <w:rPr>
                      <w:rFonts w:hint="eastAsia"/>
                      <w:color w:val="auto"/>
                      <w:szCs w:val="21"/>
                    </w:rPr>
                    <w:t>员工住宿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restart"/>
                  <w:tcBorders>
                    <w:tl2br w:val="nil"/>
                    <w:tr2bl w:val="nil"/>
                  </w:tcBorders>
                  <w:shd w:val="clear" w:color="auto" w:fill="auto"/>
                  <w:vAlign w:val="center"/>
                </w:tcPr>
                <w:p>
                  <w:pPr>
                    <w:adjustRightInd w:val="0"/>
                    <w:snapToGrid w:val="0"/>
                    <w:jc w:val="center"/>
                    <w:rPr>
                      <w:color w:val="auto"/>
                    </w:rPr>
                  </w:pPr>
                  <w:r>
                    <w:rPr>
                      <w:color w:val="auto"/>
                    </w:rPr>
                    <w:t>公用工程</w:t>
                  </w:r>
                </w:p>
              </w:tc>
              <w:tc>
                <w:tcPr>
                  <w:tcW w:w="1438" w:type="pct"/>
                  <w:gridSpan w:val="2"/>
                  <w:tcBorders>
                    <w:tl2br w:val="nil"/>
                    <w:tr2bl w:val="nil"/>
                  </w:tcBorders>
                  <w:shd w:val="clear" w:color="auto" w:fill="auto"/>
                  <w:vAlign w:val="center"/>
                </w:tcPr>
                <w:p>
                  <w:pPr>
                    <w:adjustRightInd w:val="0"/>
                    <w:snapToGrid w:val="0"/>
                    <w:jc w:val="center"/>
                    <w:rPr>
                      <w:color w:val="auto"/>
                    </w:rPr>
                  </w:pPr>
                  <w:r>
                    <w:rPr>
                      <w:color w:val="auto"/>
                    </w:rPr>
                    <w:t>供水</w:t>
                  </w:r>
                </w:p>
              </w:tc>
              <w:tc>
                <w:tcPr>
                  <w:tcW w:w="3158" w:type="pct"/>
                  <w:tcBorders>
                    <w:tl2br w:val="nil"/>
                    <w:tr2bl w:val="nil"/>
                  </w:tcBorders>
                  <w:shd w:val="clear" w:color="auto" w:fill="auto"/>
                  <w:vAlign w:val="center"/>
                </w:tcPr>
                <w:p>
                  <w:pPr>
                    <w:adjustRightInd w:val="0"/>
                    <w:snapToGrid w:val="0"/>
                    <w:jc w:val="center"/>
                    <w:rPr>
                      <w:color w:val="auto"/>
                    </w:rPr>
                  </w:pPr>
                  <w:r>
                    <w:rPr>
                      <w:color w:val="auto"/>
                    </w:rPr>
                    <w:t>由</w:t>
                  </w:r>
                  <w:r>
                    <w:rPr>
                      <w:rFonts w:hint="eastAsia"/>
                      <w:color w:val="auto"/>
                    </w:rPr>
                    <w:t>园区</w:t>
                  </w:r>
                  <w:r>
                    <w:rPr>
                      <w:color w:val="auto"/>
                    </w:rPr>
                    <w:t>市政供水供给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continue"/>
                  <w:tcBorders>
                    <w:tl2br w:val="nil"/>
                    <w:tr2bl w:val="nil"/>
                  </w:tcBorders>
                  <w:shd w:val="clear" w:color="auto" w:fill="auto"/>
                  <w:vAlign w:val="center"/>
                </w:tcPr>
                <w:p>
                  <w:pPr>
                    <w:adjustRightInd w:val="0"/>
                    <w:snapToGrid w:val="0"/>
                    <w:jc w:val="center"/>
                    <w:rPr>
                      <w:rFonts w:eastAsia="Times New Roman"/>
                      <w:color w:val="auto"/>
                    </w:rPr>
                  </w:pPr>
                </w:p>
              </w:tc>
              <w:tc>
                <w:tcPr>
                  <w:tcW w:w="1438" w:type="pct"/>
                  <w:gridSpan w:val="2"/>
                  <w:tcBorders>
                    <w:tl2br w:val="nil"/>
                    <w:tr2bl w:val="nil"/>
                  </w:tcBorders>
                  <w:shd w:val="clear" w:color="auto" w:fill="auto"/>
                  <w:vAlign w:val="center"/>
                </w:tcPr>
                <w:p>
                  <w:pPr>
                    <w:adjustRightInd w:val="0"/>
                    <w:snapToGrid w:val="0"/>
                    <w:jc w:val="center"/>
                    <w:rPr>
                      <w:color w:val="auto"/>
                    </w:rPr>
                  </w:pPr>
                  <w:r>
                    <w:rPr>
                      <w:color w:val="auto"/>
                    </w:rPr>
                    <w:t>供电</w:t>
                  </w:r>
                </w:p>
              </w:tc>
              <w:tc>
                <w:tcPr>
                  <w:tcW w:w="3158" w:type="pct"/>
                  <w:tcBorders>
                    <w:tl2br w:val="nil"/>
                    <w:tr2bl w:val="nil"/>
                  </w:tcBorders>
                  <w:shd w:val="clear" w:color="auto" w:fill="auto"/>
                  <w:vAlign w:val="center"/>
                </w:tcPr>
                <w:p>
                  <w:pPr>
                    <w:adjustRightInd w:val="0"/>
                    <w:snapToGrid w:val="0"/>
                    <w:jc w:val="center"/>
                    <w:rPr>
                      <w:rFonts w:eastAsia="Times New Roman"/>
                      <w:color w:val="auto"/>
                    </w:rPr>
                  </w:pPr>
                  <w:r>
                    <w:rPr>
                      <w:color w:val="auto"/>
                    </w:rPr>
                    <w:t>由</w:t>
                  </w:r>
                  <w:r>
                    <w:rPr>
                      <w:rFonts w:hint="eastAsia"/>
                      <w:color w:val="auto"/>
                    </w:rPr>
                    <w:t>园区</w:t>
                  </w:r>
                  <w:r>
                    <w:rPr>
                      <w:color w:val="auto"/>
                    </w:rPr>
                    <w:t>市政供电供给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continue"/>
                  <w:tcBorders>
                    <w:tl2br w:val="nil"/>
                    <w:tr2bl w:val="nil"/>
                  </w:tcBorders>
                  <w:shd w:val="clear" w:color="auto" w:fill="auto"/>
                  <w:vAlign w:val="center"/>
                </w:tcPr>
                <w:p>
                  <w:pPr>
                    <w:adjustRightInd w:val="0"/>
                    <w:snapToGrid w:val="0"/>
                    <w:jc w:val="center"/>
                    <w:rPr>
                      <w:rFonts w:eastAsia="Times New Roman"/>
                      <w:color w:val="auto"/>
                    </w:rPr>
                  </w:pPr>
                </w:p>
              </w:tc>
              <w:tc>
                <w:tcPr>
                  <w:tcW w:w="1438" w:type="pct"/>
                  <w:gridSpan w:val="2"/>
                  <w:tcBorders>
                    <w:tl2br w:val="nil"/>
                    <w:tr2bl w:val="nil"/>
                  </w:tcBorders>
                  <w:shd w:val="clear" w:color="auto" w:fill="auto"/>
                  <w:vAlign w:val="center"/>
                </w:tcPr>
                <w:p>
                  <w:pPr>
                    <w:adjustRightInd w:val="0"/>
                    <w:snapToGrid w:val="0"/>
                    <w:jc w:val="center"/>
                    <w:rPr>
                      <w:color w:val="auto"/>
                      <w:szCs w:val="21"/>
                    </w:rPr>
                  </w:pPr>
                  <w:r>
                    <w:rPr>
                      <w:color w:val="auto"/>
                      <w:szCs w:val="21"/>
                    </w:rPr>
                    <w:t>排水</w:t>
                  </w:r>
                </w:p>
              </w:tc>
              <w:tc>
                <w:tcPr>
                  <w:tcW w:w="3158" w:type="pct"/>
                  <w:tcBorders>
                    <w:tl2br w:val="nil"/>
                    <w:tr2bl w:val="nil"/>
                  </w:tcBorders>
                  <w:shd w:val="clear" w:color="auto" w:fill="auto"/>
                  <w:vAlign w:val="center"/>
                </w:tcPr>
                <w:p>
                  <w:pPr>
                    <w:adjustRightInd w:val="0"/>
                    <w:snapToGrid w:val="0"/>
                    <w:jc w:val="center"/>
                    <w:rPr>
                      <w:color w:val="auto"/>
                    </w:rPr>
                  </w:pPr>
                  <w:r>
                    <w:rPr>
                      <w:rFonts w:hint="eastAsia"/>
                      <w:color w:val="auto"/>
                      <w:szCs w:val="21"/>
                    </w:rPr>
                    <w:t>生活污水经三级化粪池预处理后，通过园区污水管网排入园区污水处理厂进行深度处理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restart"/>
                  <w:tcBorders>
                    <w:tl2br w:val="nil"/>
                    <w:tr2bl w:val="nil"/>
                  </w:tcBorders>
                  <w:shd w:val="clear" w:color="auto" w:fill="auto"/>
                  <w:vAlign w:val="center"/>
                </w:tcPr>
                <w:p>
                  <w:pPr>
                    <w:adjustRightInd w:val="0"/>
                    <w:snapToGrid w:val="0"/>
                    <w:jc w:val="center"/>
                    <w:rPr>
                      <w:color w:val="auto"/>
                    </w:rPr>
                  </w:pPr>
                  <w:r>
                    <w:rPr>
                      <w:color w:val="auto"/>
                    </w:rPr>
                    <w:t>环保工程</w:t>
                  </w:r>
                </w:p>
              </w:tc>
              <w:tc>
                <w:tcPr>
                  <w:tcW w:w="424" w:type="pct"/>
                  <w:tcBorders>
                    <w:tl2br w:val="nil"/>
                    <w:tr2bl w:val="nil"/>
                  </w:tcBorders>
                  <w:shd w:val="clear" w:color="auto" w:fill="auto"/>
                  <w:vAlign w:val="center"/>
                </w:tcPr>
                <w:p>
                  <w:pPr>
                    <w:adjustRightInd w:val="0"/>
                    <w:snapToGrid w:val="0"/>
                    <w:jc w:val="center"/>
                    <w:rPr>
                      <w:color w:val="auto"/>
                    </w:rPr>
                  </w:pPr>
                  <w:r>
                    <w:rPr>
                      <w:color w:val="auto"/>
                    </w:rPr>
                    <w:t>废水</w:t>
                  </w:r>
                </w:p>
              </w:tc>
              <w:tc>
                <w:tcPr>
                  <w:tcW w:w="1015" w:type="pct"/>
                  <w:tcBorders>
                    <w:tl2br w:val="nil"/>
                    <w:tr2bl w:val="nil"/>
                  </w:tcBorders>
                  <w:shd w:val="clear" w:color="auto" w:fill="auto"/>
                  <w:vAlign w:val="center"/>
                </w:tcPr>
                <w:p>
                  <w:pPr>
                    <w:jc w:val="center"/>
                    <w:rPr>
                      <w:color w:val="auto"/>
                    </w:rPr>
                  </w:pPr>
                  <w:r>
                    <w:rPr>
                      <w:bCs/>
                      <w:color w:val="auto"/>
                      <w:kern w:val="44"/>
                      <w:szCs w:val="21"/>
                    </w:rPr>
                    <w:t>三级化粪池</w:t>
                  </w:r>
                </w:p>
              </w:tc>
              <w:tc>
                <w:tcPr>
                  <w:tcW w:w="3158" w:type="pct"/>
                  <w:tcBorders>
                    <w:tl2br w:val="nil"/>
                    <w:tr2bl w:val="nil"/>
                  </w:tcBorders>
                  <w:shd w:val="clear" w:color="auto" w:fill="auto"/>
                  <w:vAlign w:val="center"/>
                </w:tcPr>
                <w:p>
                  <w:pPr>
                    <w:jc w:val="center"/>
                    <w:rPr>
                      <w:color w:val="auto"/>
                    </w:rPr>
                  </w:pPr>
                  <w:r>
                    <w:rPr>
                      <w:rFonts w:hint="eastAsia"/>
                      <w:bCs/>
                      <w:color w:val="auto"/>
                      <w:kern w:val="44"/>
                      <w:szCs w:val="21"/>
                    </w:rPr>
                    <w:t>生活污水经三级化粪池预处理后，通过园区污水管网排入园区污水处理厂进行深度处理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continue"/>
                  <w:tcBorders>
                    <w:tl2br w:val="nil"/>
                    <w:tr2bl w:val="nil"/>
                  </w:tcBorders>
                  <w:shd w:val="clear" w:color="auto" w:fill="auto"/>
                  <w:vAlign w:val="center"/>
                </w:tcPr>
                <w:p>
                  <w:pPr>
                    <w:adjustRightInd w:val="0"/>
                    <w:snapToGrid w:val="0"/>
                    <w:jc w:val="center"/>
                    <w:rPr>
                      <w:color w:val="auto"/>
                    </w:rPr>
                  </w:pPr>
                </w:p>
              </w:tc>
              <w:tc>
                <w:tcPr>
                  <w:tcW w:w="424" w:type="pct"/>
                  <w:tcBorders>
                    <w:tl2br w:val="nil"/>
                    <w:tr2bl w:val="nil"/>
                  </w:tcBorders>
                  <w:shd w:val="clear" w:color="auto" w:fill="auto"/>
                  <w:vAlign w:val="center"/>
                </w:tcPr>
                <w:p>
                  <w:pPr>
                    <w:adjustRightInd w:val="0"/>
                    <w:snapToGrid w:val="0"/>
                    <w:jc w:val="center"/>
                    <w:rPr>
                      <w:color w:val="auto"/>
                    </w:rPr>
                  </w:pPr>
                  <w:r>
                    <w:rPr>
                      <w:color w:val="auto"/>
                    </w:rPr>
                    <w:t>废气</w:t>
                  </w:r>
                </w:p>
              </w:tc>
              <w:tc>
                <w:tcPr>
                  <w:tcW w:w="1015" w:type="pct"/>
                  <w:tcBorders>
                    <w:tl2br w:val="nil"/>
                    <w:tr2bl w:val="nil"/>
                  </w:tcBorders>
                  <w:shd w:val="clear" w:color="auto" w:fill="auto"/>
                  <w:vAlign w:val="center"/>
                </w:tcPr>
                <w:p>
                  <w:pPr>
                    <w:jc w:val="center"/>
                    <w:rPr>
                      <w:color w:val="auto"/>
                    </w:rPr>
                  </w:pPr>
                  <w:r>
                    <w:rPr>
                      <w:rFonts w:hint="eastAsia"/>
                      <w:color w:val="auto"/>
                      <w:szCs w:val="21"/>
                    </w:rPr>
                    <w:t>注塑、挤出废气</w:t>
                  </w:r>
                </w:p>
              </w:tc>
              <w:tc>
                <w:tcPr>
                  <w:tcW w:w="3158" w:type="pct"/>
                  <w:tcBorders>
                    <w:tl2br w:val="nil"/>
                    <w:tr2bl w:val="nil"/>
                  </w:tcBorders>
                  <w:shd w:val="clear" w:color="auto" w:fill="auto"/>
                  <w:vAlign w:val="center"/>
                </w:tcPr>
                <w:p>
                  <w:pPr>
                    <w:jc w:val="center"/>
                    <w:rPr>
                      <w:bCs/>
                      <w:color w:val="auto"/>
                      <w:szCs w:val="21"/>
                    </w:rPr>
                  </w:pPr>
                  <w:r>
                    <w:rPr>
                      <w:rFonts w:hint="eastAsia"/>
                      <w:bCs/>
                      <w:color w:val="auto"/>
                      <w:szCs w:val="21"/>
                    </w:rPr>
                    <w:t>采用密闭车间结合集气罩收集，经“二级活性炭吸附装置”处理后由15m高排气筒（DA001）高空排放</w:t>
                  </w:r>
                  <w:r>
                    <w:rPr>
                      <w:rFonts w:hint="eastAsia"/>
                      <w:color w:val="auto"/>
                      <w:lang w:eastAsia="zh-CN"/>
                    </w:rPr>
                    <w:t>，</w:t>
                  </w:r>
                  <w:r>
                    <w:rPr>
                      <w:rFonts w:hint="eastAsia"/>
                      <w:bCs/>
                      <w:color w:val="auto"/>
                      <w:szCs w:val="21"/>
                    </w:rPr>
                    <w:t>设计处理风量</w:t>
                  </w:r>
                  <w:r>
                    <w:rPr>
                      <w:rFonts w:hint="eastAsia"/>
                      <w:bCs/>
                      <w:color w:val="auto"/>
                      <w:szCs w:val="21"/>
                      <w:lang w:val="en-US" w:eastAsia="zh-CN"/>
                    </w:rPr>
                    <w:t>20</w:t>
                  </w:r>
                  <w:r>
                    <w:rPr>
                      <w:rFonts w:hint="eastAsia"/>
                      <w:bCs/>
                      <w:color w:val="auto"/>
                      <w:szCs w:val="21"/>
                    </w:rPr>
                    <w:t>000m</w:t>
                  </w:r>
                  <w:r>
                    <w:rPr>
                      <w:rFonts w:hint="eastAsia"/>
                      <w:bCs/>
                      <w:color w:val="auto"/>
                      <w:szCs w:val="21"/>
                      <w:vertAlign w:val="superscript"/>
                    </w:rPr>
                    <w:t>3</w:t>
                  </w:r>
                  <w:r>
                    <w:rPr>
                      <w:rFonts w:hint="eastAsia"/>
                      <w:bCs/>
                      <w:color w:val="auto"/>
                      <w:szCs w:val="21"/>
                    </w:rPr>
                    <w:t>/h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continue"/>
                  <w:tcBorders>
                    <w:tl2br w:val="nil"/>
                    <w:tr2bl w:val="nil"/>
                  </w:tcBorders>
                  <w:shd w:val="clear" w:color="auto" w:fill="auto"/>
                  <w:vAlign w:val="center"/>
                </w:tcPr>
                <w:p>
                  <w:pPr>
                    <w:adjustRightInd w:val="0"/>
                    <w:snapToGrid w:val="0"/>
                    <w:jc w:val="center"/>
                    <w:rPr>
                      <w:color w:val="auto"/>
                    </w:rPr>
                  </w:pPr>
                </w:p>
              </w:tc>
              <w:tc>
                <w:tcPr>
                  <w:tcW w:w="1438" w:type="pct"/>
                  <w:gridSpan w:val="2"/>
                  <w:tcBorders>
                    <w:tl2br w:val="nil"/>
                    <w:tr2bl w:val="nil"/>
                  </w:tcBorders>
                  <w:shd w:val="clear" w:color="auto" w:fill="auto"/>
                  <w:vAlign w:val="center"/>
                </w:tcPr>
                <w:p>
                  <w:pPr>
                    <w:jc w:val="center"/>
                    <w:rPr>
                      <w:color w:val="auto"/>
                      <w:szCs w:val="21"/>
                    </w:rPr>
                  </w:pPr>
                  <w:r>
                    <w:rPr>
                      <w:color w:val="auto"/>
                      <w:szCs w:val="21"/>
                    </w:rPr>
                    <w:t>消防</w:t>
                  </w:r>
                </w:p>
              </w:tc>
              <w:tc>
                <w:tcPr>
                  <w:tcW w:w="3158" w:type="pct"/>
                  <w:tcBorders>
                    <w:tl2br w:val="nil"/>
                    <w:tr2bl w:val="nil"/>
                  </w:tcBorders>
                  <w:shd w:val="clear" w:color="auto" w:fill="auto"/>
                  <w:vAlign w:val="center"/>
                </w:tcPr>
                <w:p>
                  <w:pPr>
                    <w:jc w:val="center"/>
                    <w:rPr>
                      <w:color w:val="auto"/>
                      <w:szCs w:val="21"/>
                      <w:highlight w:val="yellow"/>
                    </w:rPr>
                  </w:pPr>
                  <w:r>
                    <w:rPr>
                      <w:color w:val="auto"/>
                      <w:szCs w:val="21"/>
                    </w:rPr>
                    <w:t>采用室内消防灭火器及室外消防栓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continue"/>
                  <w:tcBorders>
                    <w:tl2br w:val="nil"/>
                    <w:tr2bl w:val="nil"/>
                  </w:tcBorders>
                  <w:shd w:val="clear" w:color="auto" w:fill="auto"/>
                  <w:vAlign w:val="center"/>
                </w:tcPr>
                <w:p>
                  <w:pPr>
                    <w:adjustRightInd w:val="0"/>
                    <w:snapToGrid w:val="0"/>
                    <w:jc w:val="center"/>
                    <w:rPr>
                      <w:color w:val="auto"/>
                    </w:rPr>
                  </w:pPr>
                </w:p>
              </w:tc>
              <w:tc>
                <w:tcPr>
                  <w:tcW w:w="1438" w:type="pct"/>
                  <w:gridSpan w:val="2"/>
                  <w:tcBorders>
                    <w:tl2br w:val="nil"/>
                    <w:tr2bl w:val="nil"/>
                  </w:tcBorders>
                  <w:shd w:val="clear" w:color="auto" w:fill="auto"/>
                  <w:vAlign w:val="center"/>
                </w:tcPr>
                <w:p>
                  <w:pPr>
                    <w:adjustRightInd w:val="0"/>
                    <w:snapToGrid w:val="0"/>
                    <w:jc w:val="center"/>
                    <w:rPr>
                      <w:color w:val="auto"/>
                    </w:rPr>
                  </w:pPr>
                  <w:r>
                    <w:rPr>
                      <w:color w:val="auto"/>
                    </w:rPr>
                    <w:t>固废</w:t>
                  </w:r>
                </w:p>
              </w:tc>
              <w:tc>
                <w:tcPr>
                  <w:tcW w:w="3158" w:type="pct"/>
                  <w:tcBorders>
                    <w:tl2br w:val="nil"/>
                    <w:tr2bl w:val="nil"/>
                  </w:tcBorders>
                  <w:shd w:val="clear" w:color="auto" w:fill="auto"/>
                  <w:vAlign w:val="center"/>
                </w:tcPr>
                <w:p>
                  <w:pPr>
                    <w:jc w:val="center"/>
                    <w:rPr>
                      <w:color w:val="auto"/>
                    </w:rPr>
                  </w:pPr>
                  <w:r>
                    <w:rPr>
                      <w:rFonts w:hint="eastAsia"/>
                      <w:color w:val="auto"/>
                      <w:szCs w:val="21"/>
                    </w:rPr>
                    <w:t>危废暂存间（10m</w:t>
                  </w:r>
                  <w:r>
                    <w:rPr>
                      <w:color w:val="auto"/>
                      <w:szCs w:val="21"/>
                      <w:vertAlign w:val="superscript"/>
                    </w:rPr>
                    <w:t>2</w:t>
                  </w:r>
                  <w:r>
                    <w:rPr>
                      <w:rFonts w:hint="eastAsia"/>
                      <w:color w:val="auto"/>
                      <w:szCs w:val="21"/>
                    </w:rPr>
                    <w:t>）、一般工业固废堆场（1</w:t>
                  </w:r>
                  <w:r>
                    <w:rPr>
                      <w:rFonts w:hint="eastAsia"/>
                      <w:color w:val="auto"/>
                      <w:szCs w:val="21"/>
                      <w:lang w:val="en-US" w:eastAsia="zh-CN"/>
                    </w:rPr>
                    <w:t>5</w:t>
                  </w:r>
                  <w:r>
                    <w:rPr>
                      <w:rFonts w:hint="eastAsia"/>
                      <w:color w:val="auto"/>
                      <w:szCs w:val="21"/>
                    </w:rPr>
                    <w:t>m</w:t>
                  </w:r>
                  <w:r>
                    <w:rPr>
                      <w:color w:val="auto"/>
                      <w:szCs w:val="21"/>
                      <w:vertAlign w:val="superscript"/>
                    </w:rPr>
                    <w:t>2</w:t>
                  </w:r>
                  <w:r>
                    <w:rPr>
                      <w:rFonts w:hint="eastAsia"/>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 w:type="pct"/>
                  <w:vMerge w:val="continue"/>
                  <w:tcBorders>
                    <w:tl2br w:val="nil"/>
                    <w:tr2bl w:val="nil"/>
                  </w:tcBorders>
                  <w:shd w:val="clear" w:color="auto" w:fill="auto"/>
                  <w:vAlign w:val="center"/>
                </w:tcPr>
                <w:p>
                  <w:pPr>
                    <w:adjustRightInd w:val="0"/>
                    <w:snapToGrid w:val="0"/>
                    <w:jc w:val="center"/>
                    <w:rPr>
                      <w:color w:val="auto"/>
                    </w:rPr>
                  </w:pPr>
                </w:p>
              </w:tc>
              <w:tc>
                <w:tcPr>
                  <w:tcW w:w="1438" w:type="pct"/>
                  <w:gridSpan w:val="2"/>
                  <w:tcBorders>
                    <w:tl2br w:val="nil"/>
                    <w:tr2bl w:val="nil"/>
                  </w:tcBorders>
                  <w:shd w:val="clear" w:color="auto" w:fill="auto"/>
                  <w:vAlign w:val="center"/>
                </w:tcPr>
                <w:p>
                  <w:pPr>
                    <w:jc w:val="center"/>
                    <w:rPr>
                      <w:color w:val="auto"/>
                    </w:rPr>
                  </w:pPr>
                  <w:r>
                    <w:rPr>
                      <w:color w:val="auto"/>
                      <w:szCs w:val="21"/>
                    </w:rPr>
                    <w:t>噪声治理</w:t>
                  </w:r>
                </w:p>
              </w:tc>
              <w:tc>
                <w:tcPr>
                  <w:tcW w:w="3158" w:type="pct"/>
                  <w:tcBorders>
                    <w:tl2br w:val="nil"/>
                    <w:tr2bl w:val="nil"/>
                  </w:tcBorders>
                  <w:shd w:val="clear" w:color="auto" w:fill="auto"/>
                  <w:vAlign w:val="center"/>
                </w:tcPr>
                <w:p>
                  <w:pPr>
                    <w:jc w:val="center"/>
                    <w:rPr>
                      <w:color w:val="auto"/>
                      <w:szCs w:val="21"/>
                    </w:rPr>
                  </w:pPr>
                  <w:r>
                    <w:rPr>
                      <w:color w:val="auto"/>
                      <w:szCs w:val="21"/>
                    </w:rPr>
                    <w:t>减振、隔声、消声、降噪措施</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jc w:val="left"/>
              <w:textAlignment w:val="auto"/>
              <w:rPr>
                <w:b/>
                <w:bCs/>
                <w:color w:val="auto"/>
                <w:sz w:val="24"/>
                <w:szCs w:val="21"/>
              </w:rPr>
            </w:pPr>
            <w:r>
              <w:rPr>
                <w:b/>
                <w:bCs/>
                <w:color w:val="auto"/>
                <w:sz w:val="24"/>
                <w:szCs w:val="21"/>
              </w:rPr>
              <w:t>3.主要生产设施</w:t>
            </w:r>
          </w:p>
          <w:p>
            <w:pPr>
              <w:adjustRightInd w:val="0"/>
              <w:snapToGrid w:val="0"/>
              <w:spacing w:line="360" w:lineRule="auto"/>
              <w:ind w:firstLine="470" w:firstLineChars="196"/>
              <w:jc w:val="left"/>
              <w:rPr>
                <w:color w:val="auto"/>
                <w:sz w:val="24"/>
              </w:rPr>
            </w:pPr>
            <w:r>
              <w:rPr>
                <w:color w:val="auto"/>
                <w:sz w:val="24"/>
              </w:rPr>
              <w:t>本项目主要生产设备如表</w:t>
            </w:r>
            <w:r>
              <w:rPr>
                <w:rFonts w:hint="eastAsia"/>
                <w:color w:val="auto"/>
                <w:sz w:val="24"/>
                <w:lang w:val="en-US" w:eastAsia="zh-CN"/>
              </w:rPr>
              <w:t>2-3</w:t>
            </w:r>
            <w:r>
              <w:rPr>
                <w:color w:val="auto"/>
                <w:sz w:val="24"/>
              </w:rPr>
              <w:t>所示。</w:t>
            </w:r>
          </w:p>
          <w:p>
            <w:pPr>
              <w:adjustRightInd w:val="0"/>
              <w:snapToGrid w:val="0"/>
              <w:spacing w:line="360" w:lineRule="auto"/>
              <w:jc w:val="center"/>
              <w:rPr>
                <w:b/>
                <w:color w:val="auto"/>
                <w:sz w:val="24"/>
              </w:rPr>
            </w:pPr>
            <w:r>
              <w:rPr>
                <w:b/>
                <w:color w:val="auto"/>
                <w:sz w:val="24"/>
              </w:rPr>
              <w:t>表</w:t>
            </w:r>
            <w:r>
              <w:rPr>
                <w:rFonts w:hint="eastAsia"/>
                <w:b/>
                <w:color w:val="auto"/>
                <w:sz w:val="24"/>
                <w:lang w:val="en-US" w:eastAsia="zh-CN"/>
              </w:rPr>
              <w:t>2-3</w:t>
            </w:r>
            <w:r>
              <w:rPr>
                <w:b/>
                <w:color w:val="auto"/>
                <w:sz w:val="24"/>
              </w:rPr>
              <w:t xml:space="preserve"> 本项目主要生产设备一览表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2711"/>
              <w:gridCol w:w="2039"/>
              <w:gridCol w:w="1533"/>
              <w:gridCol w:w="9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b/>
                      <w:bCs/>
                      <w:color w:val="auto"/>
                      <w:szCs w:val="21"/>
                    </w:rPr>
                  </w:pPr>
                  <w:bookmarkStart w:id="9" w:name="_Hlk112314260"/>
                  <w:r>
                    <w:rPr>
                      <w:b/>
                      <w:bCs/>
                      <w:color w:val="auto"/>
                      <w:szCs w:val="21"/>
                    </w:rPr>
                    <w:t>序号</w:t>
                  </w:r>
                </w:p>
              </w:tc>
              <w:tc>
                <w:tcPr>
                  <w:tcW w:w="1674" w:type="pct"/>
                  <w:vAlign w:val="center"/>
                </w:tcPr>
                <w:p>
                  <w:pPr>
                    <w:jc w:val="center"/>
                    <w:rPr>
                      <w:b/>
                      <w:bCs/>
                      <w:color w:val="auto"/>
                      <w:szCs w:val="21"/>
                    </w:rPr>
                  </w:pPr>
                  <w:r>
                    <w:rPr>
                      <w:b/>
                      <w:bCs/>
                      <w:color w:val="auto"/>
                      <w:szCs w:val="21"/>
                    </w:rPr>
                    <w:t>设备名称</w:t>
                  </w:r>
                </w:p>
              </w:tc>
              <w:tc>
                <w:tcPr>
                  <w:tcW w:w="1259" w:type="pct"/>
                  <w:vAlign w:val="center"/>
                </w:tcPr>
                <w:p>
                  <w:pPr>
                    <w:jc w:val="center"/>
                    <w:rPr>
                      <w:b/>
                      <w:bCs/>
                      <w:color w:val="auto"/>
                      <w:szCs w:val="21"/>
                    </w:rPr>
                  </w:pPr>
                  <w:r>
                    <w:rPr>
                      <w:b/>
                      <w:bCs/>
                      <w:color w:val="auto"/>
                      <w:szCs w:val="21"/>
                    </w:rPr>
                    <w:t>规格</w:t>
                  </w:r>
                  <w:r>
                    <w:rPr>
                      <w:rFonts w:hint="eastAsia"/>
                      <w:b/>
                      <w:bCs/>
                      <w:color w:val="auto"/>
                      <w:szCs w:val="21"/>
                    </w:rPr>
                    <w:t>型号</w:t>
                  </w:r>
                </w:p>
              </w:tc>
              <w:tc>
                <w:tcPr>
                  <w:tcW w:w="946" w:type="pct"/>
                  <w:vAlign w:val="center"/>
                </w:tcPr>
                <w:p>
                  <w:pPr>
                    <w:jc w:val="center"/>
                    <w:rPr>
                      <w:b/>
                      <w:bCs/>
                      <w:color w:val="auto"/>
                      <w:szCs w:val="21"/>
                    </w:rPr>
                  </w:pPr>
                  <w:r>
                    <w:rPr>
                      <w:rFonts w:hint="eastAsia"/>
                      <w:b/>
                      <w:bCs/>
                      <w:color w:val="auto"/>
                      <w:szCs w:val="21"/>
                    </w:rPr>
                    <w:t>单位</w:t>
                  </w:r>
                </w:p>
              </w:tc>
              <w:tc>
                <w:tcPr>
                  <w:tcW w:w="563" w:type="pct"/>
                  <w:vAlign w:val="center"/>
                </w:tcPr>
                <w:p>
                  <w:pPr>
                    <w:jc w:val="center"/>
                    <w:rPr>
                      <w:b/>
                      <w:bCs/>
                      <w:color w:val="auto"/>
                      <w:szCs w:val="21"/>
                    </w:rPr>
                  </w:pPr>
                  <w:r>
                    <w:rPr>
                      <w:b/>
                      <w:bCs/>
                      <w:color w:val="auto"/>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p>
              </w:tc>
              <w:tc>
                <w:tcPr>
                  <w:tcW w:w="1674" w:type="pct"/>
                  <w:vAlign w:val="center"/>
                </w:tcPr>
                <w:p>
                  <w:pPr>
                    <w:jc w:val="center"/>
                    <w:rPr>
                      <w:color w:val="auto"/>
                      <w:szCs w:val="21"/>
                    </w:rPr>
                  </w:pPr>
                  <w:r>
                    <w:rPr>
                      <w:rFonts w:hint="eastAsia"/>
                      <w:color w:val="auto"/>
                      <w:szCs w:val="21"/>
                    </w:rPr>
                    <w:t>立式注塑机</w:t>
                  </w:r>
                </w:p>
              </w:tc>
              <w:tc>
                <w:tcPr>
                  <w:tcW w:w="1259" w:type="pct"/>
                  <w:vAlign w:val="center"/>
                </w:tcPr>
                <w:p>
                  <w:pPr>
                    <w:jc w:val="center"/>
                    <w:rPr>
                      <w:color w:val="auto"/>
                      <w:szCs w:val="21"/>
                    </w:rPr>
                  </w:pPr>
                  <w:r>
                    <w:rPr>
                      <w:rFonts w:hint="eastAsia"/>
                      <w:color w:val="auto"/>
                      <w:szCs w:val="21"/>
                    </w:rPr>
                    <w:t>1</w:t>
                  </w:r>
                  <w:r>
                    <w:rPr>
                      <w:rFonts w:hint="eastAsia"/>
                      <w:color w:val="auto"/>
                      <w:szCs w:val="21"/>
                      <w:lang w:val="en-US" w:eastAsia="zh-CN"/>
                    </w:rPr>
                    <w:t>.</w:t>
                  </w:r>
                  <w:r>
                    <w:rPr>
                      <w:rFonts w:hint="eastAsia"/>
                      <w:color w:val="auto"/>
                      <w:szCs w:val="21"/>
                    </w:rPr>
                    <w:t>5T</w:t>
                  </w:r>
                </w:p>
              </w:tc>
              <w:tc>
                <w:tcPr>
                  <w:tcW w:w="946" w:type="pct"/>
                  <w:vAlign w:val="center"/>
                </w:tcPr>
                <w:p>
                  <w:pPr>
                    <w:jc w:val="center"/>
                    <w:rPr>
                      <w:color w:val="auto"/>
                      <w:szCs w:val="21"/>
                    </w:rPr>
                  </w:pPr>
                  <w:r>
                    <w:rPr>
                      <w:color w:val="auto"/>
                      <w:szCs w:val="21"/>
                    </w:rPr>
                    <w:t>台</w:t>
                  </w:r>
                </w:p>
              </w:tc>
              <w:tc>
                <w:tcPr>
                  <w:tcW w:w="563" w:type="pct"/>
                  <w:vAlign w:val="center"/>
                </w:tcPr>
                <w:p>
                  <w:pPr>
                    <w:jc w:val="center"/>
                    <w:rPr>
                      <w:rFonts w:hint="default" w:eastAsia="宋体"/>
                      <w:color w:val="auto"/>
                      <w:szCs w:val="21"/>
                      <w:lang w:val="en-US" w:eastAsia="zh-CN"/>
                    </w:rPr>
                  </w:pPr>
                  <w:r>
                    <w:rPr>
                      <w:rFonts w:hint="eastAsia"/>
                      <w:color w:val="auto"/>
                      <w:szCs w:val="21"/>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2</w:t>
                  </w:r>
                </w:p>
              </w:tc>
              <w:tc>
                <w:tcPr>
                  <w:tcW w:w="1674" w:type="pct"/>
                  <w:vAlign w:val="center"/>
                </w:tcPr>
                <w:p>
                  <w:pPr>
                    <w:jc w:val="center"/>
                    <w:rPr>
                      <w:color w:val="auto"/>
                      <w:szCs w:val="21"/>
                    </w:rPr>
                  </w:pPr>
                  <w:r>
                    <w:rPr>
                      <w:rFonts w:hint="eastAsia"/>
                      <w:color w:val="auto"/>
                      <w:szCs w:val="21"/>
                    </w:rPr>
                    <w:t>立式注塑机</w:t>
                  </w:r>
                </w:p>
              </w:tc>
              <w:tc>
                <w:tcPr>
                  <w:tcW w:w="1259" w:type="pct"/>
                  <w:vAlign w:val="center"/>
                </w:tcPr>
                <w:p>
                  <w:pPr>
                    <w:jc w:val="center"/>
                    <w:rPr>
                      <w:color w:val="auto"/>
                      <w:szCs w:val="21"/>
                    </w:rPr>
                  </w:pPr>
                  <w:r>
                    <w:rPr>
                      <w:rFonts w:hint="eastAsia"/>
                      <w:color w:val="auto"/>
                      <w:szCs w:val="21"/>
                    </w:rPr>
                    <w:t>2</w:t>
                  </w:r>
                  <w:r>
                    <w:rPr>
                      <w:rFonts w:hint="eastAsia"/>
                      <w:color w:val="auto"/>
                      <w:szCs w:val="21"/>
                      <w:lang w:val="en-US" w:eastAsia="zh-CN"/>
                    </w:rPr>
                    <w:t>.</w:t>
                  </w:r>
                  <w:r>
                    <w:rPr>
                      <w:rFonts w:hint="eastAsia"/>
                      <w:color w:val="auto"/>
                      <w:szCs w:val="21"/>
                    </w:rPr>
                    <w:t>5T</w:t>
                  </w:r>
                </w:p>
              </w:tc>
              <w:tc>
                <w:tcPr>
                  <w:tcW w:w="946" w:type="pct"/>
                  <w:vAlign w:val="center"/>
                </w:tcPr>
                <w:p>
                  <w:pPr>
                    <w:jc w:val="center"/>
                    <w:rPr>
                      <w:color w:val="auto"/>
                      <w:szCs w:val="21"/>
                    </w:rPr>
                  </w:pPr>
                  <w:r>
                    <w:rPr>
                      <w:color w:val="auto"/>
                      <w:szCs w:val="21"/>
                    </w:rPr>
                    <w:t>台</w:t>
                  </w:r>
                </w:p>
              </w:tc>
              <w:tc>
                <w:tcPr>
                  <w:tcW w:w="563" w:type="pct"/>
                  <w:vAlign w:val="center"/>
                </w:tcPr>
                <w:p>
                  <w:pPr>
                    <w:jc w:val="center"/>
                    <w:rPr>
                      <w:rFonts w:hint="default" w:eastAsia="宋体"/>
                      <w:color w:val="auto"/>
                      <w:szCs w:val="21"/>
                      <w:lang w:val="en-US" w:eastAsia="zh-CN"/>
                    </w:rPr>
                  </w:pPr>
                  <w:r>
                    <w:rPr>
                      <w:rFonts w:hint="eastAsia"/>
                      <w:color w:val="auto"/>
                      <w:szCs w:val="21"/>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3</w:t>
                  </w:r>
                </w:p>
              </w:tc>
              <w:tc>
                <w:tcPr>
                  <w:tcW w:w="1674" w:type="pct"/>
                  <w:vAlign w:val="center"/>
                </w:tcPr>
                <w:p>
                  <w:pPr>
                    <w:jc w:val="center"/>
                    <w:rPr>
                      <w:color w:val="auto"/>
                      <w:szCs w:val="21"/>
                    </w:rPr>
                  </w:pPr>
                  <w:r>
                    <w:rPr>
                      <w:rFonts w:hint="eastAsia"/>
                      <w:color w:val="auto"/>
                      <w:szCs w:val="21"/>
                    </w:rPr>
                    <w:t>卧式注塑机</w:t>
                  </w:r>
                </w:p>
              </w:tc>
              <w:tc>
                <w:tcPr>
                  <w:tcW w:w="1259" w:type="pct"/>
                  <w:vAlign w:val="center"/>
                </w:tcPr>
                <w:p>
                  <w:pPr>
                    <w:jc w:val="center"/>
                    <w:rPr>
                      <w:color w:val="auto"/>
                      <w:szCs w:val="21"/>
                    </w:rPr>
                  </w:pPr>
                  <w:r>
                    <w:rPr>
                      <w:rFonts w:hint="eastAsia"/>
                      <w:color w:val="auto"/>
                      <w:szCs w:val="21"/>
                    </w:rPr>
                    <w:t>160T</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rFonts w:hint="eastAsia"/>
                      <w:color w:val="auto"/>
                      <w:szCs w:val="21"/>
                    </w:rPr>
                  </w:pPr>
                  <w:r>
                    <w:rPr>
                      <w:rFonts w:hint="eastAsia"/>
                      <w:color w:val="auto"/>
                      <w:szCs w:val="21"/>
                    </w:rPr>
                    <w:t>4</w:t>
                  </w:r>
                </w:p>
              </w:tc>
              <w:tc>
                <w:tcPr>
                  <w:tcW w:w="1674" w:type="pct"/>
                  <w:vAlign w:val="center"/>
                </w:tcPr>
                <w:p>
                  <w:pPr>
                    <w:jc w:val="center"/>
                    <w:rPr>
                      <w:rFonts w:hint="eastAsia"/>
                      <w:color w:val="auto"/>
                      <w:szCs w:val="21"/>
                    </w:rPr>
                  </w:pPr>
                  <w:r>
                    <w:rPr>
                      <w:rFonts w:hint="eastAsia"/>
                      <w:color w:val="auto"/>
                      <w:szCs w:val="21"/>
                    </w:rPr>
                    <w:t>卧式注塑机</w:t>
                  </w:r>
                </w:p>
              </w:tc>
              <w:tc>
                <w:tcPr>
                  <w:tcW w:w="1259" w:type="pct"/>
                  <w:vAlign w:val="center"/>
                </w:tcPr>
                <w:p>
                  <w:pPr>
                    <w:jc w:val="center"/>
                    <w:rPr>
                      <w:rFonts w:hint="eastAsia"/>
                      <w:color w:val="auto"/>
                      <w:szCs w:val="21"/>
                    </w:rPr>
                  </w:pPr>
                  <w:r>
                    <w:rPr>
                      <w:rFonts w:hint="eastAsia"/>
                      <w:color w:val="auto"/>
                      <w:szCs w:val="21"/>
                    </w:rPr>
                    <w:t>2</w:t>
                  </w:r>
                  <w:r>
                    <w:rPr>
                      <w:color w:val="auto"/>
                      <w:szCs w:val="21"/>
                    </w:rPr>
                    <w:t>50</w:t>
                  </w:r>
                  <w:r>
                    <w:rPr>
                      <w:rFonts w:hint="eastAsia"/>
                      <w:color w:val="auto"/>
                      <w:szCs w:val="21"/>
                    </w:rPr>
                    <w:t>T</w:t>
                  </w:r>
                </w:p>
              </w:tc>
              <w:tc>
                <w:tcPr>
                  <w:tcW w:w="946" w:type="pct"/>
                  <w:vAlign w:val="center"/>
                </w:tcPr>
                <w:p>
                  <w:pPr>
                    <w:jc w:val="center"/>
                    <w:rPr>
                      <w:rFonts w:hint="eastAsia"/>
                      <w:color w:val="auto"/>
                      <w:szCs w:val="21"/>
                    </w:rPr>
                  </w:pPr>
                  <w:r>
                    <w:rPr>
                      <w:rFonts w:hint="eastAsia"/>
                      <w:color w:val="auto"/>
                      <w:szCs w:val="21"/>
                    </w:rPr>
                    <w:t>台</w:t>
                  </w:r>
                </w:p>
              </w:tc>
              <w:tc>
                <w:tcPr>
                  <w:tcW w:w="563" w:type="pct"/>
                  <w:vAlign w:val="center"/>
                </w:tcPr>
                <w:p>
                  <w:pPr>
                    <w:jc w:val="center"/>
                    <w:rPr>
                      <w:rFonts w:hint="eastAsia"/>
                      <w:color w:val="auto"/>
                      <w:szCs w:val="21"/>
                    </w:rPr>
                  </w:pPr>
                  <w:r>
                    <w:rPr>
                      <w:rFonts w:hint="eastAsia"/>
                      <w:color w:val="auto"/>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color w:val="auto"/>
                      <w:szCs w:val="21"/>
                    </w:rPr>
                    <w:t>5</w:t>
                  </w:r>
                </w:p>
              </w:tc>
              <w:tc>
                <w:tcPr>
                  <w:tcW w:w="1674" w:type="pct"/>
                  <w:vAlign w:val="center"/>
                </w:tcPr>
                <w:p>
                  <w:pPr>
                    <w:jc w:val="center"/>
                    <w:rPr>
                      <w:color w:val="auto"/>
                      <w:szCs w:val="21"/>
                    </w:rPr>
                  </w:pPr>
                  <w:r>
                    <w:rPr>
                      <w:rFonts w:hint="eastAsia"/>
                      <w:color w:val="auto"/>
                      <w:szCs w:val="21"/>
                    </w:rPr>
                    <w:t>手动压灯头机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color w:val="auto"/>
                      <w:szCs w:val="21"/>
                    </w:rPr>
                    <w:t>6</w:t>
                  </w:r>
                </w:p>
              </w:tc>
              <w:tc>
                <w:tcPr>
                  <w:tcW w:w="1674" w:type="pct"/>
                  <w:vAlign w:val="center"/>
                </w:tcPr>
                <w:p>
                  <w:pPr>
                    <w:jc w:val="center"/>
                    <w:rPr>
                      <w:color w:val="auto"/>
                      <w:szCs w:val="21"/>
                    </w:rPr>
                  </w:pPr>
                  <w:r>
                    <w:rPr>
                      <w:rFonts w:hint="eastAsia"/>
                      <w:color w:val="auto"/>
                      <w:szCs w:val="21"/>
                    </w:rPr>
                    <w:t>自动压灯头机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color w:val="auto"/>
                      <w:szCs w:val="21"/>
                    </w:rPr>
                    <w:t>台</w:t>
                  </w:r>
                </w:p>
              </w:tc>
              <w:tc>
                <w:tcPr>
                  <w:tcW w:w="563" w:type="pct"/>
                  <w:vAlign w:val="center"/>
                </w:tcPr>
                <w:p>
                  <w:pPr>
                    <w:jc w:val="center"/>
                    <w:rPr>
                      <w:color w:val="auto"/>
                      <w:szCs w:val="21"/>
                    </w:rPr>
                  </w:pPr>
                  <w:r>
                    <w:rPr>
                      <w:rFonts w:hint="eastAsia"/>
                      <w:color w:val="auto"/>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color w:val="auto"/>
                      <w:szCs w:val="21"/>
                    </w:rPr>
                    <w:t>7</w:t>
                  </w:r>
                </w:p>
              </w:tc>
              <w:tc>
                <w:tcPr>
                  <w:tcW w:w="1674" w:type="pct"/>
                  <w:vAlign w:val="center"/>
                </w:tcPr>
                <w:p>
                  <w:pPr>
                    <w:jc w:val="center"/>
                    <w:rPr>
                      <w:color w:val="auto"/>
                      <w:szCs w:val="21"/>
                    </w:rPr>
                  </w:pPr>
                  <w:r>
                    <w:rPr>
                      <w:rFonts w:hint="eastAsia"/>
                      <w:color w:val="auto"/>
                      <w:szCs w:val="21"/>
                    </w:rPr>
                    <w:t>打端子机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color w:val="auto"/>
                      <w:szCs w:val="21"/>
                    </w:rPr>
                    <w:t>台</w:t>
                  </w:r>
                </w:p>
              </w:tc>
              <w:tc>
                <w:tcPr>
                  <w:tcW w:w="563" w:type="pct"/>
                  <w:vAlign w:val="center"/>
                </w:tcPr>
                <w:p>
                  <w:pPr>
                    <w:jc w:val="center"/>
                    <w:rPr>
                      <w:color w:val="auto"/>
                      <w:szCs w:val="21"/>
                    </w:rPr>
                  </w:pPr>
                  <w:r>
                    <w:rPr>
                      <w:rFonts w:hint="eastAsia"/>
                      <w:color w:val="auto"/>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color w:val="auto"/>
                      <w:szCs w:val="21"/>
                    </w:rPr>
                    <w:t>8</w:t>
                  </w:r>
                </w:p>
              </w:tc>
              <w:tc>
                <w:tcPr>
                  <w:tcW w:w="1674" w:type="pct"/>
                  <w:vAlign w:val="center"/>
                </w:tcPr>
                <w:p>
                  <w:pPr>
                    <w:jc w:val="center"/>
                    <w:rPr>
                      <w:color w:val="auto"/>
                      <w:szCs w:val="21"/>
                    </w:rPr>
                  </w:pPr>
                  <w:r>
                    <w:rPr>
                      <w:rFonts w:hint="eastAsia"/>
                      <w:color w:val="auto"/>
                      <w:szCs w:val="21"/>
                    </w:rPr>
                    <w:t>电线压出机</w:t>
                  </w:r>
                </w:p>
              </w:tc>
              <w:tc>
                <w:tcPr>
                  <w:tcW w:w="1259" w:type="pct"/>
                  <w:vAlign w:val="center"/>
                </w:tcPr>
                <w:p>
                  <w:pPr>
                    <w:jc w:val="center"/>
                    <w:rPr>
                      <w:color w:val="auto"/>
                      <w:szCs w:val="21"/>
                    </w:rPr>
                  </w:pPr>
                  <w:r>
                    <w:rPr>
                      <w:rFonts w:hint="eastAsia"/>
                      <w:color w:val="auto"/>
                      <w:szCs w:val="21"/>
                    </w:rPr>
                    <w:t>70机，40kW；配套冷却槽</w:t>
                  </w:r>
                </w:p>
              </w:tc>
              <w:tc>
                <w:tcPr>
                  <w:tcW w:w="946" w:type="pct"/>
                  <w:vAlign w:val="center"/>
                </w:tcPr>
                <w:p>
                  <w:pPr>
                    <w:jc w:val="center"/>
                    <w:rPr>
                      <w:color w:val="auto"/>
                      <w:szCs w:val="21"/>
                    </w:rPr>
                  </w:pPr>
                  <w:r>
                    <w:rPr>
                      <w:color w:val="auto"/>
                      <w:szCs w:val="21"/>
                    </w:rPr>
                    <w:t>台</w:t>
                  </w:r>
                </w:p>
              </w:tc>
              <w:tc>
                <w:tcPr>
                  <w:tcW w:w="563" w:type="pct"/>
                  <w:vAlign w:val="center"/>
                </w:tcPr>
                <w:p>
                  <w:pPr>
                    <w:jc w:val="center"/>
                    <w:rPr>
                      <w:color w:val="auto"/>
                      <w:szCs w:val="21"/>
                    </w:rPr>
                  </w:pPr>
                  <w:r>
                    <w:rPr>
                      <w:rFonts w:hint="eastAsia"/>
                      <w:color w:val="auto"/>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color w:val="auto"/>
                      <w:szCs w:val="21"/>
                    </w:rPr>
                    <w:t>9</w:t>
                  </w:r>
                </w:p>
              </w:tc>
              <w:tc>
                <w:tcPr>
                  <w:tcW w:w="1674" w:type="pct"/>
                  <w:vAlign w:val="center"/>
                </w:tcPr>
                <w:p>
                  <w:pPr>
                    <w:jc w:val="center"/>
                    <w:rPr>
                      <w:color w:val="auto"/>
                      <w:szCs w:val="21"/>
                    </w:rPr>
                  </w:pPr>
                  <w:r>
                    <w:rPr>
                      <w:rFonts w:hint="eastAsia"/>
                      <w:color w:val="auto"/>
                      <w:szCs w:val="21"/>
                    </w:rPr>
                    <w:t>绞铜机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color w:val="auto"/>
                      <w:szCs w:val="21"/>
                    </w:rPr>
                    <w:t>台</w:t>
                  </w:r>
                </w:p>
              </w:tc>
              <w:tc>
                <w:tcPr>
                  <w:tcW w:w="563" w:type="pct"/>
                  <w:vAlign w:val="center"/>
                </w:tcPr>
                <w:p>
                  <w:pPr>
                    <w:jc w:val="center"/>
                    <w:rPr>
                      <w:color w:val="auto"/>
                      <w:szCs w:val="21"/>
                    </w:rPr>
                  </w:pPr>
                  <w:r>
                    <w:rPr>
                      <w:rFonts w:hint="eastAsia"/>
                      <w:color w:val="auto"/>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color w:val="auto"/>
                      <w:szCs w:val="21"/>
                    </w:rPr>
                    <w:t>10</w:t>
                  </w:r>
                </w:p>
              </w:tc>
              <w:tc>
                <w:tcPr>
                  <w:tcW w:w="1674" w:type="pct"/>
                  <w:vAlign w:val="center"/>
                </w:tcPr>
                <w:p>
                  <w:pPr>
                    <w:jc w:val="center"/>
                    <w:rPr>
                      <w:color w:val="auto"/>
                      <w:szCs w:val="21"/>
                    </w:rPr>
                  </w:pPr>
                  <w:r>
                    <w:rPr>
                      <w:rFonts w:hint="eastAsia"/>
                      <w:color w:val="auto"/>
                      <w:szCs w:val="21"/>
                    </w:rPr>
                    <w:t>剥线机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color w:val="auto"/>
                      <w:szCs w:val="21"/>
                    </w:rPr>
                    <w:t>台</w:t>
                  </w:r>
                </w:p>
              </w:tc>
              <w:tc>
                <w:tcPr>
                  <w:tcW w:w="563" w:type="pct"/>
                  <w:vAlign w:val="center"/>
                </w:tcPr>
                <w:p>
                  <w:pPr>
                    <w:jc w:val="center"/>
                    <w:rPr>
                      <w:color w:val="auto"/>
                      <w:szCs w:val="21"/>
                    </w:rPr>
                  </w:pPr>
                  <w:r>
                    <w:rPr>
                      <w:rFonts w:hint="eastAsia"/>
                      <w:color w:val="auto"/>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1</w:t>
                  </w:r>
                </w:p>
              </w:tc>
              <w:tc>
                <w:tcPr>
                  <w:tcW w:w="1674" w:type="pct"/>
                  <w:vAlign w:val="center"/>
                </w:tcPr>
                <w:p>
                  <w:pPr>
                    <w:jc w:val="center"/>
                    <w:rPr>
                      <w:color w:val="auto"/>
                      <w:szCs w:val="21"/>
                    </w:rPr>
                  </w:pPr>
                  <w:r>
                    <w:rPr>
                      <w:rFonts w:hint="eastAsia"/>
                      <w:color w:val="auto"/>
                      <w:szCs w:val="21"/>
                    </w:rPr>
                    <w:t>铜带机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color w:val="auto"/>
                      <w:szCs w:val="21"/>
                    </w:rPr>
                    <w:t>台</w:t>
                  </w:r>
                </w:p>
              </w:tc>
              <w:tc>
                <w:tcPr>
                  <w:tcW w:w="563" w:type="pct"/>
                  <w:vAlign w:val="center"/>
                </w:tcPr>
                <w:p>
                  <w:pPr>
                    <w:jc w:val="center"/>
                    <w:rPr>
                      <w:color w:val="auto"/>
                      <w:szCs w:val="21"/>
                    </w:rPr>
                  </w:pPr>
                  <w:r>
                    <w:rPr>
                      <w:rFonts w:hint="eastAsia"/>
                      <w:color w:val="auto"/>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2</w:t>
                  </w:r>
                </w:p>
              </w:tc>
              <w:tc>
                <w:tcPr>
                  <w:tcW w:w="1674" w:type="pct"/>
                  <w:vAlign w:val="center"/>
                </w:tcPr>
                <w:p>
                  <w:pPr>
                    <w:jc w:val="center"/>
                    <w:rPr>
                      <w:color w:val="auto"/>
                      <w:szCs w:val="21"/>
                    </w:rPr>
                  </w:pPr>
                  <w:r>
                    <w:rPr>
                      <w:rFonts w:hint="eastAsia"/>
                      <w:color w:val="auto"/>
                      <w:szCs w:val="21"/>
                    </w:rPr>
                    <w:t>电烙铁</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rFonts w:hint="eastAsia"/>
                      <w:color w:val="auto"/>
                      <w:szCs w:val="21"/>
                    </w:rPr>
                    <w:t>条</w:t>
                  </w:r>
                </w:p>
              </w:tc>
              <w:tc>
                <w:tcPr>
                  <w:tcW w:w="563" w:type="pct"/>
                  <w:vAlign w:val="center"/>
                </w:tcPr>
                <w:p>
                  <w:pPr>
                    <w:jc w:val="center"/>
                    <w:rPr>
                      <w:color w:val="auto"/>
                      <w:szCs w:val="21"/>
                    </w:rPr>
                  </w:pPr>
                  <w:r>
                    <w:rPr>
                      <w:rFonts w:hint="eastAsia"/>
                      <w:color w:val="auto"/>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3</w:t>
                  </w:r>
                </w:p>
              </w:tc>
              <w:tc>
                <w:tcPr>
                  <w:tcW w:w="1674" w:type="pct"/>
                  <w:vAlign w:val="center"/>
                </w:tcPr>
                <w:p>
                  <w:pPr>
                    <w:jc w:val="center"/>
                    <w:rPr>
                      <w:color w:val="auto"/>
                      <w:szCs w:val="21"/>
                    </w:rPr>
                  </w:pPr>
                  <w:r>
                    <w:rPr>
                      <w:rFonts w:hint="eastAsia"/>
                      <w:color w:val="auto"/>
                      <w:szCs w:val="21"/>
                    </w:rPr>
                    <w:t>切线机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4</w:t>
                  </w:r>
                </w:p>
              </w:tc>
              <w:tc>
                <w:tcPr>
                  <w:tcW w:w="1674" w:type="pct"/>
                  <w:vAlign w:val="center"/>
                </w:tcPr>
                <w:p>
                  <w:pPr>
                    <w:jc w:val="center"/>
                    <w:rPr>
                      <w:color w:val="auto"/>
                      <w:szCs w:val="21"/>
                    </w:rPr>
                  </w:pPr>
                  <w:r>
                    <w:rPr>
                      <w:rFonts w:hint="eastAsia"/>
                      <w:color w:val="auto"/>
                      <w:szCs w:val="21"/>
                    </w:rPr>
                    <w:t>破碎机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5</w:t>
                  </w:r>
                </w:p>
              </w:tc>
              <w:tc>
                <w:tcPr>
                  <w:tcW w:w="1674" w:type="pct"/>
                  <w:vAlign w:val="center"/>
                </w:tcPr>
                <w:p>
                  <w:pPr>
                    <w:jc w:val="center"/>
                    <w:rPr>
                      <w:color w:val="auto"/>
                      <w:szCs w:val="21"/>
                    </w:rPr>
                  </w:pPr>
                  <w:r>
                    <w:rPr>
                      <w:rFonts w:hint="eastAsia"/>
                      <w:color w:val="auto"/>
                      <w:szCs w:val="21"/>
                    </w:rPr>
                    <w:t>混料机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6</w:t>
                  </w:r>
                </w:p>
              </w:tc>
              <w:tc>
                <w:tcPr>
                  <w:tcW w:w="1674" w:type="pct"/>
                  <w:vAlign w:val="center"/>
                </w:tcPr>
                <w:p>
                  <w:pPr>
                    <w:jc w:val="center"/>
                    <w:rPr>
                      <w:color w:val="auto"/>
                      <w:szCs w:val="21"/>
                    </w:rPr>
                  </w:pPr>
                  <w:r>
                    <w:rPr>
                      <w:rFonts w:hint="eastAsia"/>
                      <w:color w:val="auto"/>
                      <w:szCs w:val="21"/>
                    </w:rPr>
                    <w:t>测试仪</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7</w:t>
                  </w:r>
                </w:p>
              </w:tc>
              <w:tc>
                <w:tcPr>
                  <w:tcW w:w="1674" w:type="pct"/>
                  <w:vAlign w:val="center"/>
                </w:tcPr>
                <w:p>
                  <w:pPr>
                    <w:jc w:val="center"/>
                    <w:rPr>
                      <w:color w:val="auto"/>
                      <w:szCs w:val="21"/>
                    </w:rPr>
                  </w:pPr>
                  <w:r>
                    <w:rPr>
                      <w:rFonts w:hint="eastAsia"/>
                      <w:color w:val="auto"/>
                      <w:szCs w:val="21"/>
                    </w:rPr>
                    <w:t>包装线</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8</w:t>
                  </w:r>
                </w:p>
              </w:tc>
              <w:tc>
                <w:tcPr>
                  <w:tcW w:w="1674" w:type="pct"/>
                  <w:vAlign w:val="center"/>
                </w:tcPr>
                <w:p>
                  <w:pPr>
                    <w:jc w:val="center"/>
                    <w:rPr>
                      <w:color w:val="auto"/>
                      <w:szCs w:val="21"/>
                    </w:rPr>
                  </w:pPr>
                  <w:r>
                    <w:rPr>
                      <w:rFonts w:hint="eastAsia"/>
                      <w:color w:val="auto"/>
                      <w:szCs w:val="21"/>
                    </w:rPr>
                    <w:t>空压机</w:t>
                  </w:r>
                </w:p>
              </w:tc>
              <w:tc>
                <w:tcPr>
                  <w:tcW w:w="1259" w:type="pct"/>
                  <w:vAlign w:val="center"/>
                </w:tcPr>
                <w:p>
                  <w:pPr>
                    <w:jc w:val="center"/>
                    <w:rPr>
                      <w:color w:val="auto"/>
                      <w:szCs w:val="21"/>
                    </w:rPr>
                  </w:pPr>
                  <w:r>
                    <w:rPr>
                      <w:rFonts w:hint="eastAsia"/>
                      <w:color w:val="auto"/>
                      <w:szCs w:val="21"/>
                    </w:rPr>
                    <w:t>—</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6" w:type="pct"/>
                  <w:vAlign w:val="center"/>
                </w:tcPr>
                <w:p>
                  <w:pPr>
                    <w:jc w:val="center"/>
                    <w:rPr>
                      <w:color w:val="auto"/>
                      <w:szCs w:val="21"/>
                    </w:rPr>
                  </w:pPr>
                  <w:r>
                    <w:rPr>
                      <w:rFonts w:hint="eastAsia"/>
                      <w:color w:val="auto"/>
                      <w:szCs w:val="21"/>
                    </w:rPr>
                    <w:t>1</w:t>
                  </w:r>
                  <w:r>
                    <w:rPr>
                      <w:color w:val="auto"/>
                      <w:szCs w:val="21"/>
                    </w:rPr>
                    <w:t>9</w:t>
                  </w:r>
                </w:p>
              </w:tc>
              <w:tc>
                <w:tcPr>
                  <w:tcW w:w="1674" w:type="pct"/>
                  <w:vAlign w:val="center"/>
                </w:tcPr>
                <w:p>
                  <w:pPr>
                    <w:jc w:val="center"/>
                    <w:rPr>
                      <w:color w:val="auto"/>
                      <w:szCs w:val="21"/>
                    </w:rPr>
                  </w:pPr>
                  <w:r>
                    <w:rPr>
                      <w:rFonts w:hint="eastAsia"/>
                      <w:color w:val="auto"/>
                      <w:szCs w:val="21"/>
                    </w:rPr>
                    <w:t>冷却水塔</w:t>
                  </w:r>
                </w:p>
              </w:tc>
              <w:tc>
                <w:tcPr>
                  <w:tcW w:w="1259" w:type="pct"/>
                  <w:vAlign w:val="center"/>
                </w:tcPr>
                <w:p>
                  <w:pPr>
                    <w:jc w:val="center"/>
                    <w:rPr>
                      <w:color w:val="auto"/>
                      <w:szCs w:val="21"/>
                    </w:rPr>
                  </w:pPr>
                  <w:r>
                    <w:rPr>
                      <w:rFonts w:hint="eastAsia"/>
                      <w:color w:val="auto"/>
                      <w:szCs w:val="21"/>
                    </w:rPr>
                    <w:t>循环水量50t/h</w:t>
                  </w:r>
                </w:p>
              </w:tc>
              <w:tc>
                <w:tcPr>
                  <w:tcW w:w="946" w:type="pct"/>
                  <w:vAlign w:val="center"/>
                </w:tcPr>
                <w:p>
                  <w:pPr>
                    <w:jc w:val="center"/>
                    <w:rPr>
                      <w:color w:val="auto"/>
                      <w:szCs w:val="21"/>
                    </w:rPr>
                  </w:pPr>
                  <w:r>
                    <w:rPr>
                      <w:rFonts w:hint="eastAsia"/>
                      <w:color w:val="auto"/>
                      <w:szCs w:val="21"/>
                    </w:rPr>
                    <w:t>台</w:t>
                  </w:r>
                </w:p>
              </w:tc>
              <w:tc>
                <w:tcPr>
                  <w:tcW w:w="563" w:type="pct"/>
                  <w:vAlign w:val="center"/>
                </w:tcPr>
                <w:p>
                  <w:pPr>
                    <w:jc w:val="center"/>
                    <w:rPr>
                      <w:color w:val="auto"/>
                      <w:szCs w:val="21"/>
                    </w:rPr>
                  </w:pPr>
                  <w:r>
                    <w:rPr>
                      <w:rFonts w:hint="eastAsia"/>
                      <w:color w:val="auto"/>
                      <w:szCs w:val="21"/>
                    </w:rPr>
                    <w:t>3</w:t>
                  </w:r>
                </w:p>
              </w:tc>
            </w:tr>
            <w:bookmarkEnd w:id="9"/>
          </w:tbl>
          <w:p>
            <w:pPr>
              <w:adjustRightInd w:val="0"/>
              <w:snapToGrid w:val="0"/>
              <w:spacing w:before="120" w:beforeLines="50" w:line="360" w:lineRule="auto"/>
              <w:ind w:firstLine="482" w:firstLineChars="200"/>
              <w:jc w:val="left"/>
              <w:rPr>
                <w:b/>
                <w:bCs/>
                <w:color w:val="auto"/>
                <w:sz w:val="24"/>
                <w:szCs w:val="21"/>
              </w:rPr>
            </w:pPr>
            <w:r>
              <w:rPr>
                <w:b/>
                <w:bCs/>
                <w:color w:val="auto"/>
                <w:sz w:val="24"/>
                <w:szCs w:val="21"/>
              </w:rPr>
              <w:t>4.主要原辅材料</w:t>
            </w:r>
          </w:p>
          <w:p>
            <w:pPr>
              <w:adjustRightInd w:val="0"/>
              <w:snapToGrid w:val="0"/>
              <w:spacing w:line="360" w:lineRule="auto"/>
              <w:ind w:firstLine="360" w:firstLineChars="150"/>
              <w:rPr>
                <w:b/>
                <w:color w:val="auto"/>
                <w:sz w:val="24"/>
              </w:rPr>
            </w:pPr>
            <w:r>
              <w:rPr>
                <w:bCs/>
                <w:color w:val="auto"/>
                <w:sz w:val="24"/>
              </w:rPr>
              <w:t>根据建设单位提供的资料，项目主要原辅材料情况详见表</w:t>
            </w:r>
            <w:r>
              <w:rPr>
                <w:rFonts w:hint="eastAsia"/>
                <w:bCs/>
                <w:color w:val="auto"/>
                <w:sz w:val="24"/>
                <w:lang w:val="en-US" w:eastAsia="zh-CN"/>
              </w:rPr>
              <w:t>2-4</w:t>
            </w:r>
            <w:r>
              <w:rPr>
                <w:bCs/>
                <w:color w:val="auto"/>
                <w:sz w:val="24"/>
              </w:rPr>
              <w:t>。</w:t>
            </w:r>
          </w:p>
          <w:p>
            <w:pPr>
              <w:adjustRightInd w:val="0"/>
              <w:snapToGrid w:val="0"/>
              <w:spacing w:line="360" w:lineRule="auto"/>
              <w:jc w:val="center"/>
              <w:rPr>
                <w:b/>
                <w:color w:val="auto"/>
                <w:sz w:val="24"/>
              </w:rPr>
            </w:pPr>
            <w:r>
              <w:rPr>
                <w:b/>
                <w:color w:val="auto"/>
                <w:sz w:val="24"/>
              </w:rPr>
              <w:t>表</w:t>
            </w:r>
            <w:r>
              <w:rPr>
                <w:rFonts w:hint="eastAsia"/>
                <w:b/>
                <w:color w:val="auto"/>
                <w:sz w:val="24"/>
                <w:lang w:val="en-US" w:eastAsia="zh-CN"/>
              </w:rPr>
              <w:t>2-4</w:t>
            </w:r>
            <w:r>
              <w:rPr>
                <w:b/>
                <w:color w:val="auto"/>
                <w:sz w:val="24"/>
              </w:rPr>
              <w:t xml:space="preserve"> </w:t>
            </w:r>
            <w:r>
              <w:rPr>
                <w:rFonts w:hint="eastAsia"/>
                <w:b/>
                <w:color w:val="auto"/>
                <w:sz w:val="24"/>
              </w:rPr>
              <w:t>全厂</w:t>
            </w:r>
            <w:r>
              <w:rPr>
                <w:b/>
                <w:color w:val="auto"/>
                <w:sz w:val="24"/>
              </w:rPr>
              <w:t>主要原辅料消耗一览表</w:t>
            </w:r>
          </w:p>
          <w:tbl>
            <w:tblPr>
              <w:tblStyle w:val="29"/>
              <w:tblW w:w="497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2783"/>
              <w:gridCol w:w="1958"/>
              <w:gridCol w:w="2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b/>
                      <w:bCs/>
                      <w:color w:val="auto"/>
                      <w:szCs w:val="21"/>
                    </w:rPr>
                  </w:pPr>
                  <w:r>
                    <w:rPr>
                      <w:b/>
                      <w:bCs/>
                      <w:color w:val="auto"/>
                      <w:szCs w:val="21"/>
                    </w:rPr>
                    <w:t>序号</w:t>
                  </w:r>
                </w:p>
              </w:tc>
              <w:tc>
                <w:tcPr>
                  <w:tcW w:w="1727" w:type="pct"/>
                  <w:vAlign w:val="center"/>
                </w:tcPr>
                <w:p>
                  <w:pPr>
                    <w:jc w:val="center"/>
                    <w:rPr>
                      <w:b/>
                      <w:bCs/>
                      <w:color w:val="auto"/>
                      <w:szCs w:val="21"/>
                    </w:rPr>
                  </w:pPr>
                  <w:r>
                    <w:rPr>
                      <w:b/>
                      <w:bCs/>
                      <w:color w:val="auto"/>
                      <w:szCs w:val="21"/>
                    </w:rPr>
                    <w:t>原辅料名称</w:t>
                  </w:r>
                </w:p>
              </w:tc>
              <w:tc>
                <w:tcPr>
                  <w:tcW w:w="1215" w:type="pct"/>
                  <w:vAlign w:val="center"/>
                </w:tcPr>
                <w:p>
                  <w:pPr>
                    <w:jc w:val="center"/>
                    <w:rPr>
                      <w:b/>
                      <w:bCs/>
                      <w:color w:val="auto"/>
                      <w:szCs w:val="21"/>
                    </w:rPr>
                  </w:pPr>
                  <w:r>
                    <w:rPr>
                      <w:b/>
                      <w:bCs/>
                      <w:color w:val="auto"/>
                      <w:szCs w:val="21"/>
                    </w:rPr>
                    <w:t>年耗量</w:t>
                  </w:r>
                </w:p>
              </w:tc>
              <w:tc>
                <w:tcPr>
                  <w:tcW w:w="1502" w:type="pct"/>
                  <w:vAlign w:val="center"/>
                </w:tcPr>
                <w:p>
                  <w:pPr>
                    <w:jc w:val="center"/>
                    <w:rPr>
                      <w:b/>
                      <w:bCs/>
                      <w:color w:val="auto"/>
                      <w:szCs w:val="21"/>
                    </w:rPr>
                  </w:pPr>
                  <w:r>
                    <w:rPr>
                      <w:b/>
                      <w:bCs/>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w:t>
                  </w:r>
                </w:p>
              </w:tc>
              <w:tc>
                <w:tcPr>
                  <w:tcW w:w="1727" w:type="pct"/>
                  <w:vAlign w:val="center"/>
                </w:tcPr>
                <w:p>
                  <w:pPr>
                    <w:jc w:val="center"/>
                    <w:rPr>
                      <w:color w:val="auto"/>
                      <w:szCs w:val="21"/>
                    </w:rPr>
                  </w:pPr>
                  <w:r>
                    <w:rPr>
                      <w:color w:val="auto"/>
                      <w:szCs w:val="21"/>
                    </w:rPr>
                    <w:t>PP</w:t>
                  </w:r>
                  <w:r>
                    <w:rPr>
                      <w:rFonts w:hint="eastAsia"/>
                      <w:color w:val="auto"/>
                      <w:szCs w:val="21"/>
                    </w:rPr>
                    <w:t>塑胶新粒</w:t>
                  </w:r>
                </w:p>
              </w:tc>
              <w:tc>
                <w:tcPr>
                  <w:tcW w:w="1215" w:type="pct"/>
                  <w:vAlign w:val="center"/>
                </w:tcPr>
                <w:p>
                  <w:pPr>
                    <w:jc w:val="center"/>
                    <w:rPr>
                      <w:color w:val="auto"/>
                      <w:szCs w:val="21"/>
                    </w:rPr>
                  </w:pPr>
                  <w:r>
                    <w:rPr>
                      <w:rFonts w:hint="eastAsia"/>
                      <w:color w:val="auto"/>
                      <w:szCs w:val="21"/>
                      <w:lang w:val="en-US" w:eastAsia="zh-CN"/>
                    </w:rPr>
                    <w:t>20</w:t>
                  </w:r>
                  <w:r>
                    <w:rPr>
                      <w:rFonts w:hint="eastAsia"/>
                      <w:color w:val="auto"/>
                      <w:szCs w:val="21"/>
                    </w:rPr>
                    <w:t>0吨/年</w:t>
                  </w:r>
                </w:p>
              </w:tc>
              <w:tc>
                <w:tcPr>
                  <w:tcW w:w="1502" w:type="pct"/>
                  <w:vAlign w:val="center"/>
                </w:tcPr>
                <w:p>
                  <w:pPr>
                    <w:jc w:val="center"/>
                    <w:rPr>
                      <w:color w:val="auto"/>
                      <w:szCs w:val="21"/>
                    </w:rPr>
                  </w:pPr>
                  <w:r>
                    <w:rPr>
                      <w:rFonts w:hint="eastAsia"/>
                      <w:color w:val="auto"/>
                      <w:szCs w:val="21"/>
                    </w:rPr>
                    <w:t>外购新料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2</w:t>
                  </w:r>
                </w:p>
              </w:tc>
              <w:tc>
                <w:tcPr>
                  <w:tcW w:w="1727" w:type="pct"/>
                  <w:vAlign w:val="center"/>
                </w:tcPr>
                <w:p>
                  <w:pPr>
                    <w:jc w:val="center"/>
                    <w:rPr>
                      <w:color w:val="auto"/>
                      <w:szCs w:val="21"/>
                    </w:rPr>
                  </w:pPr>
                  <w:r>
                    <w:rPr>
                      <w:rFonts w:hint="eastAsia"/>
                      <w:color w:val="auto"/>
                      <w:szCs w:val="21"/>
                    </w:rPr>
                    <w:t>PVC塑胶新粒</w:t>
                  </w:r>
                </w:p>
              </w:tc>
              <w:tc>
                <w:tcPr>
                  <w:tcW w:w="1215" w:type="pct"/>
                  <w:vAlign w:val="center"/>
                </w:tcPr>
                <w:p>
                  <w:pPr>
                    <w:jc w:val="center"/>
                    <w:rPr>
                      <w:color w:val="auto"/>
                      <w:szCs w:val="21"/>
                    </w:rPr>
                  </w:pPr>
                  <w:r>
                    <w:rPr>
                      <w:rFonts w:hint="eastAsia"/>
                      <w:color w:val="auto"/>
                      <w:szCs w:val="21"/>
                      <w:lang w:val="en-US" w:eastAsia="zh-CN"/>
                    </w:rPr>
                    <w:t>20</w:t>
                  </w:r>
                  <w:r>
                    <w:rPr>
                      <w:rFonts w:hint="eastAsia"/>
                      <w:color w:val="auto"/>
                      <w:szCs w:val="21"/>
                    </w:rPr>
                    <w:t>0吨/年</w:t>
                  </w:r>
                </w:p>
              </w:tc>
              <w:tc>
                <w:tcPr>
                  <w:tcW w:w="1502" w:type="pct"/>
                  <w:vAlign w:val="center"/>
                </w:tcPr>
                <w:p>
                  <w:pPr>
                    <w:jc w:val="center"/>
                    <w:rPr>
                      <w:color w:val="auto"/>
                      <w:szCs w:val="21"/>
                    </w:rPr>
                  </w:pPr>
                  <w:r>
                    <w:rPr>
                      <w:rFonts w:hint="eastAsia"/>
                      <w:color w:val="auto"/>
                      <w:szCs w:val="21"/>
                    </w:rPr>
                    <w:t>外购新料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3</w:t>
                  </w:r>
                </w:p>
              </w:tc>
              <w:tc>
                <w:tcPr>
                  <w:tcW w:w="1727" w:type="pct"/>
                  <w:vAlign w:val="center"/>
                </w:tcPr>
                <w:p>
                  <w:pPr>
                    <w:jc w:val="center"/>
                    <w:rPr>
                      <w:color w:val="auto"/>
                      <w:szCs w:val="21"/>
                    </w:rPr>
                  </w:pPr>
                  <w:r>
                    <w:rPr>
                      <w:rFonts w:hint="eastAsia"/>
                      <w:color w:val="auto"/>
                      <w:szCs w:val="21"/>
                    </w:rPr>
                    <w:t>电线</w:t>
                  </w:r>
                </w:p>
              </w:tc>
              <w:tc>
                <w:tcPr>
                  <w:tcW w:w="1215" w:type="pct"/>
                  <w:vAlign w:val="center"/>
                </w:tcPr>
                <w:p>
                  <w:pPr>
                    <w:jc w:val="center"/>
                    <w:rPr>
                      <w:color w:val="auto"/>
                      <w:szCs w:val="21"/>
                    </w:rPr>
                  </w:pPr>
                  <w:r>
                    <w:rPr>
                      <w:rFonts w:hint="eastAsia"/>
                      <w:color w:val="auto"/>
                      <w:szCs w:val="21"/>
                    </w:rPr>
                    <w:t>100万米/年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4</w:t>
                  </w:r>
                </w:p>
              </w:tc>
              <w:tc>
                <w:tcPr>
                  <w:tcW w:w="1727" w:type="pct"/>
                  <w:vAlign w:val="center"/>
                </w:tcPr>
                <w:p>
                  <w:pPr>
                    <w:jc w:val="center"/>
                    <w:rPr>
                      <w:color w:val="auto"/>
                      <w:szCs w:val="21"/>
                    </w:rPr>
                  </w:pPr>
                  <w:r>
                    <w:rPr>
                      <w:rFonts w:hint="eastAsia"/>
                      <w:color w:val="auto"/>
                      <w:szCs w:val="21"/>
                    </w:rPr>
                    <w:t>铜线</w:t>
                  </w:r>
                </w:p>
              </w:tc>
              <w:tc>
                <w:tcPr>
                  <w:tcW w:w="1215" w:type="pct"/>
                  <w:vAlign w:val="center"/>
                </w:tcPr>
                <w:p>
                  <w:pPr>
                    <w:jc w:val="center"/>
                    <w:rPr>
                      <w:color w:val="auto"/>
                      <w:szCs w:val="21"/>
                    </w:rPr>
                  </w:pPr>
                  <w:r>
                    <w:rPr>
                      <w:rFonts w:hint="eastAsia"/>
                      <w:color w:val="auto"/>
                      <w:szCs w:val="21"/>
                    </w:rPr>
                    <w:t>300吨/年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5</w:t>
                  </w:r>
                </w:p>
              </w:tc>
              <w:tc>
                <w:tcPr>
                  <w:tcW w:w="1727" w:type="pct"/>
                  <w:vAlign w:val="center"/>
                </w:tcPr>
                <w:p>
                  <w:pPr>
                    <w:jc w:val="center"/>
                    <w:rPr>
                      <w:color w:val="auto"/>
                      <w:szCs w:val="21"/>
                    </w:rPr>
                  </w:pPr>
                  <w:r>
                    <w:rPr>
                      <w:rFonts w:hint="eastAsia"/>
                      <w:color w:val="auto"/>
                      <w:szCs w:val="21"/>
                    </w:rPr>
                    <w:t>铜片</w:t>
                  </w:r>
                </w:p>
              </w:tc>
              <w:tc>
                <w:tcPr>
                  <w:tcW w:w="1215" w:type="pct"/>
                  <w:vAlign w:val="center"/>
                </w:tcPr>
                <w:p>
                  <w:pPr>
                    <w:jc w:val="center"/>
                    <w:rPr>
                      <w:color w:val="auto"/>
                    </w:rPr>
                  </w:pPr>
                  <w:r>
                    <w:rPr>
                      <w:rFonts w:hint="eastAsia"/>
                      <w:color w:val="auto"/>
                    </w:rPr>
                    <w:t>14吨/年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6</w:t>
                  </w:r>
                </w:p>
              </w:tc>
              <w:tc>
                <w:tcPr>
                  <w:tcW w:w="1727" w:type="pct"/>
                  <w:vAlign w:val="center"/>
                </w:tcPr>
                <w:p>
                  <w:pPr>
                    <w:jc w:val="center"/>
                    <w:rPr>
                      <w:color w:val="auto"/>
                      <w:szCs w:val="21"/>
                    </w:rPr>
                  </w:pPr>
                  <w:r>
                    <w:rPr>
                      <w:rFonts w:hint="eastAsia"/>
                      <w:color w:val="auto"/>
                      <w:szCs w:val="21"/>
                    </w:rPr>
                    <w:t>铜头</w:t>
                  </w:r>
                </w:p>
              </w:tc>
              <w:tc>
                <w:tcPr>
                  <w:tcW w:w="1215" w:type="pct"/>
                  <w:vAlign w:val="center"/>
                </w:tcPr>
                <w:p>
                  <w:pPr>
                    <w:jc w:val="center"/>
                    <w:rPr>
                      <w:color w:val="auto"/>
                    </w:rPr>
                  </w:pPr>
                  <w:r>
                    <w:rPr>
                      <w:rFonts w:hint="eastAsia"/>
                      <w:color w:val="auto"/>
                      <w:lang w:val="en-US" w:eastAsia="zh-CN"/>
                    </w:rPr>
                    <w:t>40</w:t>
                  </w:r>
                  <w:r>
                    <w:rPr>
                      <w:rFonts w:hint="eastAsia"/>
                      <w:color w:val="auto"/>
                    </w:rPr>
                    <w:t>0万个/年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7</w:t>
                  </w:r>
                </w:p>
              </w:tc>
              <w:tc>
                <w:tcPr>
                  <w:tcW w:w="1727" w:type="pct"/>
                  <w:vAlign w:val="center"/>
                </w:tcPr>
                <w:p>
                  <w:pPr>
                    <w:jc w:val="center"/>
                    <w:rPr>
                      <w:color w:val="auto"/>
                      <w:szCs w:val="21"/>
                    </w:rPr>
                  </w:pPr>
                  <w:r>
                    <w:rPr>
                      <w:rFonts w:hint="eastAsia"/>
                      <w:color w:val="auto"/>
                      <w:szCs w:val="21"/>
                    </w:rPr>
                    <w:t>铜带</w:t>
                  </w:r>
                </w:p>
              </w:tc>
              <w:tc>
                <w:tcPr>
                  <w:tcW w:w="1215" w:type="pct"/>
                  <w:vAlign w:val="center"/>
                </w:tcPr>
                <w:p>
                  <w:pPr>
                    <w:jc w:val="center"/>
                    <w:rPr>
                      <w:color w:val="auto"/>
                    </w:rPr>
                  </w:pPr>
                  <w:r>
                    <w:rPr>
                      <w:rFonts w:hint="eastAsia"/>
                      <w:color w:val="auto"/>
                    </w:rPr>
                    <w:t>28吨/年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8</w:t>
                  </w:r>
                </w:p>
              </w:tc>
              <w:tc>
                <w:tcPr>
                  <w:tcW w:w="1727" w:type="pct"/>
                  <w:vAlign w:val="center"/>
                </w:tcPr>
                <w:p>
                  <w:pPr>
                    <w:jc w:val="center"/>
                    <w:rPr>
                      <w:color w:val="auto"/>
                      <w:szCs w:val="21"/>
                    </w:rPr>
                  </w:pPr>
                  <w:r>
                    <w:rPr>
                      <w:rFonts w:hint="eastAsia"/>
                      <w:color w:val="auto"/>
                      <w:szCs w:val="21"/>
                    </w:rPr>
                    <w:t>头插外壳</w:t>
                  </w:r>
                </w:p>
              </w:tc>
              <w:tc>
                <w:tcPr>
                  <w:tcW w:w="1215" w:type="pct"/>
                  <w:vAlign w:val="center"/>
                </w:tcPr>
                <w:p>
                  <w:pPr>
                    <w:jc w:val="center"/>
                    <w:rPr>
                      <w:color w:val="auto"/>
                    </w:rPr>
                  </w:pPr>
                  <w:r>
                    <w:rPr>
                      <w:rFonts w:hint="eastAsia"/>
                      <w:color w:val="auto"/>
                      <w:lang w:eastAsia="zh-CN"/>
                    </w:rPr>
                    <w:t>200</w:t>
                  </w:r>
                  <w:r>
                    <w:rPr>
                      <w:rFonts w:hint="eastAsia"/>
                      <w:color w:val="auto"/>
                    </w:rPr>
                    <w:t>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9</w:t>
                  </w:r>
                </w:p>
              </w:tc>
              <w:tc>
                <w:tcPr>
                  <w:tcW w:w="1727" w:type="pct"/>
                  <w:vAlign w:val="center"/>
                </w:tcPr>
                <w:p>
                  <w:pPr>
                    <w:jc w:val="center"/>
                    <w:rPr>
                      <w:color w:val="auto"/>
                      <w:szCs w:val="21"/>
                    </w:rPr>
                  </w:pPr>
                  <w:r>
                    <w:rPr>
                      <w:rFonts w:hint="eastAsia"/>
                      <w:color w:val="auto"/>
                      <w:szCs w:val="21"/>
                    </w:rPr>
                    <w:t>头插内架</w:t>
                  </w:r>
                </w:p>
              </w:tc>
              <w:tc>
                <w:tcPr>
                  <w:tcW w:w="1215" w:type="pct"/>
                  <w:vAlign w:val="center"/>
                </w:tcPr>
                <w:p>
                  <w:pPr>
                    <w:jc w:val="center"/>
                    <w:rPr>
                      <w:color w:val="auto"/>
                    </w:rPr>
                  </w:pPr>
                  <w:r>
                    <w:rPr>
                      <w:rFonts w:hint="eastAsia"/>
                      <w:color w:val="auto"/>
                      <w:lang w:eastAsia="zh-CN"/>
                    </w:rPr>
                    <w:t>200</w:t>
                  </w:r>
                  <w:r>
                    <w:rPr>
                      <w:rFonts w:hint="eastAsia"/>
                      <w:color w:val="auto"/>
                    </w:rPr>
                    <w:t>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10</w:t>
                  </w:r>
                </w:p>
              </w:tc>
              <w:tc>
                <w:tcPr>
                  <w:tcW w:w="1727" w:type="pct"/>
                  <w:vAlign w:val="center"/>
                </w:tcPr>
                <w:p>
                  <w:pPr>
                    <w:jc w:val="center"/>
                    <w:rPr>
                      <w:color w:val="auto"/>
                      <w:szCs w:val="21"/>
                    </w:rPr>
                  </w:pPr>
                  <w:r>
                    <w:rPr>
                      <w:rFonts w:hint="eastAsia"/>
                      <w:color w:val="auto"/>
                      <w:szCs w:val="21"/>
                    </w:rPr>
                    <w:t>尾插外壳</w:t>
                  </w:r>
                </w:p>
              </w:tc>
              <w:tc>
                <w:tcPr>
                  <w:tcW w:w="1215" w:type="pct"/>
                  <w:vAlign w:val="center"/>
                </w:tcPr>
                <w:p>
                  <w:pPr>
                    <w:jc w:val="center"/>
                    <w:rPr>
                      <w:color w:val="auto"/>
                    </w:rPr>
                  </w:pPr>
                  <w:r>
                    <w:rPr>
                      <w:rFonts w:hint="eastAsia"/>
                      <w:color w:val="auto"/>
                      <w:lang w:eastAsia="zh-CN"/>
                    </w:rPr>
                    <w:t>200</w:t>
                  </w:r>
                  <w:r>
                    <w:rPr>
                      <w:rFonts w:hint="eastAsia"/>
                      <w:color w:val="auto"/>
                    </w:rPr>
                    <w:t>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11</w:t>
                  </w:r>
                </w:p>
              </w:tc>
              <w:tc>
                <w:tcPr>
                  <w:tcW w:w="1727" w:type="pct"/>
                  <w:vAlign w:val="center"/>
                </w:tcPr>
                <w:p>
                  <w:pPr>
                    <w:jc w:val="center"/>
                    <w:rPr>
                      <w:color w:val="auto"/>
                      <w:szCs w:val="21"/>
                    </w:rPr>
                  </w:pPr>
                  <w:r>
                    <w:rPr>
                      <w:rFonts w:hint="eastAsia"/>
                      <w:color w:val="auto"/>
                      <w:szCs w:val="21"/>
                    </w:rPr>
                    <w:t>尾插内架</w:t>
                  </w:r>
                </w:p>
              </w:tc>
              <w:tc>
                <w:tcPr>
                  <w:tcW w:w="1215" w:type="pct"/>
                  <w:vAlign w:val="center"/>
                </w:tcPr>
                <w:p>
                  <w:pPr>
                    <w:jc w:val="center"/>
                    <w:rPr>
                      <w:color w:val="auto"/>
                    </w:rPr>
                  </w:pPr>
                  <w:r>
                    <w:rPr>
                      <w:rFonts w:hint="eastAsia"/>
                      <w:color w:val="auto"/>
                      <w:lang w:eastAsia="zh-CN"/>
                    </w:rPr>
                    <w:t>200</w:t>
                  </w:r>
                  <w:r>
                    <w:rPr>
                      <w:rFonts w:hint="eastAsia"/>
                      <w:color w:val="auto"/>
                    </w:rPr>
                    <w:t>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12</w:t>
                  </w:r>
                </w:p>
              </w:tc>
              <w:tc>
                <w:tcPr>
                  <w:tcW w:w="1727" w:type="pct"/>
                  <w:vAlign w:val="center"/>
                </w:tcPr>
                <w:p>
                  <w:pPr>
                    <w:jc w:val="center"/>
                    <w:rPr>
                      <w:color w:val="auto"/>
                      <w:szCs w:val="21"/>
                    </w:rPr>
                  </w:pPr>
                  <w:r>
                    <w:rPr>
                      <w:rFonts w:hint="eastAsia"/>
                      <w:color w:val="auto"/>
                      <w:szCs w:val="21"/>
                    </w:rPr>
                    <w:t>灯泡</w:t>
                  </w:r>
                </w:p>
              </w:tc>
              <w:tc>
                <w:tcPr>
                  <w:tcW w:w="1215" w:type="pct"/>
                  <w:vAlign w:val="center"/>
                </w:tcPr>
                <w:p>
                  <w:pPr>
                    <w:jc w:val="center"/>
                    <w:rPr>
                      <w:color w:val="auto"/>
                    </w:rPr>
                  </w:pPr>
                  <w:r>
                    <w:rPr>
                      <w:rFonts w:hint="eastAsia"/>
                      <w:color w:val="auto"/>
                      <w:lang w:val="en-US" w:eastAsia="zh-CN"/>
                    </w:rPr>
                    <w:t>30</w:t>
                  </w:r>
                  <w:r>
                    <w:rPr>
                      <w:rFonts w:hint="eastAsia"/>
                      <w:color w:val="auto"/>
                    </w:rPr>
                    <w:t>00万个/年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13</w:t>
                  </w:r>
                </w:p>
              </w:tc>
              <w:tc>
                <w:tcPr>
                  <w:tcW w:w="1727" w:type="pct"/>
                  <w:vAlign w:val="center"/>
                </w:tcPr>
                <w:p>
                  <w:pPr>
                    <w:jc w:val="center"/>
                    <w:rPr>
                      <w:color w:val="auto"/>
                      <w:szCs w:val="21"/>
                    </w:rPr>
                  </w:pPr>
                  <w:r>
                    <w:rPr>
                      <w:rFonts w:hint="eastAsia"/>
                      <w:color w:val="auto"/>
                      <w:szCs w:val="21"/>
                    </w:rPr>
                    <w:t>保险丝</w:t>
                  </w:r>
                </w:p>
              </w:tc>
              <w:tc>
                <w:tcPr>
                  <w:tcW w:w="1215" w:type="pct"/>
                  <w:vAlign w:val="center"/>
                </w:tcPr>
                <w:p>
                  <w:pPr>
                    <w:jc w:val="center"/>
                    <w:rPr>
                      <w:color w:val="auto"/>
                    </w:rPr>
                  </w:pPr>
                  <w:r>
                    <w:rPr>
                      <w:rFonts w:hint="eastAsia"/>
                      <w:color w:val="auto"/>
                      <w:lang w:val="en-US" w:eastAsia="zh-CN"/>
                    </w:rPr>
                    <w:t>400</w:t>
                  </w:r>
                  <w:r>
                    <w:rPr>
                      <w:rFonts w:hint="eastAsia"/>
                      <w:color w:val="auto"/>
                    </w:rPr>
                    <w:t>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14</w:t>
                  </w:r>
                </w:p>
              </w:tc>
              <w:tc>
                <w:tcPr>
                  <w:tcW w:w="1727" w:type="pct"/>
                  <w:vAlign w:val="center"/>
                </w:tcPr>
                <w:p>
                  <w:pPr>
                    <w:jc w:val="center"/>
                    <w:rPr>
                      <w:color w:val="auto"/>
                      <w:szCs w:val="21"/>
                    </w:rPr>
                  </w:pPr>
                  <w:r>
                    <w:rPr>
                      <w:rFonts w:hint="eastAsia"/>
                      <w:color w:val="auto"/>
                      <w:szCs w:val="21"/>
                    </w:rPr>
                    <w:t>灯头外壳</w:t>
                  </w:r>
                </w:p>
              </w:tc>
              <w:tc>
                <w:tcPr>
                  <w:tcW w:w="1215" w:type="pct"/>
                  <w:vAlign w:val="center"/>
                </w:tcPr>
                <w:p>
                  <w:pPr>
                    <w:jc w:val="center"/>
                    <w:rPr>
                      <w:color w:val="auto"/>
                    </w:rPr>
                  </w:pPr>
                  <w:r>
                    <w:rPr>
                      <w:rFonts w:hint="eastAsia"/>
                      <w:color w:val="auto"/>
                      <w:lang w:val="en-US" w:eastAsia="zh-CN"/>
                    </w:rPr>
                    <w:t>40</w:t>
                  </w:r>
                  <w:r>
                    <w:rPr>
                      <w:rFonts w:hint="eastAsia"/>
                      <w:color w:val="auto"/>
                    </w:rPr>
                    <w:t>0万个/年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15</w:t>
                  </w:r>
                </w:p>
              </w:tc>
              <w:tc>
                <w:tcPr>
                  <w:tcW w:w="1727" w:type="pct"/>
                  <w:vAlign w:val="center"/>
                </w:tcPr>
                <w:p>
                  <w:pPr>
                    <w:jc w:val="center"/>
                    <w:rPr>
                      <w:color w:val="auto"/>
                      <w:szCs w:val="21"/>
                    </w:rPr>
                  </w:pPr>
                  <w:r>
                    <w:rPr>
                      <w:rFonts w:hint="eastAsia"/>
                      <w:color w:val="auto"/>
                      <w:szCs w:val="21"/>
                    </w:rPr>
                    <w:t>灯头面盖</w:t>
                  </w:r>
                </w:p>
              </w:tc>
              <w:tc>
                <w:tcPr>
                  <w:tcW w:w="1215" w:type="pct"/>
                  <w:vAlign w:val="center"/>
                </w:tcPr>
                <w:p>
                  <w:pPr>
                    <w:jc w:val="center"/>
                    <w:rPr>
                      <w:color w:val="auto"/>
                    </w:rPr>
                  </w:pPr>
                  <w:r>
                    <w:rPr>
                      <w:rFonts w:hint="eastAsia"/>
                      <w:color w:val="auto"/>
                      <w:lang w:val="en-US" w:eastAsia="zh-CN"/>
                    </w:rPr>
                    <w:t>40</w:t>
                  </w:r>
                  <w:r>
                    <w:rPr>
                      <w:rFonts w:hint="eastAsia"/>
                      <w:color w:val="auto"/>
                    </w:rPr>
                    <w:t>0万个/年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16</w:t>
                  </w:r>
                </w:p>
              </w:tc>
              <w:tc>
                <w:tcPr>
                  <w:tcW w:w="1727" w:type="pct"/>
                  <w:vAlign w:val="center"/>
                </w:tcPr>
                <w:p>
                  <w:pPr>
                    <w:jc w:val="center"/>
                    <w:rPr>
                      <w:color w:val="auto"/>
                      <w:szCs w:val="21"/>
                    </w:rPr>
                  </w:pPr>
                  <w:r>
                    <w:rPr>
                      <w:rFonts w:hint="eastAsia"/>
                      <w:color w:val="auto"/>
                      <w:szCs w:val="21"/>
                    </w:rPr>
                    <w:t>T型类架</w:t>
                  </w:r>
                </w:p>
              </w:tc>
              <w:tc>
                <w:tcPr>
                  <w:tcW w:w="1215" w:type="pct"/>
                  <w:vAlign w:val="center"/>
                </w:tcPr>
                <w:p>
                  <w:pPr>
                    <w:jc w:val="center"/>
                    <w:rPr>
                      <w:color w:val="auto"/>
                    </w:rPr>
                  </w:pPr>
                  <w:r>
                    <w:rPr>
                      <w:rFonts w:hint="eastAsia"/>
                      <w:color w:val="auto"/>
                      <w:lang w:val="en-US" w:eastAsia="zh-CN"/>
                    </w:rPr>
                    <w:t>40</w:t>
                  </w:r>
                  <w:r>
                    <w:rPr>
                      <w:rFonts w:hint="eastAsia"/>
                      <w:color w:val="auto"/>
                    </w:rPr>
                    <w:t>0万个/年</w:t>
                  </w:r>
                </w:p>
              </w:tc>
              <w:tc>
                <w:tcPr>
                  <w:tcW w:w="1502" w:type="pct"/>
                  <w:vAlign w:val="center"/>
                </w:tcPr>
                <w:p>
                  <w:pPr>
                    <w:jc w:val="center"/>
                    <w:rPr>
                      <w:color w:val="auto"/>
                      <w:szCs w:val="21"/>
                    </w:rPr>
                  </w:pPr>
                  <w:r>
                    <w:rPr>
                      <w:rFonts w:hint="eastAsia"/>
                      <w:color w:val="auto"/>
                      <w:szCs w:val="21"/>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55" w:type="pct"/>
                  <w:vAlign w:val="center"/>
                </w:tcPr>
                <w:p>
                  <w:pPr>
                    <w:jc w:val="center"/>
                    <w:rPr>
                      <w:color w:val="auto"/>
                      <w:szCs w:val="21"/>
                    </w:rPr>
                  </w:pPr>
                  <w:r>
                    <w:rPr>
                      <w:rFonts w:hint="eastAsia"/>
                      <w:color w:val="auto"/>
                      <w:szCs w:val="21"/>
                    </w:rPr>
                    <w:t>17</w:t>
                  </w:r>
                </w:p>
              </w:tc>
              <w:tc>
                <w:tcPr>
                  <w:tcW w:w="1727" w:type="pct"/>
                  <w:vAlign w:val="center"/>
                </w:tcPr>
                <w:p>
                  <w:pPr>
                    <w:jc w:val="center"/>
                    <w:rPr>
                      <w:color w:val="auto"/>
                      <w:szCs w:val="21"/>
                    </w:rPr>
                  </w:pPr>
                  <w:r>
                    <w:rPr>
                      <w:rFonts w:hint="eastAsia"/>
                      <w:color w:val="auto"/>
                      <w:szCs w:val="21"/>
                    </w:rPr>
                    <w:t>无铅锡丝</w:t>
                  </w:r>
                </w:p>
              </w:tc>
              <w:tc>
                <w:tcPr>
                  <w:tcW w:w="1215" w:type="pct"/>
                  <w:vAlign w:val="center"/>
                </w:tcPr>
                <w:p>
                  <w:pPr>
                    <w:jc w:val="center"/>
                    <w:rPr>
                      <w:color w:val="auto"/>
                    </w:rPr>
                  </w:pPr>
                  <w:r>
                    <w:rPr>
                      <w:rFonts w:hint="eastAsia"/>
                      <w:color w:val="auto"/>
                    </w:rPr>
                    <w:t>0.56吨/年</w:t>
                  </w:r>
                </w:p>
              </w:tc>
              <w:tc>
                <w:tcPr>
                  <w:tcW w:w="1502" w:type="pct"/>
                  <w:vAlign w:val="center"/>
                </w:tcPr>
                <w:p>
                  <w:pPr>
                    <w:jc w:val="center"/>
                    <w:rPr>
                      <w:color w:val="auto"/>
                      <w:szCs w:val="21"/>
                    </w:rPr>
                  </w:pPr>
                  <w:r>
                    <w:rPr>
                      <w:rFonts w:hint="eastAsia"/>
                      <w:color w:val="auto"/>
                      <w:szCs w:val="21"/>
                    </w:rPr>
                    <w:t>外购</w:t>
                  </w:r>
                </w:p>
              </w:tc>
            </w:tr>
          </w:tbl>
          <w:p>
            <w:pPr>
              <w:spacing w:before="120" w:beforeLines="50" w:line="360" w:lineRule="auto"/>
              <w:ind w:firstLine="482" w:firstLineChars="200"/>
              <w:rPr>
                <w:b/>
                <w:bCs/>
                <w:color w:val="auto"/>
                <w:sz w:val="24"/>
              </w:rPr>
            </w:pPr>
            <w:r>
              <w:rPr>
                <w:b/>
                <w:bCs/>
                <w:color w:val="auto"/>
                <w:sz w:val="24"/>
              </w:rPr>
              <w:t>原材料理化性质：</w:t>
            </w:r>
          </w:p>
          <w:p>
            <w:pPr>
              <w:pStyle w:val="152"/>
              <w:autoSpaceDE w:val="0"/>
              <w:spacing w:line="360" w:lineRule="auto"/>
              <w:ind w:firstLine="482"/>
              <w:rPr>
                <w:rFonts w:hint="eastAsia"/>
                <w:color w:val="auto"/>
                <w:sz w:val="24"/>
                <w:szCs w:val="24"/>
              </w:rPr>
            </w:pPr>
            <w:r>
              <w:rPr>
                <w:b/>
                <w:bCs/>
                <w:color w:val="auto"/>
                <w:sz w:val="24"/>
                <w:szCs w:val="24"/>
              </w:rPr>
              <w:t>PP塑胶粒：</w:t>
            </w:r>
            <w:r>
              <w:rPr>
                <w:color w:val="auto"/>
                <w:sz w:val="24"/>
                <w:szCs w:val="24"/>
              </w:rPr>
              <w:t>即</w:t>
            </w:r>
            <w:r>
              <w:rPr>
                <w:rFonts w:hint="eastAsia"/>
                <w:color w:val="auto"/>
                <w:sz w:val="24"/>
                <w:szCs w:val="24"/>
              </w:rPr>
              <w:t>聚丙烯</w:t>
            </w:r>
            <w:r>
              <w:rPr>
                <w:color w:val="auto"/>
                <w:sz w:val="24"/>
                <w:szCs w:val="24"/>
              </w:rPr>
              <w:t>，无嗅、无味、无毒，阻燃，优异的力学性能，包括拉伸强度、压缩强度和硬度，突出的刚性和耐弯曲疲劳性能，加工性能好，不需要添加剂就具有UL94V-0级阻燃性能。电性能优异，耐高频电绝缘</w:t>
            </w:r>
            <w:r>
              <w:rPr>
                <w:rFonts w:hint="eastAsia"/>
                <w:color w:val="auto"/>
                <w:sz w:val="24"/>
                <w:szCs w:val="24"/>
                <w:lang w:val="en-US" w:eastAsia="zh-CN"/>
              </w:rPr>
              <w:t>性</w:t>
            </w:r>
            <w:r>
              <w:rPr>
                <w:color w:val="auto"/>
                <w:sz w:val="24"/>
                <w:szCs w:val="24"/>
              </w:rPr>
              <w:t>好，在潮湿环境中也具有良好的电绝缘性。耐热性良好，连续使用温度可达110-120</w:t>
            </w:r>
            <w:r>
              <w:rPr>
                <w:rFonts w:hint="eastAsia"/>
                <w:color w:val="auto"/>
                <w:sz w:val="24"/>
                <w:szCs w:val="24"/>
              </w:rPr>
              <w:t>℃。</w:t>
            </w:r>
          </w:p>
          <w:p>
            <w:pPr>
              <w:pStyle w:val="152"/>
              <w:autoSpaceDE w:val="0"/>
              <w:spacing w:line="360" w:lineRule="auto"/>
              <w:ind w:firstLine="482"/>
              <w:rPr>
                <w:color w:val="auto"/>
                <w:sz w:val="24"/>
                <w:szCs w:val="24"/>
              </w:rPr>
            </w:pPr>
            <w:r>
              <w:rPr>
                <w:b/>
                <w:bCs/>
                <w:color w:val="auto"/>
                <w:sz w:val="24"/>
                <w:szCs w:val="24"/>
              </w:rPr>
              <w:t>PVC塑胶粒：</w:t>
            </w:r>
            <w:r>
              <w:rPr>
                <w:color w:val="auto"/>
                <w:sz w:val="24"/>
                <w:szCs w:val="24"/>
              </w:rPr>
              <w:t>聚氯乙烯，英文简称PVC(Polyvinyl</w:t>
            </w:r>
            <w:r>
              <w:rPr>
                <w:rFonts w:hint="eastAsia"/>
                <w:color w:val="auto"/>
                <w:sz w:val="24"/>
                <w:szCs w:val="24"/>
              </w:rPr>
              <w:t xml:space="preserve"> </w:t>
            </w:r>
            <w:r>
              <w:rPr>
                <w:color w:val="auto"/>
                <w:sz w:val="24"/>
                <w:szCs w:val="24"/>
              </w:rPr>
              <w:t>chloride)，是氯乙烯单体</w:t>
            </w:r>
            <w:r>
              <w:rPr>
                <w:rFonts w:hint="eastAsia"/>
                <w:color w:val="auto"/>
                <w:sz w:val="24"/>
                <w:szCs w:val="24"/>
              </w:rPr>
              <w:t>（</w:t>
            </w:r>
            <w:r>
              <w:rPr>
                <w:color w:val="auto"/>
                <w:sz w:val="24"/>
                <w:szCs w:val="24"/>
              </w:rPr>
              <w:t>vinyl chloride</w:t>
            </w:r>
            <w:r>
              <w:rPr>
                <w:rFonts w:hint="eastAsia"/>
                <w:color w:val="auto"/>
                <w:sz w:val="24"/>
                <w:szCs w:val="24"/>
              </w:rPr>
              <w:t xml:space="preserve"> </w:t>
            </w:r>
            <w:r>
              <w:rPr>
                <w:color w:val="auto"/>
                <w:sz w:val="24"/>
                <w:szCs w:val="24"/>
              </w:rPr>
              <w:t>monomer</w:t>
            </w:r>
            <w:r>
              <w:rPr>
                <w:rFonts w:hint="eastAsia"/>
                <w:color w:val="auto"/>
                <w:sz w:val="24"/>
                <w:szCs w:val="24"/>
              </w:rPr>
              <w:t>，</w:t>
            </w:r>
            <w:r>
              <w:rPr>
                <w:color w:val="auto"/>
                <w:sz w:val="24"/>
                <w:szCs w:val="24"/>
              </w:rPr>
              <w:t>简称VCM</w:t>
            </w:r>
            <w:r>
              <w:rPr>
                <w:rFonts w:hint="eastAsia"/>
                <w:color w:val="auto"/>
                <w:sz w:val="24"/>
                <w:szCs w:val="24"/>
              </w:rPr>
              <w:t>）</w:t>
            </w:r>
            <w:r>
              <w:rPr>
                <w:color w:val="auto"/>
                <w:sz w:val="24"/>
                <w:szCs w:val="24"/>
              </w:rPr>
              <w:t>在过氧化物、偶氮化合物等引发剂</w:t>
            </w:r>
            <w:r>
              <w:rPr>
                <w:rFonts w:hint="eastAsia"/>
                <w:color w:val="auto"/>
                <w:sz w:val="24"/>
                <w:szCs w:val="24"/>
              </w:rPr>
              <w:t>；</w:t>
            </w:r>
            <w:r>
              <w:rPr>
                <w:color w:val="auto"/>
                <w:sz w:val="24"/>
                <w:szCs w:val="24"/>
              </w:rPr>
              <w:t>或在光、热作用下按自由基聚合反应机理聚合而成的聚合物。氯乙烯均聚物和氯乙烯共聚物统称之为氯乙烯树脂，其成型温度为：160-180℃，分解温度约300℃；应用非常广泛，在建筑材料、工业制品、日用品、地板革、地板砖、人造革、管材、电线电缆、包装膜、瓶、发泡材料、密封材料、纤维等方面均有广泛应用。</w:t>
            </w:r>
          </w:p>
          <w:p>
            <w:pPr>
              <w:pStyle w:val="152"/>
              <w:autoSpaceDE w:val="0"/>
              <w:spacing w:line="360" w:lineRule="auto"/>
              <w:ind w:firstLine="482"/>
              <w:rPr>
                <w:color w:val="auto"/>
                <w:sz w:val="24"/>
                <w:szCs w:val="24"/>
              </w:rPr>
            </w:pPr>
            <w:r>
              <w:rPr>
                <w:b/>
                <w:bCs/>
                <w:color w:val="auto"/>
                <w:sz w:val="24"/>
                <w:szCs w:val="24"/>
              </w:rPr>
              <w:t>无铅锡丝：</w:t>
            </w:r>
            <w:r>
              <w:rPr>
                <w:color w:val="auto"/>
                <w:sz w:val="24"/>
                <w:szCs w:val="24"/>
              </w:rPr>
              <w:t>主要成分是锡</w:t>
            </w:r>
            <w:r>
              <w:rPr>
                <w:rFonts w:hint="eastAsia"/>
                <w:color w:val="auto"/>
                <w:sz w:val="24"/>
                <w:szCs w:val="24"/>
              </w:rPr>
              <w:t>（</w:t>
            </w:r>
            <w:r>
              <w:rPr>
                <w:color w:val="auto"/>
                <w:sz w:val="24"/>
                <w:szCs w:val="24"/>
              </w:rPr>
              <w:t>Sn</w:t>
            </w:r>
            <w:r>
              <w:rPr>
                <w:rFonts w:hint="eastAsia"/>
                <w:color w:val="auto"/>
                <w:sz w:val="24"/>
                <w:szCs w:val="24"/>
              </w:rPr>
              <w:t>）</w:t>
            </w:r>
            <w:r>
              <w:rPr>
                <w:color w:val="auto"/>
                <w:sz w:val="24"/>
                <w:szCs w:val="24"/>
              </w:rPr>
              <w:t>、银</w:t>
            </w:r>
            <w:r>
              <w:rPr>
                <w:rFonts w:hint="eastAsia"/>
                <w:color w:val="auto"/>
                <w:sz w:val="24"/>
                <w:szCs w:val="24"/>
              </w:rPr>
              <w:t>（</w:t>
            </w:r>
            <w:r>
              <w:rPr>
                <w:color w:val="auto"/>
                <w:sz w:val="24"/>
                <w:szCs w:val="24"/>
              </w:rPr>
              <w:t>Ag</w:t>
            </w:r>
            <w:r>
              <w:rPr>
                <w:rFonts w:hint="eastAsia"/>
                <w:color w:val="auto"/>
                <w:sz w:val="24"/>
                <w:szCs w:val="24"/>
              </w:rPr>
              <w:t>）</w:t>
            </w:r>
            <w:r>
              <w:rPr>
                <w:color w:val="auto"/>
                <w:sz w:val="24"/>
                <w:szCs w:val="24"/>
              </w:rPr>
              <w:t>、铜</w:t>
            </w:r>
            <w:r>
              <w:rPr>
                <w:rFonts w:hint="eastAsia"/>
                <w:color w:val="auto"/>
                <w:sz w:val="24"/>
                <w:szCs w:val="24"/>
              </w:rPr>
              <w:t>（</w:t>
            </w:r>
            <w:r>
              <w:rPr>
                <w:color w:val="auto"/>
                <w:sz w:val="24"/>
                <w:szCs w:val="24"/>
              </w:rPr>
              <w:t>Cu</w:t>
            </w:r>
            <w:r>
              <w:rPr>
                <w:rFonts w:hint="eastAsia"/>
                <w:color w:val="auto"/>
                <w:sz w:val="24"/>
                <w:szCs w:val="24"/>
              </w:rPr>
              <w:t>）</w:t>
            </w:r>
            <w:r>
              <w:rPr>
                <w:color w:val="auto"/>
                <w:sz w:val="24"/>
                <w:szCs w:val="24"/>
              </w:rPr>
              <w:t>，具有可焊性好、良好的湿润性能，无恶臭味、烟雾少、不含毒害挥发气体。</w:t>
            </w:r>
          </w:p>
          <w:p>
            <w:pPr>
              <w:adjustRightInd w:val="0"/>
              <w:snapToGrid w:val="0"/>
              <w:spacing w:line="360" w:lineRule="auto"/>
              <w:ind w:firstLine="482" w:firstLineChars="200"/>
              <w:jc w:val="left"/>
              <w:rPr>
                <w:b/>
                <w:bCs/>
                <w:color w:val="auto"/>
                <w:sz w:val="24"/>
                <w:szCs w:val="21"/>
              </w:rPr>
            </w:pPr>
            <w:r>
              <w:rPr>
                <w:b/>
                <w:bCs/>
                <w:color w:val="auto"/>
                <w:sz w:val="24"/>
                <w:szCs w:val="21"/>
              </w:rPr>
              <w:t>5.能耗、水耗及燃料</w:t>
            </w:r>
          </w:p>
          <w:p>
            <w:pPr>
              <w:spacing w:line="360" w:lineRule="auto"/>
              <w:ind w:firstLine="480" w:firstLineChars="200"/>
              <w:rPr>
                <w:color w:val="auto"/>
                <w:sz w:val="24"/>
              </w:rPr>
            </w:pPr>
            <w:r>
              <w:rPr>
                <w:color w:val="auto"/>
                <w:sz w:val="24"/>
              </w:rPr>
              <w:t>本项目</w:t>
            </w:r>
            <w:r>
              <w:rPr>
                <w:rFonts w:hint="eastAsia"/>
                <w:color w:val="auto"/>
                <w:sz w:val="24"/>
              </w:rPr>
              <w:t>加热全部采用电加热</w:t>
            </w:r>
            <w:r>
              <w:rPr>
                <w:color w:val="auto"/>
                <w:sz w:val="24"/>
              </w:rPr>
              <w:t>，用电从当地供电主线路接线，年用电量约为</w:t>
            </w:r>
            <w:r>
              <w:rPr>
                <w:rFonts w:hint="eastAsia"/>
                <w:color w:val="auto"/>
                <w:sz w:val="24"/>
              </w:rPr>
              <w:t>15</w:t>
            </w:r>
            <w:r>
              <w:rPr>
                <w:color w:val="auto"/>
                <w:sz w:val="24"/>
              </w:rPr>
              <w:t>万kW</w:t>
            </w:r>
            <w:r>
              <w:rPr>
                <w:rFonts w:hint="eastAsia"/>
                <w:color w:val="auto"/>
                <w:sz w:val="24"/>
              </w:rPr>
              <w:t>·</w:t>
            </w:r>
            <w:r>
              <w:rPr>
                <w:color w:val="auto"/>
                <w:sz w:val="24"/>
              </w:rPr>
              <w:t>h。</w:t>
            </w:r>
            <w:r>
              <w:rPr>
                <w:color w:val="auto"/>
                <w:spacing w:val="4"/>
                <w:sz w:val="24"/>
              </w:rPr>
              <w:t>本项目的新鲜水总用水量约为</w:t>
            </w:r>
            <w:r>
              <w:rPr>
                <w:rFonts w:hint="eastAsia"/>
                <w:color w:val="auto"/>
                <w:spacing w:val="4"/>
                <w:sz w:val="24"/>
              </w:rPr>
              <w:t>8877</w:t>
            </w:r>
            <w:r>
              <w:rPr>
                <w:color w:val="auto"/>
                <w:sz w:val="24"/>
              </w:rPr>
              <w:t>m</w:t>
            </w:r>
            <w:r>
              <w:rPr>
                <w:color w:val="auto"/>
                <w:sz w:val="24"/>
                <w:vertAlign w:val="superscript"/>
              </w:rPr>
              <w:t>3</w:t>
            </w:r>
            <w:r>
              <w:rPr>
                <w:color w:val="auto"/>
                <w:spacing w:val="4"/>
                <w:sz w:val="24"/>
              </w:rPr>
              <w:t>/a（折合</w:t>
            </w:r>
            <w:r>
              <w:rPr>
                <w:rFonts w:hint="eastAsia"/>
                <w:color w:val="auto"/>
                <w:spacing w:val="4"/>
                <w:sz w:val="24"/>
              </w:rPr>
              <w:t>29.59</w:t>
            </w:r>
            <w:r>
              <w:rPr>
                <w:color w:val="auto"/>
                <w:sz w:val="24"/>
              </w:rPr>
              <w:t>m</w:t>
            </w:r>
            <w:r>
              <w:rPr>
                <w:color w:val="auto"/>
                <w:sz w:val="24"/>
                <w:vertAlign w:val="superscript"/>
              </w:rPr>
              <w:t>3</w:t>
            </w:r>
            <w:r>
              <w:rPr>
                <w:color w:val="auto"/>
                <w:sz w:val="24"/>
              </w:rPr>
              <w:t>/d</w:t>
            </w:r>
            <w:r>
              <w:rPr>
                <w:color w:val="auto"/>
                <w:spacing w:val="4"/>
                <w:sz w:val="24"/>
              </w:rPr>
              <w:t>）</w:t>
            </w:r>
            <w:r>
              <w:rPr>
                <w:color w:val="auto"/>
                <w:sz w:val="24"/>
              </w:rPr>
              <w:t>。水平衡图如图1所示。</w:t>
            </w:r>
          </w:p>
          <w:p>
            <w:pPr>
              <w:pStyle w:val="38"/>
              <w:spacing w:line="360" w:lineRule="auto"/>
              <w:jc w:val="center"/>
              <w:rPr>
                <w:rFonts w:ascii="Times New Roman" w:hAnsi="Times New Roman" w:cs="Times New Roman"/>
                <w:color w:val="auto"/>
                <w:spacing w:val="4"/>
              </w:rPr>
            </w:pPr>
            <w:r>
              <w:rPr>
                <w:color w:val="auto"/>
              </w:rPr>
              <w:drawing>
                <wp:inline distT="0" distB="0" distL="114300" distR="114300">
                  <wp:extent cx="5143500" cy="1607185"/>
                  <wp:effectExtent l="0" t="0" r="0" b="12065"/>
                  <wp:docPr id="1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pic:cNvPicPr>
                            <a:picLocks noChangeAspect="1"/>
                          </pic:cNvPicPr>
                        </pic:nvPicPr>
                        <pic:blipFill>
                          <a:blip r:embed="rId12"/>
                          <a:stretch>
                            <a:fillRect/>
                          </a:stretch>
                        </pic:blipFill>
                        <pic:spPr>
                          <a:xfrm>
                            <a:off x="0" y="0"/>
                            <a:ext cx="5143500" cy="1607185"/>
                          </a:xfrm>
                          <a:prstGeom prst="rect">
                            <a:avLst/>
                          </a:prstGeom>
                          <a:noFill/>
                          <a:ln>
                            <a:noFill/>
                          </a:ln>
                        </pic:spPr>
                      </pic:pic>
                    </a:graphicData>
                  </a:graphic>
                </wp:inline>
              </w:drawing>
            </w:r>
          </w:p>
          <w:p>
            <w:pPr>
              <w:spacing w:line="360" w:lineRule="auto"/>
              <w:ind w:firstLine="482" w:firstLineChars="200"/>
              <w:jc w:val="center"/>
              <w:rPr>
                <w:color w:val="auto"/>
                <w:spacing w:val="4"/>
                <w:sz w:val="24"/>
              </w:rPr>
            </w:pPr>
            <w:r>
              <w:rPr>
                <w:b/>
                <w:color w:val="auto"/>
                <w:sz w:val="24"/>
              </w:rPr>
              <w:t>图</w:t>
            </w:r>
            <w:r>
              <w:rPr>
                <w:rFonts w:hint="eastAsia"/>
                <w:b/>
                <w:color w:val="auto"/>
                <w:sz w:val="24"/>
                <w:lang w:val="en-US" w:eastAsia="zh-CN"/>
              </w:rPr>
              <w:t>2-</w:t>
            </w:r>
            <w:r>
              <w:rPr>
                <w:b/>
                <w:color w:val="auto"/>
                <w:sz w:val="24"/>
              </w:rPr>
              <w:t xml:space="preserve">1 </w:t>
            </w:r>
            <w:r>
              <w:rPr>
                <w:b/>
                <w:color w:val="auto"/>
                <w:sz w:val="24"/>
                <w:szCs w:val="20"/>
              </w:rPr>
              <w:t>本项目水平衡图（单位：m</w:t>
            </w:r>
            <w:r>
              <w:rPr>
                <w:b/>
                <w:color w:val="auto"/>
                <w:sz w:val="24"/>
                <w:szCs w:val="20"/>
                <w:vertAlign w:val="superscript"/>
              </w:rPr>
              <w:t>3</w:t>
            </w:r>
            <w:r>
              <w:rPr>
                <w:b/>
                <w:color w:val="auto"/>
                <w:sz w:val="24"/>
                <w:szCs w:val="20"/>
              </w:rPr>
              <w:t>/d）</w:t>
            </w:r>
          </w:p>
          <w:p>
            <w:pPr>
              <w:adjustRightInd w:val="0"/>
              <w:snapToGrid w:val="0"/>
              <w:spacing w:line="360" w:lineRule="auto"/>
              <w:ind w:firstLine="482" w:firstLineChars="200"/>
              <w:jc w:val="left"/>
              <w:rPr>
                <w:b/>
                <w:color w:val="auto"/>
                <w:sz w:val="24"/>
                <w:szCs w:val="21"/>
              </w:rPr>
            </w:pPr>
            <w:r>
              <w:rPr>
                <w:b/>
                <w:color w:val="auto"/>
                <w:sz w:val="24"/>
              </w:rPr>
              <w:t>7.</w:t>
            </w:r>
            <w:r>
              <w:rPr>
                <w:b/>
                <w:color w:val="auto"/>
                <w:sz w:val="24"/>
                <w:szCs w:val="21"/>
              </w:rPr>
              <w:t>劳动定员与工作制度</w:t>
            </w:r>
          </w:p>
          <w:p>
            <w:pPr>
              <w:adjustRightInd w:val="0"/>
              <w:snapToGrid w:val="0"/>
              <w:spacing w:line="360" w:lineRule="auto"/>
              <w:ind w:firstLine="480" w:firstLineChars="200"/>
              <w:jc w:val="left"/>
              <w:rPr>
                <w:color w:val="auto"/>
                <w:sz w:val="24"/>
              </w:rPr>
            </w:pPr>
            <w:r>
              <w:rPr>
                <w:color w:val="auto"/>
                <w:sz w:val="24"/>
              </w:rPr>
              <w:t>根据建设单位提供的资料，本项目劳动定员</w:t>
            </w:r>
            <w:r>
              <w:rPr>
                <w:rFonts w:hint="eastAsia"/>
                <w:color w:val="auto"/>
                <w:sz w:val="24"/>
              </w:rPr>
              <w:t>100</w:t>
            </w:r>
            <w:r>
              <w:rPr>
                <w:color w:val="auto"/>
                <w:sz w:val="24"/>
              </w:rPr>
              <w:t>人，</w:t>
            </w:r>
            <w:r>
              <w:rPr>
                <w:rFonts w:hint="eastAsia"/>
                <w:color w:val="auto"/>
                <w:sz w:val="24"/>
              </w:rPr>
              <w:t>均</w:t>
            </w:r>
            <w:r>
              <w:rPr>
                <w:color w:val="auto"/>
                <w:sz w:val="24"/>
              </w:rPr>
              <w:t>在厂区内食宿。每天</w:t>
            </w:r>
            <w:r>
              <w:rPr>
                <w:rFonts w:hint="eastAsia"/>
                <w:color w:val="auto"/>
                <w:sz w:val="24"/>
              </w:rPr>
              <w:t>一</w:t>
            </w:r>
            <w:r>
              <w:rPr>
                <w:color w:val="auto"/>
                <w:sz w:val="24"/>
              </w:rPr>
              <w:t>班制，每班8小时，年工作</w:t>
            </w:r>
            <w:r>
              <w:rPr>
                <w:rFonts w:hint="eastAsia"/>
                <w:color w:val="auto"/>
                <w:sz w:val="24"/>
              </w:rPr>
              <w:t>300</w:t>
            </w:r>
            <w:r>
              <w:rPr>
                <w:color w:val="auto"/>
                <w:sz w:val="24"/>
              </w:rPr>
              <w:t>天。</w:t>
            </w:r>
          </w:p>
          <w:p>
            <w:pPr>
              <w:adjustRightInd w:val="0"/>
              <w:snapToGrid w:val="0"/>
              <w:spacing w:line="360" w:lineRule="auto"/>
              <w:ind w:firstLine="420" w:firstLineChars="200"/>
              <w:jc w:val="left"/>
              <w:rPr>
                <w:color w:val="auto"/>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35" w:type="dxa"/>
            <w:vAlign w:val="center"/>
          </w:tcPr>
          <w:p>
            <w:pPr>
              <w:pStyle w:val="23"/>
              <w:adjustRightInd w:val="0"/>
              <w:snapToGrid w:val="0"/>
              <w:spacing w:before="0" w:beforeAutospacing="0" w:after="0" w:afterAutospacing="0"/>
              <w:jc w:val="center"/>
              <w:rPr>
                <w:rFonts w:ascii="Times New Roman" w:hAnsi="Times New Roman"/>
                <w:color w:val="auto"/>
                <w:sz w:val="21"/>
                <w:szCs w:val="21"/>
              </w:rPr>
            </w:pPr>
            <w:r>
              <w:rPr>
                <w:rFonts w:ascii="Times New Roman" w:hAnsi="Times New Roman"/>
                <w:color w:val="auto"/>
                <w:szCs w:val="24"/>
              </w:rPr>
              <w:t>工艺流程和产排污环节</w:t>
            </w:r>
          </w:p>
        </w:tc>
        <w:tc>
          <w:tcPr>
            <w:tcW w:w="8325" w:type="dxa"/>
          </w:tcPr>
          <w:p>
            <w:pPr>
              <w:snapToGrid w:val="0"/>
              <w:spacing w:before="120" w:beforeLines="50" w:line="360" w:lineRule="auto"/>
              <w:ind w:firstLine="482" w:firstLineChars="200"/>
              <w:rPr>
                <w:rFonts w:hint="default" w:ascii="Times New Roman" w:hAnsi="Times New Roman" w:eastAsia="宋体" w:cs="Times New Roman"/>
                <w:b/>
                <w:bCs/>
                <w:color w:val="auto"/>
                <w:kern w:val="0"/>
                <w:sz w:val="24"/>
                <w:lang w:val="en-US" w:eastAsia="zh-CN"/>
              </w:rPr>
            </w:pPr>
            <w:r>
              <w:rPr>
                <w:rFonts w:hint="eastAsia" w:ascii="Times New Roman" w:hAnsi="Times New Roman" w:eastAsia="宋体" w:cs="Times New Roman"/>
                <w:b/>
                <w:bCs/>
                <w:color w:val="auto"/>
                <w:kern w:val="0"/>
                <w:sz w:val="24"/>
                <w:lang w:val="en-US" w:eastAsia="zh-CN"/>
              </w:rPr>
              <w:t>一、施工期工艺流程</w:t>
            </w:r>
          </w:p>
          <w:p>
            <w:pPr>
              <w:snapToGrid w:val="0"/>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本项目构筑物的施工包括厂区土建施工、主体工程施工、装修工程、设备安装等过程，其生产工艺流程及产污环节见图</w:t>
            </w:r>
            <w:r>
              <w:rPr>
                <w:rFonts w:ascii="Times New Roman" w:hAnsi="Times New Roman" w:eastAsia="宋体" w:cs="Times New Roman"/>
                <w:color w:val="auto"/>
                <w:kern w:val="0"/>
                <w:sz w:val="24"/>
              </w:rPr>
              <w:t>2-</w:t>
            </w:r>
            <w:r>
              <w:rPr>
                <w:rFonts w:hint="eastAsia" w:ascii="Times New Roman" w:hAnsi="Times New Roman" w:eastAsia="宋体" w:cs="Times New Roman"/>
                <w:color w:val="auto"/>
                <w:kern w:val="0"/>
                <w:sz w:val="24"/>
                <w:lang w:val="en-US" w:eastAsia="zh-CN"/>
              </w:rPr>
              <w:t>2</w:t>
            </w:r>
            <w:r>
              <w:rPr>
                <w:rFonts w:hint="eastAsia" w:ascii="Times New Roman" w:hAnsi="Times New Roman" w:eastAsia="宋体" w:cs="Times New Roman"/>
                <w:color w:val="auto"/>
                <w:kern w:val="0"/>
                <w:sz w:val="24"/>
              </w:rPr>
              <w:t>所示：</w:t>
            </w:r>
          </w:p>
          <w:p>
            <w:pPr>
              <w:adjustRightInd w:val="0"/>
              <w:snapToGrid w:val="0"/>
              <w:spacing w:before="120" w:beforeLines="50" w:line="360" w:lineRule="auto"/>
              <w:ind w:firstLine="0" w:firstLineChars="0"/>
              <w:jc w:val="center"/>
              <w:rPr>
                <w:rFonts w:hint="eastAsia" w:ascii="Times New Roman" w:hAnsi="Times New Roman" w:eastAsia="宋体" w:cs="Times New Roman"/>
                <w:color w:val="auto"/>
                <w:kern w:val="0"/>
                <w:sz w:val="21"/>
                <w:szCs w:val="21"/>
                <w:lang w:eastAsia="zh-CN"/>
              </w:rPr>
            </w:pPr>
            <w:r>
              <w:rPr>
                <w:rFonts w:hint="eastAsia" w:ascii="Times New Roman" w:hAnsi="Times New Roman" w:eastAsia="宋体" w:cs="Times New Roman"/>
                <w:color w:val="auto"/>
                <w:kern w:val="0"/>
                <w:sz w:val="21"/>
                <w:szCs w:val="21"/>
                <w:lang w:eastAsia="zh-CN"/>
              </w:rPr>
              <w:drawing>
                <wp:inline distT="0" distB="0" distL="114300" distR="114300">
                  <wp:extent cx="5148580" cy="1908810"/>
                  <wp:effectExtent l="0" t="0" r="2540" b="11430"/>
                  <wp:docPr id="34" name="图片 34"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图片1"/>
                          <pic:cNvPicPr>
                            <a:picLocks noChangeAspect="1"/>
                          </pic:cNvPicPr>
                        </pic:nvPicPr>
                        <pic:blipFill>
                          <a:blip r:embed="rId13"/>
                          <a:stretch>
                            <a:fillRect/>
                          </a:stretch>
                        </pic:blipFill>
                        <pic:spPr>
                          <a:xfrm>
                            <a:off x="0" y="0"/>
                            <a:ext cx="5148580" cy="1908810"/>
                          </a:xfrm>
                          <a:prstGeom prst="rect">
                            <a:avLst/>
                          </a:prstGeom>
                        </pic:spPr>
                      </pic:pic>
                    </a:graphicData>
                  </a:graphic>
                </wp:inline>
              </w:drawing>
            </w:r>
          </w:p>
          <w:p>
            <w:pPr>
              <w:spacing w:before="120" w:beforeLines="50" w:line="360" w:lineRule="auto"/>
              <w:ind w:firstLine="0" w:firstLineChars="0"/>
              <w:jc w:val="center"/>
              <w:rPr>
                <w:rFonts w:ascii="Times New Roman" w:hAnsi="Times New Roman" w:eastAsia="宋体" w:cs="Times New Roman"/>
                <w:b/>
                <w:color w:val="auto"/>
                <w:kern w:val="28"/>
                <w:sz w:val="24"/>
                <w:szCs w:val="40"/>
              </w:rPr>
            </w:pPr>
            <w:r>
              <w:rPr>
                <w:rFonts w:ascii="Times New Roman" w:hAnsi="Times New Roman" w:eastAsia="宋体" w:cs="Times New Roman"/>
                <w:b/>
                <w:color w:val="auto"/>
                <w:kern w:val="28"/>
                <w:sz w:val="24"/>
                <w:szCs w:val="40"/>
              </w:rPr>
              <w:t>图2-</w:t>
            </w:r>
            <w:r>
              <w:rPr>
                <w:rFonts w:hint="eastAsia" w:ascii="Times New Roman" w:hAnsi="Times New Roman" w:eastAsia="宋体" w:cs="Times New Roman"/>
                <w:b/>
                <w:color w:val="auto"/>
                <w:kern w:val="28"/>
                <w:sz w:val="24"/>
                <w:szCs w:val="40"/>
                <w:lang w:val="en-US" w:eastAsia="zh-CN"/>
              </w:rPr>
              <w:t>2</w:t>
            </w:r>
            <w:r>
              <w:rPr>
                <w:rFonts w:ascii="Times New Roman" w:hAnsi="Times New Roman" w:eastAsia="宋体" w:cs="Times New Roman"/>
                <w:b/>
                <w:color w:val="auto"/>
                <w:kern w:val="28"/>
                <w:sz w:val="24"/>
                <w:szCs w:val="40"/>
              </w:rPr>
              <w:t xml:space="preserve"> 施工期工艺流程及产污节点图</w:t>
            </w:r>
          </w:p>
          <w:p>
            <w:pPr>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施工期工艺流程简述：</w:t>
            </w:r>
          </w:p>
          <w:p>
            <w:pPr>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w:t>
            </w:r>
            <w:r>
              <w:rPr>
                <w:rFonts w:ascii="Times New Roman" w:hAnsi="Times New Roman" w:eastAsia="宋体" w:cs="Times New Roman"/>
                <w:color w:val="auto"/>
                <w:kern w:val="0"/>
                <w:sz w:val="24"/>
              </w:rPr>
              <w:t>1</w:t>
            </w:r>
            <w:r>
              <w:rPr>
                <w:rFonts w:hint="eastAsia" w:ascii="Times New Roman" w:hAnsi="Times New Roman" w:eastAsia="宋体" w:cs="Times New Roman"/>
                <w:color w:val="auto"/>
                <w:kern w:val="0"/>
                <w:sz w:val="24"/>
              </w:rPr>
              <w:t>）土建施工</w:t>
            </w:r>
          </w:p>
          <w:p>
            <w:pPr>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根据现场踏勘，项目选址场地处于空闲状态，有杂草、林木等，施工期先场地清理，对场地进行整理，清除地表附着物，平整地皮，根据现场勘探后的规划、施工图纸进行厂区地基、供排水管网、防渗等基础建设。</w:t>
            </w:r>
          </w:p>
          <w:p>
            <w:pPr>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w:t>
            </w:r>
            <w:r>
              <w:rPr>
                <w:rFonts w:ascii="Times New Roman" w:hAnsi="Times New Roman" w:eastAsia="宋体" w:cs="Times New Roman"/>
                <w:color w:val="auto"/>
                <w:kern w:val="0"/>
                <w:sz w:val="24"/>
              </w:rPr>
              <w:t>2</w:t>
            </w:r>
            <w:r>
              <w:rPr>
                <w:rFonts w:hint="eastAsia" w:ascii="Times New Roman" w:hAnsi="Times New Roman" w:eastAsia="宋体" w:cs="Times New Roman"/>
                <w:color w:val="auto"/>
                <w:kern w:val="0"/>
                <w:sz w:val="24"/>
              </w:rPr>
              <w:t>）主体施工</w:t>
            </w:r>
          </w:p>
          <w:p>
            <w:pPr>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项目主体工程建筑物厂房等为框架结构，该结构施工快，成本较低，污染影响小。在厂区地基基础完成后进行本项目各个建筑物施工，包括砌体工程、钢结构工程两个类型。</w:t>
            </w:r>
          </w:p>
          <w:p>
            <w:pPr>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w:t>
            </w:r>
            <w:r>
              <w:rPr>
                <w:rFonts w:ascii="Times New Roman" w:hAnsi="Times New Roman" w:eastAsia="宋体" w:cs="Times New Roman"/>
                <w:color w:val="auto"/>
                <w:kern w:val="0"/>
                <w:sz w:val="24"/>
              </w:rPr>
              <w:t>3</w:t>
            </w:r>
            <w:r>
              <w:rPr>
                <w:rFonts w:hint="eastAsia" w:ascii="Times New Roman" w:hAnsi="Times New Roman" w:eastAsia="宋体" w:cs="Times New Roman"/>
                <w:color w:val="auto"/>
                <w:kern w:val="0"/>
                <w:sz w:val="24"/>
              </w:rPr>
              <w:t>）装修工程</w:t>
            </w:r>
          </w:p>
          <w:p>
            <w:pPr>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在项目各建筑物完成施工建设后，根据规划图纸进行内部及外部相应施工，包括抹灰工程、门窗工程、吊顶工程、涂刷工程、饰面安装工程、细部工程等。可保护建筑物各种构件免受自然侵蚀，改善隔热、隔声、防潮功能，提高建筑物的耐久性，延长建筑物的使用寿命。</w:t>
            </w:r>
          </w:p>
          <w:p>
            <w:pPr>
              <w:spacing w:before="120" w:beforeLines="50" w:line="360" w:lineRule="auto"/>
              <w:ind w:firstLine="480" w:firstLineChars="200"/>
              <w:rPr>
                <w:rFonts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w:t>
            </w:r>
            <w:r>
              <w:rPr>
                <w:rFonts w:ascii="Times New Roman" w:hAnsi="Times New Roman" w:eastAsia="宋体" w:cs="Times New Roman"/>
                <w:color w:val="auto"/>
                <w:kern w:val="0"/>
                <w:sz w:val="24"/>
              </w:rPr>
              <w:t>4</w:t>
            </w:r>
            <w:r>
              <w:rPr>
                <w:rFonts w:hint="eastAsia" w:ascii="Times New Roman" w:hAnsi="Times New Roman" w:eastAsia="宋体" w:cs="Times New Roman"/>
                <w:color w:val="auto"/>
                <w:kern w:val="0"/>
                <w:sz w:val="24"/>
              </w:rPr>
              <w:t>）设备安装与调试</w:t>
            </w:r>
          </w:p>
          <w:p>
            <w:pPr>
              <w:pStyle w:val="43"/>
              <w:spacing w:line="360" w:lineRule="auto"/>
              <w:ind w:firstLine="476"/>
              <w:rPr>
                <w:rFonts w:hint="eastAsia" w:ascii="Times New Roman" w:hAnsi="Times New Roman" w:eastAsia="宋体" w:cs="Times New Roman"/>
                <w:color w:val="auto"/>
                <w:kern w:val="0"/>
                <w:sz w:val="24"/>
              </w:rPr>
            </w:pPr>
            <w:r>
              <w:rPr>
                <w:rFonts w:hint="eastAsia" w:ascii="Times New Roman" w:hAnsi="Times New Roman" w:eastAsia="宋体" w:cs="Times New Roman"/>
                <w:color w:val="auto"/>
                <w:kern w:val="0"/>
                <w:sz w:val="24"/>
              </w:rPr>
              <w:t>建筑施工完成后，进行设备安装与调试，将相关设施按照设计要求安装在规定的位置，如放血自动线、扯皮机等，设备安装完成后进行调试工作，待设备调试正常后</w:t>
            </w:r>
            <w:r>
              <w:rPr>
                <w:rFonts w:hint="eastAsia" w:ascii="Times New Roman" w:hAnsi="Times New Roman" w:eastAsia="宋体" w:cs="Times New Roman"/>
                <w:color w:val="auto"/>
                <w:kern w:val="0"/>
                <w:sz w:val="24"/>
                <w:lang w:val="en-US" w:eastAsia="zh-CN"/>
              </w:rPr>
              <w:t>投入使用</w:t>
            </w:r>
            <w:r>
              <w:rPr>
                <w:rFonts w:hint="eastAsia" w:ascii="Times New Roman" w:hAnsi="Times New Roman" w:eastAsia="宋体" w:cs="Times New Roman"/>
                <w:color w:val="auto"/>
                <w:kern w:val="0"/>
                <w:sz w:val="24"/>
              </w:rPr>
              <w:t>。</w:t>
            </w:r>
          </w:p>
          <w:p>
            <w:pPr>
              <w:pStyle w:val="43"/>
              <w:spacing w:line="360" w:lineRule="auto"/>
              <w:ind w:firstLine="476"/>
              <w:rPr>
                <w:rFonts w:hint="eastAsia"/>
                <w:b/>
                <w:bCs/>
                <w:color w:val="auto"/>
                <w:sz w:val="24"/>
                <w:szCs w:val="18"/>
              </w:rPr>
            </w:pPr>
            <w:r>
              <w:rPr>
                <w:rFonts w:hint="eastAsia"/>
                <w:b/>
                <w:bCs/>
                <w:color w:val="auto"/>
                <w:sz w:val="24"/>
                <w:szCs w:val="18"/>
                <w:lang w:val="en-US" w:eastAsia="zh-CN"/>
              </w:rPr>
              <w:t>二</w:t>
            </w:r>
            <w:r>
              <w:rPr>
                <w:rFonts w:hint="eastAsia"/>
                <w:b/>
                <w:bCs/>
                <w:color w:val="auto"/>
                <w:sz w:val="24"/>
                <w:szCs w:val="18"/>
              </w:rPr>
              <w:t>、项目生产工艺流程</w:t>
            </w:r>
          </w:p>
          <w:p>
            <w:pPr>
              <w:pStyle w:val="43"/>
              <w:spacing w:line="360" w:lineRule="auto"/>
              <w:ind w:firstLine="476"/>
              <w:rPr>
                <w:b/>
                <w:bCs/>
                <w:color w:val="auto"/>
                <w:sz w:val="24"/>
                <w:szCs w:val="24"/>
              </w:rPr>
            </w:pPr>
            <w:r>
              <w:rPr>
                <w:rFonts w:ascii="宋体" w:hAnsi="宋体"/>
                <w:color w:val="auto"/>
                <w:spacing w:val="-1"/>
                <w:sz w:val="24"/>
                <w:szCs w:val="24"/>
              </w:rPr>
              <w:t>灯串生产工</w:t>
            </w:r>
            <w:r>
              <w:rPr>
                <w:rFonts w:ascii="宋体" w:hAnsi="宋体"/>
                <w:color w:val="auto"/>
                <w:sz w:val="24"/>
                <w:szCs w:val="24"/>
              </w:rPr>
              <w:t>艺流程：</w:t>
            </w:r>
          </w:p>
          <w:p>
            <w:pPr>
              <w:pStyle w:val="13"/>
              <w:spacing w:line="360" w:lineRule="auto"/>
              <w:jc w:val="center"/>
              <w:rPr>
                <w:rFonts w:ascii="Times New Roman" w:hAnsi="Times New Roman" w:cs="Times New Roman"/>
                <w:color w:val="auto"/>
                <w:sz w:val="24"/>
                <w:szCs w:val="24"/>
              </w:rPr>
            </w:pPr>
            <w:r>
              <w:rPr>
                <w:rFonts w:ascii="Times New Roman" w:hAnsi="Times New Roman" w:cs="Times New Roman"/>
                <w:color w:val="auto"/>
                <w:sz w:val="24"/>
                <w:szCs w:val="24"/>
              </w:rPr>
              <w:drawing>
                <wp:inline distT="0" distB="0" distL="114300" distR="114300">
                  <wp:extent cx="5148580" cy="5548630"/>
                  <wp:effectExtent l="0" t="0" r="13970" b="13970"/>
                  <wp:docPr id="1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pic:cNvPicPr>
                            <a:picLocks noChangeAspect="1"/>
                          </pic:cNvPicPr>
                        </pic:nvPicPr>
                        <pic:blipFill>
                          <a:blip r:embed="rId14"/>
                          <a:stretch>
                            <a:fillRect/>
                          </a:stretch>
                        </pic:blipFill>
                        <pic:spPr>
                          <a:xfrm>
                            <a:off x="0" y="0"/>
                            <a:ext cx="5148580" cy="5548630"/>
                          </a:xfrm>
                          <a:prstGeom prst="rect">
                            <a:avLst/>
                          </a:prstGeom>
                          <a:noFill/>
                          <a:ln>
                            <a:noFill/>
                          </a:ln>
                        </pic:spPr>
                      </pic:pic>
                    </a:graphicData>
                  </a:graphic>
                </wp:inline>
              </w:drawing>
            </w:r>
          </w:p>
          <w:p>
            <w:pPr>
              <w:pStyle w:val="13"/>
              <w:spacing w:line="360" w:lineRule="auto"/>
              <w:jc w:val="center"/>
              <w:rPr>
                <w:rFonts w:ascii="Times New Roman" w:hAnsi="Times New Roman" w:cs="Times New Roman"/>
                <w:color w:val="auto"/>
                <w:sz w:val="24"/>
                <w:szCs w:val="24"/>
              </w:rPr>
            </w:pPr>
            <w:r>
              <w:rPr>
                <w:rFonts w:hint="eastAsia" w:ascii="Times New Roman" w:hAnsi="Times New Roman" w:cs="Times New Roman"/>
                <w:b/>
                <w:bCs/>
                <w:color w:val="auto"/>
                <w:sz w:val="24"/>
                <w:szCs w:val="24"/>
              </w:rPr>
              <w:t>图</w:t>
            </w:r>
            <w:r>
              <w:rPr>
                <w:rFonts w:hint="eastAsia" w:ascii="Times New Roman" w:hAnsi="Times New Roman" w:cs="Times New Roman"/>
                <w:b/>
                <w:bCs/>
                <w:color w:val="auto"/>
                <w:sz w:val="24"/>
                <w:szCs w:val="24"/>
                <w:lang w:val="en-US" w:eastAsia="zh-CN"/>
              </w:rPr>
              <w:t>2-3</w:t>
            </w:r>
            <w:r>
              <w:rPr>
                <w:rFonts w:hint="eastAsia" w:ascii="Times New Roman" w:hAnsi="Times New Roman" w:cs="Times New Roman"/>
                <w:b/>
                <w:bCs/>
                <w:color w:val="auto"/>
                <w:sz w:val="24"/>
                <w:szCs w:val="24"/>
              </w:rPr>
              <w:t xml:space="preserve"> 项目灯串生产工艺流程及产污节点图</w:t>
            </w:r>
          </w:p>
          <w:p>
            <w:pPr>
              <w:pStyle w:val="13"/>
              <w:spacing w:line="360" w:lineRule="auto"/>
              <w:ind w:firstLine="460" w:firstLineChars="200"/>
              <w:rPr>
                <w:rFonts w:ascii="Times New Roman" w:hAnsi="Times New Roman" w:cs="Times New Roman"/>
                <w:color w:val="auto"/>
                <w:sz w:val="24"/>
                <w:szCs w:val="24"/>
              </w:rPr>
            </w:pPr>
            <w:r>
              <w:rPr>
                <w:rFonts w:hAnsi="宋体" w:cs="宋体"/>
                <w:color w:val="auto"/>
                <w:spacing w:val="-5"/>
                <w:sz w:val="24"/>
                <w:szCs w:val="24"/>
              </w:rPr>
              <w:t>灯</w:t>
            </w:r>
            <w:r>
              <w:rPr>
                <w:rFonts w:hAnsi="宋体" w:cs="宋体"/>
                <w:color w:val="auto"/>
                <w:spacing w:val="-3"/>
                <w:sz w:val="24"/>
                <w:szCs w:val="24"/>
              </w:rPr>
              <w:t>串返修工艺流程：</w:t>
            </w:r>
          </w:p>
          <w:p>
            <w:pPr>
              <w:pStyle w:val="13"/>
              <w:spacing w:line="360" w:lineRule="auto"/>
              <w:jc w:val="center"/>
              <w:rPr>
                <w:rFonts w:ascii="Times New Roman" w:hAnsi="Times New Roman" w:cs="Times New Roman"/>
                <w:color w:val="auto"/>
                <w:sz w:val="24"/>
                <w:szCs w:val="24"/>
              </w:rPr>
            </w:pPr>
            <w:r>
              <w:rPr>
                <w:color w:val="auto"/>
              </w:rPr>
              <w:drawing>
                <wp:inline distT="0" distB="0" distL="114300" distR="114300">
                  <wp:extent cx="4112260" cy="871855"/>
                  <wp:effectExtent l="0" t="0" r="2540" b="12065"/>
                  <wp:docPr id="12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6"/>
                          <pic:cNvPicPr>
                            <a:picLocks noChangeAspect="1"/>
                          </pic:cNvPicPr>
                        </pic:nvPicPr>
                        <pic:blipFill>
                          <a:blip r:embed="rId15"/>
                          <a:stretch>
                            <a:fillRect/>
                          </a:stretch>
                        </pic:blipFill>
                        <pic:spPr>
                          <a:xfrm>
                            <a:off x="0" y="0"/>
                            <a:ext cx="4112260" cy="871855"/>
                          </a:xfrm>
                          <a:prstGeom prst="rect">
                            <a:avLst/>
                          </a:prstGeom>
                          <a:noFill/>
                          <a:ln>
                            <a:noFill/>
                          </a:ln>
                        </pic:spPr>
                      </pic:pic>
                    </a:graphicData>
                  </a:graphic>
                </wp:inline>
              </w:drawing>
            </w:r>
          </w:p>
          <w:p>
            <w:pPr>
              <w:pStyle w:val="13"/>
              <w:spacing w:line="360" w:lineRule="auto"/>
              <w:jc w:val="center"/>
              <w:rPr>
                <w:rFonts w:ascii="Times New Roman" w:hAnsi="Times New Roman" w:cs="Times New Roman"/>
                <w:color w:val="auto"/>
                <w:sz w:val="24"/>
                <w:szCs w:val="24"/>
              </w:rPr>
            </w:pPr>
            <w:r>
              <w:rPr>
                <w:rFonts w:hint="eastAsia" w:ascii="Times New Roman" w:hAnsi="Times New Roman" w:cs="Times New Roman"/>
                <w:b/>
                <w:bCs/>
                <w:color w:val="auto"/>
                <w:sz w:val="24"/>
                <w:szCs w:val="24"/>
              </w:rPr>
              <w:t>图</w:t>
            </w:r>
            <w:r>
              <w:rPr>
                <w:rFonts w:hint="eastAsia" w:ascii="Times New Roman" w:hAnsi="Times New Roman" w:cs="Times New Roman"/>
                <w:b/>
                <w:bCs/>
                <w:color w:val="auto"/>
                <w:sz w:val="24"/>
                <w:szCs w:val="24"/>
                <w:lang w:val="en-US" w:eastAsia="zh-CN"/>
              </w:rPr>
              <w:t>2-4</w:t>
            </w:r>
            <w:r>
              <w:rPr>
                <w:rFonts w:hint="eastAsia" w:ascii="Times New Roman" w:hAnsi="Times New Roman" w:cs="Times New Roman"/>
                <w:b/>
                <w:bCs/>
                <w:color w:val="auto"/>
                <w:sz w:val="24"/>
                <w:szCs w:val="24"/>
              </w:rPr>
              <w:t xml:space="preserve"> 项目返修生产工艺流程及产污节点图</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污染物标识符号：</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噪声：N生产噪声；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废气：G</w:t>
            </w:r>
            <w:r>
              <w:rPr>
                <w:rFonts w:ascii="Times New Roman" w:hAnsi="Times New Roman" w:cs="Times New Roman"/>
                <w:color w:val="auto"/>
                <w:sz w:val="24"/>
                <w:szCs w:val="24"/>
                <w:vertAlign w:val="subscript"/>
              </w:rPr>
              <w:t>1</w:t>
            </w:r>
            <w:r>
              <w:rPr>
                <w:rFonts w:ascii="Times New Roman" w:hAnsi="Times New Roman" w:cs="Times New Roman"/>
                <w:color w:val="auto"/>
                <w:sz w:val="24"/>
                <w:szCs w:val="24"/>
              </w:rPr>
              <w:t>有机废气；G</w:t>
            </w:r>
            <w:r>
              <w:rPr>
                <w:rFonts w:ascii="Times New Roman" w:hAnsi="Times New Roman" w:cs="Times New Roman"/>
                <w:color w:val="auto"/>
                <w:sz w:val="24"/>
                <w:szCs w:val="24"/>
                <w:vertAlign w:val="subscript"/>
              </w:rPr>
              <w:t>2</w:t>
            </w:r>
            <w:r>
              <w:rPr>
                <w:rFonts w:ascii="Times New Roman" w:hAnsi="Times New Roman" w:cs="Times New Roman"/>
                <w:color w:val="auto"/>
                <w:sz w:val="24"/>
                <w:szCs w:val="24"/>
              </w:rPr>
              <w:t>粉尘；G</w:t>
            </w:r>
            <w:r>
              <w:rPr>
                <w:rFonts w:ascii="Times New Roman" w:hAnsi="Times New Roman" w:cs="Times New Roman"/>
                <w:color w:val="auto"/>
                <w:sz w:val="24"/>
                <w:szCs w:val="24"/>
                <w:vertAlign w:val="subscript"/>
              </w:rPr>
              <w:t>3</w:t>
            </w:r>
            <w:r>
              <w:rPr>
                <w:rFonts w:ascii="Times New Roman" w:hAnsi="Times New Roman" w:cs="Times New Roman"/>
                <w:color w:val="auto"/>
                <w:sz w:val="24"/>
                <w:szCs w:val="24"/>
              </w:rPr>
              <w:t>焊锡废气</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固废：S</w:t>
            </w:r>
            <w:r>
              <w:rPr>
                <w:rFonts w:ascii="Times New Roman" w:hAnsi="Times New Roman" w:cs="Times New Roman"/>
                <w:color w:val="auto"/>
                <w:sz w:val="24"/>
                <w:szCs w:val="24"/>
                <w:vertAlign w:val="subscript"/>
              </w:rPr>
              <w:t>1</w:t>
            </w:r>
            <w:r>
              <w:rPr>
                <w:rFonts w:ascii="Times New Roman" w:hAnsi="Times New Roman" w:cs="Times New Roman"/>
                <w:color w:val="auto"/>
                <w:sz w:val="24"/>
                <w:szCs w:val="24"/>
              </w:rPr>
              <w:t>电线边角料、铜带边角料，S</w:t>
            </w:r>
            <w:r>
              <w:rPr>
                <w:rFonts w:ascii="Times New Roman" w:hAnsi="Times New Roman" w:cs="Times New Roman"/>
                <w:color w:val="auto"/>
                <w:sz w:val="24"/>
                <w:szCs w:val="24"/>
                <w:vertAlign w:val="subscript"/>
              </w:rPr>
              <w:t>2</w:t>
            </w:r>
            <w:r>
              <w:rPr>
                <w:rFonts w:ascii="Times New Roman" w:hAnsi="Times New Roman" w:cs="Times New Roman"/>
                <w:color w:val="auto"/>
                <w:sz w:val="24"/>
                <w:szCs w:val="24"/>
              </w:rPr>
              <w:t>塑胶边角料，S</w:t>
            </w:r>
            <w:r>
              <w:rPr>
                <w:rFonts w:ascii="Times New Roman" w:hAnsi="Times New Roman" w:cs="Times New Roman"/>
                <w:color w:val="auto"/>
                <w:sz w:val="24"/>
                <w:szCs w:val="24"/>
                <w:vertAlign w:val="subscript"/>
              </w:rPr>
              <w:t>3</w:t>
            </w:r>
            <w:r>
              <w:rPr>
                <w:rFonts w:ascii="Times New Roman" w:hAnsi="Times New Roman" w:cs="Times New Roman"/>
                <w:color w:val="auto"/>
                <w:sz w:val="24"/>
                <w:szCs w:val="24"/>
              </w:rPr>
              <w:t>废锡渣。</w:t>
            </w:r>
          </w:p>
          <w:p>
            <w:pPr>
              <w:pStyle w:val="13"/>
              <w:spacing w:line="360" w:lineRule="auto"/>
              <w:ind w:firstLine="482" w:firstLineChars="200"/>
              <w:rPr>
                <w:rFonts w:hint="eastAsia" w:ascii="Times New Roman" w:hAnsi="Times New Roman" w:eastAsia="宋体" w:cs="Times New Roman"/>
                <w:b/>
                <w:bCs/>
                <w:color w:val="auto"/>
                <w:sz w:val="24"/>
                <w:szCs w:val="24"/>
                <w:lang w:eastAsia="zh-CN"/>
              </w:rPr>
            </w:pPr>
            <w:r>
              <w:rPr>
                <w:rFonts w:ascii="Times New Roman" w:hAnsi="Times New Roman" w:cs="Times New Roman"/>
                <w:b/>
                <w:bCs/>
                <w:color w:val="auto"/>
                <w:sz w:val="24"/>
                <w:szCs w:val="24"/>
              </w:rPr>
              <w:t>生产工艺流程说明</w:t>
            </w:r>
            <w:r>
              <w:rPr>
                <w:rFonts w:hint="eastAsia" w:ascii="Times New Roman" w:hAnsi="Times New Roman" w:cs="Times New Roman"/>
                <w:b/>
                <w:bCs/>
                <w:color w:val="auto"/>
                <w:sz w:val="24"/>
                <w:szCs w:val="24"/>
                <w:lang w:eastAsia="zh-CN"/>
              </w:rPr>
              <w:t>：</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项目灯串生产工艺流程简述：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绞线：项目将若干铜线通过绞铜机按照一定的方向和一定的规则绞合在一起，成为一个整体的绞合铜线芯，此过程产生生产噪声。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挤出：项目将绞合铜线芯与塑胶新粒经电线</w:t>
            </w:r>
            <w:r>
              <w:rPr>
                <w:rFonts w:hint="eastAsia" w:ascii="Times New Roman" w:hAnsi="Times New Roman" w:cs="Times New Roman"/>
                <w:color w:val="auto"/>
                <w:sz w:val="24"/>
                <w:szCs w:val="24"/>
              </w:rPr>
              <w:t>压出</w:t>
            </w:r>
            <w:r>
              <w:rPr>
                <w:rFonts w:ascii="Times New Roman" w:hAnsi="Times New Roman" w:cs="Times New Roman"/>
                <w:color w:val="auto"/>
                <w:sz w:val="24"/>
                <w:szCs w:val="24"/>
              </w:rPr>
              <w:t>机进行挤出，得到带绝缘塑料的电线，此过程产生少量有机废气、塑胶边角料和生产噪声。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切线：项目根据产品所需长度，将电线使用切线机进行切线。该工序产生边角料、噪声。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剥线：将切好的电线使用剥线机对电线两端进行剥线，剥掉少量电线外皮，使芯线外露。该工序产生边角料、噪声。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打端子：将剥好线的电线与铜片使用打端子机进行打端子，打上铜片、即为端子。该工序产生噪声。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人工装头插、尾插：经人工装上头插外壳、尾插外壳、头插内架、尾插内架、保险丝。</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注塑成型</w:t>
            </w:r>
            <w:r>
              <w:rPr>
                <w:rFonts w:hint="eastAsia" w:ascii="Times New Roman" w:hAnsi="Times New Roman" w:cs="Times New Roman"/>
                <w:color w:val="auto"/>
                <w:sz w:val="24"/>
                <w:szCs w:val="24"/>
                <w:lang w:eastAsia="zh-CN"/>
              </w:rPr>
              <w:t>（</w:t>
            </w:r>
            <w:r>
              <w:rPr>
                <w:rFonts w:ascii="Times New Roman" w:hAnsi="Times New Roman" w:cs="Times New Roman"/>
                <w:color w:val="auto"/>
                <w:sz w:val="24"/>
                <w:szCs w:val="24"/>
              </w:rPr>
              <w:t>灯头半成品</w:t>
            </w:r>
            <w:r>
              <w:rPr>
                <w:rFonts w:hint="eastAsia" w:ascii="Times New Roman" w:hAnsi="Times New Roman" w:cs="Times New Roman"/>
                <w:color w:val="auto"/>
                <w:sz w:val="24"/>
                <w:szCs w:val="24"/>
                <w:lang w:eastAsia="zh-CN"/>
              </w:rPr>
              <w:t>）</w:t>
            </w:r>
            <w:r>
              <w:rPr>
                <w:rFonts w:ascii="Times New Roman" w:hAnsi="Times New Roman" w:cs="Times New Roman"/>
                <w:color w:val="auto"/>
                <w:sz w:val="24"/>
                <w:szCs w:val="24"/>
              </w:rPr>
              <w:t>：外购的塑胶粒、铜头使用注塑机进行注塑成型，将塑胶料熔融后压出包在铜头外围，即成灯头；再经人工在加工好的电线上装上灯头，注塑温度约为150℃，低于塑胶原料分解温度，故不会产生苯乙烯、丙烯腈、丁二烯、甲苯、乙苯等污染因子，注塑成型工序产生有机废气</w:t>
            </w:r>
            <w:r>
              <w:rPr>
                <w:rFonts w:hint="eastAsia" w:ascii="Times New Roman" w:hAnsi="Times New Roman" w:cs="Times New Roman"/>
                <w:color w:val="auto"/>
                <w:sz w:val="24"/>
                <w:szCs w:val="24"/>
                <w:lang w:eastAsia="zh-CN"/>
              </w:rPr>
              <w:t>、</w:t>
            </w:r>
            <w:r>
              <w:rPr>
                <w:rFonts w:ascii="Times New Roman" w:hAnsi="Times New Roman" w:cs="Times New Roman"/>
                <w:color w:val="auto"/>
                <w:sz w:val="24"/>
                <w:szCs w:val="24"/>
              </w:rPr>
              <w:t>噪声和</w:t>
            </w:r>
            <w:r>
              <w:rPr>
                <w:rFonts w:hint="eastAsia" w:ascii="Times New Roman" w:hAnsi="Times New Roman" w:cs="Times New Roman"/>
                <w:color w:val="auto"/>
                <w:sz w:val="24"/>
                <w:szCs w:val="24"/>
                <w:lang w:val="en-US" w:eastAsia="zh-CN"/>
              </w:rPr>
              <w:t>边角料</w:t>
            </w:r>
            <w:r>
              <w:rPr>
                <w:rFonts w:ascii="Times New Roman" w:hAnsi="Times New Roman" w:cs="Times New Roman"/>
                <w:color w:val="auto"/>
                <w:sz w:val="24"/>
                <w:szCs w:val="24"/>
              </w:rPr>
              <w:t>。</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破碎、混料：注塑成型出来的边角料使用破碎机进行破碎后与原料混料再重新回用生产，破碎、混料工序产生少量粉尘和噪声。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打铜带：装好的灯头使用铜带机在电线与灯头的连接处打上铜带固定。该工序产生噪音。</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人工装T型内架：经人工装上T型内架，把电线与灯头的连接处包住，使电线不外露。</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注塑成型：使用注塑机对装有T型内架的灯头与电线的连接外壳进行注塑成型，使连接处更牢固和美观。注塑温度约为150℃，低于塑胶原料分解温度，故不会产生苯乙烯、丙烯腈、丁二烯、甲苯、乙苯等污染因子，注塑成型工序成型产生有机废气和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压灯头</w:t>
            </w:r>
            <w:r>
              <w:rPr>
                <w:rFonts w:hint="eastAsia" w:ascii="Times New Roman" w:hAnsi="Times New Roman" w:cs="Times New Roman"/>
                <w:color w:val="auto"/>
                <w:sz w:val="24"/>
                <w:szCs w:val="24"/>
              </w:rPr>
              <w:t>：</w:t>
            </w:r>
            <w:r>
              <w:rPr>
                <w:rFonts w:ascii="Times New Roman" w:hAnsi="Times New Roman" w:cs="Times New Roman"/>
                <w:color w:val="auto"/>
                <w:sz w:val="24"/>
                <w:szCs w:val="24"/>
              </w:rPr>
              <w:t>将外购的灯头外壳、灯头面盖使用压灯头机把灯头压进电线里面，完成灯头与电线的连接，该工序会产生噪声。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装灯泡：经人工装上灯泡。</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检验：使用测试仪进行检验，得到的不良品再重新进行返修。</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项目灯串返修工艺流程简述：</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焊锡补修：使用电烙铁对不良品进行焊锡补修，该工序会产生焊锡废气、废锡渣和噪声。</w:t>
            </w:r>
          </w:p>
          <w:p>
            <w:pPr>
              <w:pStyle w:val="13"/>
              <w:spacing w:line="360" w:lineRule="auto"/>
              <w:ind w:firstLine="480" w:firstLineChars="200"/>
              <w:rPr>
                <w:color w:val="auto"/>
              </w:rPr>
            </w:pPr>
            <w:r>
              <w:rPr>
                <w:rFonts w:ascii="Times New Roman" w:hAnsi="Times New Roman" w:cs="Times New Roman"/>
                <w:color w:val="auto"/>
                <w:sz w:val="24"/>
                <w:szCs w:val="24"/>
              </w:rPr>
              <w:t>检验：补修后使用测试仪进行检验。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61" w:hRule="atLeast"/>
          <w:jc w:val="center"/>
        </w:trPr>
        <w:tc>
          <w:tcPr>
            <w:tcW w:w="735" w:type="dxa"/>
            <w:vAlign w:val="center"/>
          </w:tcPr>
          <w:p>
            <w:pPr>
              <w:pStyle w:val="23"/>
              <w:adjustRightInd w:val="0"/>
              <w:snapToGrid w:val="0"/>
              <w:spacing w:before="0" w:beforeAutospacing="0" w:after="0" w:afterAutospacing="0"/>
              <w:jc w:val="center"/>
              <w:rPr>
                <w:rFonts w:ascii="Times New Roman" w:hAnsi="Times New Roman"/>
                <w:color w:val="auto"/>
                <w:sz w:val="21"/>
                <w:szCs w:val="21"/>
              </w:rPr>
            </w:pPr>
            <w:r>
              <w:rPr>
                <w:rFonts w:ascii="Times New Roman" w:hAnsi="Times New Roman"/>
                <w:bCs/>
                <w:color w:val="auto"/>
                <w:kern w:val="2"/>
                <w:szCs w:val="24"/>
              </w:rPr>
              <w:t>与项目有关的原有环境污染问题</w:t>
            </w:r>
          </w:p>
        </w:tc>
        <w:tc>
          <w:tcPr>
            <w:tcW w:w="8325" w:type="dxa"/>
          </w:tcPr>
          <w:p>
            <w:pPr>
              <w:adjustRightInd w:val="0"/>
              <w:snapToGrid w:val="0"/>
              <w:spacing w:before="120" w:beforeLines="50" w:line="360" w:lineRule="auto"/>
              <w:ind w:firstLine="482" w:firstLineChars="200"/>
              <w:rPr>
                <w:color w:val="auto"/>
                <w:sz w:val="24"/>
                <w:szCs w:val="21"/>
              </w:rPr>
            </w:pPr>
            <w:r>
              <w:rPr>
                <w:b/>
                <w:color w:val="auto"/>
                <w:sz w:val="24"/>
                <w:szCs w:val="21"/>
              </w:rPr>
              <w:t>1.</w:t>
            </w:r>
            <w:r>
              <w:rPr>
                <w:b/>
                <w:color w:val="auto"/>
                <w:sz w:val="24"/>
              </w:rPr>
              <w:t>与本项目有关的原有污染情况</w:t>
            </w:r>
          </w:p>
          <w:p>
            <w:pPr>
              <w:adjustRightInd w:val="0"/>
              <w:snapToGrid w:val="0"/>
              <w:spacing w:line="360" w:lineRule="auto"/>
              <w:ind w:firstLine="480" w:firstLineChars="200"/>
              <w:rPr>
                <w:color w:val="auto"/>
                <w:sz w:val="24"/>
                <w:szCs w:val="20"/>
              </w:rPr>
            </w:pPr>
            <w:r>
              <w:rPr>
                <w:color w:val="auto"/>
                <w:sz w:val="24"/>
                <w:szCs w:val="21"/>
              </w:rPr>
              <w:t>本项目属新建项目，无与本项目有关的原有污染情况。</w:t>
            </w:r>
          </w:p>
          <w:p>
            <w:pPr>
              <w:adjustRightInd w:val="0"/>
              <w:snapToGrid w:val="0"/>
              <w:spacing w:line="360" w:lineRule="auto"/>
              <w:ind w:firstLine="482" w:firstLineChars="200"/>
              <w:rPr>
                <w:b/>
                <w:color w:val="auto"/>
                <w:sz w:val="24"/>
                <w:szCs w:val="21"/>
              </w:rPr>
            </w:pPr>
            <w:r>
              <w:rPr>
                <w:b/>
                <w:color w:val="auto"/>
                <w:sz w:val="24"/>
                <w:szCs w:val="21"/>
              </w:rPr>
              <w:t>2.园区现状污染源情况</w:t>
            </w:r>
          </w:p>
          <w:p>
            <w:pPr>
              <w:pStyle w:val="13"/>
              <w:spacing w:line="360" w:lineRule="auto"/>
              <w:ind w:firstLine="480" w:firstLineChars="200"/>
              <w:rPr>
                <w:rFonts w:ascii="Times New Roman" w:hAnsi="Times New Roman" w:cs="Times New Roman"/>
                <w:color w:val="auto"/>
                <w:sz w:val="24"/>
                <w:szCs w:val="24"/>
              </w:rPr>
            </w:pPr>
            <w:r>
              <w:rPr>
                <w:rFonts w:ascii="Times New Roman" w:hAnsi="Times New Roman" w:cs="Times New Roman"/>
                <w:color w:val="auto"/>
                <w:sz w:val="24"/>
                <w:szCs w:val="24"/>
              </w:rPr>
              <w:t>截至202</w:t>
            </w:r>
            <w:r>
              <w:rPr>
                <w:rFonts w:hint="eastAsia" w:ascii="Times New Roman" w:hAnsi="Times New Roman" w:cs="Times New Roman"/>
                <w:color w:val="auto"/>
                <w:sz w:val="24"/>
                <w:szCs w:val="24"/>
              </w:rPr>
              <w:t>2</w:t>
            </w:r>
            <w:r>
              <w:rPr>
                <w:rFonts w:ascii="Times New Roman" w:hAnsi="Times New Roman" w:cs="Times New Roman"/>
                <w:color w:val="auto"/>
                <w:sz w:val="24"/>
                <w:szCs w:val="24"/>
              </w:rPr>
              <w:t>年</w:t>
            </w:r>
            <w:r>
              <w:rPr>
                <w:rFonts w:hint="eastAsia" w:ascii="Times New Roman" w:hAnsi="Times New Roman" w:cs="Times New Roman"/>
                <w:color w:val="auto"/>
                <w:sz w:val="24"/>
                <w:szCs w:val="24"/>
              </w:rPr>
              <w:t>7</w:t>
            </w:r>
            <w:r>
              <w:rPr>
                <w:rFonts w:ascii="Times New Roman" w:hAnsi="Times New Roman" w:cs="Times New Roman"/>
                <w:color w:val="auto"/>
                <w:sz w:val="24"/>
                <w:szCs w:val="24"/>
              </w:rPr>
              <w:t>月，</w:t>
            </w:r>
            <w:r>
              <w:rPr>
                <w:rFonts w:hint="eastAsia" w:ascii="Times New Roman" w:hAnsi="Times New Roman" w:cs="Times New Roman"/>
                <w:color w:val="auto"/>
                <w:sz w:val="24"/>
                <w:szCs w:val="24"/>
              </w:rPr>
              <w:t>乐昌产业转移工业园</w:t>
            </w:r>
            <w:r>
              <w:rPr>
                <w:rFonts w:ascii="Times New Roman" w:hAnsi="Times New Roman" w:cs="Times New Roman"/>
                <w:color w:val="auto"/>
                <w:sz w:val="24"/>
                <w:szCs w:val="24"/>
              </w:rPr>
              <w:t>范围内产业现状基本以工业产业为主，共涉及</w:t>
            </w:r>
            <w:r>
              <w:rPr>
                <w:rFonts w:hint="eastAsia" w:ascii="Times New Roman" w:hAnsi="Times New Roman" w:cs="Times New Roman"/>
                <w:color w:val="auto"/>
                <w:sz w:val="24"/>
                <w:szCs w:val="24"/>
              </w:rPr>
              <w:t>94</w:t>
            </w:r>
            <w:r>
              <w:rPr>
                <w:rFonts w:ascii="Times New Roman" w:hAnsi="Times New Roman" w:cs="Times New Roman"/>
                <w:color w:val="auto"/>
                <w:sz w:val="24"/>
                <w:szCs w:val="24"/>
              </w:rPr>
              <w:t>家企业，其中</w:t>
            </w:r>
            <w:r>
              <w:rPr>
                <w:rFonts w:hint="eastAsia" w:ascii="Times New Roman" w:hAnsi="Times New Roman" w:cs="Times New Roman"/>
                <w:color w:val="auto"/>
                <w:sz w:val="24"/>
                <w:szCs w:val="24"/>
              </w:rPr>
              <w:t>1</w:t>
            </w:r>
            <w:r>
              <w:rPr>
                <w:rFonts w:ascii="Times New Roman" w:hAnsi="Times New Roman" w:cs="Times New Roman"/>
                <w:color w:val="auto"/>
                <w:sz w:val="24"/>
                <w:szCs w:val="24"/>
              </w:rPr>
              <w:t>家（圣大木业）已经停产。本评价根据环评情况和建设生产情况，将企业分为已建、在建、停产三大类：已建企业为已经投产运行或正在试运行的企业；在建企业为已通过环评，正在建设的企业；停产企业为已经建成，但停产的企业。根据分类，已建企业3</w:t>
            </w:r>
            <w:r>
              <w:rPr>
                <w:rFonts w:hint="eastAsia" w:ascii="Times New Roman" w:hAnsi="Times New Roman" w:cs="Times New Roman"/>
                <w:color w:val="auto"/>
                <w:sz w:val="24"/>
                <w:szCs w:val="24"/>
              </w:rPr>
              <w:t>7</w:t>
            </w:r>
            <w:r>
              <w:rPr>
                <w:rFonts w:ascii="Times New Roman" w:hAnsi="Times New Roman" w:cs="Times New Roman"/>
                <w:color w:val="auto"/>
                <w:sz w:val="24"/>
                <w:szCs w:val="24"/>
              </w:rPr>
              <w:t>家，在建企业</w:t>
            </w:r>
            <w:r>
              <w:rPr>
                <w:rFonts w:hint="eastAsia" w:ascii="Times New Roman" w:hAnsi="Times New Roman" w:cs="Times New Roman"/>
                <w:color w:val="auto"/>
                <w:sz w:val="24"/>
                <w:szCs w:val="24"/>
              </w:rPr>
              <w:t>56</w:t>
            </w:r>
            <w:r>
              <w:rPr>
                <w:rFonts w:ascii="Times New Roman" w:hAnsi="Times New Roman" w:cs="Times New Roman"/>
                <w:color w:val="auto"/>
                <w:sz w:val="24"/>
                <w:szCs w:val="24"/>
              </w:rPr>
              <w:t>家，停产企业</w:t>
            </w:r>
            <w:r>
              <w:rPr>
                <w:rFonts w:hint="eastAsia" w:ascii="Times New Roman" w:hAnsi="Times New Roman" w:cs="Times New Roman"/>
                <w:color w:val="auto"/>
                <w:sz w:val="24"/>
                <w:szCs w:val="24"/>
              </w:rPr>
              <w:t>1</w:t>
            </w:r>
            <w:r>
              <w:rPr>
                <w:rFonts w:ascii="Times New Roman" w:hAnsi="Times New Roman" w:cs="Times New Roman"/>
                <w:color w:val="auto"/>
                <w:sz w:val="24"/>
                <w:szCs w:val="24"/>
              </w:rPr>
              <w:t>家。</w:t>
            </w:r>
            <w:r>
              <w:rPr>
                <w:rFonts w:hint="eastAsia" w:ascii="Times New Roman" w:hAnsi="Times New Roman" w:cs="Times New Roman"/>
                <w:color w:val="auto"/>
                <w:sz w:val="24"/>
                <w:szCs w:val="24"/>
              </w:rPr>
              <w:t>产业园</w:t>
            </w:r>
            <w:r>
              <w:rPr>
                <w:rFonts w:ascii="Times New Roman" w:hAnsi="Times New Roman" w:cs="Times New Roman"/>
                <w:color w:val="auto"/>
                <w:sz w:val="24"/>
                <w:szCs w:val="24"/>
              </w:rPr>
              <w:t>内企业情况详见表</w:t>
            </w:r>
            <w:r>
              <w:rPr>
                <w:rFonts w:hint="eastAsia" w:ascii="Times New Roman" w:hAnsi="Times New Roman" w:cs="Times New Roman"/>
                <w:color w:val="auto"/>
                <w:sz w:val="24"/>
                <w:szCs w:val="24"/>
                <w:lang w:val="en-US" w:eastAsia="zh-CN"/>
              </w:rPr>
              <w:t>2-5</w:t>
            </w:r>
            <w:r>
              <w:rPr>
                <w:rFonts w:ascii="Times New Roman" w:hAnsi="Times New Roman" w:cs="Times New Roman"/>
                <w:color w:val="auto"/>
                <w:sz w:val="24"/>
                <w:szCs w:val="24"/>
              </w:rPr>
              <w:t>。</w:t>
            </w:r>
          </w:p>
          <w:p>
            <w:pPr>
              <w:adjustRightInd w:val="0"/>
              <w:snapToGrid w:val="0"/>
              <w:spacing w:line="360" w:lineRule="auto"/>
              <w:jc w:val="center"/>
              <w:rPr>
                <w:b/>
                <w:color w:val="auto"/>
                <w:sz w:val="24"/>
              </w:rPr>
            </w:pPr>
            <w:r>
              <w:rPr>
                <w:b/>
                <w:color w:val="auto"/>
                <w:sz w:val="24"/>
              </w:rPr>
              <w:t>表</w:t>
            </w:r>
            <w:r>
              <w:rPr>
                <w:rFonts w:hint="eastAsia"/>
                <w:b/>
                <w:color w:val="auto"/>
                <w:sz w:val="24"/>
                <w:lang w:val="en-US" w:eastAsia="zh-CN"/>
              </w:rPr>
              <w:t>2-5</w:t>
            </w:r>
            <w:r>
              <w:rPr>
                <w:b/>
                <w:color w:val="auto"/>
                <w:sz w:val="24"/>
              </w:rPr>
              <w:t xml:space="preserve"> </w:t>
            </w:r>
            <w:r>
              <w:rPr>
                <w:rFonts w:hint="eastAsia"/>
                <w:b/>
                <w:color w:val="auto"/>
                <w:sz w:val="24"/>
              </w:rPr>
              <w:t>园区</w:t>
            </w:r>
            <w:r>
              <w:rPr>
                <w:b/>
                <w:color w:val="auto"/>
                <w:sz w:val="24"/>
              </w:rPr>
              <w:t>通过环评审批企业情况统计</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02"/>
              <w:gridCol w:w="585"/>
              <w:gridCol w:w="1410"/>
              <w:gridCol w:w="1326"/>
              <w:gridCol w:w="1905"/>
              <w:gridCol w:w="961"/>
              <w:gridCol w:w="1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b/>
                      <w:bCs/>
                      <w:color w:val="auto"/>
                      <w:kern w:val="0"/>
                      <w:szCs w:val="21"/>
                    </w:rPr>
                  </w:pPr>
                  <w:bookmarkStart w:id="10" w:name="_Ref11703236"/>
                  <w:r>
                    <w:rPr>
                      <w:b/>
                      <w:bCs/>
                      <w:color w:val="auto"/>
                      <w:szCs w:val="21"/>
                    </w:rPr>
                    <w:t>序号</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b/>
                      <w:bCs/>
                      <w:color w:val="auto"/>
                      <w:szCs w:val="21"/>
                    </w:rPr>
                  </w:pPr>
                  <w:r>
                    <w:rPr>
                      <w:b/>
                      <w:bCs/>
                      <w:color w:val="auto"/>
                      <w:szCs w:val="21"/>
                    </w:rPr>
                    <w:t>状态</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b/>
                      <w:bCs/>
                      <w:color w:val="auto"/>
                      <w:szCs w:val="21"/>
                    </w:rPr>
                  </w:pPr>
                  <w:r>
                    <w:rPr>
                      <w:b/>
                      <w:bCs/>
                      <w:color w:val="auto"/>
                      <w:szCs w:val="21"/>
                    </w:rPr>
                    <w:t>行业类别</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b/>
                      <w:bCs/>
                      <w:color w:val="auto"/>
                      <w:szCs w:val="21"/>
                    </w:rPr>
                  </w:pPr>
                  <w:r>
                    <w:rPr>
                      <w:b/>
                      <w:bCs/>
                      <w:color w:val="auto"/>
                      <w:szCs w:val="21"/>
                    </w:rPr>
                    <w:t>名称</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b/>
                      <w:bCs/>
                      <w:color w:val="auto"/>
                      <w:szCs w:val="21"/>
                    </w:rPr>
                  </w:pPr>
                  <w:r>
                    <w:rPr>
                      <w:b/>
                      <w:bCs/>
                      <w:color w:val="auto"/>
                      <w:szCs w:val="21"/>
                    </w:rPr>
                    <w:t>主要产品及规模</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b/>
                      <w:bCs/>
                      <w:color w:val="auto"/>
                      <w:szCs w:val="21"/>
                    </w:rPr>
                  </w:pPr>
                  <w:r>
                    <w:rPr>
                      <w:rStyle w:val="138"/>
                      <w:b/>
                      <w:bCs/>
                      <w:color w:val="auto"/>
                    </w:rPr>
                    <w:t>面积（m</w:t>
                  </w:r>
                  <w:r>
                    <w:rPr>
                      <w:rStyle w:val="139"/>
                      <w:b/>
                      <w:bCs/>
                      <w:color w:val="auto"/>
                    </w:rPr>
                    <w:t>2</w:t>
                  </w:r>
                  <w:r>
                    <w:rPr>
                      <w:rStyle w:val="138"/>
                      <w:b/>
                      <w:bCs/>
                      <w:color w:val="auto"/>
                    </w:rPr>
                    <w:t>）</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b/>
                      <w:bCs/>
                      <w:color w:val="auto"/>
                      <w:szCs w:val="21"/>
                    </w:rPr>
                  </w:pPr>
                  <w:r>
                    <w:rPr>
                      <w:b/>
                      <w:bCs/>
                      <w:color w:val="auto"/>
                      <w:szCs w:val="21"/>
                    </w:rPr>
                    <w:t>环评审批文号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钢铁铸件制造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乐昌市明俊铸造有限公司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年产3000吨机械铸件</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26000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2008</w:t>
                  </w:r>
                  <w:r>
                    <w:rPr>
                      <w:rFonts w:hint="eastAsia"/>
                      <w:color w:val="auto"/>
                      <w:szCs w:val="21"/>
                      <w:lang w:eastAsia="zh-CN"/>
                    </w:rPr>
                    <w:t>〕</w:t>
                  </w:r>
                  <w:r>
                    <w:rPr>
                      <w:color w:val="auto"/>
                      <w:szCs w:val="21"/>
                    </w:rPr>
                    <w:t>12号、乐环审[2018]38号</w:t>
                  </w:r>
                  <w:r>
                    <w:rPr>
                      <w:rFonts w:hint="eastAsia"/>
                      <w:color w:val="auto"/>
                      <w:szCs w:val="21"/>
                    </w:rPr>
                    <w:t>、</w:t>
                  </w:r>
                  <w:r>
                    <w:rPr>
                      <w:color w:val="auto"/>
                      <w:spacing w:val="-2"/>
                      <w:kern w:val="0"/>
                    </w:rPr>
                    <w:t>韶环乐审[202</w:t>
                  </w:r>
                  <w:r>
                    <w:rPr>
                      <w:rFonts w:hint="eastAsia"/>
                      <w:color w:val="auto"/>
                      <w:spacing w:val="-2"/>
                      <w:kern w:val="0"/>
                    </w:rPr>
                    <w:t>2</w:t>
                  </w:r>
                  <w:r>
                    <w:rPr>
                      <w:color w:val="auto"/>
                      <w:spacing w:val="-2"/>
                      <w:kern w:val="0"/>
                    </w:rPr>
                    <w:t>]</w:t>
                  </w:r>
                  <w:r>
                    <w:rPr>
                      <w:rFonts w:hint="eastAsia"/>
                      <w:color w:val="auto"/>
                      <w:spacing w:val="-2"/>
                      <w:kern w:val="0"/>
                    </w:rPr>
                    <w:t>14</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齿轮、传动和驱动部件的制造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广东省第二农机厂</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工程机械2500台、15万件齿轮配件</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35070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2011</w:t>
                  </w:r>
                  <w:r>
                    <w:rPr>
                      <w:rFonts w:hint="eastAsia"/>
                      <w:color w:val="auto"/>
                      <w:szCs w:val="21"/>
                      <w:lang w:eastAsia="zh-CN"/>
                    </w:rPr>
                    <w:t>〕</w:t>
                  </w:r>
                  <w:r>
                    <w:rPr>
                      <w:color w:val="auto"/>
                      <w:szCs w:val="21"/>
                    </w:rPr>
                    <w:t>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钢铁铸件制造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乐昌市金信工业有限公司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年产5000件阀门</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33335</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2009</w:t>
                  </w:r>
                  <w:r>
                    <w:rPr>
                      <w:rFonts w:hint="eastAsia"/>
                      <w:color w:val="auto"/>
                      <w:szCs w:val="21"/>
                      <w:lang w:eastAsia="zh-CN"/>
                    </w:rPr>
                    <w:t>〕</w:t>
                  </w:r>
                  <w:r>
                    <w:rPr>
                      <w:color w:val="auto"/>
                      <w:szCs w:val="21"/>
                    </w:rPr>
                    <w:t>94号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机械制造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乐昌市泰邦重型机械制造有限公司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年产6000吨铸件</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35335</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2011</w:t>
                  </w:r>
                  <w:r>
                    <w:rPr>
                      <w:rFonts w:hint="eastAsia"/>
                      <w:color w:val="auto"/>
                      <w:szCs w:val="21"/>
                      <w:lang w:eastAsia="zh-CN"/>
                    </w:rPr>
                    <w:t>〕</w:t>
                  </w:r>
                  <w:r>
                    <w:rPr>
                      <w:color w:val="auto"/>
                      <w:szCs w:val="21"/>
                    </w:rPr>
                    <w:t>25号、乐环审[2018]17号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其他电子设备制造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乐昌市中嘉电子科技有限公司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年产9亿只铝电解电容器</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20500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2011</w:t>
                  </w:r>
                  <w:r>
                    <w:rPr>
                      <w:rFonts w:hint="eastAsia"/>
                      <w:color w:val="auto"/>
                      <w:szCs w:val="21"/>
                      <w:lang w:eastAsia="zh-CN"/>
                    </w:rPr>
                    <w:t>〕</w:t>
                  </w:r>
                  <w:r>
                    <w:rPr>
                      <w:color w:val="auto"/>
                      <w:szCs w:val="21"/>
                    </w:rPr>
                    <w:t>98号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其他电子设备制造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韶关欧亚特电子制品有限公司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年加工3500万支热熔胶枪、1000万根插头线</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18664</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2011</w:t>
                  </w:r>
                  <w:r>
                    <w:rPr>
                      <w:rFonts w:hint="eastAsia"/>
                      <w:color w:val="auto"/>
                      <w:szCs w:val="21"/>
                      <w:lang w:eastAsia="zh-CN"/>
                    </w:rPr>
                    <w:t>〕</w:t>
                  </w:r>
                  <w:r>
                    <w:rPr>
                      <w:color w:val="auto"/>
                      <w:szCs w:val="21"/>
                    </w:rPr>
                    <w:t>79号、乐环审[2018]52号、乐环审〔2020〕05号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7</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粮食及饲料加工</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广东利生源生物饲料有限公司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年产10800吨优能乳、3000吨利生宝（加钙生物质饲料）</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10700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2011</w:t>
                  </w:r>
                  <w:r>
                    <w:rPr>
                      <w:rFonts w:hint="eastAsia"/>
                      <w:color w:val="auto"/>
                      <w:szCs w:val="21"/>
                      <w:lang w:eastAsia="zh-CN"/>
                    </w:rPr>
                    <w:t>〕</w:t>
                  </w:r>
                  <w:r>
                    <w:rPr>
                      <w:color w:val="auto"/>
                      <w:szCs w:val="21"/>
                    </w:rPr>
                    <w:t>103号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8</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其他金属加工机械制造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乐昌市缔恒科技有限公司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年产50万片金刚石复合片</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5000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2009</w:t>
                  </w:r>
                  <w:r>
                    <w:rPr>
                      <w:rFonts w:hint="eastAsia"/>
                      <w:color w:val="auto"/>
                      <w:szCs w:val="21"/>
                      <w:lang w:eastAsia="zh-CN"/>
                    </w:rPr>
                    <w:t>〕</w:t>
                  </w:r>
                  <w:r>
                    <w:rPr>
                      <w:color w:val="auto"/>
                      <w:szCs w:val="21"/>
                    </w:rPr>
                    <w:t>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9</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水泥制品制造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乐昌市建强混凝土有限公司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年产60万m</w:t>
                  </w:r>
                  <w:r>
                    <w:rPr>
                      <w:color w:val="auto"/>
                      <w:szCs w:val="21"/>
                      <w:vertAlign w:val="superscript"/>
                    </w:rPr>
                    <w:t>3</w:t>
                  </w:r>
                  <w:r>
                    <w:rPr>
                      <w:color w:val="auto"/>
                      <w:szCs w:val="21"/>
                    </w:rPr>
                    <w:t>商品混凝土建设项目、年扩建30万m</w:t>
                  </w:r>
                  <w:r>
                    <w:rPr>
                      <w:color w:val="auto"/>
                      <w:szCs w:val="21"/>
                      <w:vertAlign w:val="superscript"/>
                    </w:rPr>
                    <w:t>3</w:t>
                  </w:r>
                  <w:r>
                    <w:rPr>
                      <w:color w:val="auto"/>
                      <w:szCs w:val="21"/>
                    </w:rPr>
                    <w:t>商品混凝土</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2000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2012</w:t>
                  </w:r>
                  <w:r>
                    <w:rPr>
                      <w:rFonts w:hint="eastAsia"/>
                      <w:color w:val="auto"/>
                      <w:szCs w:val="21"/>
                      <w:lang w:eastAsia="zh-CN"/>
                    </w:rPr>
                    <w:t>〕</w:t>
                  </w:r>
                  <w:r>
                    <w:rPr>
                      <w:color w:val="auto"/>
                      <w:szCs w:val="21"/>
                    </w:rPr>
                    <w:t>104号、乐环函</w:t>
                  </w:r>
                  <w:r>
                    <w:rPr>
                      <w:rFonts w:hint="eastAsia"/>
                      <w:color w:val="auto"/>
                      <w:szCs w:val="21"/>
                      <w:lang w:eastAsia="zh-CN"/>
                    </w:rPr>
                    <w:t>〔</w:t>
                  </w:r>
                  <w:r>
                    <w:rPr>
                      <w:color w:val="auto"/>
                      <w:szCs w:val="21"/>
                    </w:rPr>
                    <w:t>2013</w:t>
                  </w:r>
                  <w:r>
                    <w:rPr>
                      <w:rFonts w:hint="eastAsia"/>
                      <w:color w:val="auto"/>
                      <w:szCs w:val="21"/>
                      <w:lang w:eastAsia="zh-CN"/>
                    </w:rPr>
                    <w:t>〕</w:t>
                  </w:r>
                  <w:r>
                    <w:rPr>
                      <w:color w:val="auto"/>
                      <w:szCs w:val="21"/>
                    </w:rPr>
                    <w:t>94号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10</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其他环境治理</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东莞东坑（乐昌）产业转移园污水处理厂</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处理水量10000m</w:t>
                  </w:r>
                  <w:r>
                    <w:rPr>
                      <w:color w:val="auto"/>
                      <w:szCs w:val="21"/>
                      <w:vertAlign w:val="superscript"/>
                    </w:rPr>
                    <w:t>3</w:t>
                  </w:r>
                  <w:r>
                    <w:rPr>
                      <w:color w:val="auto"/>
                      <w:szCs w:val="21"/>
                    </w:rPr>
                    <w:t>/d</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15400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2010</w:t>
                  </w:r>
                  <w:r>
                    <w:rPr>
                      <w:rFonts w:hint="eastAsia"/>
                      <w:color w:val="auto"/>
                      <w:szCs w:val="21"/>
                      <w:lang w:eastAsia="zh-CN"/>
                    </w:rPr>
                    <w:t>〕</w:t>
                  </w:r>
                  <w:r>
                    <w:rPr>
                      <w:color w:val="auto"/>
                      <w:szCs w:val="21"/>
                    </w:rPr>
                    <w:t>107号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11</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自来水的生产和供应</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乐昌市自来水有限公司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加压泵站建设，供应水量5000m</w:t>
                  </w:r>
                  <w:r>
                    <w:rPr>
                      <w:color w:val="auto"/>
                      <w:szCs w:val="21"/>
                      <w:vertAlign w:val="superscript"/>
                    </w:rPr>
                    <w:t>3</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9303.8</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2012</w:t>
                  </w:r>
                  <w:r>
                    <w:rPr>
                      <w:rFonts w:hint="eastAsia"/>
                      <w:color w:val="auto"/>
                      <w:szCs w:val="21"/>
                      <w:lang w:eastAsia="zh-CN"/>
                    </w:rPr>
                    <w:t>〕</w:t>
                  </w:r>
                  <w:r>
                    <w:rPr>
                      <w:color w:val="auto"/>
                      <w:szCs w:val="21"/>
                    </w:rPr>
                    <w:t>103号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12</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钢铁铸件制造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韶关邵瑞铸钢有限公司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年产1万吨铸钢件、1000吨铸铁件</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75085</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2011</w:t>
                  </w:r>
                  <w:r>
                    <w:rPr>
                      <w:rFonts w:hint="eastAsia"/>
                      <w:color w:val="auto"/>
                      <w:szCs w:val="21"/>
                      <w:lang w:eastAsia="zh-CN"/>
                    </w:rPr>
                    <w:t>〕</w:t>
                  </w:r>
                  <w:r>
                    <w:rPr>
                      <w:color w:val="auto"/>
                      <w:szCs w:val="21"/>
                    </w:rPr>
                    <w:t>163号、乐环审[2018]19号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13</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纺织专用设备制造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韶关安拓机械实业有限公司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年产240台椭圆型印花机</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37456</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2012</w:t>
                  </w:r>
                  <w:r>
                    <w:rPr>
                      <w:rFonts w:hint="eastAsia"/>
                      <w:color w:val="auto"/>
                      <w:szCs w:val="21"/>
                      <w:lang w:eastAsia="zh-CN"/>
                    </w:rPr>
                    <w:t>〕</w:t>
                  </w:r>
                  <w:r>
                    <w:rPr>
                      <w:color w:val="auto"/>
                      <w:szCs w:val="21"/>
                    </w:rPr>
                    <w:t>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14</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金属结构制造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乐昌市盛昌钢结构有限公司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年加工500吨钢结构</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9000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2011</w:t>
                  </w:r>
                  <w:r>
                    <w:rPr>
                      <w:rFonts w:hint="eastAsia"/>
                      <w:color w:val="auto"/>
                      <w:szCs w:val="21"/>
                      <w:lang w:eastAsia="zh-CN"/>
                    </w:rPr>
                    <w:t>〕</w:t>
                  </w:r>
                  <w:r>
                    <w:rPr>
                      <w:color w:val="auto"/>
                      <w:szCs w:val="21"/>
                    </w:rPr>
                    <w:t>80号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15</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钢铁铸件制造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乐昌市昌兴机械制造有限公司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年生产铸铁金属件18000吨</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27000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2009</w:t>
                  </w:r>
                  <w:r>
                    <w:rPr>
                      <w:rFonts w:hint="eastAsia"/>
                      <w:color w:val="auto"/>
                      <w:szCs w:val="21"/>
                      <w:lang w:eastAsia="zh-CN"/>
                    </w:rPr>
                    <w:t>〕</w:t>
                  </w:r>
                  <w:r>
                    <w:rPr>
                      <w:color w:val="auto"/>
                      <w:szCs w:val="21"/>
                    </w:rPr>
                    <w:t>36号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16</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棉、化纤纺织加工</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乐昌市利生纺织公司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年产高档精馏棉纱41800吨、高档气流纺棉纱6000吨</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266400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2011</w:t>
                  </w:r>
                  <w:r>
                    <w:rPr>
                      <w:rFonts w:hint="eastAsia"/>
                      <w:color w:val="auto"/>
                      <w:szCs w:val="21"/>
                      <w:lang w:eastAsia="zh-CN"/>
                    </w:rPr>
                    <w:t>〕</w:t>
                  </w:r>
                  <w:r>
                    <w:rPr>
                      <w:color w:val="auto"/>
                      <w:szCs w:val="21"/>
                    </w:rPr>
                    <w:t>135号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17</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隔热和隔音材料制造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乐昌市昌龙塑料制造有限公司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年产7万立方米挤塑式聚苯乙烯泡沫板</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23571</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2013</w:t>
                  </w:r>
                  <w:r>
                    <w:rPr>
                      <w:rFonts w:hint="eastAsia"/>
                      <w:color w:val="auto"/>
                      <w:szCs w:val="21"/>
                      <w:lang w:eastAsia="zh-CN"/>
                    </w:rPr>
                    <w:t>〕</w:t>
                  </w:r>
                  <w:r>
                    <w:rPr>
                      <w:color w:val="auto"/>
                      <w:szCs w:val="21"/>
                    </w:rPr>
                    <w:t>143号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18</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燃气生产和供应业</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乐昌市安顺达管道天然气有限公司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加气站设计规模为15000万m</w:t>
                  </w:r>
                  <w:r>
                    <w:rPr>
                      <w:color w:val="auto"/>
                      <w:szCs w:val="21"/>
                      <w:vertAlign w:val="superscript"/>
                    </w:rPr>
                    <w:t>3</w:t>
                  </w:r>
                  <w:r>
                    <w:rPr>
                      <w:color w:val="auto"/>
                      <w:szCs w:val="21"/>
                    </w:rPr>
                    <w:t>/a</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20080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乐环函</w:t>
                  </w:r>
                  <w:r>
                    <w:rPr>
                      <w:rFonts w:hint="eastAsia"/>
                      <w:color w:val="auto"/>
                      <w:szCs w:val="21"/>
                      <w:lang w:eastAsia="zh-CN"/>
                    </w:rPr>
                    <w:t>〔</w:t>
                  </w:r>
                  <w:r>
                    <w:rPr>
                      <w:color w:val="auto"/>
                      <w:szCs w:val="21"/>
                    </w:rPr>
                    <w:t>2012</w:t>
                  </w:r>
                  <w:r>
                    <w:rPr>
                      <w:rFonts w:hint="eastAsia"/>
                      <w:color w:val="auto"/>
                      <w:szCs w:val="21"/>
                      <w:lang w:eastAsia="zh-CN"/>
                    </w:rPr>
                    <w:t>〕</w:t>
                  </w:r>
                  <w:r>
                    <w:rPr>
                      <w:color w:val="auto"/>
                      <w:szCs w:val="21"/>
                    </w:rPr>
                    <w:t>53号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19</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停产</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木制品制造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乐昌市圣大木业有限公司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年产5万m</w:t>
                  </w:r>
                  <w:r>
                    <w:rPr>
                      <w:color w:val="auto"/>
                      <w:szCs w:val="21"/>
                      <w:vertAlign w:val="superscript"/>
                    </w:rPr>
                    <w:t>3</w:t>
                  </w:r>
                  <w:r>
                    <w:rPr>
                      <w:color w:val="auto"/>
                      <w:szCs w:val="21"/>
                    </w:rPr>
                    <w:t>中密度纤维板</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62000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韶环审[2008]130号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20</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其他通用设备制造业</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广东科优精密机械制造有限公司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年产5000t/a电磁阀用汇流板</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rFonts w:hint="eastAsia"/>
                      <w:color w:val="auto"/>
                      <w:szCs w:val="21"/>
                    </w:rPr>
                    <w:t>/</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乐环审[2017]03号、乐环审[2018]24号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21</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新型艺术装饰品</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欧昊科技（韶关）有限公司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1500t/aPU装饰线条和250t/a聚氨酯装饰制品</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24875.4</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乐环审[2017]34号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22</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新型艺术装饰品</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乐昌市华国艺术装饰建材有限公司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1500t/aPU装饰线条和250t/a聚氨酯装饰制品</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27375.05</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乐环审[2017]35号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vMerge w:val="restart"/>
                  <w:tcBorders>
                    <w:top w:val="single" w:color="auto" w:sz="4" w:space="0"/>
                    <w:left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23</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再生资源</w:t>
                  </w:r>
                </w:p>
              </w:tc>
              <w:tc>
                <w:tcPr>
                  <w:tcW w:w="1326" w:type="dxa"/>
                  <w:vMerge w:val="restart"/>
                  <w:tcBorders>
                    <w:top w:val="single" w:color="auto" w:sz="4" w:space="0"/>
                    <w:left w:val="nil"/>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韶关豪立再生资源利用有限公司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豪立再生资源新材料项目</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17646</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乐环审[2017]69号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vMerge w:val="continue"/>
                  <w:tcBorders>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在建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玻璃纤维纱</w:t>
                  </w:r>
                </w:p>
              </w:tc>
              <w:tc>
                <w:tcPr>
                  <w:tcW w:w="1326" w:type="dxa"/>
                  <w:vMerge w:val="continue"/>
                  <w:tcBorders>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玻璃纤维生产线扩建项目</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3100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韶环乐审[2021]06号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24</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改性塑料</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乐昌市沃府新材料有限公司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改性塑料10万吨</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73337</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乐环审[2017]177号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25</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消防器材</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乐昌市特安消防器材有限公司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应急装备及配套600吨/年霍加垃特剂生产项目</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1283.1</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乐环审[2017]79号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26</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塑料制品</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韶关乐淇包装材料有限公司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年产7220吨塑料新材料项目</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50991.9</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乐环审[2018]04号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27</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皮具加工</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乐昌市大澎皮具有限公司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皮具加工项目</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rStyle w:val="138"/>
                      <w:color w:val="auto"/>
                    </w:rPr>
                  </w:pPr>
                  <w:r>
                    <w:rPr>
                      <w:rStyle w:val="138"/>
                      <w:color w:val="auto"/>
                    </w:rPr>
                    <w:t>3548</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rPr>
                  </w:pPr>
                  <w:r>
                    <w:rPr>
                      <w:color w:val="auto"/>
                      <w:szCs w:val="21"/>
                    </w:rPr>
                    <w:t>乐环审[2018]10号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28</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泡沫塑料制造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汇隽新材料科技（乐昌）有限公司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年产750tPU装饰线条和250t聚氨酯装饰制品</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7349.3</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乐环审[2018]13号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29</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新型艺术装饰品</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乐昌市吉焱实业有限公司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装饰材料项目</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24875.4</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乐环审[2018]14号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30</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在建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塑胶制品制造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乐昌市众诚塑胶制品有限公司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众诚塑胶制品项目</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12419.5</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乐环审[2018]15号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31</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其他通用零部件制造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乐昌市铭源金属制品有限公司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年加工1500吨机械配件、物流配件</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3000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乐环审[2018]18号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32</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新型艺术装饰品</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汇隽新材料科技（乐昌）有限公司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鼎盛美建材新材料项目</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7349.3</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乐环审[2018]31号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33</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在建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黑色金属铸造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乐昌市金丰机械有限公司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年产铸铁件12000吨</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33333.3</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乐环审[2018]33号</w:t>
                  </w:r>
                  <w:r>
                    <w:rPr>
                      <w:rFonts w:hint="eastAsia"/>
                      <w:color w:val="auto"/>
                      <w:szCs w:val="21"/>
                    </w:rPr>
                    <w:t>、韶环乐审[2022]01号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34</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在建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装饰背景墙</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bottom"/>
                    <w:rPr>
                      <w:color w:val="auto"/>
                      <w:szCs w:val="21"/>
                    </w:rPr>
                  </w:pPr>
                  <w:r>
                    <w:rPr>
                      <w:color w:val="auto"/>
                      <w:szCs w:val="21"/>
                    </w:rPr>
                    <w:t>乐昌市艺峰装饰材料有限公司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年产1000套装饰背景墙</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rFonts w:hint="eastAsia"/>
                      <w:color w:val="auto"/>
                      <w:szCs w:val="21"/>
                    </w:rPr>
                    <w:t>/</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乐环审[2018]45号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35</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金属表面处理及热处理加工</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韶关龙督装饰材料有限公司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彩涂铝卷 400 万 m2/a，铝幕墙板、铝天花板100 万 m2/a</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33812.1</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乐环审[2018]50号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36</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在建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汽车零部件及配件制造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乐昌市鑫东穗汽车用品有限公司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年产10万套汽车配件</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3060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乐环审[2021]02号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37</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皮箱、包(袋)制造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乐昌市盈鑫皮具有限公司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年产18万件办公和皮具产品</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1183</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乐环审〔2019〕23号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38</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其他通用设备制造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乐昌市华盛机械塑料制品厂</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年生产50台细砂回收机</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1050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乐环审〔2019〕26号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39</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在建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金属加工机械制造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广东力禾机械有限公司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年产精密龙门数控加工中心200台，精密龙门磨床100台，精密卧式数控镗床50台，普通机械设备、智能设备150台</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86667</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乐环审〔2019〕34号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40</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非金属矿物制造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乐昌市惠丰石英科技有限公司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年产6000吨石英砂和600吨石英粉</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rFonts w:hint="eastAsia"/>
                      <w:color w:val="auto"/>
                      <w:szCs w:val="21"/>
                    </w:rPr>
                    <w:t>/</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乐环审〔2019〕37号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41</w:t>
                  </w:r>
                </w:p>
              </w:tc>
              <w:tc>
                <w:tcPr>
                  <w:tcW w:w="58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黑色金属铸造</w:t>
                  </w:r>
                </w:p>
              </w:tc>
              <w:tc>
                <w:tcPr>
                  <w:tcW w:w="132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乐昌市宏泰机械制造有限公司</w:t>
                  </w:r>
                </w:p>
              </w:tc>
              <w:tc>
                <w:tcPr>
                  <w:tcW w:w="19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年产20000吨机械设备零部件</w:t>
                  </w:r>
                </w:p>
              </w:tc>
              <w:tc>
                <w:tcPr>
                  <w:tcW w:w="96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17320</w:t>
                  </w:r>
                </w:p>
              </w:tc>
              <w:tc>
                <w:tcPr>
                  <w:tcW w:w="141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乐环审[2019]43号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43</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zCs w:val="21"/>
                    </w:rPr>
                    <w:t>已建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其他电子元件制造、通信系统设备制造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韶关高尔德防雷科技有限公司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年产3万台移动通信基站电源、480万AH铁锂电池扩建</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15561.5</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乐环审〔2020〕12号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44</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电子器件制造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深圳艾尔康电子元器件有限公司乐昌分公司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99122万件/年电子元器件、50套模具和50台自动化装备</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20006.9</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乐环审[2018]32号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45</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rPr>
                    <w:t>紧固件制造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rPr>
                    <w:t>乐昌市永成智能厨房设备制造有限公司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rPr>
                    <w:t>锅炉具类、蒸炉具类、工作台类等厨房设备</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rPr>
                    <w:t>33333.33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rStyle w:val="140"/>
                      <w:rFonts w:hint="default" w:ascii="Times New Roman" w:hAnsi="Times New Roman"/>
                      <w:color w:val="auto"/>
                    </w:rPr>
                    <w:t>乐环审[2018]41</w:t>
                  </w:r>
                  <w:r>
                    <w:rPr>
                      <w:rStyle w:val="138"/>
                      <w:color w:val="auto"/>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46</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黑色金属铸造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精信（乐昌）机械有限公司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 xml:space="preserve">年产人防门配件 </w:t>
                  </w:r>
                  <w:r>
                    <w:rPr>
                      <w:rFonts w:eastAsia="仿宋_GB2312"/>
                      <w:color w:val="auto"/>
                      <w:spacing w:val="-2"/>
                      <w:kern w:val="0"/>
                    </w:rPr>
                    <w:t xml:space="preserve">11250 </w:t>
                  </w:r>
                  <w:r>
                    <w:rPr>
                      <w:color w:val="auto"/>
                      <w:spacing w:val="-2"/>
                      <w:kern w:val="0"/>
                    </w:rPr>
                    <w:t>台（套）</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2213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乐环审[2018]53号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47</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紧固件制造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乐昌市玉煌科技有限公司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年产2000吨螺丝</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15291.1</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乐环审[2018]54号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48</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棉纺纱加工</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乐昌市华顺纺织有限公司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年产12000吨纺纱制品</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63114</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乐环审[2018]55号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49</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塑料零件及其他塑料制品制造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广东立恒新材料科技有限公司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年产8000吨改性塑料</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9333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乐环审[2018]60号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50</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棉印染精加工</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乐昌市赫尔龙体育用品有限公司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年产运动服等运动产品约100万件/年</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14604.85</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51</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矿山机械制造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韶关鑫瑞智能装备有限公司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年产803台破碎、筛分单机设备，移动式破碎筛分装备和模块化装备</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17693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乐环审[2019]25号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52</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家用美容、保健、护理电器具制造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乐昌市优泰德电器有限公司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年产250万台家用护理小电器</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15173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乐环审[2019]038号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53</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其他家用电力器具制造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广东启健净水设备有限公司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年产120万台净水设备</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9598</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54</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其他电子元件制造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乐昌市润韬电子科技有限公司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年产4亿电子连接器</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300</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55</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新型艺术装饰品</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乐昌欧典高分子装饰材料有限公司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欧典装饰新材料项目</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8699.97</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乐环审[2018]12号、乐环审[2019]68号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56</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其他未列明通用设备制造业</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乐昌市鼎德机械设备制造有限公司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4条整机产品生产线和2800件零件产品</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10680.5</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乐环审[2019]74号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57</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塑料板、管、型材制造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材通（乐昌）管业科技有限公司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年产16820吨PVC管材</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47574.68</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乐环审[2020]08号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58</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皮箱、包（袋）制造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宇创箱包制品（韶关市乐昌）有限公司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年产钱包30万个，手袋50万个</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1200</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乐环审[2020]09号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59</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建筑工程用机械制造</w:t>
                  </w:r>
                  <w:r>
                    <w:rPr>
                      <w:rFonts w:hint="eastAsia"/>
                      <w:color w:val="auto"/>
                      <w:spacing w:val="-2"/>
                      <w:kern w:val="0"/>
                    </w:rPr>
                    <w:t>、金属制品、包装容器</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广东博昇昌智能制造有限公司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年产600栋附着式升降脚手架和1000000米住宅栏杆</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49075.31</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乐环审[2020]11号</w:t>
                  </w:r>
                  <w:r>
                    <w:rPr>
                      <w:rFonts w:hint="eastAsia"/>
                      <w:color w:val="auto"/>
                      <w:spacing w:val="-2"/>
                      <w:kern w:val="0"/>
                    </w:rPr>
                    <w:t>、</w:t>
                  </w:r>
                  <w:r>
                    <w:rPr>
                      <w:color w:val="auto"/>
                      <w:spacing w:val="-2"/>
                      <w:kern w:val="0"/>
                    </w:rPr>
                    <w:t>韶环乐审[202</w:t>
                  </w:r>
                  <w:r>
                    <w:rPr>
                      <w:rFonts w:hint="eastAsia"/>
                      <w:color w:val="auto"/>
                      <w:spacing w:val="-2"/>
                      <w:kern w:val="0"/>
                    </w:rPr>
                    <w:t>2</w:t>
                  </w:r>
                  <w:r>
                    <w:rPr>
                      <w:color w:val="auto"/>
                      <w:spacing w:val="-2"/>
                      <w:kern w:val="0"/>
                    </w:rPr>
                    <w:t>]0</w:t>
                  </w:r>
                  <w:r>
                    <w:rPr>
                      <w:rFonts w:hint="eastAsia"/>
                      <w:color w:val="auto"/>
                      <w:spacing w:val="-2"/>
                      <w:kern w:val="0"/>
                    </w:rPr>
                    <w:t>7</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60</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塑料制品业</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乐昌市金来得实业有限公司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年产4.8万立方米聚乙烯高分子材料</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23018.4</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乐环审[2020]14号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61</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金属成形机床制造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广东欧匹特智能装备有限公司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年产350台数控机床</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26032</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乐环审[2020]16号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62</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助剂制造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广东金康新材料有限公司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生产3600t/aPVC稳定剂和2400t/a助剂</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11260.7</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乐环审[2020]10号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63</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rFonts w:hint="eastAsia"/>
                      <w:color w:val="auto"/>
                      <w:szCs w:val="21"/>
                    </w:rPr>
                    <w:t>已建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非织造布制造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乐昌市宝创环保新材料制品有限公司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生产热轧无纺布2800t/a，口罩30000万片/a，湿巾360万包/a，熔喷无纺布1500 t/a</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zCs w:val="21"/>
                    </w:rPr>
                  </w:pPr>
                  <w:r>
                    <w:rPr>
                      <w:color w:val="auto"/>
                      <w:spacing w:val="-2"/>
                      <w:kern w:val="0"/>
                    </w:rPr>
                    <w:t>26671.2</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zCs w:val="21"/>
                    </w:rPr>
                  </w:pPr>
                  <w:r>
                    <w:rPr>
                      <w:color w:val="auto"/>
                      <w:spacing w:val="-2"/>
                      <w:kern w:val="0"/>
                    </w:rPr>
                    <w:t>乐环审[2017]50号、乐环审[2020]23号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64</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通讯设备零配件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广东东田实业有限公司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年产5万套移动通信基站电源钣金件项目</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1557.48</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乐环审[2020]27号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65</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塑料制品</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韶关骏东新型包装材料有限公司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年产500万个吸塑包装盒建设项目</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1000</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乐环审[2020]30号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66</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铝合金制品</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广东力齐铝模科技有限公司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年产铝合金模板12万平方米项目</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12419.5</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乐环审[2020]31号</w:t>
                  </w:r>
                  <w:r>
                    <w:rPr>
                      <w:rFonts w:hint="eastAsia"/>
                      <w:color w:val="auto"/>
                      <w:spacing w:val="-2"/>
                      <w:kern w:val="0"/>
                    </w:rPr>
                    <w:t>、</w:t>
                  </w:r>
                  <w:r>
                    <w:rPr>
                      <w:color w:val="auto"/>
                      <w:spacing w:val="-2"/>
                      <w:kern w:val="0"/>
                    </w:rPr>
                    <w:t>韶环乐审[202</w:t>
                  </w:r>
                  <w:r>
                    <w:rPr>
                      <w:rFonts w:hint="eastAsia"/>
                      <w:color w:val="auto"/>
                      <w:spacing w:val="-2"/>
                      <w:kern w:val="0"/>
                    </w:rPr>
                    <w:t>2</w:t>
                  </w:r>
                  <w:r>
                    <w:rPr>
                      <w:color w:val="auto"/>
                      <w:spacing w:val="-2"/>
                      <w:kern w:val="0"/>
                    </w:rPr>
                    <w:t>]0</w:t>
                  </w:r>
                  <w:r>
                    <w:rPr>
                      <w:rFonts w:hint="eastAsia"/>
                      <w:color w:val="auto"/>
                      <w:spacing w:val="-2"/>
                      <w:kern w:val="0"/>
                    </w:rPr>
                    <w:t>8</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67</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电子配件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乐昌市柏群电子科技有限公司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年产健身器材调速马达60万个、电子仪表40万个、机台配套线材3000万套、COB板50万套、胶壳300万件</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1486.76</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w:t>
                  </w:r>
                  <w:r>
                    <w:rPr>
                      <w:rFonts w:hint="eastAsia"/>
                      <w:color w:val="auto"/>
                      <w:spacing w:val="-2"/>
                      <w:kern w:val="0"/>
                    </w:rPr>
                    <w:t>1</w:t>
                  </w:r>
                  <w:r>
                    <w:rPr>
                      <w:color w:val="auto"/>
                      <w:spacing w:val="-2"/>
                      <w:kern w:val="0"/>
                    </w:rPr>
                    <w:t>]0</w:t>
                  </w:r>
                  <w:r>
                    <w:rPr>
                      <w:rFonts w:hint="eastAsia"/>
                      <w:color w:val="auto"/>
                      <w:spacing w:val="-2"/>
                      <w:kern w:val="0"/>
                    </w:rPr>
                    <w:t>8</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68</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玻璃纤维</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三创复合材料（乐昌）有限公司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年产6365吨玻璃纤维和碳素纤维复合材料制品</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25577.13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w:t>
                  </w:r>
                  <w:r>
                    <w:rPr>
                      <w:rFonts w:hint="eastAsia"/>
                      <w:color w:val="auto"/>
                      <w:spacing w:val="-2"/>
                      <w:kern w:val="0"/>
                    </w:rPr>
                    <w:t>1</w:t>
                  </w:r>
                  <w:r>
                    <w:rPr>
                      <w:color w:val="auto"/>
                      <w:spacing w:val="-2"/>
                      <w:kern w:val="0"/>
                    </w:rPr>
                    <w:t>]0</w:t>
                  </w:r>
                  <w:r>
                    <w:rPr>
                      <w:rFonts w:hint="eastAsia"/>
                      <w:color w:val="auto"/>
                      <w:spacing w:val="-2"/>
                      <w:kern w:val="0"/>
                    </w:rPr>
                    <w:t>9</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69</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复合新材料</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中环（广东）生物科技有限公司乐昌分公司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年产购物袋专用树脂3500t、垃圾袋专用树脂1000t、包装片材专用树脂500t</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1338.66</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w:t>
                  </w:r>
                  <w:r>
                    <w:rPr>
                      <w:rFonts w:hint="eastAsia"/>
                      <w:color w:val="auto"/>
                      <w:spacing w:val="-2"/>
                      <w:kern w:val="0"/>
                    </w:rPr>
                    <w:t>1</w:t>
                  </w:r>
                  <w:r>
                    <w:rPr>
                      <w:color w:val="auto"/>
                      <w:spacing w:val="-2"/>
                      <w:kern w:val="0"/>
                    </w:rPr>
                    <w:t>]</w:t>
                  </w:r>
                  <w:r>
                    <w:rPr>
                      <w:rFonts w:hint="eastAsia"/>
                      <w:color w:val="auto"/>
                      <w:spacing w:val="-2"/>
                      <w:kern w:val="0"/>
                    </w:rPr>
                    <w:t>12</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70</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电子元件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广东科拓电子元件有限公司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年产电容、电阻器8亿只</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1720.83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w:t>
                  </w:r>
                  <w:r>
                    <w:rPr>
                      <w:rFonts w:hint="eastAsia"/>
                      <w:color w:val="auto"/>
                      <w:spacing w:val="-2"/>
                      <w:kern w:val="0"/>
                    </w:rPr>
                    <w:t>1</w:t>
                  </w:r>
                  <w:r>
                    <w:rPr>
                      <w:color w:val="auto"/>
                      <w:spacing w:val="-2"/>
                      <w:kern w:val="0"/>
                    </w:rPr>
                    <w:t>]</w:t>
                  </w:r>
                  <w:r>
                    <w:rPr>
                      <w:rFonts w:hint="eastAsia"/>
                      <w:color w:val="auto"/>
                      <w:spacing w:val="-2"/>
                      <w:kern w:val="0"/>
                    </w:rPr>
                    <w:t>13</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color w:val="auto"/>
                      <w:szCs w:val="21"/>
                    </w:rPr>
                    <w:t>71</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废气处理设备</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广东熙诚环保科技有限公司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年产PP喷淋塔500台，PP活性炭吸附箱500台</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13335</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乐环审[2021]09号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72</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塑料制品、橡胶制品</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韶关优博婴童智能科技有限公司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年产硅胶件（奶嘴）10000万件、吹瓶件（奶瓶）2000万个、注塑件（餐具）20000万件</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57970.43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乐环审[2021]12号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73</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塑料制品</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乐昌市共盈新材料科技有限公司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年产塑料瓦25000吨、ASA塑料膜3000吨</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30662</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乐环审[2021]10号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74</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橡胶制品</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悦然（韶关）科技有限公司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年产830万件橡胶制品项目</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3500</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highlight w:val="yellow"/>
                    </w:rPr>
                  </w:pPr>
                  <w:r>
                    <w:rPr>
                      <w:color w:val="auto"/>
                      <w:spacing w:val="-2"/>
                      <w:kern w:val="0"/>
                    </w:rPr>
                    <w:t>韶环乐审[2021]04号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75</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塑料玩具</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广东金途信息技术有限公司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年产10000件塑胶玩具项目</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color w:val="auto"/>
                      <w:spacing w:val="-2"/>
                      <w:kern w:val="0"/>
                    </w:rPr>
                    <w:t>3500</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韶环乐审[2021]05号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76</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汽车配件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韶关市万博汽车配件有限公司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年产500万支雨刷和1900万个主架</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1139</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1</w:t>
                  </w:r>
                  <w:r>
                    <w:rPr>
                      <w:color w:val="auto"/>
                      <w:spacing w:val="-2"/>
                      <w:kern w:val="0"/>
                    </w:rPr>
                    <w:t>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77</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机械制造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同向（乐昌）精密机械有限公司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年产登机桥、压力机械等设备3</w:t>
                  </w:r>
                  <w:r>
                    <w:rPr>
                      <w:color w:val="auto"/>
                      <w:spacing w:val="-2"/>
                      <w:kern w:val="0"/>
                    </w:rPr>
                    <w:t>350</w:t>
                  </w:r>
                  <w:r>
                    <w:rPr>
                      <w:rFonts w:hint="eastAsia"/>
                      <w:color w:val="auto"/>
                      <w:spacing w:val="-2"/>
                      <w:kern w:val="0"/>
                    </w:rPr>
                    <w:t>套（台）</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5</w:t>
                  </w:r>
                  <w:r>
                    <w:rPr>
                      <w:color w:val="auto"/>
                      <w:spacing w:val="-2"/>
                      <w:kern w:val="0"/>
                    </w:rPr>
                    <w:t>2810.91</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16</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78</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设备制造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广东顺驰智能制造有限公司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年产施工升降机1800台</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51544.6</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17</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79</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玻璃纤维</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广东省合高复合材料有限公司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年产玻璃纤维及增塑产品24200吨</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27017.8</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20</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80</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铜材</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韶关南源铜材有限公司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年产含铅黄铜棒1</w:t>
                  </w:r>
                  <w:r>
                    <w:rPr>
                      <w:color w:val="auto"/>
                      <w:spacing w:val="-2"/>
                      <w:kern w:val="0"/>
                    </w:rPr>
                    <w:t>8000</w:t>
                  </w:r>
                  <w:r>
                    <w:rPr>
                      <w:rFonts w:hint="eastAsia"/>
                      <w:color w:val="auto"/>
                      <w:spacing w:val="-2"/>
                      <w:kern w:val="0"/>
                    </w:rPr>
                    <w:t>吨、无铅黄铜棒1</w:t>
                  </w:r>
                  <w:r>
                    <w:rPr>
                      <w:color w:val="auto"/>
                      <w:spacing w:val="-2"/>
                      <w:kern w:val="0"/>
                    </w:rPr>
                    <w:t>2000</w:t>
                  </w:r>
                  <w:r>
                    <w:rPr>
                      <w:rFonts w:hint="eastAsia"/>
                      <w:color w:val="auto"/>
                      <w:spacing w:val="-2"/>
                      <w:kern w:val="0"/>
                    </w:rPr>
                    <w:t>吨</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4</w:t>
                  </w:r>
                  <w:r>
                    <w:rPr>
                      <w:color w:val="auto"/>
                      <w:spacing w:val="-2"/>
                      <w:kern w:val="0"/>
                    </w:rPr>
                    <w:t>4981.3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21</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81</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金属制品</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广东启轮金属制品有限公司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年产脚轮100万个</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22</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82</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应急装备</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德尔安科技（广东）有限公司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年产500万具应急装备及配套原材料</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27672.2</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23</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83</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彩盒包装</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添亿包装（广东）有限公司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年产彩盒10亿套</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16564.72</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24</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84</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人防门配件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精信（乐昌）机械有限公司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年产人防门配件1</w:t>
                  </w:r>
                  <w:r>
                    <w:rPr>
                      <w:color w:val="auto"/>
                      <w:spacing w:val="-2"/>
                      <w:kern w:val="0"/>
                    </w:rPr>
                    <w:t>1250</w:t>
                  </w:r>
                  <w:r>
                    <w:rPr>
                      <w:rFonts w:hint="eastAsia"/>
                      <w:color w:val="auto"/>
                      <w:spacing w:val="-2"/>
                      <w:kern w:val="0"/>
                    </w:rPr>
                    <w:t>套</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w:t>
                  </w:r>
                  <w:r>
                    <w:rPr>
                      <w:color w:val="auto"/>
                      <w:spacing w:val="-2"/>
                      <w:kern w:val="0"/>
                    </w:rPr>
                    <w:t>6950.3</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25</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85</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人防门配件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广东精准人防设备有限公司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年产人防门配件10000t，年产锡铋件60t</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29</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86</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污水处理设备</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合续环境科技（乐昌）有限公司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年产中国罐卧罐1000套、贝斯500套</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6480</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28</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87</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搪瓷制品、通用零部件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乐昌市钜宝科技制造有限公司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年产搪瓷铸铁件1000t，年喷粉1000t，年加工铸铁件6000t</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10200</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color w:val="auto"/>
                      <w:spacing w:val="-2"/>
                      <w:kern w:val="0"/>
                    </w:rPr>
                    <w:t>韶环乐审[2021]</w:t>
                  </w:r>
                  <w:r>
                    <w:rPr>
                      <w:rFonts w:hint="eastAsia"/>
                      <w:color w:val="auto"/>
                      <w:spacing w:val="-2"/>
                      <w:kern w:val="0"/>
                    </w:rPr>
                    <w:t>30</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88</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矿山机械配件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乐昌市保利发矿山机械配件有限公司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年产破碎机边板3000t、锤头2000t和配件5000t</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highlight w:val="yellow"/>
                    </w:rPr>
                  </w:pPr>
                  <w:r>
                    <w:rPr>
                      <w:color w:val="auto"/>
                      <w:spacing w:val="-2"/>
                      <w:kern w:val="0"/>
                    </w:rPr>
                    <w:t>韶环乐审[202</w:t>
                  </w:r>
                  <w:r>
                    <w:rPr>
                      <w:rFonts w:hint="eastAsia"/>
                      <w:color w:val="auto"/>
                      <w:spacing w:val="-2"/>
                      <w:kern w:val="0"/>
                    </w:rPr>
                    <w:t>2</w:t>
                  </w:r>
                  <w:r>
                    <w:rPr>
                      <w:color w:val="auto"/>
                      <w:spacing w:val="-2"/>
                      <w:kern w:val="0"/>
                    </w:rPr>
                    <w:t>]</w:t>
                  </w:r>
                  <w:r>
                    <w:rPr>
                      <w:rFonts w:hint="eastAsia"/>
                      <w:color w:val="auto"/>
                      <w:spacing w:val="-2"/>
                      <w:kern w:val="0"/>
                    </w:rPr>
                    <w:t>16</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89</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通信设备</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广东中衡能源设备有限公司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年产移动通信基站设备3万套、机柜2万套</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w:t>
                  </w:r>
                  <w:r>
                    <w:rPr>
                      <w:color w:val="auto"/>
                      <w:spacing w:val="-2"/>
                      <w:kern w:val="0"/>
                    </w:rPr>
                    <w:t>3940.57</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highlight w:val="yellow"/>
                    </w:rPr>
                  </w:pPr>
                  <w:r>
                    <w:rPr>
                      <w:color w:val="auto"/>
                      <w:spacing w:val="-2"/>
                      <w:kern w:val="0"/>
                    </w:rPr>
                    <w:t>韶环乐审[202</w:t>
                  </w:r>
                  <w:r>
                    <w:rPr>
                      <w:rFonts w:hint="eastAsia"/>
                      <w:color w:val="auto"/>
                      <w:spacing w:val="-2"/>
                      <w:kern w:val="0"/>
                    </w:rPr>
                    <w:t>2</w:t>
                  </w:r>
                  <w:r>
                    <w:rPr>
                      <w:color w:val="auto"/>
                      <w:spacing w:val="-2"/>
                      <w:kern w:val="0"/>
                    </w:rPr>
                    <w:t>]</w:t>
                  </w:r>
                  <w:r>
                    <w:rPr>
                      <w:rFonts w:hint="eastAsia"/>
                      <w:color w:val="auto"/>
                      <w:spacing w:val="-2"/>
                      <w:kern w:val="0"/>
                    </w:rPr>
                    <w:t>12</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90</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开关电源</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广东先领电源有限公司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年产600万只开关电源</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2686</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highlight w:val="yellow"/>
                    </w:rPr>
                  </w:pPr>
                  <w:r>
                    <w:rPr>
                      <w:color w:val="auto"/>
                      <w:spacing w:val="-2"/>
                      <w:kern w:val="0"/>
                    </w:rPr>
                    <w:t>韶环乐审[202</w:t>
                  </w:r>
                  <w:r>
                    <w:rPr>
                      <w:rFonts w:hint="eastAsia"/>
                      <w:color w:val="auto"/>
                      <w:spacing w:val="-2"/>
                      <w:kern w:val="0"/>
                    </w:rPr>
                    <w:t>2</w:t>
                  </w:r>
                  <w:r>
                    <w:rPr>
                      <w:color w:val="auto"/>
                      <w:spacing w:val="-2"/>
                      <w:kern w:val="0"/>
                    </w:rPr>
                    <w:t>]</w:t>
                  </w:r>
                  <w:r>
                    <w:rPr>
                      <w:rFonts w:hint="eastAsia"/>
                      <w:color w:val="auto"/>
                      <w:spacing w:val="-2"/>
                      <w:kern w:val="0"/>
                    </w:rPr>
                    <w:t>15</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91</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精工制造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乐昌市宏信精工制造有限公司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年产4000t球墨铸铁和6000t灰口铸铁</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highlight w:val="yellow"/>
                    </w:rPr>
                  </w:pPr>
                  <w:r>
                    <w:rPr>
                      <w:color w:val="auto"/>
                      <w:spacing w:val="-2"/>
                      <w:kern w:val="0"/>
                    </w:rPr>
                    <w:t>韶环乐审[202</w:t>
                  </w:r>
                  <w:r>
                    <w:rPr>
                      <w:rFonts w:hint="eastAsia"/>
                      <w:color w:val="auto"/>
                      <w:spacing w:val="-2"/>
                      <w:kern w:val="0"/>
                    </w:rPr>
                    <w:t>2</w:t>
                  </w:r>
                  <w:r>
                    <w:rPr>
                      <w:color w:val="auto"/>
                      <w:spacing w:val="-2"/>
                      <w:kern w:val="0"/>
                    </w:rPr>
                    <w:t>]</w:t>
                  </w:r>
                  <w:r>
                    <w:rPr>
                      <w:rFonts w:hint="eastAsia"/>
                      <w:color w:val="auto"/>
                      <w:spacing w:val="-2"/>
                      <w:kern w:val="0"/>
                    </w:rPr>
                    <w:t>23</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92</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厨具</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广东弘德宝厨具有限公司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年产铸铁厨房用具25000吨</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26640</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highlight w:val="yellow"/>
                    </w:rPr>
                  </w:pPr>
                  <w:r>
                    <w:rPr>
                      <w:color w:val="auto"/>
                      <w:spacing w:val="-2"/>
                      <w:kern w:val="0"/>
                    </w:rPr>
                    <w:t>韶环乐审[202</w:t>
                  </w:r>
                  <w:r>
                    <w:rPr>
                      <w:rFonts w:hint="eastAsia"/>
                      <w:color w:val="auto"/>
                      <w:spacing w:val="-2"/>
                      <w:kern w:val="0"/>
                    </w:rPr>
                    <w:t>2</w:t>
                  </w:r>
                  <w:r>
                    <w:rPr>
                      <w:color w:val="auto"/>
                      <w:spacing w:val="-2"/>
                      <w:kern w:val="0"/>
                    </w:rPr>
                    <w:t>]</w:t>
                  </w:r>
                  <w:r>
                    <w:rPr>
                      <w:rFonts w:hint="eastAsia"/>
                      <w:color w:val="auto"/>
                      <w:spacing w:val="-2"/>
                      <w:kern w:val="0"/>
                    </w:rPr>
                    <w:t>18</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93</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塑料桶制造</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广东嘉上实业有限公司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年产5</w:t>
                  </w:r>
                  <w:r>
                    <w:rPr>
                      <w:color w:val="auto"/>
                      <w:spacing w:val="-2"/>
                      <w:kern w:val="0"/>
                    </w:rPr>
                    <w:t>00</w:t>
                  </w:r>
                  <w:r>
                    <w:rPr>
                      <w:rFonts w:hint="eastAsia"/>
                      <w:color w:val="auto"/>
                      <w:spacing w:val="-2"/>
                      <w:kern w:val="0"/>
                    </w:rPr>
                    <w:t>万个塑料桶</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1</w:t>
                  </w:r>
                  <w:r>
                    <w:rPr>
                      <w:color w:val="auto"/>
                      <w:spacing w:val="-2"/>
                      <w:kern w:val="0"/>
                    </w:rPr>
                    <w:t>2926.42</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highlight w:val="yellow"/>
                    </w:rPr>
                  </w:pPr>
                  <w:r>
                    <w:rPr>
                      <w:color w:val="auto"/>
                      <w:spacing w:val="-2"/>
                      <w:kern w:val="0"/>
                    </w:rPr>
                    <w:t>韶环乐审[202</w:t>
                  </w:r>
                  <w:r>
                    <w:rPr>
                      <w:rFonts w:hint="eastAsia"/>
                      <w:color w:val="auto"/>
                      <w:spacing w:val="-2"/>
                      <w:kern w:val="0"/>
                    </w:rPr>
                    <w:t>2</w:t>
                  </w:r>
                  <w:r>
                    <w:rPr>
                      <w:color w:val="auto"/>
                      <w:spacing w:val="-2"/>
                      <w:kern w:val="0"/>
                    </w:rPr>
                    <w:t>]</w:t>
                  </w:r>
                  <w:r>
                    <w:rPr>
                      <w:rFonts w:hint="eastAsia"/>
                      <w:color w:val="auto"/>
                      <w:spacing w:val="-2"/>
                      <w:kern w:val="0"/>
                    </w:rPr>
                    <w:t>21</w:t>
                  </w:r>
                  <w:r>
                    <w:rPr>
                      <w:color w:val="auto"/>
                      <w:spacing w:val="-2"/>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jc w:val="center"/>
              </w:trPr>
              <w:tc>
                <w:tcPr>
                  <w:tcW w:w="50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widowControl/>
                    <w:autoSpaceDE w:val="0"/>
                    <w:jc w:val="center"/>
                    <w:textAlignment w:val="center"/>
                    <w:rPr>
                      <w:color w:val="auto"/>
                      <w:szCs w:val="21"/>
                    </w:rPr>
                  </w:pPr>
                  <w:r>
                    <w:rPr>
                      <w:rFonts w:hint="eastAsia"/>
                      <w:color w:val="auto"/>
                      <w:szCs w:val="21"/>
                    </w:rPr>
                    <w:t>94</w:t>
                  </w:r>
                </w:p>
              </w:tc>
              <w:tc>
                <w:tcPr>
                  <w:tcW w:w="58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在建</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汽车配件</w:t>
                  </w:r>
                </w:p>
              </w:tc>
              <w:tc>
                <w:tcPr>
                  <w:tcW w:w="1326"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广东奕宸汽车科技有限公司</w:t>
                  </w:r>
                </w:p>
              </w:tc>
              <w:tc>
                <w:tcPr>
                  <w:tcW w:w="1905"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rPr>
                  </w:pPr>
                  <w:r>
                    <w:rPr>
                      <w:rFonts w:hint="eastAsia"/>
                      <w:color w:val="auto"/>
                      <w:spacing w:val="-2"/>
                      <w:kern w:val="0"/>
                    </w:rPr>
                    <w:t>年产汽车散热器50万件</w:t>
                  </w:r>
                </w:p>
              </w:tc>
              <w:tc>
                <w:tcPr>
                  <w:tcW w:w="961"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autoSpaceDE w:val="0"/>
                    <w:jc w:val="center"/>
                    <w:rPr>
                      <w:color w:val="auto"/>
                      <w:spacing w:val="-2"/>
                      <w:kern w:val="0"/>
                    </w:rPr>
                  </w:pPr>
                  <w:r>
                    <w:rPr>
                      <w:rFonts w:hint="eastAsia"/>
                      <w:color w:val="auto"/>
                      <w:spacing w:val="-2"/>
                      <w:kern w:val="0"/>
                    </w:rPr>
                    <w:t>3</w:t>
                  </w:r>
                  <w:r>
                    <w:rPr>
                      <w:color w:val="auto"/>
                      <w:spacing w:val="-2"/>
                      <w:kern w:val="0"/>
                    </w:rPr>
                    <w:t>3915.52</w:t>
                  </w:r>
                </w:p>
              </w:tc>
              <w:tc>
                <w:tcPr>
                  <w:tcW w:w="141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pPr>
                    <w:widowControl/>
                    <w:autoSpaceDE w:val="0"/>
                    <w:jc w:val="center"/>
                    <w:textAlignment w:val="center"/>
                    <w:rPr>
                      <w:color w:val="auto"/>
                      <w:spacing w:val="-2"/>
                      <w:kern w:val="0"/>
                      <w:highlight w:val="yellow"/>
                    </w:rPr>
                  </w:pPr>
                  <w:r>
                    <w:rPr>
                      <w:color w:val="auto"/>
                      <w:spacing w:val="-2"/>
                      <w:kern w:val="0"/>
                    </w:rPr>
                    <w:t>韶环乐审[202</w:t>
                  </w:r>
                  <w:r>
                    <w:rPr>
                      <w:rFonts w:hint="eastAsia"/>
                      <w:color w:val="auto"/>
                      <w:spacing w:val="-2"/>
                      <w:kern w:val="0"/>
                    </w:rPr>
                    <w:t>2</w:t>
                  </w:r>
                  <w:r>
                    <w:rPr>
                      <w:color w:val="auto"/>
                      <w:spacing w:val="-2"/>
                      <w:kern w:val="0"/>
                    </w:rPr>
                    <w:t>]</w:t>
                  </w:r>
                  <w:r>
                    <w:rPr>
                      <w:rFonts w:hint="eastAsia"/>
                      <w:color w:val="auto"/>
                      <w:spacing w:val="-2"/>
                      <w:kern w:val="0"/>
                    </w:rPr>
                    <w:t>28</w:t>
                  </w:r>
                  <w:r>
                    <w:rPr>
                      <w:color w:val="auto"/>
                      <w:spacing w:val="-2"/>
                      <w:kern w:val="0"/>
                    </w:rPr>
                    <w:t>号</w:t>
                  </w:r>
                </w:p>
              </w:tc>
            </w:tr>
          </w:tbl>
          <w:p>
            <w:pPr>
              <w:spacing w:before="120" w:beforeLines="50" w:line="360" w:lineRule="auto"/>
              <w:jc w:val="center"/>
              <w:rPr>
                <w:b/>
                <w:color w:val="auto"/>
                <w:sz w:val="24"/>
              </w:rPr>
            </w:pPr>
            <w:r>
              <w:rPr>
                <w:b/>
                <w:color w:val="auto"/>
                <w:sz w:val="24"/>
              </w:rPr>
              <w:t>表</w:t>
            </w:r>
            <w:bookmarkEnd w:id="10"/>
            <w:r>
              <w:rPr>
                <w:rFonts w:hint="eastAsia"/>
                <w:b/>
                <w:color w:val="auto"/>
                <w:sz w:val="24"/>
                <w:lang w:val="en-US" w:eastAsia="zh-CN"/>
              </w:rPr>
              <w:t>2-6</w:t>
            </w:r>
            <w:r>
              <w:rPr>
                <w:b/>
                <w:color w:val="auto"/>
                <w:sz w:val="24"/>
              </w:rPr>
              <w:t xml:space="preserve"> </w:t>
            </w:r>
            <w:r>
              <w:rPr>
                <w:rFonts w:hint="eastAsia"/>
                <w:b/>
                <w:color w:val="auto"/>
                <w:sz w:val="24"/>
              </w:rPr>
              <w:t>园区</w:t>
            </w:r>
            <w:r>
              <w:rPr>
                <w:b/>
                <w:color w:val="auto"/>
                <w:sz w:val="24"/>
              </w:rPr>
              <w:t>已通过审批企业三废排放情况汇总表  单位：t/a</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28"/>
              <w:gridCol w:w="1487"/>
              <w:gridCol w:w="2572"/>
              <w:gridCol w:w="31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3078" w:type="pct"/>
                  <w:gridSpan w:val="3"/>
                  <w:vAlign w:val="center"/>
                </w:tcPr>
                <w:p>
                  <w:pPr>
                    <w:jc w:val="center"/>
                    <w:rPr>
                      <w:color w:val="auto"/>
                      <w:szCs w:val="21"/>
                    </w:rPr>
                  </w:pPr>
                  <w:r>
                    <w:rPr>
                      <w:b/>
                      <w:bCs/>
                      <w:color w:val="auto"/>
                    </w:rPr>
                    <w:t>环境影响因素</w:t>
                  </w:r>
                </w:p>
              </w:tc>
              <w:tc>
                <w:tcPr>
                  <w:tcW w:w="1921" w:type="pct"/>
                  <w:vAlign w:val="center"/>
                </w:tcPr>
                <w:p>
                  <w:pPr>
                    <w:jc w:val="center"/>
                    <w:rPr>
                      <w:color w:val="auto"/>
                    </w:rPr>
                  </w:pPr>
                  <w:r>
                    <w:rPr>
                      <w:b/>
                      <w:bCs/>
                      <w:color w:val="auto"/>
                    </w:rPr>
                    <w:t>排放量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restart"/>
                  <w:vAlign w:val="center"/>
                </w:tcPr>
                <w:p>
                  <w:pPr>
                    <w:jc w:val="center"/>
                    <w:rPr>
                      <w:color w:val="auto"/>
                    </w:rPr>
                  </w:pPr>
                  <w:r>
                    <w:rPr>
                      <w:color w:val="auto"/>
                    </w:rPr>
                    <w:t>废水</w:t>
                  </w:r>
                </w:p>
              </w:tc>
              <w:tc>
                <w:tcPr>
                  <w:tcW w:w="918" w:type="pct"/>
                  <w:vMerge w:val="restart"/>
                  <w:vAlign w:val="center"/>
                </w:tcPr>
                <w:p>
                  <w:pPr>
                    <w:jc w:val="center"/>
                    <w:rPr>
                      <w:color w:val="auto"/>
                    </w:rPr>
                  </w:pPr>
                  <w:r>
                    <w:rPr>
                      <w:color w:val="auto"/>
                    </w:rPr>
                    <w:t>废水</w:t>
                  </w:r>
                </w:p>
              </w:tc>
              <w:tc>
                <w:tcPr>
                  <w:tcW w:w="1587" w:type="pct"/>
                  <w:vAlign w:val="center"/>
                </w:tcPr>
                <w:p>
                  <w:pPr>
                    <w:jc w:val="center"/>
                    <w:rPr>
                      <w:color w:val="auto"/>
                    </w:rPr>
                  </w:pPr>
                  <w:r>
                    <w:rPr>
                      <w:color w:val="auto"/>
                    </w:rPr>
                    <w:t>废水量（m</w:t>
                  </w:r>
                  <w:r>
                    <w:rPr>
                      <w:color w:val="auto"/>
                      <w:vertAlign w:val="superscript"/>
                    </w:rPr>
                    <w:t>3</w:t>
                  </w:r>
                  <w:r>
                    <w:rPr>
                      <w:color w:val="auto"/>
                    </w:rPr>
                    <w:t>/d）</w:t>
                  </w:r>
                </w:p>
              </w:tc>
              <w:tc>
                <w:tcPr>
                  <w:tcW w:w="1921" w:type="pct"/>
                  <w:vAlign w:val="center"/>
                </w:tcPr>
                <w:p>
                  <w:pPr>
                    <w:jc w:val="center"/>
                    <w:rPr>
                      <w:color w:val="auto"/>
                    </w:rPr>
                  </w:pPr>
                  <w:r>
                    <w:rPr>
                      <w:color w:val="auto"/>
                    </w:rPr>
                    <w:t>3431.35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continue"/>
                  <w:vAlign w:val="center"/>
                </w:tcPr>
                <w:p>
                  <w:pPr>
                    <w:widowControl/>
                    <w:jc w:val="left"/>
                    <w:rPr>
                      <w:color w:val="auto"/>
                      <w:szCs w:val="21"/>
                    </w:rPr>
                  </w:pPr>
                </w:p>
              </w:tc>
              <w:tc>
                <w:tcPr>
                  <w:tcW w:w="918" w:type="pct"/>
                  <w:vMerge w:val="continue"/>
                  <w:vAlign w:val="center"/>
                </w:tcPr>
                <w:p>
                  <w:pPr>
                    <w:widowControl/>
                    <w:jc w:val="left"/>
                    <w:rPr>
                      <w:color w:val="auto"/>
                      <w:szCs w:val="21"/>
                    </w:rPr>
                  </w:pPr>
                </w:p>
              </w:tc>
              <w:tc>
                <w:tcPr>
                  <w:tcW w:w="1587" w:type="pct"/>
                  <w:vAlign w:val="center"/>
                </w:tcPr>
                <w:p>
                  <w:pPr>
                    <w:jc w:val="center"/>
                    <w:rPr>
                      <w:color w:val="auto"/>
                    </w:rPr>
                  </w:pPr>
                  <w:r>
                    <w:rPr>
                      <w:color w:val="auto"/>
                    </w:rPr>
                    <w:t>COD（t/a）</w:t>
                  </w:r>
                </w:p>
              </w:tc>
              <w:tc>
                <w:tcPr>
                  <w:tcW w:w="1921" w:type="pct"/>
                  <w:vAlign w:val="center"/>
                </w:tcPr>
                <w:p>
                  <w:pPr>
                    <w:jc w:val="center"/>
                    <w:rPr>
                      <w:color w:val="auto"/>
                    </w:rPr>
                  </w:pPr>
                  <w:r>
                    <w:rPr>
                      <w:color w:val="auto"/>
                    </w:rPr>
                    <w:t>27.309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continue"/>
                  <w:vAlign w:val="center"/>
                </w:tcPr>
                <w:p>
                  <w:pPr>
                    <w:widowControl/>
                    <w:jc w:val="left"/>
                    <w:rPr>
                      <w:color w:val="auto"/>
                      <w:szCs w:val="21"/>
                    </w:rPr>
                  </w:pPr>
                </w:p>
              </w:tc>
              <w:tc>
                <w:tcPr>
                  <w:tcW w:w="918" w:type="pct"/>
                  <w:vMerge w:val="continue"/>
                  <w:vAlign w:val="center"/>
                </w:tcPr>
                <w:p>
                  <w:pPr>
                    <w:widowControl/>
                    <w:jc w:val="left"/>
                    <w:rPr>
                      <w:color w:val="auto"/>
                      <w:szCs w:val="21"/>
                    </w:rPr>
                  </w:pPr>
                </w:p>
              </w:tc>
              <w:tc>
                <w:tcPr>
                  <w:tcW w:w="1587" w:type="pct"/>
                  <w:vAlign w:val="center"/>
                </w:tcPr>
                <w:p>
                  <w:pPr>
                    <w:jc w:val="center"/>
                    <w:rPr>
                      <w:color w:val="auto"/>
                    </w:rPr>
                  </w:pPr>
                  <w:r>
                    <w:rPr>
                      <w:color w:val="auto"/>
                    </w:rPr>
                    <w:t>氨氮（t/a）</w:t>
                  </w:r>
                </w:p>
              </w:tc>
              <w:tc>
                <w:tcPr>
                  <w:tcW w:w="1921" w:type="pct"/>
                  <w:vAlign w:val="center"/>
                </w:tcPr>
                <w:p>
                  <w:pPr>
                    <w:jc w:val="center"/>
                    <w:rPr>
                      <w:color w:val="auto"/>
                    </w:rPr>
                  </w:pPr>
                  <w:r>
                    <w:rPr>
                      <w:color w:val="auto"/>
                    </w:rPr>
                    <w:t>4.619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restart"/>
                  <w:vAlign w:val="center"/>
                </w:tcPr>
                <w:p>
                  <w:pPr>
                    <w:jc w:val="center"/>
                    <w:rPr>
                      <w:color w:val="auto"/>
                    </w:rPr>
                  </w:pPr>
                  <w:r>
                    <w:rPr>
                      <w:color w:val="auto"/>
                    </w:rPr>
                    <w:t>废气</w:t>
                  </w:r>
                </w:p>
              </w:tc>
              <w:tc>
                <w:tcPr>
                  <w:tcW w:w="918" w:type="pct"/>
                  <w:vMerge w:val="restart"/>
                  <w:vAlign w:val="center"/>
                </w:tcPr>
                <w:p>
                  <w:pPr>
                    <w:jc w:val="center"/>
                    <w:rPr>
                      <w:color w:val="auto"/>
                    </w:rPr>
                  </w:pPr>
                  <w:r>
                    <w:rPr>
                      <w:color w:val="auto"/>
                    </w:rPr>
                    <w:t>有组织排放</w:t>
                  </w:r>
                </w:p>
              </w:tc>
              <w:tc>
                <w:tcPr>
                  <w:tcW w:w="1587" w:type="pct"/>
                  <w:vAlign w:val="center"/>
                </w:tcPr>
                <w:p>
                  <w:pPr>
                    <w:jc w:val="center"/>
                    <w:rPr>
                      <w:color w:val="auto"/>
                    </w:rPr>
                  </w:pPr>
                  <w:r>
                    <w:rPr>
                      <w:color w:val="auto"/>
                    </w:rPr>
                    <w:t>SO</w:t>
                  </w:r>
                  <w:r>
                    <w:rPr>
                      <w:color w:val="auto"/>
                      <w:vertAlign w:val="subscript"/>
                    </w:rPr>
                    <w:t>2</w:t>
                  </w:r>
                  <w:r>
                    <w:rPr>
                      <w:color w:val="auto"/>
                    </w:rPr>
                    <w:t>（t/a）</w:t>
                  </w:r>
                </w:p>
              </w:tc>
              <w:tc>
                <w:tcPr>
                  <w:tcW w:w="1921" w:type="pct"/>
                  <w:vAlign w:val="center"/>
                </w:tcPr>
                <w:p>
                  <w:pPr>
                    <w:widowControl/>
                    <w:jc w:val="center"/>
                    <w:rPr>
                      <w:color w:val="auto"/>
                    </w:rPr>
                  </w:pPr>
                  <w:r>
                    <w:rPr>
                      <w:color w:val="auto"/>
                      <w:lang w:bidi="ar"/>
                    </w:rPr>
                    <w:t>3.181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continue"/>
                  <w:vAlign w:val="center"/>
                </w:tcPr>
                <w:p>
                  <w:pPr>
                    <w:widowControl/>
                    <w:jc w:val="left"/>
                    <w:rPr>
                      <w:color w:val="auto"/>
                      <w:szCs w:val="21"/>
                    </w:rPr>
                  </w:pPr>
                </w:p>
              </w:tc>
              <w:tc>
                <w:tcPr>
                  <w:tcW w:w="918" w:type="pct"/>
                  <w:vMerge w:val="continue"/>
                  <w:vAlign w:val="center"/>
                </w:tcPr>
                <w:p>
                  <w:pPr>
                    <w:widowControl/>
                    <w:jc w:val="left"/>
                    <w:rPr>
                      <w:color w:val="auto"/>
                      <w:szCs w:val="21"/>
                    </w:rPr>
                  </w:pPr>
                </w:p>
              </w:tc>
              <w:tc>
                <w:tcPr>
                  <w:tcW w:w="1587" w:type="pct"/>
                  <w:vAlign w:val="center"/>
                </w:tcPr>
                <w:p>
                  <w:pPr>
                    <w:jc w:val="center"/>
                    <w:rPr>
                      <w:color w:val="auto"/>
                    </w:rPr>
                  </w:pPr>
                  <w:r>
                    <w:rPr>
                      <w:color w:val="auto"/>
                    </w:rPr>
                    <w:t>氮氧化物（t/a）</w:t>
                  </w:r>
                </w:p>
              </w:tc>
              <w:tc>
                <w:tcPr>
                  <w:tcW w:w="1921" w:type="pct"/>
                  <w:vAlign w:val="center"/>
                </w:tcPr>
                <w:p>
                  <w:pPr>
                    <w:widowControl/>
                    <w:jc w:val="center"/>
                    <w:rPr>
                      <w:color w:val="auto"/>
                    </w:rPr>
                  </w:pPr>
                  <w:r>
                    <w:rPr>
                      <w:color w:val="auto"/>
                      <w:lang w:bidi="ar"/>
                    </w:rPr>
                    <w:t>18.965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continue"/>
                  <w:vAlign w:val="center"/>
                </w:tcPr>
                <w:p>
                  <w:pPr>
                    <w:widowControl/>
                    <w:jc w:val="left"/>
                    <w:rPr>
                      <w:color w:val="auto"/>
                      <w:szCs w:val="21"/>
                    </w:rPr>
                  </w:pPr>
                </w:p>
              </w:tc>
              <w:tc>
                <w:tcPr>
                  <w:tcW w:w="918" w:type="pct"/>
                  <w:vMerge w:val="continue"/>
                  <w:vAlign w:val="center"/>
                </w:tcPr>
                <w:p>
                  <w:pPr>
                    <w:widowControl/>
                    <w:jc w:val="left"/>
                    <w:rPr>
                      <w:color w:val="auto"/>
                      <w:szCs w:val="21"/>
                    </w:rPr>
                  </w:pPr>
                </w:p>
              </w:tc>
              <w:tc>
                <w:tcPr>
                  <w:tcW w:w="1587" w:type="pct"/>
                  <w:vAlign w:val="center"/>
                </w:tcPr>
                <w:p>
                  <w:pPr>
                    <w:jc w:val="center"/>
                    <w:rPr>
                      <w:color w:val="auto"/>
                    </w:rPr>
                  </w:pPr>
                  <w:r>
                    <w:rPr>
                      <w:color w:val="auto"/>
                    </w:rPr>
                    <w:t>烟（粉）尘（t/a）</w:t>
                  </w:r>
                </w:p>
              </w:tc>
              <w:tc>
                <w:tcPr>
                  <w:tcW w:w="1921" w:type="pct"/>
                  <w:vAlign w:val="center"/>
                </w:tcPr>
                <w:p>
                  <w:pPr>
                    <w:widowControl/>
                    <w:jc w:val="center"/>
                    <w:rPr>
                      <w:color w:val="auto"/>
                    </w:rPr>
                  </w:pPr>
                  <w:r>
                    <w:rPr>
                      <w:color w:val="auto"/>
                      <w:lang w:bidi="ar"/>
                    </w:rPr>
                    <w:t>181.063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continue"/>
                  <w:vAlign w:val="center"/>
                </w:tcPr>
                <w:p>
                  <w:pPr>
                    <w:widowControl/>
                    <w:jc w:val="left"/>
                    <w:rPr>
                      <w:color w:val="auto"/>
                      <w:szCs w:val="21"/>
                    </w:rPr>
                  </w:pPr>
                </w:p>
              </w:tc>
              <w:tc>
                <w:tcPr>
                  <w:tcW w:w="918" w:type="pct"/>
                  <w:vMerge w:val="continue"/>
                  <w:vAlign w:val="center"/>
                </w:tcPr>
                <w:p>
                  <w:pPr>
                    <w:widowControl/>
                    <w:jc w:val="left"/>
                    <w:rPr>
                      <w:color w:val="auto"/>
                      <w:szCs w:val="21"/>
                    </w:rPr>
                  </w:pPr>
                </w:p>
              </w:tc>
              <w:tc>
                <w:tcPr>
                  <w:tcW w:w="1587" w:type="pct"/>
                  <w:vAlign w:val="center"/>
                </w:tcPr>
                <w:p>
                  <w:pPr>
                    <w:jc w:val="center"/>
                    <w:rPr>
                      <w:color w:val="auto"/>
                    </w:rPr>
                  </w:pPr>
                  <w:r>
                    <w:rPr>
                      <w:color w:val="auto"/>
                    </w:rPr>
                    <w:t>非甲烷总烃（t/a）</w:t>
                  </w:r>
                </w:p>
              </w:tc>
              <w:tc>
                <w:tcPr>
                  <w:tcW w:w="1921" w:type="pct"/>
                  <w:vAlign w:val="center"/>
                </w:tcPr>
                <w:p>
                  <w:pPr>
                    <w:widowControl/>
                    <w:jc w:val="center"/>
                    <w:rPr>
                      <w:color w:val="auto"/>
                    </w:rPr>
                  </w:pPr>
                  <w:r>
                    <w:rPr>
                      <w:color w:val="auto"/>
                      <w:lang w:bidi="ar"/>
                    </w:rPr>
                    <w:t>43.837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restart"/>
                  <w:vAlign w:val="center"/>
                </w:tcPr>
                <w:p>
                  <w:pPr>
                    <w:jc w:val="center"/>
                    <w:rPr>
                      <w:color w:val="auto"/>
                    </w:rPr>
                  </w:pPr>
                  <w:r>
                    <w:rPr>
                      <w:color w:val="auto"/>
                    </w:rPr>
                    <w:t>固体</w:t>
                  </w:r>
                </w:p>
                <w:p>
                  <w:pPr>
                    <w:jc w:val="center"/>
                    <w:rPr>
                      <w:color w:val="auto"/>
                    </w:rPr>
                  </w:pPr>
                  <w:r>
                    <w:rPr>
                      <w:color w:val="auto"/>
                    </w:rPr>
                    <w:t>废物</w:t>
                  </w:r>
                </w:p>
              </w:tc>
              <w:tc>
                <w:tcPr>
                  <w:tcW w:w="2506" w:type="pct"/>
                  <w:gridSpan w:val="2"/>
                  <w:vAlign w:val="center"/>
                </w:tcPr>
                <w:p>
                  <w:pPr>
                    <w:jc w:val="center"/>
                    <w:rPr>
                      <w:color w:val="auto"/>
                    </w:rPr>
                  </w:pPr>
                  <w:r>
                    <w:rPr>
                      <w:color w:val="auto"/>
                    </w:rPr>
                    <w:t>危险废物（t/a）</w:t>
                  </w:r>
                </w:p>
              </w:tc>
              <w:tc>
                <w:tcPr>
                  <w:tcW w:w="1921" w:type="pct"/>
                  <w:vAlign w:val="center"/>
                </w:tcPr>
                <w:p>
                  <w:pPr>
                    <w:jc w:val="center"/>
                    <w:rPr>
                      <w:color w:val="auto"/>
                    </w:rPr>
                  </w:pPr>
                  <w:r>
                    <w:rPr>
                      <w:color w:val="auto"/>
                    </w:rPr>
                    <w:t>3374.833（委外处置）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continue"/>
                  <w:vAlign w:val="center"/>
                </w:tcPr>
                <w:p>
                  <w:pPr>
                    <w:widowControl/>
                    <w:jc w:val="left"/>
                    <w:rPr>
                      <w:color w:val="auto"/>
                      <w:szCs w:val="21"/>
                    </w:rPr>
                  </w:pPr>
                </w:p>
              </w:tc>
              <w:tc>
                <w:tcPr>
                  <w:tcW w:w="2506" w:type="pct"/>
                  <w:gridSpan w:val="2"/>
                  <w:vAlign w:val="center"/>
                </w:tcPr>
                <w:p>
                  <w:pPr>
                    <w:jc w:val="center"/>
                    <w:rPr>
                      <w:color w:val="auto"/>
                    </w:rPr>
                  </w:pPr>
                  <w:r>
                    <w:rPr>
                      <w:color w:val="auto"/>
                    </w:rPr>
                    <w:t>一般固废（t/a）</w:t>
                  </w:r>
                </w:p>
              </w:tc>
              <w:tc>
                <w:tcPr>
                  <w:tcW w:w="1921" w:type="pct"/>
                  <w:vAlign w:val="center"/>
                </w:tcPr>
                <w:p>
                  <w:pPr>
                    <w:jc w:val="center"/>
                    <w:rPr>
                      <w:color w:val="auto"/>
                    </w:rPr>
                  </w:pPr>
                  <w:r>
                    <w:rPr>
                      <w:rFonts w:hint="eastAsia"/>
                      <w:color w:val="auto"/>
                    </w:rPr>
                    <w:t>3</w:t>
                  </w:r>
                  <w:r>
                    <w:rPr>
                      <w:color w:val="auto"/>
                    </w:rPr>
                    <w:t>5762.13（综合利用，环卫清运）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572" w:type="pct"/>
                  <w:vMerge w:val="continue"/>
                  <w:vAlign w:val="center"/>
                </w:tcPr>
                <w:p>
                  <w:pPr>
                    <w:widowControl/>
                    <w:jc w:val="left"/>
                    <w:rPr>
                      <w:color w:val="auto"/>
                      <w:szCs w:val="21"/>
                    </w:rPr>
                  </w:pPr>
                </w:p>
              </w:tc>
              <w:tc>
                <w:tcPr>
                  <w:tcW w:w="2506" w:type="pct"/>
                  <w:gridSpan w:val="2"/>
                  <w:vAlign w:val="center"/>
                </w:tcPr>
                <w:p>
                  <w:pPr>
                    <w:jc w:val="center"/>
                    <w:rPr>
                      <w:color w:val="auto"/>
                    </w:rPr>
                  </w:pPr>
                  <w:r>
                    <w:rPr>
                      <w:color w:val="auto"/>
                    </w:rPr>
                    <w:t>生活垃圾（t/a）</w:t>
                  </w:r>
                </w:p>
              </w:tc>
              <w:tc>
                <w:tcPr>
                  <w:tcW w:w="1921" w:type="pct"/>
                  <w:vAlign w:val="center"/>
                </w:tcPr>
                <w:p>
                  <w:pPr>
                    <w:jc w:val="center"/>
                    <w:rPr>
                      <w:color w:val="auto"/>
                    </w:rPr>
                  </w:pPr>
                  <w:r>
                    <w:rPr>
                      <w:color w:val="auto"/>
                    </w:rPr>
                    <w:t>2827.08（环卫清运）</w:t>
                  </w:r>
                </w:p>
              </w:tc>
            </w:tr>
          </w:tbl>
          <w:p>
            <w:pPr>
              <w:adjustRightInd w:val="0"/>
              <w:snapToGrid w:val="0"/>
              <w:spacing w:before="120" w:beforeLines="50" w:line="360" w:lineRule="auto"/>
              <w:ind w:firstLine="482" w:firstLineChars="200"/>
              <w:rPr>
                <w:b/>
                <w:color w:val="auto"/>
                <w:sz w:val="24"/>
                <w:szCs w:val="20"/>
              </w:rPr>
            </w:pPr>
            <w:r>
              <w:rPr>
                <w:b/>
                <w:color w:val="auto"/>
                <w:sz w:val="24"/>
                <w:szCs w:val="20"/>
              </w:rPr>
              <w:t>3.主要环境问题</w:t>
            </w:r>
          </w:p>
          <w:p>
            <w:pPr>
              <w:adjustRightInd w:val="0"/>
              <w:snapToGrid w:val="0"/>
              <w:spacing w:line="360" w:lineRule="auto"/>
              <w:ind w:firstLine="480" w:firstLineChars="200"/>
              <w:rPr>
                <w:color w:val="auto"/>
                <w:sz w:val="24"/>
                <w:szCs w:val="20"/>
              </w:rPr>
            </w:pPr>
            <w:r>
              <w:rPr>
                <w:rFonts w:hint="eastAsia"/>
                <w:color w:val="auto"/>
                <w:sz w:val="24"/>
              </w:rPr>
              <w:t>本项目周边规划企业分布详见附图5，项目北面为博生家具、共力，南面、西面为未开发区域，东面为博生家具。从区域环境质量现状来看，项目所在区域各环境要素均能符合环境质量标准要求，环境质量良好，无突出环境问题。</w:t>
            </w: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560"/>
              <w:rPr>
                <w:color w:val="auto"/>
              </w:rPr>
            </w:pPr>
          </w:p>
          <w:p>
            <w:pPr>
              <w:pStyle w:val="43"/>
              <w:ind w:firstLine="0" w:firstLineChars="0"/>
              <w:rPr>
                <w:color w:val="auto"/>
              </w:rPr>
            </w:pPr>
          </w:p>
        </w:tc>
      </w:tr>
    </w:tbl>
    <w:p>
      <w:pPr>
        <w:pStyle w:val="23"/>
        <w:jc w:val="center"/>
        <w:rPr>
          <w:rFonts w:ascii="Times New Roman" w:hAnsi="Times New Roman" w:eastAsia="黑体"/>
          <w:snapToGrid w:val="0"/>
          <w:color w:val="auto"/>
          <w:sz w:val="36"/>
          <w:szCs w:val="36"/>
        </w:rPr>
        <w:sectPr>
          <w:pgSz w:w="11906" w:h="16838"/>
          <w:pgMar w:top="1701" w:right="1531" w:bottom="1701" w:left="1531" w:header="851" w:footer="851" w:gutter="0"/>
          <w:pgNumType w:fmt="decimal"/>
          <w:cols w:space="720" w:num="1"/>
          <w:docGrid w:linePitch="312" w:charSpace="0"/>
        </w:sectPr>
      </w:pPr>
    </w:p>
    <w:p>
      <w:pPr>
        <w:pStyle w:val="23"/>
        <w:spacing w:before="0" w:beforeAutospacing="0" w:after="0" w:afterAutospacing="0" w:line="360" w:lineRule="auto"/>
        <w:jc w:val="center"/>
        <w:outlineLvl w:val="0"/>
        <w:rPr>
          <w:rFonts w:ascii="Times New Roman" w:hAnsi="Times New Roman" w:eastAsia="黑体"/>
          <w:snapToGrid w:val="0"/>
          <w:color w:val="auto"/>
          <w:sz w:val="30"/>
          <w:szCs w:val="30"/>
        </w:rPr>
      </w:pPr>
      <w:bookmarkStart w:id="11" w:name="_Toc29510"/>
      <w:bookmarkStart w:id="12" w:name="_Toc9412"/>
      <w:r>
        <w:rPr>
          <w:rFonts w:ascii="Times New Roman" w:hAnsi="Times New Roman" w:eastAsia="黑体"/>
          <w:snapToGrid w:val="0"/>
          <w:color w:val="auto"/>
          <w:sz w:val="30"/>
          <w:szCs w:val="30"/>
        </w:rPr>
        <w:t>三、区域环境质量现状、环境保护目标及评价标准</w:t>
      </w:r>
      <w:bookmarkEnd w:id="11"/>
      <w:bookmarkEnd w:id="12"/>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81"/>
        <w:gridCol w:w="828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87" w:hRule="atLeast"/>
          <w:jc w:val="center"/>
        </w:trPr>
        <w:tc>
          <w:tcPr>
            <w:tcW w:w="781" w:type="dxa"/>
            <w:vAlign w:val="center"/>
          </w:tcPr>
          <w:p>
            <w:pPr>
              <w:adjustRightInd w:val="0"/>
              <w:snapToGrid w:val="0"/>
              <w:jc w:val="center"/>
              <w:rPr>
                <w:color w:val="auto"/>
                <w:kern w:val="0"/>
                <w:sz w:val="24"/>
              </w:rPr>
            </w:pPr>
            <w:r>
              <w:rPr>
                <w:color w:val="auto"/>
                <w:kern w:val="0"/>
                <w:sz w:val="24"/>
              </w:rPr>
              <w:t>区域</w:t>
            </w:r>
          </w:p>
          <w:p>
            <w:pPr>
              <w:adjustRightInd w:val="0"/>
              <w:snapToGrid w:val="0"/>
              <w:jc w:val="center"/>
              <w:rPr>
                <w:color w:val="auto"/>
                <w:kern w:val="0"/>
                <w:sz w:val="24"/>
              </w:rPr>
            </w:pPr>
            <w:r>
              <w:rPr>
                <w:color w:val="auto"/>
                <w:kern w:val="0"/>
                <w:sz w:val="24"/>
              </w:rPr>
              <w:t>环境</w:t>
            </w:r>
          </w:p>
          <w:p>
            <w:pPr>
              <w:adjustRightInd w:val="0"/>
              <w:snapToGrid w:val="0"/>
              <w:jc w:val="center"/>
              <w:rPr>
                <w:color w:val="auto"/>
                <w:kern w:val="0"/>
                <w:sz w:val="24"/>
              </w:rPr>
            </w:pPr>
            <w:r>
              <w:rPr>
                <w:color w:val="auto"/>
                <w:kern w:val="0"/>
                <w:sz w:val="24"/>
              </w:rPr>
              <w:t>质量</w:t>
            </w:r>
          </w:p>
          <w:p>
            <w:pPr>
              <w:adjustRightInd w:val="0"/>
              <w:snapToGrid w:val="0"/>
              <w:jc w:val="center"/>
              <w:rPr>
                <w:color w:val="auto"/>
                <w:kern w:val="0"/>
                <w:szCs w:val="21"/>
              </w:rPr>
            </w:pPr>
            <w:r>
              <w:rPr>
                <w:color w:val="auto"/>
                <w:kern w:val="0"/>
                <w:sz w:val="24"/>
              </w:rPr>
              <w:t>现状</w:t>
            </w:r>
          </w:p>
        </w:tc>
        <w:tc>
          <w:tcPr>
            <w:tcW w:w="8280" w:type="dxa"/>
            <w:vAlign w:val="center"/>
          </w:tcPr>
          <w:p>
            <w:pPr>
              <w:pStyle w:val="13"/>
              <w:adjustRightInd w:val="0"/>
              <w:snapToGrid w:val="0"/>
              <w:spacing w:before="120" w:beforeLines="50" w:line="360" w:lineRule="auto"/>
              <w:ind w:firstLine="482" w:firstLineChars="200"/>
              <w:rPr>
                <w:rFonts w:ascii="Times New Roman" w:hAnsi="Times New Roman" w:cs="Times New Roman"/>
                <w:b/>
                <w:color w:val="auto"/>
                <w:kern w:val="0"/>
                <w:sz w:val="24"/>
                <w:szCs w:val="24"/>
              </w:rPr>
            </w:pPr>
            <w:r>
              <w:rPr>
                <w:rFonts w:ascii="Times New Roman" w:hAnsi="Times New Roman" w:cs="Times New Roman"/>
                <w:b/>
                <w:color w:val="auto"/>
                <w:kern w:val="0"/>
                <w:sz w:val="24"/>
                <w:szCs w:val="24"/>
              </w:rPr>
              <w:t>1.环境空气质量现状</w:t>
            </w:r>
          </w:p>
          <w:p>
            <w:pPr>
              <w:spacing w:line="360" w:lineRule="auto"/>
              <w:ind w:firstLine="480" w:firstLineChars="200"/>
              <w:rPr>
                <w:color w:val="auto"/>
                <w:sz w:val="24"/>
              </w:rPr>
            </w:pPr>
            <w:r>
              <w:rPr>
                <w:rFonts w:hint="eastAsia"/>
                <w:color w:val="auto"/>
                <w:sz w:val="24"/>
              </w:rPr>
              <w:t>①区域环境空气质量达标区判定</w:t>
            </w:r>
          </w:p>
          <w:p>
            <w:pPr>
              <w:spacing w:line="360" w:lineRule="auto"/>
              <w:ind w:firstLine="480" w:firstLineChars="200"/>
              <w:rPr>
                <w:color w:val="auto"/>
                <w:sz w:val="24"/>
              </w:rPr>
            </w:pPr>
            <w:r>
              <w:rPr>
                <w:color w:val="auto"/>
                <w:sz w:val="24"/>
              </w:rPr>
              <w:t>根据《韶关市生态</w:t>
            </w:r>
            <w:r>
              <w:rPr>
                <w:rFonts w:hint="eastAsia"/>
                <w:color w:val="auto"/>
                <w:sz w:val="24"/>
              </w:rPr>
              <w:t>环境保护</w:t>
            </w:r>
            <w:r>
              <w:rPr>
                <w:color w:val="auto"/>
                <w:sz w:val="24"/>
              </w:rPr>
              <w:t>战略规划（202</w:t>
            </w:r>
            <w:r>
              <w:rPr>
                <w:rFonts w:hint="eastAsia"/>
                <w:color w:val="auto"/>
                <w:sz w:val="24"/>
              </w:rPr>
              <w:t>0</w:t>
            </w:r>
            <w:r>
              <w:rPr>
                <w:color w:val="auto"/>
                <w:sz w:val="24"/>
              </w:rPr>
              <w:t>-2035</w:t>
            </w:r>
            <w:r>
              <w:rPr>
                <w:rFonts w:hint="eastAsia"/>
                <w:color w:val="auto"/>
                <w:sz w:val="24"/>
                <w:lang w:val="en-US" w:eastAsia="zh-CN"/>
              </w:rPr>
              <w:t>年</w:t>
            </w:r>
            <w:r>
              <w:rPr>
                <w:color w:val="auto"/>
                <w:sz w:val="24"/>
              </w:rPr>
              <w:t>）》，本项目所在地周围空气环境质量功能区划为二类功能区，因此，项目所在区域环境空气质量执行《环境空气质量标准》（GB3095-2012）及其修改单中的二级标准。</w:t>
            </w:r>
          </w:p>
          <w:p>
            <w:pPr>
              <w:spacing w:line="360" w:lineRule="auto"/>
              <w:ind w:firstLine="480" w:firstLineChars="200"/>
              <w:rPr>
                <w:color w:val="auto"/>
                <w:sz w:val="24"/>
              </w:rPr>
            </w:pPr>
            <w:r>
              <w:rPr>
                <w:rFonts w:hint="eastAsia"/>
                <w:color w:val="auto"/>
                <w:sz w:val="24"/>
              </w:rPr>
              <w:t>本评价依据《韶关市生态环境状况公报》（202</w:t>
            </w:r>
            <w:r>
              <w:rPr>
                <w:rFonts w:hint="eastAsia"/>
                <w:color w:val="auto"/>
                <w:sz w:val="24"/>
                <w:lang w:val="en-US" w:eastAsia="zh-CN"/>
              </w:rPr>
              <w:t>2</w:t>
            </w:r>
            <w:r>
              <w:rPr>
                <w:rFonts w:hint="eastAsia"/>
                <w:color w:val="auto"/>
                <w:sz w:val="24"/>
              </w:rPr>
              <w:t>年）中乐昌市环境空气质量常规因子指标数据作为评价依据，</w:t>
            </w:r>
            <w:r>
              <w:rPr>
                <w:color w:val="auto"/>
                <w:sz w:val="24"/>
              </w:rPr>
              <w:t>乐昌市评价时段SO</w:t>
            </w:r>
            <w:r>
              <w:rPr>
                <w:color w:val="auto"/>
                <w:sz w:val="24"/>
                <w:vertAlign w:val="subscript"/>
              </w:rPr>
              <w:t>2</w:t>
            </w:r>
            <w:r>
              <w:rPr>
                <w:color w:val="auto"/>
                <w:sz w:val="24"/>
              </w:rPr>
              <w:t>、NO</w:t>
            </w:r>
            <w:r>
              <w:rPr>
                <w:color w:val="auto"/>
                <w:sz w:val="24"/>
                <w:vertAlign w:val="subscript"/>
              </w:rPr>
              <w:t>2</w:t>
            </w:r>
            <w:r>
              <w:rPr>
                <w:color w:val="auto"/>
                <w:sz w:val="24"/>
              </w:rPr>
              <w:t>、PM</w:t>
            </w:r>
            <w:r>
              <w:rPr>
                <w:color w:val="auto"/>
                <w:sz w:val="24"/>
                <w:vertAlign w:val="subscript"/>
              </w:rPr>
              <w:t>2.5</w:t>
            </w:r>
            <w:r>
              <w:rPr>
                <w:color w:val="auto"/>
                <w:sz w:val="24"/>
              </w:rPr>
              <w:t>、PM</w:t>
            </w:r>
            <w:r>
              <w:rPr>
                <w:color w:val="auto"/>
                <w:sz w:val="24"/>
                <w:vertAlign w:val="subscript"/>
              </w:rPr>
              <w:t>10</w:t>
            </w:r>
            <w:r>
              <w:rPr>
                <w:color w:val="auto"/>
                <w:sz w:val="24"/>
              </w:rPr>
              <w:t>年均浓度，SO</w:t>
            </w:r>
            <w:r>
              <w:rPr>
                <w:color w:val="auto"/>
                <w:sz w:val="24"/>
                <w:vertAlign w:val="subscript"/>
              </w:rPr>
              <w:t>2</w:t>
            </w:r>
            <w:r>
              <w:rPr>
                <w:color w:val="auto"/>
                <w:sz w:val="24"/>
              </w:rPr>
              <w:t>、NO</w:t>
            </w:r>
            <w:r>
              <w:rPr>
                <w:color w:val="auto"/>
                <w:sz w:val="24"/>
                <w:vertAlign w:val="subscript"/>
              </w:rPr>
              <w:t>2</w:t>
            </w:r>
            <w:r>
              <w:rPr>
                <w:color w:val="auto"/>
                <w:sz w:val="24"/>
              </w:rPr>
              <w:t>、PM</w:t>
            </w:r>
            <w:r>
              <w:rPr>
                <w:color w:val="auto"/>
                <w:sz w:val="24"/>
                <w:vertAlign w:val="subscript"/>
              </w:rPr>
              <w:t>10</w:t>
            </w:r>
            <w:r>
              <w:rPr>
                <w:color w:val="auto"/>
                <w:sz w:val="24"/>
              </w:rPr>
              <w:t>、CO和O</w:t>
            </w:r>
            <w:r>
              <w:rPr>
                <w:color w:val="auto"/>
                <w:sz w:val="24"/>
                <w:vertAlign w:val="subscript"/>
              </w:rPr>
              <w:t>3</w:t>
            </w:r>
            <w:r>
              <w:rPr>
                <w:color w:val="auto"/>
                <w:sz w:val="24"/>
              </w:rPr>
              <w:t>相应评价百分位数日均值（或8小时平均浓度）均符合《环境空气质量标准》（GB 3095-2012）修改单（生态环境部公告2018年第29号）二级标准要求。因此</w:t>
            </w:r>
            <w:r>
              <w:rPr>
                <w:rFonts w:hint="eastAsia"/>
                <w:color w:val="auto"/>
                <w:sz w:val="24"/>
                <w:lang w:eastAsia="zh-CN"/>
              </w:rPr>
              <w:t>，</w:t>
            </w:r>
            <w:r>
              <w:rPr>
                <w:color w:val="auto"/>
                <w:sz w:val="24"/>
              </w:rPr>
              <w:t>本项目所在区域环境空气质量良好，属</w:t>
            </w:r>
            <w:r>
              <w:rPr>
                <w:rFonts w:hint="eastAsia"/>
                <w:color w:val="auto"/>
                <w:sz w:val="24"/>
                <w:lang w:val="en-US" w:eastAsia="zh-CN"/>
              </w:rPr>
              <w:t>于</w:t>
            </w:r>
            <w:r>
              <w:rPr>
                <w:color w:val="auto"/>
                <w:sz w:val="24"/>
              </w:rPr>
              <w:t>达标区。</w:t>
            </w:r>
          </w:p>
          <w:p>
            <w:pPr>
              <w:spacing w:line="360" w:lineRule="auto"/>
              <w:ind w:firstLine="480" w:firstLineChars="200"/>
              <w:rPr>
                <w:color w:val="auto"/>
                <w:sz w:val="24"/>
              </w:rPr>
            </w:pPr>
            <w:r>
              <w:rPr>
                <w:color w:val="auto"/>
                <w:sz w:val="24"/>
              </w:rPr>
              <w:t>具体监测数据见表</w:t>
            </w:r>
            <w:r>
              <w:rPr>
                <w:rFonts w:hint="eastAsia"/>
                <w:color w:val="auto"/>
                <w:sz w:val="24"/>
                <w:lang w:val="en-US" w:eastAsia="zh-CN"/>
              </w:rPr>
              <w:t>3-1</w:t>
            </w:r>
            <w:r>
              <w:rPr>
                <w:color w:val="auto"/>
                <w:sz w:val="24"/>
              </w:rPr>
              <w:t>。</w:t>
            </w:r>
          </w:p>
          <w:p>
            <w:pPr>
              <w:spacing w:line="360" w:lineRule="auto"/>
              <w:jc w:val="center"/>
              <w:rPr>
                <w:b/>
                <w:color w:val="auto"/>
                <w:sz w:val="24"/>
              </w:rPr>
            </w:pPr>
            <w:bookmarkStart w:id="13" w:name="_Ref366648764"/>
            <w:r>
              <w:rPr>
                <w:b/>
                <w:color w:val="auto"/>
                <w:sz w:val="24"/>
              </w:rPr>
              <w:t>表</w:t>
            </w:r>
            <w:r>
              <w:rPr>
                <w:rFonts w:hint="eastAsia"/>
                <w:b/>
                <w:color w:val="auto"/>
                <w:sz w:val="24"/>
                <w:lang w:val="en-US" w:eastAsia="zh-CN"/>
              </w:rPr>
              <w:t>3-1</w:t>
            </w:r>
            <w:r>
              <w:rPr>
                <w:b/>
                <w:color w:val="auto"/>
                <w:sz w:val="24"/>
              </w:rPr>
              <w:t xml:space="preserve"> 环境空气质量监测结果统计</w:t>
            </w:r>
            <w:r>
              <w:rPr>
                <w:rFonts w:hint="eastAsia"/>
                <w:b/>
                <w:color w:val="auto"/>
                <w:sz w:val="24"/>
              </w:rPr>
              <w:t>表</w:t>
            </w:r>
            <w:r>
              <w:rPr>
                <w:color w:val="auto"/>
                <w:sz w:val="24"/>
              </w:rPr>
              <w:t xml:space="preserve"> </w:t>
            </w:r>
            <w:r>
              <w:rPr>
                <w:b/>
                <w:bCs/>
                <w:color w:val="auto"/>
                <w:szCs w:val="21"/>
              </w:rPr>
              <w:t>单位：μg/m</w:t>
            </w:r>
            <w:r>
              <w:rPr>
                <w:b/>
                <w:bCs/>
                <w:color w:val="auto"/>
                <w:szCs w:val="21"/>
                <w:vertAlign w:val="superscript"/>
              </w:rPr>
              <w:t>3</w:t>
            </w:r>
            <w:r>
              <w:rPr>
                <w:b/>
                <w:bCs/>
                <w:color w:val="auto"/>
                <w:szCs w:val="21"/>
              </w:rPr>
              <w:t>，CO单位：mg/m</w:t>
            </w:r>
            <w:r>
              <w:rPr>
                <w:b/>
                <w:bCs/>
                <w:color w:val="auto"/>
                <w:szCs w:val="21"/>
                <w:vertAlign w:val="superscript"/>
              </w:rPr>
              <w:t>3</w:t>
            </w:r>
          </w:p>
          <w:bookmarkEnd w:id="13"/>
          <w:tbl>
            <w:tblPr>
              <w:tblStyle w:val="28"/>
              <w:tblW w:w="486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8"/>
              <w:gridCol w:w="2618"/>
              <w:gridCol w:w="1258"/>
              <w:gridCol w:w="1286"/>
              <w:gridCol w:w="856"/>
              <w:gridCol w:w="94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548"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bCs w:val="0"/>
                      <w:color w:val="auto"/>
                      <w:sz w:val="21"/>
                      <w:szCs w:val="32"/>
                    </w:rPr>
                  </w:pPr>
                  <w:bookmarkStart w:id="14" w:name="_Toc4197"/>
                  <w:r>
                    <w:rPr>
                      <w:rFonts w:hint="default" w:ascii="Times New Roman" w:hAnsi="Times New Roman" w:eastAsia="宋体" w:cs="Times New Roman"/>
                      <w:b/>
                      <w:bCs w:val="0"/>
                      <w:color w:val="auto"/>
                      <w:sz w:val="21"/>
                      <w:szCs w:val="32"/>
                    </w:rPr>
                    <w:t>污染物</w:t>
                  </w:r>
                  <w:bookmarkEnd w:id="14"/>
                </w:p>
              </w:tc>
              <w:tc>
                <w:tcPr>
                  <w:tcW w:w="1672"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bCs w:val="0"/>
                      <w:color w:val="auto"/>
                      <w:sz w:val="21"/>
                      <w:szCs w:val="32"/>
                    </w:rPr>
                  </w:pPr>
                  <w:bookmarkStart w:id="15" w:name="_Toc9111"/>
                  <w:r>
                    <w:rPr>
                      <w:rFonts w:hint="default" w:ascii="Times New Roman" w:hAnsi="Times New Roman" w:eastAsia="宋体" w:cs="Times New Roman"/>
                      <w:b/>
                      <w:bCs w:val="0"/>
                      <w:color w:val="auto"/>
                      <w:sz w:val="21"/>
                      <w:szCs w:val="32"/>
                    </w:rPr>
                    <w:t>年评价指标</w:t>
                  </w:r>
                  <w:bookmarkEnd w:id="15"/>
                </w:p>
              </w:tc>
              <w:tc>
                <w:tcPr>
                  <w:tcW w:w="803"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bCs w:val="0"/>
                      <w:color w:val="auto"/>
                      <w:sz w:val="21"/>
                      <w:szCs w:val="32"/>
                    </w:rPr>
                  </w:pPr>
                  <w:bookmarkStart w:id="16" w:name="_Toc17156"/>
                  <w:r>
                    <w:rPr>
                      <w:rFonts w:hint="default" w:ascii="Times New Roman" w:hAnsi="Times New Roman" w:eastAsia="宋体" w:cs="Times New Roman"/>
                      <w:b/>
                      <w:bCs w:val="0"/>
                      <w:color w:val="auto"/>
                      <w:sz w:val="21"/>
                      <w:szCs w:val="32"/>
                    </w:rPr>
                    <w:t>现状浓度</w:t>
                  </w:r>
                  <w:bookmarkEnd w:id="16"/>
                </w:p>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bCs w:val="0"/>
                      <w:color w:val="auto"/>
                      <w:sz w:val="21"/>
                      <w:szCs w:val="32"/>
                    </w:rPr>
                  </w:pPr>
                  <w:bookmarkStart w:id="17" w:name="_Toc20383"/>
                  <w:r>
                    <w:rPr>
                      <w:rFonts w:hint="default" w:ascii="Times New Roman" w:hAnsi="Times New Roman" w:eastAsia="宋体" w:cs="Times New Roman"/>
                      <w:b/>
                      <w:bCs w:val="0"/>
                      <w:color w:val="auto"/>
                      <w:sz w:val="21"/>
                      <w:szCs w:val="32"/>
                    </w:rPr>
                    <w:t>（μg/m</w:t>
                  </w:r>
                  <w:r>
                    <w:rPr>
                      <w:rFonts w:hint="default" w:ascii="Times New Roman" w:hAnsi="Times New Roman" w:cs="Times New Roman"/>
                      <w:b/>
                      <w:bCs w:val="0"/>
                      <w:color w:val="auto"/>
                      <w:sz w:val="21"/>
                      <w:szCs w:val="32"/>
                      <w:vertAlign w:val="superscript"/>
                    </w:rPr>
                    <w:t>3</w:t>
                  </w:r>
                  <w:r>
                    <w:rPr>
                      <w:rFonts w:hint="default" w:ascii="Times New Roman" w:hAnsi="Times New Roman" w:eastAsia="宋体" w:cs="Times New Roman"/>
                      <w:b/>
                      <w:bCs w:val="0"/>
                      <w:color w:val="auto"/>
                      <w:sz w:val="21"/>
                      <w:szCs w:val="32"/>
                    </w:rPr>
                    <w:t>）</w:t>
                  </w:r>
                  <w:bookmarkEnd w:id="17"/>
                </w:p>
              </w:tc>
              <w:tc>
                <w:tcPr>
                  <w:tcW w:w="821"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bCs w:val="0"/>
                      <w:color w:val="auto"/>
                      <w:sz w:val="21"/>
                      <w:szCs w:val="32"/>
                    </w:rPr>
                  </w:pPr>
                  <w:bookmarkStart w:id="18" w:name="_Toc18264"/>
                  <w:r>
                    <w:rPr>
                      <w:rFonts w:hint="default" w:ascii="Times New Roman" w:hAnsi="Times New Roman" w:eastAsia="宋体" w:cs="Times New Roman"/>
                      <w:b/>
                      <w:bCs w:val="0"/>
                      <w:color w:val="auto"/>
                      <w:sz w:val="21"/>
                      <w:szCs w:val="32"/>
                    </w:rPr>
                    <w:t>标准值</w:t>
                  </w:r>
                  <w:bookmarkEnd w:id="18"/>
                </w:p>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bCs w:val="0"/>
                      <w:color w:val="auto"/>
                      <w:sz w:val="21"/>
                      <w:szCs w:val="32"/>
                    </w:rPr>
                  </w:pPr>
                  <w:bookmarkStart w:id="19" w:name="_Toc11518"/>
                  <w:r>
                    <w:rPr>
                      <w:rFonts w:hint="default" w:ascii="Times New Roman" w:hAnsi="Times New Roman" w:eastAsia="宋体" w:cs="Times New Roman"/>
                      <w:b/>
                      <w:bCs w:val="0"/>
                      <w:color w:val="auto"/>
                      <w:sz w:val="21"/>
                      <w:szCs w:val="32"/>
                    </w:rPr>
                    <w:t>（μg/m</w:t>
                  </w:r>
                  <w:r>
                    <w:rPr>
                      <w:rFonts w:hint="default" w:ascii="Times New Roman" w:hAnsi="Times New Roman" w:cs="Times New Roman"/>
                      <w:b/>
                      <w:bCs w:val="0"/>
                      <w:color w:val="auto"/>
                      <w:sz w:val="21"/>
                      <w:szCs w:val="32"/>
                      <w:vertAlign w:val="superscript"/>
                    </w:rPr>
                    <w:t>3</w:t>
                  </w:r>
                  <w:r>
                    <w:rPr>
                      <w:rFonts w:hint="default" w:ascii="Times New Roman" w:hAnsi="Times New Roman" w:eastAsia="宋体" w:cs="Times New Roman"/>
                      <w:b/>
                      <w:bCs w:val="0"/>
                      <w:color w:val="auto"/>
                      <w:sz w:val="21"/>
                      <w:szCs w:val="32"/>
                    </w:rPr>
                    <w:t>）</w:t>
                  </w:r>
                  <w:bookmarkEnd w:id="19"/>
                </w:p>
              </w:tc>
              <w:tc>
                <w:tcPr>
                  <w:tcW w:w="54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bCs w:val="0"/>
                      <w:color w:val="auto"/>
                      <w:sz w:val="21"/>
                      <w:szCs w:val="32"/>
                    </w:rPr>
                  </w:pPr>
                  <w:bookmarkStart w:id="20" w:name="_Toc25932"/>
                  <w:r>
                    <w:rPr>
                      <w:rFonts w:hint="default" w:ascii="Times New Roman" w:hAnsi="Times New Roman" w:eastAsia="宋体" w:cs="Times New Roman"/>
                      <w:b/>
                      <w:bCs w:val="0"/>
                      <w:color w:val="auto"/>
                      <w:sz w:val="21"/>
                      <w:szCs w:val="32"/>
                    </w:rPr>
                    <w:t>占标率</w:t>
                  </w:r>
                  <w:bookmarkEnd w:id="20"/>
                </w:p>
              </w:tc>
              <w:tc>
                <w:tcPr>
                  <w:tcW w:w="60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bCs w:val="0"/>
                      <w:color w:val="auto"/>
                      <w:sz w:val="21"/>
                      <w:szCs w:val="32"/>
                    </w:rPr>
                  </w:pPr>
                  <w:bookmarkStart w:id="21" w:name="_Toc20884"/>
                  <w:r>
                    <w:rPr>
                      <w:rFonts w:hint="default" w:ascii="Times New Roman" w:hAnsi="Times New Roman" w:eastAsia="宋体" w:cs="Times New Roman"/>
                      <w:b/>
                      <w:bCs w:val="0"/>
                      <w:color w:val="auto"/>
                      <w:sz w:val="21"/>
                      <w:szCs w:val="32"/>
                    </w:rPr>
                    <w:t>达标情况</w:t>
                  </w:r>
                  <w:bookmarkEnd w:id="21"/>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548"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22" w:name="_Toc6742"/>
                  <w:r>
                    <w:rPr>
                      <w:rFonts w:hint="default" w:ascii="Times New Roman" w:hAnsi="Times New Roman" w:cs="Times New Roman"/>
                      <w:b w:val="0"/>
                      <w:bCs/>
                      <w:color w:val="auto"/>
                      <w:sz w:val="21"/>
                      <w:szCs w:val="32"/>
                    </w:rPr>
                    <w:t>SO</w:t>
                  </w:r>
                  <w:r>
                    <w:rPr>
                      <w:rFonts w:hint="default" w:ascii="Times New Roman" w:hAnsi="Times New Roman" w:cs="Times New Roman"/>
                      <w:b w:val="0"/>
                      <w:bCs/>
                      <w:color w:val="auto"/>
                      <w:sz w:val="21"/>
                      <w:szCs w:val="32"/>
                      <w:vertAlign w:val="subscript"/>
                    </w:rPr>
                    <w:t>2</w:t>
                  </w:r>
                  <w:bookmarkEnd w:id="22"/>
                </w:p>
              </w:tc>
              <w:tc>
                <w:tcPr>
                  <w:tcW w:w="1672"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23" w:name="_Toc28591"/>
                  <w:r>
                    <w:rPr>
                      <w:rFonts w:hint="default" w:ascii="Times New Roman" w:hAnsi="Times New Roman" w:eastAsia="宋体" w:cs="Times New Roman"/>
                      <w:b w:val="0"/>
                      <w:bCs/>
                      <w:color w:val="auto"/>
                      <w:sz w:val="21"/>
                      <w:szCs w:val="32"/>
                    </w:rPr>
                    <w:t>年平均浓度值</w:t>
                  </w:r>
                  <w:bookmarkEnd w:id="23"/>
                </w:p>
              </w:tc>
              <w:tc>
                <w:tcPr>
                  <w:tcW w:w="803"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rPr>
                  </w:pPr>
                  <w:bookmarkStart w:id="24" w:name="_Toc6010"/>
                  <w:r>
                    <w:rPr>
                      <w:rFonts w:hint="default" w:ascii="Times New Roman" w:hAnsi="Times New Roman" w:cs="Times New Roman"/>
                      <w:b w:val="0"/>
                      <w:bCs/>
                      <w:color w:val="auto"/>
                      <w:sz w:val="21"/>
                      <w:szCs w:val="32"/>
                    </w:rPr>
                    <w:t>6</w:t>
                  </w:r>
                  <w:bookmarkEnd w:id="24"/>
                </w:p>
              </w:tc>
              <w:tc>
                <w:tcPr>
                  <w:tcW w:w="821"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25" w:name="_Toc17543"/>
                  <w:r>
                    <w:rPr>
                      <w:rFonts w:hint="default" w:ascii="Times New Roman" w:hAnsi="Times New Roman" w:cs="Times New Roman"/>
                      <w:b w:val="0"/>
                      <w:bCs/>
                      <w:color w:val="auto"/>
                      <w:sz w:val="21"/>
                      <w:szCs w:val="32"/>
                    </w:rPr>
                    <w:t>60</w:t>
                  </w:r>
                  <w:bookmarkEnd w:id="25"/>
                </w:p>
              </w:tc>
              <w:tc>
                <w:tcPr>
                  <w:tcW w:w="54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lang w:val="en-US" w:eastAsia="zh-CN"/>
                    </w:rPr>
                  </w:pPr>
                  <w:bookmarkStart w:id="26" w:name="_Toc15432"/>
                  <w:r>
                    <w:rPr>
                      <w:rFonts w:hint="eastAsia" w:ascii="Times New Roman" w:hAnsi="Times New Roman" w:cs="Times New Roman"/>
                      <w:b w:val="0"/>
                      <w:bCs/>
                      <w:color w:val="auto"/>
                      <w:sz w:val="21"/>
                      <w:szCs w:val="32"/>
                      <w:lang w:val="en-US" w:eastAsia="zh-CN"/>
                    </w:rPr>
                    <w:t>0.1</w:t>
                  </w:r>
                  <w:bookmarkEnd w:id="26"/>
                </w:p>
              </w:tc>
              <w:tc>
                <w:tcPr>
                  <w:tcW w:w="60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27" w:name="_Toc21436"/>
                  <w:r>
                    <w:rPr>
                      <w:rFonts w:hint="default" w:ascii="Times New Roman" w:hAnsi="Times New Roman" w:eastAsia="宋体" w:cs="Times New Roman"/>
                      <w:b w:val="0"/>
                      <w:bCs/>
                      <w:color w:val="auto"/>
                      <w:sz w:val="21"/>
                      <w:szCs w:val="32"/>
                    </w:rPr>
                    <w:t>达标</w:t>
                  </w:r>
                  <w:bookmarkEnd w:id="27"/>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548"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28" w:name="_Toc24296"/>
                  <w:r>
                    <w:rPr>
                      <w:rFonts w:hint="default" w:ascii="Times New Roman" w:hAnsi="Times New Roman" w:cs="Times New Roman"/>
                      <w:b w:val="0"/>
                      <w:bCs/>
                      <w:color w:val="auto"/>
                      <w:sz w:val="21"/>
                      <w:szCs w:val="32"/>
                    </w:rPr>
                    <w:t>NO</w:t>
                  </w:r>
                  <w:r>
                    <w:rPr>
                      <w:rFonts w:hint="default" w:ascii="Times New Roman" w:hAnsi="Times New Roman" w:cs="Times New Roman"/>
                      <w:b w:val="0"/>
                      <w:bCs/>
                      <w:color w:val="auto"/>
                      <w:sz w:val="21"/>
                      <w:szCs w:val="32"/>
                      <w:vertAlign w:val="subscript"/>
                    </w:rPr>
                    <w:t>2</w:t>
                  </w:r>
                  <w:bookmarkEnd w:id="28"/>
                </w:p>
              </w:tc>
              <w:tc>
                <w:tcPr>
                  <w:tcW w:w="1672"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29" w:name="_Toc8122"/>
                  <w:r>
                    <w:rPr>
                      <w:rFonts w:hint="default" w:ascii="Times New Roman" w:hAnsi="Times New Roman" w:eastAsia="宋体" w:cs="Times New Roman"/>
                      <w:b w:val="0"/>
                      <w:bCs/>
                      <w:color w:val="auto"/>
                      <w:sz w:val="21"/>
                      <w:szCs w:val="32"/>
                    </w:rPr>
                    <w:t>年平均浓度值</w:t>
                  </w:r>
                  <w:bookmarkEnd w:id="29"/>
                </w:p>
              </w:tc>
              <w:tc>
                <w:tcPr>
                  <w:tcW w:w="803"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lang w:val="en-US" w:eastAsia="zh-CN"/>
                    </w:rPr>
                  </w:pPr>
                  <w:bookmarkStart w:id="30" w:name="_Toc29044"/>
                  <w:r>
                    <w:rPr>
                      <w:rFonts w:hint="default" w:ascii="Times New Roman" w:hAnsi="Times New Roman" w:cs="Times New Roman"/>
                      <w:b w:val="0"/>
                      <w:bCs/>
                      <w:color w:val="auto"/>
                      <w:sz w:val="21"/>
                      <w:szCs w:val="32"/>
                      <w:lang w:val="en-US" w:eastAsia="zh-CN"/>
                    </w:rPr>
                    <w:t>12</w:t>
                  </w:r>
                  <w:bookmarkEnd w:id="30"/>
                </w:p>
              </w:tc>
              <w:tc>
                <w:tcPr>
                  <w:tcW w:w="821"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31" w:name="_Toc20003"/>
                  <w:r>
                    <w:rPr>
                      <w:rFonts w:hint="default" w:ascii="Times New Roman" w:hAnsi="Times New Roman" w:cs="Times New Roman"/>
                      <w:b w:val="0"/>
                      <w:bCs/>
                      <w:color w:val="auto"/>
                      <w:sz w:val="21"/>
                      <w:szCs w:val="32"/>
                    </w:rPr>
                    <w:t>40</w:t>
                  </w:r>
                  <w:bookmarkEnd w:id="31"/>
                </w:p>
              </w:tc>
              <w:tc>
                <w:tcPr>
                  <w:tcW w:w="54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lang w:val="en-US" w:eastAsia="zh-CN"/>
                    </w:rPr>
                  </w:pPr>
                  <w:bookmarkStart w:id="32" w:name="_Toc22318"/>
                  <w:r>
                    <w:rPr>
                      <w:rFonts w:hint="eastAsia" w:ascii="Times New Roman" w:hAnsi="Times New Roman" w:cs="Times New Roman"/>
                      <w:b w:val="0"/>
                      <w:bCs/>
                      <w:color w:val="auto"/>
                      <w:sz w:val="21"/>
                      <w:szCs w:val="32"/>
                      <w:lang w:val="en-US" w:eastAsia="zh-CN"/>
                    </w:rPr>
                    <w:t>0.3</w:t>
                  </w:r>
                  <w:bookmarkEnd w:id="32"/>
                </w:p>
              </w:tc>
              <w:tc>
                <w:tcPr>
                  <w:tcW w:w="60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33" w:name="_Toc24759"/>
                  <w:r>
                    <w:rPr>
                      <w:rFonts w:hint="default" w:ascii="Times New Roman" w:hAnsi="Times New Roman" w:eastAsia="宋体" w:cs="Times New Roman"/>
                      <w:b w:val="0"/>
                      <w:bCs/>
                      <w:color w:val="auto"/>
                      <w:sz w:val="21"/>
                      <w:szCs w:val="32"/>
                    </w:rPr>
                    <w:t>达标</w:t>
                  </w:r>
                  <w:bookmarkEnd w:id="33"/>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548"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34" w:name="_Toc4178"/>
                  <w:r>
                    <w:rPr>
                      <w:rFonts w:hint="default" w:ascii="Times New Roman" w:hAnsi="Times New Roman" w:cs="Times New Roman"/>
                      <w:b w:val="0"/>
                      <w:bCs/>
                      <w:color w:val="auto"/>
                      <w:sz w:val="21"/>
                      <w:szCs w:val="32"/>
                    </w:rPr>
                    <w:t>PM</w:t>
                  </w:r>
                  <w:r>
                    <w:rPr>
                      <w:rFonts w:hint="default" w:ascii="Times New Roman" w:hAnsi="Times New Roman" w:cs="Times New Roman"/>
                      <w:b w:val="0"/>
                      <w:bCs/>
                      <w:color w:val="auto"/>
                      <w:sz w:val="21"/>
                      <w:szCs w:val="32"/>
                      <w:vertAlign w:val="subscript"/>
                    </w:rPr>
                    <w:t>10</w:t>
                  </w:r>
                  <w:bookmarkEnd w:id="34"/>
                </w:p>
              </w:tc>
              <w:tc>
                <w:tcPr>
                  <w:tcW w:w="1672"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35" w:name="_Toc11857"/>
                  <w:r>
                    <w:rPr>
                      <w:rFonts w:hint="default" w:ascii="Times New Roman" w:hAnsi="Times New Roman" w:eastAsia="宋体" w:cs="Times New Roman"/>
                      <w:b w:val="0"/>
                      <w:bCs/>
                      <w:color w:val="auto"/>
                      <w:sz w:val="21"/>
                      <w:szCs w:val="32"/>
                    </w:rPr>
                    <w:t>年平均浓度值</w:t>
                  </w:r>
                  <w:bookmarkEnd w:id="35"/>
                </w:p>
              </w:tc>
              <w:tc>
                <w:tcPr>
                  <w:tcW w:w="803"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eastAsia" w:ascii="Times New Roman" w:hAnsi="Times New Roman" w:eastAsia="宋体" w:cs="Times New Roman"/>
                      <w:b w:val="0"/>
                      <w:bCs/>
                      <w:color w:val="auto"/>
                      <w:sz w:val="21"/>
                      <w:szCs w:val="32"/>
                      <w:lang w:eastAsia="zh-CN"/>
                    </w:rPr>
                  </w:pPr>
                  <w:bookmarkStart w:id="36" w:name="_Toc22934"/>
                  <w:r>
                    <w:rPr>
                      <w:rFonts w:hint="default" w:ascii="Times New Roman" w:hAnsi="Times New Roman" w:cs="Times New Roman"/>
                      <w:b w:val="0"/>
                      <w:bCs/>
                      <w:color w:val="auto"/>
                      <w:sz w:val="21"/>
                      <w:szCs w:val="32"/>
                    </w:rPr>
                    <w:t>3</w:t>
                  </w:r>
                  <w:r>
                    <w:rPr>
                      <w:rFonts w:hint="eastAsia" w:ascii="Times New Roman" w:hAnsi="Times New Roman" w:cs="Times New Roman"/>
                      <w:b w:val="0"/>
                      <w:bCs/>
                      <w:color w:val="auto"/>
                      <w:sz w:val="21"/>
                      <w:szCs w:val="32"/>
                      <w:lang w:val="en-US" w:eastAsia="zh-CN"/>
                    </w:rPr>
                    <w:t>0</w:t>
                  </w:r>
                  <w:bookmarkEnd w:id="36"/>
                </w:p>
              </w:tc>
              <w:tc>
                <w:tcPr>
                  <w:tcW w:w="821"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37" w:name="_Toc25839"/>
                  <w:r>
                    <w:rPr>
                      <w:rFonts w:hint="default" w:ascii="Times New Roman" w:hAnsi="Times New Roman" w:cs="Times New Roman"/>
                      <w:b w:val="0"/>
                      <w:bCs/>
                      <w:color w:val="auto"/>
                      <w:sz w:val="21"/>
                      <w:szCs w:val="32"/>
                    </w:rPr>
                    <w:t>70</w:t>
                  </w:r>
                  <w:bookmarkEnd w:id="37"/>
                </w:p>
              </w:tc>
              <w:tc>
                <w:tcPr>
                  <w:tcW w:w="54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lang w:val="en-US" w:eastAsia="zh-CN"/>
                    </w:rPr>
                  </w:pPr>
                  <w:bookmarkStart w:id="38" w:name="_Toc1178"/>
                  <w:r>
                    <w:rPr>
                      <w:rFonts w:hint="eastAsia" w:ascii="Times New Roman" w:hAnsi="Times New Roman" w:cs="Times New Roman"/>
                      <w:b w:val="0"/>
                      <w:bCs/>
                      <w:color w:val="auto"/>
                      <w:sz w:val="21"/>
                      <w:szCs w:val="32"/>
                      <w:lang w:val="en-US" w:eastAsia="zh-CN"/>
                    </w:rPr>
                    <w:t>0.43</w:t>
                  </w:r>
                  <w:bookmarkEnd w:id="38"/>
                </w:p>
              </w:tc>
              <w:tc>
                <w:tcPr>
                  <w:tcW w:w="60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39" w:name="_Toc25828"/>
                  <w:r>
                    <w:rPr>
                      <w:rFonts w:hint="default" w:ascii="Times New Roman" w:hAnsi="Times New Roman" w:eastAsia="宋体" w:cs="Times New Roman"/>
                      <w:b w:val="0"/>
                      <w:bCs/>
                      <w:color w:val="auto"/>
                      <w:sz w:val="21"/>
                      <w:szCs w:val="32"/>
                    </w:rPr>
                    <w:t>达标</w:t>
                  </w:r>
                  <w:bookmarkEnd w:id="39"/>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548"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40" w:name="_Toc14544"/>
                  <w:r>
                    <w:rPr>
                      <w:rFonts w:hint="default" w:ascii="Times New Roman" w:hAnsi="Times New Roman" w:cs="Times New Roman"/>
                      <w:b w:val="0"/>
                      <w:bCs/>
                      <w:color w:val="auto"/>
                      <w:sz w:val="21"/>
                      <w:szCs w:val="32"/>
                    </w:rPr>
                    <w:t>PM</w:t>
                  </w:r>
                  <w:r>
                    <w:rPr>
                      <w:rFonts w:hint="default" w:ascii="Times New Roman" w:hAnsi="Times New Roman" w:cs="Times New Roman"/>
                      <w:b w:val="0"/>
                      <w:bCs/>
                      <w:color w:val="auto"/>
                      <w:sz w:val="21"/>
                      <w:szCs w:val="32"/>
                      <w:vertAlign w:val="subscript"/>
                    </w:rPr>
                    <w:t>2.5</w:t>
                  </w:r>
                  <w:bookmarkEnd w:id="40"/>
                </w:p>
              </w:tc>
              <w:tc>
                <w:tcPr>
                  <w:tcW w:w="1672"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41" w:name="_Toc1697"/>
                  <w:r>
                    <w:rPr>
                      <w:rFonts w:hint="default" w:ascii="Times New Roman" w:hAnsi="Times New Roman" w:eastAsia="宋体" w:cs="Times New Roman"/>
                      <w:b w:val="0"/>
                      <w:bCs/>
                      <w:color w:val="auto"/>
                      <w:sz w:val="21"/>
                      <w:szCs w:val="32"/>
                    </w:rPr>
                    <w:t>年平均浓度值</w:t>
                  </w:r>
                  <w:bookmarkEnd w:id="41"/>
                </w:p>
              </w:tc>
              <w:tc>
                <w:tcPr>
                  <w:tcW w:w="803"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eastAsia" w:ascii="Times New Roman" w:hAnsi="Times New Roman" w:eastAsia="宋体" w:cs="Times New Roman"/>
                      <w:b w:val="0"/>
                      <w:bCs/>
                      <w:color w:val="auto"/>
                      <w:sz w:val="21"/>
                      <w:szCs w:val="32"/>
                      <w:lang w:eastAsia="zh-CN"/>
                    </w:rPr>
                  </w:pPr>
                  <w:bookmarkStart w:id="42" w:name="_Toc2210"/>
                  <w:r>
                    <w:rPr>
                      <w:rFonts w:hint="default" w:ascii="Times New Roman" w:hAnsi="Times New Roman" w:cs="Times New Roman"/>
                      <w:b w:val="0"/>
                      <w:bCs/>
                      <w:color w:val="auto"/>
                      <w:sz w:val="21"/>
                      <w:szCs w:val="32"/>
                    </w:rPr>
                    <w:t>2</w:t>
                  </w:r>
                  <w:r>
                    <w:rPr>
                      <w:rFonts w:hint="eastAsia" w:ascii="Times New Roman" w:hAnsi="Times New Roman" w:cs="Times New Roman"/>
                      <w:b w:val="0"/>
                      <w:bCs/>
                      <w:color w:val="auto"/>
                      <w:sz w:val="21"/>
                      <w:szCs w:val="32"/>
                      <w:lang w:val="en-US" w:eastAsia="zh-CN"/>
                    </w:rPr>
                    <w:t>0</w:t>
                  </w:r>
                  <w:bookmarkEnd w:id="42"/>
                </w:p>
              </w:tc>
              <w:tc>
                <w:tcPr>
                  <w:tcW w:w="821"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43" w:name="_Toc10165"/>
                  <w:r>
                    <w:rPr>
                      <w:rFonts w:hint="default" w:ascii="Times New Roman" w:hAnsi="Times New Roman" w:cs="Times New Roman"/>
                      <w:b w:val="0"/>
                      <w:bCs/>
                      <w:color w:val="auto"/>
                      <w:sz w:val="21"/>
                      <w:szCs w:val="32"/>
                    </w:rPr>
                    <w:t>35</w:t>
                  </w:r>
                  <w:bookmarkEnd w:id="43"/>
                </w:p>
              </w:tc>
              <w:tc>
                <w:tcPr>
                  <w:tcW w:w="54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lang w:val="en-US" w:eastAsia="zh-CN"/>
                    </w:rPr>
                  </w:pPr>
                  <w:bookmarkStart w:id="44" w:name="_Toc25831"/>
                  <w:r>
                    <w:rPr>
                      <w:rFonts w:hint="eastAsia" w:ascii="Times New Roman" w:hAnsi="Times New Roman" w:cs="Times New Roman"/>
                      <w:b w:val="0"/>
                      <w:bCs/>
                      <w:color w:val="auto"/>
                      <w:sz w:val="21"/>
                      <w:szCs w:val="32"/>
                      <w:lang w:val="en-US" w:eastAsia="zh-CN"/>
                    </w:rPr>
                    <w:t>0.57</w:t>
                  </w:r>
                  <w:bookmarkEnd w:id="44"/>
                </w:p>
              </w:tc>
              <w:tc>
                <w:tcPr>
                  <w:tcW w:w="60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45" w:name="_Toc253"/>
                  <w:r>
                    <w:rPr>
                      <w:rFonts w:hint="default" w:ascii="Times New Roman" w:hAnsi="Times New Roman" w:eastAsia="宋体" w:cs="Times New Roman"/>
                      <w:b w:val="0"/>
                      <w:bCs/>
                      <w:color w:val="auto"/>
                      <w:sz w:val="21"/>
                      <w:szCs w:val="32"/>
                    </w:rPr>
                    <w:t>达标</w:t>
                  </w:r>
                  <w:bookmarkEnd w:id="45"/>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548"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46" w:name="_Toc2279"/>
                  <w:r>
                    <w:rPr>
                      <w:rFonts w:hint="default" w:ascii="Times New Roman" w:hAnsi="Times New Roman" w:cs="Times New Roman"/>
                      <w:b w:val="0"/>
                      <w:bCs/>
                      <w:color w:val="auto"/>
                      <w:sz w:val="21"/>
                      <w:szCs w:val="32"/>
                    </w:rPr>
                    <w:t>CO</w:t>
                  </w:r>
                  <w:bookmarkEnd w:id="46"/>
                </w:p>
              </w:tc>
              <w:tc>
                <w:tcPr>
                  <w:tcW w:w="1672"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47" w:name="_Toc5910"/>
                  <w:r>
                    <w:rPr>
                      <w:rFonts w:hint="default" w:ascii="Times New Roman" w:hAnsi="Times New Roman" w:eastAsia="宋体" w:cs="Times New Roman"/>
                      <w:b w:val="0"/>
                      <w:bCs/>
                      <w:color w:val="auto"/>
                      <w:sz w:val="21"/>
                      <w:szCs w:val="32"/>
                    </w:rPr>
                    <w:t>第95百分位数平均浓度值</w:t>
                  </w:r>
                  <w:bookmarkEnd w:id="47"/>
                </w:p>
              </w:tc>
              <w:tc>
                <w:tcPr>
                  <w:tcW w:w="803"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48" w:name="_Toc2932"/>
                  <w:r>
                    <w:rPr>
                      <w:rFonts w:hint="default" w:ascii="Times New Roman" w:hAnsi="Times New Roman" w:cs="Times New Roman"/>
                      <w:b w:val="0"/>
                      <w:bCs/>
                      <w:color w:val="auto"/>
                      <w:sz w:val="21"/>
                      <w:szCs w:val="32"/>
                    </w:rPr>
                    <w:t>1</w:t>
                  </w:r>
                  <w:r>
                    <w:rPr>
                      <w:rFonts w:hint="eastAsia" w:ascii="Times New Roman" w:hAnsi="Times New Roman" w:cs="Times New Roman"/>
                      <w:b w:val="0"/>
                      <w:bCs/>
                      <w:color w:val="auto"/>
                      <w:sz w:val="21"/>
                      <w:szCs w:val="32"/>
                      <w:lang w:val="en-US" w:eastAsia="zh-CN"/>
                    </w:rPr>
                    <w:t>.</w:t>
                  </w:r>
                  <w:r>
                    <w:rPr>
                      <w:rFonts w:hint="default" w:ascii="Times New Roman" w:hAnsi="Times New Roman" w:cs="Times New Roman"/>
                      <w:b w:val="0"/>
                      <w:bCs/>
                      <w:color w:val="auto"/>
                      <w:sz w:val="21"/>
                      <w:szCs w:val="32"/>
                    </w:rPr>
                    <w:t>0</w:t>
                  </w:r>
                  <w:bookmarkEnd w:id="48"/>
                </w:p>
              </w:tc>
              <w:tc>
                <w:tcPr>
                  <w:tcW w:w="821"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49" w:name="_Toc24458"/>
                  <w:r>
                    <w:rPr>
                      <w:rFonts w:hint="default" w:ascii="Times New Roman" w:hAnsi="Times New Roman" w:cs="Times New Roman"/>
                      <w:b w:val="0"/>
                      <w:bCs/>
                      <w:color w:val="auto"/>
                      <w:sz w:val="21"/>
                      <w:szCs w:val="32"/>
                    </w:rPr>
                    <w:t>4</w:t>
                  </w:r>
                  <w:r>
                    <w:rPr>
                      <w:rFonts w:hint="eastAsia" w:ascii="Times New Roman" w:hAnsi="Times New Roman" w:cs="Times New Roman"/>
                      <w:b w:val="0"/>
                      <w:bCs/>
                      <w:color w:val="auto"/>
                      <w:sz w:val="21"/>
                      <w:szCs w:val="32"/>
                      <w:lang w:val="en-US" w:eastAsia="zh-CN"/>
                    </w:rPr>
                    <w:t>.</w:t>
                  </w:r>
                  <w:r>
                    <w:rPr>
                      <w:rFonts w:hint="default" w:ascii="Times New Roman" w:hAnsi="Times New Roman" w:cs="Times New Roman"/>
                      <w:b w:val="0"/>
                      <w:bCs/>
                      <w:color w:val="auto"/>
                      <w:sz w:val="21"/>
                      <w:szCs w:val="32"/>
                    </w:rPr>
                    <w:t>0</w:t>
                  </w:r>
                  <w:bookmarkEnd w:id="49"/>
                </w:p>
              </w:tc>
              <w:tc>
                <w:tcPr>
                  <w:tcW w:w="54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lang w:val="en-US" w:eastAsia="zh-CN"/>
                    </w:rPr>
                  </w:pPr>
                  <w:bookmarkStart w:id="50" w:name="_Toc26089"/>
                  <w:r>
                    <w:rPr>
                      <w:rFonts w:hint="eastAsia" w:ascii="Times New Roman" w:hAnsi="Times New Roman" w:cs="Times New Roman"/>
                      <w:b w:val="0"/>
                      <w:bCs/>
                      <w:color w:val="auto"/>
                      <w:sz w:val="21"/>
                      <w:szCs w:val="32"/>
                      <w:lang w:val="en-US" w:eastAsia="zh-CN"/>
                    </w:rPr>
                    <w:t>0.25</w:t>
                  </w:r>
                  <w:bookmarkEnd w:id="50"/>
                </w:p>
              </w:tc>
              <w:tc>
                <w:tcPr>
                  <w:tcW w:w="60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51" w:name="_Toc18520"/>
                  <w:r>
                    <w:rPr>
                      <w:rFonts w:hint="default" w:ascii="Times New Roman" w:hAnsi="Times New Roman" w:eastAsia="宋体" w:cs="Times New Roman"/>
                      <w:b w:val="0"/>
                      <w:bCs/>
                      <w:color w:val="auto"/>
                      <w:sz w:val="21"/>
                      <w:szCs w:val="32"/>
                    </w:rPr>
                    <w:t>达标</w:t>
                  </w:r>
                  <w:bookmarkEnd w:id="51"/>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548"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52" w:name="_Toc2066"/>
                  <w:r>
                    <w:rPr>
                      <w:rFonts w:hint="default" w:ascii="Times New Roman" w:hAnsi="Times New Roman" w:cs="Times New Roman"/>
                      <w:b w:val="0"/>
                      <w:bCs/>
                      <w:color w:val="auto"/>
                      <w:sz w:val="21"/>
                      <w:szCs w:val="32"/>
                    </w:rPr>
                    <w:t>O</w:t>
                  </w:r>
                  <w:r>
                    <w:rPr>
                      <w:rFonts w:hint="default" w:ascii="Times New Roman" w:hAnsi="Times New Roman" w:cs="Times New Roman"/>
                      <w:b w:val="0"/>
                      <w:bCs/>
                      <w:color w:val="auto"/>
                      <w:sz w:val="21"/>
                      <w:szCs w:val="32"/>
                      <w:vertAlign w:val="subscript"/>
                    </w:rPr>
                    <w:t>3</w:t>
                  </w:r>
                  <w:bookmarkEnd w:id="52"/>
                </w:p>
              </w:tc>
              <w:tc>
                <w:tcPr>
                  <w:tcW w:w="1672"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53" w:name="_Toc31941"/>
                  <w:r>
                    <w:rPr>
                      <w:rFonts w:hint="default" w:ascii="Times New Roman" w:hAnsi="Times New Roman" w:eastAsia="宋体" w:cs="Times New Roman"/>
                      <w:b w:val="0"/>
                      <w:bCs/>
                      <w:color w:val="auto"/>
                      <w:sz w:val="21"/>
                      <w:szCs w:val="32"/>
                    </w:rPr>
                    <w:t>第90百分位数平均浓度值</w:t>
                  </w:r>
                  <w:bookmarkEnd w:id="53"/>
                </w:p>
              </w:tc>
              <w:tc>
                <w:tcPr>
                  <w:tcW w:w="803"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lang w:val="en-US" w:eastAsia="zh-CN"/>
                    </w:rPr>
                  </w:pPr>
                  <w:bookmarkStart w:id="54" w:name="_Toc2109"/>
                  <w:r>
                    <w:rPr>
                      <w:rFonts w:hint="default" w:ascii="Times New Roman" w:hAnsi="Times New Roman" w:cs="Times New Roman"/>
                      <w:b w:val="0"/>
                      <w:bCs/>
                      <w:color w:val="auto"/>
                      <w:sz w:val="21"/>
                      <w:szCs w:val="32"/>
                    </w:rPr>
                    <w:t>1</w:t>
                  </w:r>
                  <w:r>
                    <w:rPr>
                      <w:rFonts w:hint="eastAsia" w:ascii="Times New Roman" w:hAnsi="Times New Roman" w:cs="Times New Roman"/>
                      <w:b w:val="0"/>
                      <w:bCs/>
                      <w:color w:val="auto"/>
                      <w:sz w:val="21"/>
                      <w:szCs w:val="32"/>
                      <w:lang w:val="en-US" w:eastAsia="zh-CN"/>
                    </w:rPr>
                    <w:t>54</w:t>
                  </w:r>
                  <w:bookmarkEnd w:id="54"/>
                </w:p>
              </w:tc>
              <w:tc>
                <w:tcPr>
                  <w:tcW w:w="821"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55" w:name="_Toc22929"/>
                  <w:r>
                    <w:rPr>
                      <w:rFonts w:hint="default" w:ascii="Times New Roman" w:hAnsi="Times New Roman" w:cs="Times New Roman"/>
                      <w:b w:val="0"/>
                      <w:bCs/>
                      <w:color w:val="auto"/>
                      <w:sz w:val="21"/>
                      <w:szCs w:val="32"/>
                    </w:rPr>
                    <w:t>160</w:t>
                  </w:r>
                  <w:bookmarkEnd w:id="55"/>
                </w:p>
              </w:tc>
              <w:tc>
                <w:tcPr>
                  <w:tcW w:w="54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eastAsia="宋体" w:cs="Times New Roman"/>
                      <w:b w:val="0"/>
                      <w:bCs/>
                      <w:color w:val="auto"/>
                      <w:sz w:val="21"/>
                      <w:szCs w:val="32"/>
                      <w:lang w:val="en-US" w:eastAsia="zh-CN"/>
                    </w:rPr>
                  </w:pPr>
                  <w:bookmarkStart w:id="56" w:name="_Toc14609"/>
                  <w:r>
                    <w:rPr>
                      <w:rFonts w:hint="eastAsia" w:ascii="Times New Roman" w:hAnsi="Times New Roman" w:cs="Times New Roman"/>
                      <w:b w:val="0"/>
                      <w:bCs/>
                      <w:color w:val="auto"/>
                      <w:sz w:val="21"/>
                      <w:szCs w:val="32"/>
                      <w:lang w:val="en-US" w:eastAsia="zh-CN"/>
                    </w:rPr>
                    <w:t>0.96</w:t>
                  </w:r>
                  <w:bookmarkEnd w:id="56"/>
                </w:p>
              </w:tc>
              <w:tc>
                <w:tcPr>
                  <w:tcW w:w="606" w:type="pct"/>
                  <w:tcBorders>
                    <w:top w:val="single" w:color="auto" w:sz="4" w:space="0"/>
                    <w:left w:val="single" w:color="auto" w:sz="4" w:space="0"/>
                    <w:bottom w:val="single" w:color="auto" w:sz="4" w:space="0"/>
                    <w:right w:val="single" w:color="auto" w:sz="4" w:space="0"/>
                    <w:tl2br w:val="nil"/>
                    <w:tr2bl w:val="nil"/>
                  </w:tcBorders>
                  <w:noWrap w:val="0"/>
                  <w:vAlign w:val="center"/>
                </w:tcPr>
                <w:p>
                  <w:pPr>
                    <w:pStyle w:val="24"/>
                    <w:keepNext w:val="0"/>
                    <w:keepLines w:val="0"/>
                    <w:pageBreakBefore w:val="0"/>
                    <w:widowControl w:val="0"/>
                    <w:kinsoku/>
                    <w:wordWrap/>
                    <w:overflowPunct/>
                    <w:topLinePunct w:val="0"/>
                    <w:autoSpaceDE/>
                    <w:autoSpaceDN/>
                    <w:bidi w:val="0"/>
                    <w:adjustRightInd/>
                    <w:snapToGrid/>
                    <w:spacing w:before="0" w:after="0" w:afterLines="0" w:line="240" w:lineRule="auto"/>
                    <w:jc w:val="center"/>
                    <w:textAlignment w:val="auto"/>
                    <w:rPr>
                      <w:rFonts w:hint="default" w:ascii="Times New Roman" w:hAnsi="Times New Roman" w:cs="Times New Roman"/>
                      <w:b w:val="0"/>
                      <w:bCs/>
                      <w:color w:val="auto"/>
                      <w:sz w:val="21"/>
                      <w:szCs w:val="32"/>
                    </w:rPr>
                  </w:pPr>
                  <w:bookmarkStart w:id="57" w:name="_Toc21515"/>
                  <w:r>
                    <w:rPr>
                      <w:rFonts w:hint="default" w:ascii="Times New Roman" w:hAnsi="Times New Roman" w:eastAsia="宋体" w:cs="Times New Roman"/>
                      <w:b w:val="0"/>
                      <w:bCs/>
                      <w:color w:val="auto"/>
                      <w:sz w:val="21"/>
                      <w:szCs w:val="32"/>
                    </w:rPr>
                    <w:t>达标</w:t>
                  </w:r>
                  <w:bookmarkEnd w:id="57"/>
                </w:p>
              </w:tc>
            </w:tr>
          </w:tbl>
          <w:p>
            <w:pPr>
              <w:adjustRightInd w:val="0"/>
              <w:snapToGrid w:val="0"/>
              <w:spacing w:before="120" w:beforeLines="50" w:line="360" w:lineRule="auto"/>
              <w:ind w:firstLine="480" w:firstLineChars="200"/>
              <w:rPr>
                <w:color w:val="auto"/>
                <w:sz w:val="24"/>
              </w:rPr>
            </w:pPr>
            <w:r>
              <w:rPr>
                <w:rFonts w:hint="eastAsia"/>
                <w:color w:val="auto"/>
                <w:sz w:val="24"/>
              </w:rPr>
              <w:t>②特征污染物大气质量现状调查与评价</w:t>
            </w:r>
          </w:p>
          <w:p>
            <w:pPr>
              <w:adjustRightInd w:val="0"/>
              <w:snapToGrid w:val="0"/>
              <w:spacing w:line="360" w:lineRule="auto"/>
              <w:ind w:firstLine="480" w:firstLineChars="200"/>
              <w:rPr>
                <w:rFonts w:ascii="宋体" w:hAnsi="宋体" w:cs="宋体"/>
                <w:b/>
                <w:color w:val="auto"/>
                <w:sz w:val="24"/>
              </w:rPr>
            </w:pPr>
            <w:r>
              <w:rPr>
                <w:rFonts w:hint="eastAsia"/>
                <w:color w:val="auto"/>
                <w:sz w:val="24"/>
              </w:rPr>
              <w:t>本项目特征污染物TSP现状监测数据引用广东韶测监测有限公司</w:t>
            </w:r>
            <w:r>
              <w:rPr>
                <w:rFonts w:hint="eastAsia"/>
                <w:color w:val="auto"/>
                <w:sz w:val="24"/>
                <w:lang w:val="en-US" w:eastAsia="zh-CN"/>
              </w:rPr>
              <w:t>于</w:t>
            </w:r>
            <w:r>
              <w:rPr>
                <w:rFonts w:hint="eastAsia"/>
                <w:color w:val="auto"/>
                <w:sz w:val="24"/>
              </w:rPr>
              <w:t>2021年2月检测报告（报告编号：广东韶测 第（21022004）号），监测点位图如附图7所示，监测数据如表</w:t>
            </w:r>
            <w:r>
              <w:rPr>
                <w:rFonts w:hint="eastAsia"/>
                <w:color w:val="auto"/>
                <w:sz w:val="24"/>
                <w:lang w:val="en-US" w:eastAsia="zh-CN"/>
              </w:rPr>
              <w:t>3-2</w:t>
            </w:r>
            <w:r>
              <w:rPr>
                <w:rFonts w:hint="eastAsia"/>
                <w:color w:val="auto"/>
                <w:sz w:val="24"/>
              </w:rPr>
              <w:t>所示。</w:t>
            </w:r>
          </w:p>
          <w:p>
            <w:pPr>
              <w:spacing w:line="360" w:lineRule="auto"/>
              <w:jc w:val="center"/>
              <w:rPr>
                <w:b/>
                <w:color w:val="auto"/>
                <w:sz w:val="24"/>
              </w:rPr>
            </w:pPr>
            <w:r>
              <w:rPr>
                <w:rFonts w:hint="eastAsia"/>
                <w:b/>
                <w:color w:val="auto"/>
                <w:sz w:val="24"/>
              </w:rPr>
              <w:t>表</w:t>
            </w:r>
            <w:r>
              <w:rPr>
                <w:rFonts w:hint="eastAsia"/>
                <w:b/>
                <w:color w:val="auto"/>
                <w:sz w:val="24"/>
                <w:lang w:val="en-US" w:eastAsia="zh-CN"/>
              </w:rPr>
              <w:t>3-2</w:t>
            </w:r>
            <w:r>
              <w:rPr>
                <w:rFonts w:hint="eastAsia"/>
                <w:b/>
                <w:color w:val="auto"/>
                <w:sz w:val="24"/>
              </w:rPr>
              <w:t xml:space="preserve"> </w:t>
            </w:r>
            <w:r>
              <w:rPr>
                <w:rFonts w:hint="eastAsia"/>
                <w:b/>
                <w:color w:val="auto"/>
                <w:sz w:val="24"/>
                <w:lang w:val="en-US" w:eastAsia="zh-CN"/>
              </w:rPr>
              <w:t xml:space="preserve"> </w:t>
            </w:r>
            <w:r>
              <w:rPr>
                <w:b/>
                <w:color w:val="auto"/>
                <w:sz w:val="24"/>
              </w:rPr>
              <w:t>TSP</w:t>
            </w:r>
            <w:r>
              <w:rPr>
                <w:rFonts w:hint="eastAsia"/>
                <w:b/>
                <w:color w:val="auto"/>
                <w:sz w:val="24"/>
                <w:lang w:val="en-US" w:eastAsia="zh-CN"/>
              </w:rPr>
              <w:t>质量现状</w:t>
            </w:r>
            <w:r>
              <w:rPr>
                <w:rFonts w:hint="eastAsia"/>
                <w:b/>
                <w:color w:val="auto"/>
                <w:sz w:val="24"/>
                <w:lang w:eastAsia="zh-CN"/>
              </w:rPr>
              <w:t>监测</w:t>
            </w:r>
            <w:r>
              <w:rPr>
                <w:rFonts w:hint="eastAsia"/>
                <w:b/>
                <w:color w:val="auto"/>
                <w:sz w:val="24"/>
              </w:rPr>
              <w:t>结果</w:t>
            </w:r>
          </w:p>
          <w:tbl>
            <w:tblPr>
              <w:tblStyle w:val="28"/>
              <w:tblW w:w="79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2"/>
              <w:gridCol w:w="2042"/>
              <w:gridCol w:w="1529"/>
              <w:gridCol w:w="2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2" w:type="dxa"/>
                  <w:tcBorders>
                    <w:top w:val="single" w:color="auto" w:sz="4" w:space="0"/>
                    <w:left w:val="single" w:color="auto" w:sz="0" w:space="0"/>
                    <w:right w:val="single" w:color="auto" w:sz="4" w:space="0"/>
                  </w:tcBorders>
                  <w:vAlign w:val="center"/>
                </w:tcPr>
                <w:p>
                  <w:pPr>
                    <w:pStyle w:val="38"/>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采样位置</w:t>
                  </w:r>
                </w:p>
              </w:tc>
              <w:tc>
                <w:tcPr>
                  <w:tcW w:w="2042" w:type="dxa"/>
                  <w:tcBorders>
                    <w:top w:val="single" w:color="auto" w:sz="4" w:space="0"/>
                    <w:left w:val="single" w:color="auto" w:sz="4" w:space="0"/>
                    <w:right w:val="single" w:color="auto" w:sz="4" w:space="0"/>
                  </w:tcBorders>
                  <w:vAlign w:val="center"/>
                </w:tcPr>
                <w:p>
                  <w:pPr>
                    <w:pStyle w:val="38"/>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采样日期</w:t>
                  </w:r>
                </w:p>
              </w:tc>
              <w:tc>
                <w:tcPr>
                  <w:tcW w:w="1529" w:type="dxa"/>
                  <w:tcBorders>
                    <w:top w:val="single" w:color="auto" w:sz="4" w:space="0"/>
                    <w:left w:val="single" w:color="auto" w:sz="4" w:space="0"/>
                    <w:right w:val="single" w:color="auto" w:sz="4" w:space="0"/>
                  </w:tcBorders>
                  <w:vAlign w:val="center"/>
                </w:tcPr>
                <w:p>
                  <w:pPr>
                    <w:pStyle w:val="38"/>
                    <w:jc w:val="center"/>
                    <w:rPr>
                      <w:rFonts w:ascii="Times New Roman" w:hAnsi="Times New Roman" w:cs="Times New Roman"/>
                      <w:b/>
                      <w:bCs/>
                      <w:color w:val="auto"/>
                      <w:kern w:val="0"/>
                      <w:sz w:val="21"/>
                      <w:szCs w:val="21"/>
                      <w:lang w:bidi="ar"/>
                    </w:rPr>
                  </w:pPr>
                  <w:r>
                    <w:rPr>
                      <w:rFonts w:ascii="Times New Roman" w:hAnsi="Times New Roman" w:cs="Times New Roman"/>
                      <w:b/>
                      <w:bCs/>
                      <w:color w:val="auto"/>
                      <w:kern w:val="0"/>
                      <w:sz w:val="21"/>
                      <w:szCs w:val="21"/>
                      <w:lang w:bidi="ar"/>
                    </w:rPr>
                    <w:t>检测项目</w:t>
                  </w:r>
                </w:p>
              </w:tc>
              <w:tc>
                <w:tcPr>
                  <w:tcW w:w="2985" w:type="dxa"/>
                  <w:tcBorders>
                    <w:top w:val="single" w:color="auto" w:sz="4" w:space="0"/>
                    <w:left w:val="single" w:color="auto" w:sz="4" w:space="0"/>
                    <w:right w:val="single" w:color="auto" w:sz="4" w:space="0"/>
                  </w:tcBorders>
                  <w:vAlign w:val="center"/>
                </w:tcPr>
                <w:p>
                  <w:pPr>
                    <w:pStyle w:val="38"/>
                    <w:jc w:val="center"/>
                    <w:rPr>
                      <w:rFonts w:ascii="Times New Roman" w:hAnsi="Times New Roman" w:cs="Times New Roman"/>
                      <w:b/>
                      <w:bCs/>
                      <w:color w:val="auto"/>
                      <w:kern w:val="0"/>
                      <w:sz w:val="21"/>
                      <w:szCs w:val="21"/>
                      <w:lang w:bidi="ar"/>
                    </w:rPr>
                  </w:pPr>
                  <w:r>
                    <w:rPr>
                      <w:rFonts w:ascii="Times New Roman" w:hAnsi="Times New Roman" w:cs="Times New Roman"/>
                      <w:b/>
                      <w:bCs/>
                      <w:color w:val="auto"/>
                      <w:sz w:val="21"/>
                      <w:szCs w:val="21"/>
                    </w:rPr>
                    <w:t>检测结果（mg/m³）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2" w:type="dxa"/>
                  <w:vMerge w:val="restart"/>
                  <w:tcBorders>
                    <w:left w:val="single" w:color="auto" w:sz="4" w:space="0"/>
                    <w:right w:val="single" w:color="auto" w:sz="4" w:space="0"/>
                  </w:tcBorders>
                  <w:vAlign w:val="center"/>
                </w:tcPr>
                <w:p>
                  <w:pPr>
                    <w:spacing w:line="280" w:lineRule="exact"/>
                    <w:jc w:val="center"/>
                    <w:rPr>
                      <w:bCs/>
                      <w:color w:val="auto"/>
                      <w:szCs w:val="21"/>
                    </w:rPr>
                  </w:pPr>
                  <w:r>
                    <w:rPr>
                      <w:color w:val="auto"/>
                      <w:szCs w:val="21"/>
                    </w:rPr>
                    <w:t>A1乐</w:t>
                  </w:r>
                  <w:r>
                    <w:rPr>
                      <w:rFonts w:hint="eastAsia"/>
                      <w:color w:val="auto"/>
                      <w:szCs w:val="21"/>
                    </w:rPr>
                    <w:t>昌</w:t>
                  </w:r>
                  <w:r>
                    <w:rPr>
                      <w:color w:val="auto"/>
                      <w:szCs w:val="21"/>
                    </w:rPr>
                    <w:t>开发区管委会</w:t>
                  </w:r>
                </w:p>
              </w:tc>
              <w:tc>
                <w:tcPr>
                  <w:tcW w:w="2042" w:type="dxa"/>
                  <w:tcBorders>
                    <w:left w:val="single" w:color="auto" w:sz="4" w:space="0"/>
                    <w:right w:val="single" w:color="auto" w:sz="4" w:space="0"/>
                  </w:tcBorders>
                  <w:vAlign w:val="center"/>
                </w:tcPr>
                <w:p>
                  <w:pPr>
                    <w:jc w:val="center"/>
                    <w:rPr>
                      <w:bCs/>
                      <w:color w:val="auto"/>
                      <w:szCs w:val="21"/>
                    </w:rPr>
                  </w:pPr>
                  <w:r>
                    <w:rPr>
                      <w:color w:val="auto"/>
                      <w:szCs w:val="21"/>
                    </w:rPr>
                    <w:t>2021-02-20</w:t>
                  </w:r>
                </w:p>
              </w:tc>
              <w:tc>
                <w:tcPr>
                  <w:tcW w:w="1529" w:type="dxa"/>
                  <w:vMerge w:val="restart"/>
                  <w:tcBorders>
                    <w:left w:val="single" w:color="auto" w:sz="4" w:space="0"/>
                    <w:right w:val="single" w:color="auto" w:sz="4" w:space="0"/>
                  </w:tcBorders>
                  <w:vAlign w:val="center"/>
                </w:tcPr>
                <w:p>
                  <w:pPr>
                    <w:jc w:val="center"/>
                    <w:rPr>
                      <w:bCs/>
                      <w:color w:val="auto"/>
                      <w:szCs w:val="21"/>
                    </w:rPr>
                  </w:pPr>
                  <w:r>
                    <w:rPr>
                      <w:color w:val="auto"/>
                      <w:szCs w:val="21"/>
                    </w:rPr>
                    <w:t>总悬浮颗粒物</w:t>
                  </w:r>
                </w:p>
              </w:tc>
              <w:tc>
                <w:tcPr>
                  <w:tcW w:w="2985" w:type="dxa"/>
                  <w:tcBorders>
                    <w:left w:val="single" w:color="auto" w:sz="4" w:space="0"/>
                    <w:right w:val="single" w:color="auto" w:sz="4" w:space="0"/>
                  </w:tcBorders>
                  <w:vAlign w:val="center"/>
                </w:tcPr>
                <w:p>
                  <w:pPr>
                    <w:jc w:val="center"/>
                    <w:rPr>
                      <w:bCs/>
                      <w:color w:val="auto"/>
                      <w:szCs w:val="21"/>
                    </w:rPr>
                  </w:pPr>
                  <w:r>
                    <w:rPr>
                      <w:bCs/>
                      <w:color w:val="auto"/>
                      <w:szCs w:val="21"/>
                    </w:rPr>
                    <w:t>0.061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2" w:type="dxa"/>
                  <w:vMerge w:val="continue"/>
                  <w:tcBorders>
                    <w:left w:val="single" w:color="auto" w:sz="4" w:space="0"/>
                    <w:right w:val="single" w:color="auto" w:sz="4" w:space="0"/>
                  </w:tcBorders>
                  <w:vAlign w:val="center"/>
                </w:tcPr>
                <w:p>
                  <w:pPr>
                    <w:pStyle w:val="38"/>
                    <w:jc w:val="center"/>
                    <w:rPr>
                      <w:rFonts w:ascii="Times New Roman" w:hAnsi="Times New Roman" w:cs="Times New Roman"/>
                      <w:bCs/>
                      <w:color w:val="auto"/>
                      <w:sz w:val="21"/>
                      <w:szCs w:val="21"/>
                    </w:rPr>
                  </w:pPr>
                </w:p>
              </w:tc>
              <w:tc>
                <w:tcPr>
                  <w:tcW w:w="2042" w:type="dxa"/>
                  <w:tcBorders>
                    <w:left w:val="single" w:color="auto" w:sz="4" w:space="0"/>
                    <w:right w:val="single" w:color="auto" w:sz="4" w:space="0"/>
                  </w:tcBorders>
                  <w:vAlign w:val="center"/>
                </w:tcPr>
                <w:p>
                  <w:pPr>
                    <w:autoSpaceDE w:val="0"/>
                    <w:autoSpaceDN w:val="0"/>
                    <w:jc w:val="center"/>
                    <w:rPr>
                      <w:bCs/>
                      <w:color w:val="auto"/>
                      <w:szCs w:val="21"/>
                    </w:rPr>
                  </w:pPr>
                  <w:r>
                    <w:rPr>
                      <w:color w:val="auto"/>
                      <w:szCs w:val="21"/>
                    </w:rPr>
                    <w:t>2021-02-21</w:t>
                  </w:r>
                </w:p>
              </w:tc>
              <w:tc>
                <w:tcPr>
                  <w:tcW w:w="1529" w:type="dxa"/>
                  <w:vMerge w:val="continue"/>
                  <w:tcBorders>
                    <w:left w:val="single" w:color="auto" w:sz="4" w:space="0"/>
                    <w:right w:val="single" w:color="auto" w:sz="4" w:space="0"/>
                  </w:tcBorders>
                  <w:vAlign w:val="center"/>
                </w:tcPr>
                <w:p>
                  <w:pPr>
                    <w:jc w:val="center"/>
                    <w:rPr>
                      <w:bCs/>
                      <w:color w:val="auto"/>
                      <w:szCs w:val="21"/>
                    </w:rPr>
                  </w:pPr>
                </w:p>
              </w:tc>
              <w:tc>
                <w:tcPr>
                  <w:tcW w:w="2985" w:type="dxa"/>
                  <w:tcBorders>
                    <w:left w:val="single" w:color="auto" w:sz="4" w:space="0"/>
                    <w:right w:val="single" w:color="auto" w:sz="4" w:space="0"/>
                  </w:tcBorders>
                  <w:vAlign w:val="center"/>
                </w:tcPr>
                <w:p>
                  <w:pPr>
                    <w:jc w:val="center"/>
                    <w:rPr>
                      <w:bCs/>
                      <w:color w:val="auto"/>
                      <w:szCs w:val="21"/>
                    </w:rPr>
                  </w:pPr>
                  <w:r>
                    <w:rPr>
                      <w:bCs/>
                      <w:color w:val="auto"/>
                      <w:szCs w:val="21"/>
                    </w:rPr>
                    <w:t>0.091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2" w:type="dxa"/>
                  <w:vMerge w:val="continue"/>
                  <w:tcBorders>
                    <w:left w:val="single" w:color="auto" w:sz="4" w:space="0"/>
                    <w:right w:val="single" w:color="auto" w:sz="4" w:space="0"/>
                  </w:tcBorders>
                  <w:vAlign w:val="center"/>
                </w:tcPr>
                <w:p>
                  <w:pPr>
                    <w:pStyle w:val="38"/>
                    <w:rPr>
                      <w:rFonts w:ascii="Times New Roman" w:hAnsi="Times New Roman" w:cs="Times New Roman"/>
                      <w:bCs/>
                      <w:color w:val="auto"/>
                      <w:sz w:val="21"/>
                      <w:szCs w:val="21"/>
                    </w:rPr>
                  </w:pPr>
                </w:p>
              </w:tc>
              <w:tc>
                <w:tcPr>
                  <w:tcW w:w="2042" w:type="dxa"/>
                  <w:tcBorders>
                    <w:left w:val="single" w:color="auto" w:sz="4" w:space="0"/>
                    <w:right w:val="single" w:color="auto" w:sz="4" w:space="0"/>
                  </w:tcBorders>
                  <w:vAlign w:val="center"/>
                </w:tcPr>
                <w:p>
                  <w:pPr>
                    <w:autoSpaceDE w:val="0"/>
                    <w:autoSpaceDN w:val="0"/>
                    <w:jc w:val="center"/>
                    <w:rPr>
                      <w:bCs/>
                      <w:color w:val="auto"/>
                      <w:szCs w:val="21"/>
                    </w:rPr>
                  </w:pPr>
                  <w:r>
                    <w:rPr>
                      <w:color w:val="auto"/>
                      <w:szCs w:val="21"/>
                    </w:rPr>
                    <w:t>2021-02-22</w:t>
                  </w:r>
                </w:p>
              </w:tc>
              <w:tc>
                <w:tcPr>
                  <w:tcW w:w="1529" w:type="dxa"/>
                  <w:vMerge w:val="continue"/>
                  <w:tcBorders>
                    <w:left w:val="single" w:color="auto" w:sz="4" w:space="0"/>
                    <w:right w:val="single" w:color="auto" w:sz="4" w:space="0"/>
                  </w:tcBorders>
                  <w:vAlign w:val="center"/>
                </w:tcPr>
                <w:p>
                  <w:pPr>
                    <w:jc w:val="center"/>
                    <w:rPr>
                      <w:bCs/>
                      <w:color w:val="auto"/>
                      <w:szCs w:val="21"/>
                    </w:rPr>
                  </w:pPr>
                </w:p>
              </w:tc>
              <w:tc>
                <w:tcPr>
                  <w:tcW w:w="2985" w:type="dxa"/>
                  <w:tcBorders>
                    <w:left w:val="single" w:color="auto" w:sz="4" w:space="0"/>
                    <w:right w:val="single" w:color="auto" w:sz="4" w:space="0"/>
                  </w:tcBorders>
                  <w:vAlign w:val="center"/>
                </w:tcPr>
                <w:p>
                  <w:pPr>
                    <w:jc w:val="center"/>
                    <w:rPr>
                      <w:bCs/>
                      <w:color w:val="auto"/>
                      <w:szCs w:val="21"/>
                    </w:rPr>
                  </w:pPr>
                  <w:r>
                    <w:rPr>
                      <w:bCs/>
                      <w:color w:val="auto"/>
                      <w:szCs w:val="21"/>
                    </w:rPr>
                    <w:t>0.085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2" w:type="dxa"/>
                  <w:vMerge w:val="continue"/>
                  <w:tcBorders>
                    <w:left w:val="single" w:color="auto" w:sz="4" w:space="0"/>
                    <w:right w:val="single" w:color="auto" w:sz="4" w:space="0"/>
                  </w:tcBorders>
                  <w:vAlign w:val="center"/>
                </w:tcPr>
                <w:p>
                  <w:pPr>
                    <w:pStyle w:val="38"/>
                    <w:jc w:val="center"/>
                    <w:rPr>
                      <w:rFonts w:ascii="Times New Roman" w:hAnsi="Times New Roman" w:cs="Times New Roman"/>
                      <w:bCs/>
                      <w:color w:val="auto"/>
                      <w:sz w:val="21"/>
                      <w:szCs w:val="21"/>
                    </w:rPr>
                  </w:pPr>
                </w:p>
              </w:tc>
              <w:tc>
                <w:tcPr>
                  <w:tcW w:w="2042" w:type="dxa"/>
                  <w:tcBorders>
                    <w:left w:val="single" w:color="auto" w:sz="4" w:space="0"/>
                    <w:right w:val="single" w:color="auto" w:sz="4" w:space="0"/>
                  </w:tcBorders>
                  <w:vAlign w:val="center"/>
                </w:tcPr>
                <w:p>
                  <w:pPr>
                    <w:autoSpaceDE w:val="0"/>
                    <w:autoSpaceDN w:val="0"/>
                    <w:jc w:val="center"/>
                    <w:rPr>
                      <w:bCs/>
                      <w:color w:val="auto"/>
                      <w:szCs w:val="21"/>
                    </w:rPr>
                  </w:pPr>
                  <w:r>
                    <w:rPr>
                      <w:color w:val="auto"/>
                      <w:szCs w:val="21"/>
                    </w:rPr>
                    <w:t>2021-02-23</w:t>
                  </w:r>
                </w:p>
              </w:tc>
              <w:tc>
                <w:tcPr>
                  <w:tcW w:w="1529" w:type="dxa"/>
                  <w:vMerge w:val="continue"/>
                  <w:tcBorders>
                    <w:left w:val="single" w:color="auto" w:sz="4" w:space="0"/>
                    <w:right w:val="single" w:color="auto" w:sz="4" w:space="0"/>
                  </w:tcBorders>
                  <w:vAlign w:val="center"/>
                </w:tcPr>
                <w:p>
                  <w:pPr>
                    <w:jc w:val="center"/>
                    <w:rPr>
                      <w:bCs/>
                      <w:color w:val="auto"/>
                      <w:szCs w:val="21"/>
                    </w:rPr>
                  </w:pPr>
                </w:p>
              </w:tc>
              <w:tc>
                <w:tcPr>
                  <w:tcW w:w="2985" w:type="dxa"/>
                  <w:tcBorders>
                    <w:left w:val="single" w:color="auto" w:sz="4" w:space="0"/>
                    <w:right w:val="single" w:color="auto" w:sz="4" w:space="0"/>
                  </w:tcBorders>
                  <w:vAlign w:val="center"/>
                </w:tcPr>
                <w:p>
                  <w:pPr>
                    <w:jc w:val="center"/>
                    <w:rPr>
                      <w:bCs/>
                      <w:color w:val="auto"/>
                      <w:szCs w:val="21"/>
                    </w:rPr>
                  </w:pPr>
                  <w:r>
                    <w:rPr>
                      <w:bCs/>
                      <w:color w:val="auto"/>
                      <w:szCs w:val="21"/>
                    </w:rPr>
                    <w:t>0.077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2" w:type="dxa"/>
                  <w:vMerge w:val="continue"/>
                  <w:tcBorders>
                    <w:left w:val="single" w:color="auto" w:sz="4" w:space="0"/>
                    <w:right w:val="single" w:color="auto" w:sz="4" w:space="0"/>
                  </w:tcBorders>
                  <w:vAlign w:val="center"/>
                </w:tcPr>
                <w:p>
                  <w:pPr>
                    <w:pStyle w:val="38"/>
                    <w:jc w:val="center"/>
                    <w:rPr>
                      <w:rFonts w:ascii="Times New Roman" w:hAnsi="Times New Roman" w:cs="Times New Roman"/>
                      <w:bCs/>
                      <w:color w:val="auto"/>
                      <w:sz w:val="21"/>
                      <w:szCs w:val="21"/>
                    </w:rPr>
                  </w:pPr>
                </w:p>
              </w:tc>
              <w:tc>
                <w:tcPr>
                  <w:tcW w:w="2042" w:type="dxa"/>
                  <w:tcBorders>
                    <w:left w:val="single" w:color="auto" w:sz="4" w:space="0"/>
                    <w:right w:val="single" w:color="auto" w:sz="4" w:space="0"/>
                  </w:tcBorders>
                  <w:vAlign w:val="center"/>
                </w:tcPr>
                <w:p>
                  <w:pPr>
                    <w:jc w:val="center"/>
                    <w:rPr>
                      <w:bCs/>
                      <w:color w:val="auto"/>
                      <w:szCs w:val="21"/>
                    </w:rPr>
                  </w:pPr>
                  <w:r>
                    <w:rPr>
                      <w:color w:val="auto"/>
                      <w:szCs w:val="21"/>
                    </w:rPr>
                    <w:t>2021-02-24</w:t>
                  </w:r>
                </w:p>
              </w:tc>
              <w:tc>
                <w:tcPr>
                  <w:tcW w:w="1529" w:type="dxa"/>
                  <w:vMerge w:val="continue"/>
                  <w:tcBorders>
                    <w:left w:val="single" w:color="auto" w:sz="4" w:space="0"/>
                    <w:right w:val="single" w:color="auto" w:sz="4" w:space="0"/>
                  </w:tcBorders>
                  <w:vAlign w:val="center"/>
                </w:tcPr>
                <w:p>
                  <w:pPr>
                    <w:jc w:val="center"/>
                    <w:rPr>
                      <w:bCs/>
                      <w:color w:val="auto"/>
                      <w:szCs w:val="21"/>
                    </w:rPr>
                  </w:pPr>
                </w:p>
              </w:tc>
              <w:tc>
                <w:tcPr>
                  <w:tcW w:w="2985" w:type="dxa"/>
                  <w:tcBorders>
                    <w:left w:val="single" w:color="auto" w:sz="4" w:space="0"/>
                    <w:right w:val="single" w:color="auto" w:sz="4" w:space="0"/>
                  </w:tcBorders>
                  <w:vAlign w:val="center"/>
                </w:tcPr>
                <w:p>
                  <w:pPr>
                    <w:jc w:val="center"/>
                    <w:rPr>
                      <w:bCs/>
                      <w:color w:val="auto"/>
                      <w:szCs w:val="21"/>
                    </w:rPr>
                  </w:pPr>
                  <w:r>
                    <w:rPr>
                      <w:bCs/>
                      <w:color w:val="auto"/>
                      <w:szCs w:val="21"/>
                    </w:rPr>
                    <w:t>0.074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2" w:type="dxa"/>
                  <w:vMerge w:val="continue"/>
                  <w:tcBorders>
                    <w:left w:val="single" w:color="auto" w:sz="4" w:space="0"/>
                    <w:right w:val="single" w:color="auto" w:sz="4" w:space="0"/>
                  </w:tcBorders>
                  <w:vAlign w:val="center"/>
                </w:tcPr>
                <w:p>
                  <w:pPr>
                    <w:pStyle w:val="38"/>
                    <w:jc w:val="center"/>
                    <w:rPr>
                      <w:rFonts w:ascii="Times New Roman" w:hAnsi="Times New Roman" w:cs="Times New Roman"/>
                      <w:bCs/>
                      <w:color w:val="auto"/>
                      <w:sz w:val="21"/>
                      <w:szCs w:val="21"/>
                    </w:rPr>
                  </w:pPr>
                </w:p>
              </w:tc>
              <w:tc>
                <w:tcPr>
                  <w:tcW w:w="2042" w:type="dxa"/>
                  <w:tcBorders>
                    <w:left w:val="single" w:color="auto" w:sz="4" w:space="0"/>
                    <w:right w:val="single" w:color="auto" w:sz="4" w:space="0"/>
                  </w:tcBorders>
                  <w:vAlign w:val="center"/>
                </w:tcPr>
                <w:p>
                  <w:pPr>
                    <w:autoSpaceDE w:val="0"/>
                    <w:autoSpaceDN w:val="0"/>
                    <w:jc w:val="center"/>
                    <w:rPr>
                      <w:bCs/>
                      <w:color w:val="auto"/>
                      <w:szCs w:val="21"/>
                    </w:rPr>
                  </w:pPr>
                  <w:r>
                    <w:rPr>
                      <w:color w:val="auto"/>
                      <w:szCs w:val="21"/>
                    </w:rPr>
                    <w:t>2021-02-25</w:t>
                  </w:r>
                </w:p>
              </w:tc>
              <w:tc>
                <w:tcPr>
                  <w:tcW w:w="1529" w:type="dxa"/>
                  <w:vMerge w:val="continue"/>
                  <w:tcBorders>
                    <w:left w:val="single" w:color="auto" w:sz="4" w:space="0"/>
                    <w:right w:val="single" w:color="auto" w:sz="4" w:space="0"/>
                  </w:tcBorders>
                  <w:vAlign w:val="center"/>
                </w:tcPr>
                <w:p>
                  <w:pPr>
                    <w:jc w:val="center"/>
                    <w:rPr>
                      <w:bCs/>
                      <w:color w:val="auto"/>
                      <w:szCs w:val="21"/>
                    </w:rPr>
                  </w:pPr>
                </w:p>
              </w:tc>
              <w:tc>
                <w:tcPr>
                  <w:tcW w:w="2985" w:type="dxa"/>
                  <w:tcBorders>
                    <w:left w:val="single" w:color="auto" w:sz="4" w:space="0"/>
                    <w:right w:val="single" w:color="auto" w:sz="4" w:space="0"/>
                  </w:tcBorders>
                  <w:vAlign w:val="center"/>
                </w:tcPr>
                <w:p>
                  <w:pPr>
                    <w:jc w:val="center"/>
                    <w:rPr>
                      <w:bCs/>
                      <w:color w:val="auto"/>
                      <w:szCs w:val="21"/>
                    </w:rPr>
                  </w:pPr>
                  <w:r>
                    <w:rPr>
                      <w:bCs/>
                      <w:color w:val="auto"/>
                      <w:szCs w:val="21"/>
                    </w:rPr>
                    <w:t>0.067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2" w:type="dxa"/>
                  <w:vMerge w:val="continue"/>
                  <w:tcBorders>
                    <w:left w:val="single" w:color="auto" w:sz="4" w:space="0"/>
                    <w:right w:val="single" w:color="auto" w:sz="4" w:space="0"/>
                  </w:tcBorders>
                  <w:vAlign w:val="center"/>
                </w:tcPr>
                <w:p>
                  <w:pPr>
                    <w:pStyle w:val="38"/>
                    <w:jc w:val="center"/>
                    <w:rPr>
                      <w:rFonts w:ascii="Times New Roman" w:hAnsi="Times New Roman" w:cs="Times New Roman"/>
                      <w:bCs/>
                      <w:color w:val="auto"/>
                      <w:sz w:val="21"/>
                      <w:szCs w:val="21"/>
                    </w:rPr>
                  </w:pPr>
                </w:p>
              </w:tc>
              <w:tc>
                <w:tcPr>
                  <w:tcW w:w="2042" w:type="dxa"/>
                  <w:tcBorders>
                    <w:left w:val="single" w:color="auto" w:sz="4" w:space="0"/>
                    <w:right w:val="single" w:color="auto" w:sz="4" w:space="0"/>
                  </w:tcBorders>
                  <w:vAlign w:val="center"/>
                </w:tcPr>
                <w:p>
                  <w:pPr>
                    <w:autoSpaceDE w:val="0"/>
                    <w:autoSpaceDN w:val="0"/>
                    <w:jc w:val="center"/>
                    <w:rPr>
                      <w:bCs/>
                      <w:color w:val="auto"/>
                      <w:szCs w:val="21"/>
                    </w:rPr>
                  </w:pPr>
                  <w:r>
                    <w:rPr>
                      <w:color w:val="auto"/>
                      <w:szCs w:val="21"/>
                    </w:rPr>
                    <w:t>2021-02-26</w:t>
                  </w:r>
                </w:p>
              </w:tc>
              <w:tc>
                <w:tcPr>
                  <w:tcW w:w="1529" w:type="dxa"/>
                  <w:vMerge w:val="continue"/>
                  <w:tcBorders>
                    <w:left w:val="single" w:color="auto" w:sz="4" w:space="0"/>
                    <w:right w:val="single" w:color="auto" w:sz="4" w:space="0"/>
                  </w:tcBorders>
                  <w:vAlign w:val="center"/>
                </w:tcPr>
                <w:p>
                  <w:pPr>
                    <w:jc w:val="center"/>
                    <w:rPr>
                      <w:bCs/>
                      <w:color w:val="auto"/>
                      <w:szCs w:val="21"/>
                    </w:rPr>
                  </w:pPr>
                </w:p>
              </w:tc>
              <w:tc>
                <w:tcPr>
                  <w:tcW w:w="2985" w:type="dxa"/>
                  <w:tcBorders>
                    <w:left w:val="single" w:color="auto" w:sz="4" w:space="0"/>
                    <w:right w:val="single" w:color="auto" w:sz="4" w:space="0"/>
                  </w:tcBorders>
                  <w:vAlign w:val="center"/>
                </w:tcPr>
                <w:p>
                  <w:pPr>
                    <w:jc w:val="center"/>
                    <w:rPr>
                      <w:bCs/>
                      <w:color w:val="auto"/>
                      <w:szCs w:val="21"/>
                    </w:rPr>
                  </w:pPr>
                  <w:r>
                    <w:rPr>
                      <w:bCs/>
                      <w:color w:val="auto"/>
                      <w:szCs w:val="21"/>
                    </w:rPr>
                    <w:t>0.084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993" w:type="dxa"/>
                  <w:gridSpan w:val="3"/>
                  <w:tcBorders>
                    <w:left w:val="single" w:color="auto" w:sz="4" w:space="0"/>
                    <w:bottom w:val="single" w:color="auto" w:sz="4" w:space="0"/>
                    <w:right w:val="single" w:color="auto" w:sz="4" w:space="0"/>
                  </w:tcBorders>
                  <w:vAlign w:val="center"/>
                </w:tcPr>
                <w:p>
                  <w:pPr>
                    <w:jc w:val="center"/>
                    <w:rPr>
                      <w:bCs/>
                      <w:color w:val="auto"/>
                      <w:szCs w:val="21"/>
                    </w:rPr>
                  </w:pPr>
                  <w:r>
                    <w:rPr>
                      <w:color w:val="auto"/>
                      <w:szCs w:val="21"/>
                    </w:rPr>
                    <w:t>浓度限值</w:t>
                  </w:r>
                </w:p>
              </w:tc>
              <w:tc>
                <w:tcPr>
                  <w:tcW w:w="2985" w:type="dxa"/>
                  <w:tcBorders>
                    <w:left w:val="single" w:color="auto" w:sz="4" w:space="0"/>
                    <w:bottom w:val="single" w:color="auto" w:sz="4" w:space="0"/>
                    <w:right w:val="single" w:color="auto" w:sz="4" w:space="0"/>
                  </w:tcBorders>
                  <w:vAlign w:val="center"/>
                </w:tcPr>
                <w:p>
                  <w:pPr>
                    <w:jc w:val="center"/>
                    <w:rPr>
                      <w:bCs/>
                      <w:color w:val="auto"/>
                      <w:szCs w:val="21"/>
                    </w:rPr>
                  </w:pPr>
                  <w:r>
                    <w:rPr>
                      <w:bCs/>
                      <w:color w:val="auto"/>
                      <w:szCs w:val="21"/>
                    </w:rPr>
                    <w:t>0.3</w:t>
                  </w:r>
                </w:p>
              </w:tc>
            </w:tr>
          </w:tbl>
          <w:p>
            <w:pPr>
              <w:adjustRightInd w:val="0"/>
              <w:snapToGrid w:val="0"/>
              <w:spacing w:before="120" w:beforeLines="50" w:line="360" w:lineRule="auto"/>
              <w:ind w:firstLine="480" w:firstLineChars="200"/>
              <w:rPr>
                <w:b w:val="0"/>
                <w:bCs/>
                <w:color w:val="auto"/>
                <w:sz w:val="24"/>
              </w:rPr>
            </w:pPr>
            <w:r>
              <w:rPr>
                <w:rFonts w:hint="eastAsia"/>
                <w:b w:val="0"/>
                <w:bCs/>
                <w:color w:val="auto"/>
                <w:sz w:val="24"/>
              </w:rPr>
              <w:t>监测结果表明，</w:t>
            </w:r>
            <w:r>
              <w:rPr>
                <w:rFonts w:hint="eastAsia"/>
                <w:b w:val="0"/>
                <w:bCs/>
                <w:color w:val="auto"/>
                <w:sz w:val="24"/>
                <w:lang w:val="en-US" w:eastAsia="zh-CN"/>
              </w:rPr>
              <w:t>项目所在区域</w:t>
            </w:r>
            <w:r>
              <w:rPr>
                <w:rFonts w:hint="eastAsia"/>
                <w:b w:val="0"/>
                <w:bCs/>
                <w:color w:val="auto"/>
                <w:sz w:val="24"/>
              </w:rPr>
              <w:t>TSP环境质量现状可满足</w:t>
            </w:r>
            <w:r>
              <w:rPr>
                <w:b w:val="0"/>
                <w:bCs/>
                <w:color w:val="auto"/>
                <w:sz w:val="24"/>
              </w:rPr>
              <w:t>《环境空气质量标准》（GB 3095-</w:t>
            </w:r>
            <w:r>
              <w:rPr>
                <w:rFonts w:hint="eastAsia"/>
                <w:b w:val="0"/>
                <w:bCs/>
                <w:color w:val="auto"/>
                <w:sz w:val="24"/>
              </w:rPr>
              <w:t>2012</w:t>
            </w:r>
            <w:r>
              <w:rPr>
                <w:b w:val="0"/>
                <w:bCs/>
                <w:color w:val="auto"/>
                <w:sz w:val="24"/>
              </w:rPr>
              <w:t>）</w:t>
            </w:r>
            <w:r>
              <w:rPr>
                <w:rFonts w:hint="eastAsia"/>
                <w:b w:val="0"/>
                <w:bCs/>
                <w:color w:val="auto"/>
                <w:sz w:val="24"/>
              </w:rPr>
              <w:t>修改单（生态环境部公告2</w:t>
            </w:r>
            <w:r>
              <w:rPr>
                <w:b w:val="0"/>
                <w:bCs/>
                <w:color w:val="auto"/>
                <w:sz w:val="24"/>
              </w:rPr>
              <w:t>018</w:t>
            </w:r>
            <w:r>
              <w:rPr>
                <w:rFonts w:hint="eastAsia"/>
                <w:b w:val="0"/>
                <w:bCs/>
                <w:color w:val="auto"/>
                <w:sz w:val="24"/>
              </w:rPr>
              <w:t>年第2</w:t>
            </w:r>
            <w:r>
              <w:rPr>
                <w:b w:val="0"/>
                <w:bCs/>
                <w:color w:val="auto"/>
                <w:sz w:val="24"/>
              </w:rPr>
              <w:t>9</w:t>
            </w:r>
            <w:r>
              <w:rPr>
                <w:rFonts w:hint="eastAsia"/>
                <w:b w:val="0"/>
                <w:bCs/>
                <w:color w:val="auto"/>
                <w:sz w:val="24"/>
              </w:rPr>
              <w:t>号）</w:t>
            </w:r>
            <w:r>
              <w:rPr>
                <w:b w:val="0"/>
                <w:bCs/>
                <w:color w:val="auto"/>
                <w:sz w:val="24"/>
              </w:rPr>
              <w:t>二级标准要求</w:t>
            </w:r>
            <w:r>
              <w:rPr>
                <w:rFonts w:hint="eastAsia"/>
                <w:b w:val="0"/>
                <w:bCs/>
                <w:color w:val="auto"/>
                <w:sz w:val="24"/>
              </w:rPr>
              <w:t>。</w:t>
            </w:r>
          </w:p>
          <w:p>
            <w:pPr>
              <w:adjustRightInd w:val="0"/>
              <w:snapToGrid w:val="0"/>
              <w:spacing w:before="120" w:beforeLines="50" w:line="360" w:lineRule="auto"/>
              <w:ind w:firstLine="482" w:firstLineChars="200"/>
              <w:rPr>
                <w:b/>
                <w:color w:val="auto"/>
                <w:sz w:val="24"/>
              </w:rPr>
            </w:pPr>
            <w:r>
              <w:rPr>
                <w:b/>
                <w:color w:val="auto"/>
                <w:sz w:val="24"/>
              </w:rPr>
              <w:t>2、地表水环境质量</w:t>
            </w:r>
          </w:p>
          <w:p>
            <w:pPr>
              <w:adjustRightInd w:val="0"/>
              <w:snapToGrid w:val="0"/>
              <w:spacing w:line="360" w:lineRule="auto"/>
              <w:ind w:firstLine="480" w:firstLineChars="200"/>
              <w:rPr>
                <w:color w:val="auto"/>
                <w:sz w:val="24"/>
              </w:rPr>
            </w:pPr>
            <w:r>
              <w:rPr>
                <w:rFonts w:hint="eastAsia"/>
                <w:color w:val="auto"/>
                <w:sz w:val="24"/>
                <w:lang w:eastAsia="zh-CN"/>
              </w:rPr>
              <w:t>本项目</w:t>
            </w:r>
            <w:r>
              <w:rPr>
                <w:rFonts w:hint="eastAsia"/>
                <w:bCs/>
                <w:color w:val="auto"/>
                <w:sz w:val="24"/>
              </w:rPr>
              <w:t>运营期生活污水纳入乐昌产业转移工业园污水处理厂处理，</w:t>
            </w:r>
            <w:r>
              <w:rPr>
                <w:color w:val="auto"/>
                <w:sz w:val="24"/>
              </w:rPr>
              <w:t>受纳水体为武</w:t>
            </w:r>
            <w:r>
              <w:rPr>
                <w:rFonts w:hint="eastAsia" w:ascii="宋体" w:hAnsi="宋体" w:cs="宋体"/>
                <w:color w:val="auto"/>
                <w:sz w:val="24"/>
              </w:rPr>
              <w:t>水“乐昌城～犁市”</w:t>
            </w:r>
            <w:r>
              <w:rPr>
                <w:color w:val="auto"/>
                <w:sz w:val="24"/>
              </w:rPr>
              <w:t>河段。根据《广东省地表水环境功能区划》（粤府函</w:t>
            </w:r>
            <w:r>
              <w:rPr>
                <w:rFonts w:hint="eastAsia"/>
                <w:color w:val="auto"/>
                <w:sz w:val="24"/>
                <w:lang w:eastAsia="zh-CN"/>
              </w:rPr>
              <w:t>〔</w:t>
            </w:r>
            <w:r>
              <w:rPr>
                <w:color w:val="auto"/>
                <w:sz w:val="24"/>
              </w:rPr>
              <w:t>2011</w:t>
            </w:r>
            <w:r>
              <w:rPr>
                <w:rFonts w:hint="eastAsia"/>
                <w:color w:val="auto"/>
                <w:sz w:val="24"/>
                <w:lang w:eastAsia="zh-CN"/>
              </w:rPr>
              <w:t>〕</w:t>
            </w:r>
            <w:r>
              <w:rPr>
                <w:color w:val="auto"/>
                <w:sz w:val="24"/>
              </w:rPr>
              <w:t>29号），武江</w:t>
            </w:r>
            <w:r>
              <w:rPr>
                <w:rFonts w:hint="eastAsia" w:ascii="宋体" w:hAnsi="宋体" w:cs="宋体"/>
                <w:color w:val="auto"/>
                <w:sz w:val="24"/>
              </w:rPr>
              <w:t>“乐昌城～犁市”河段水环境功能区划为“饮农”</w:t>
            </w:r>
            <w:r>
              <w:rPr>
                <w:color w:val="auto"/>
                <w:sz w:val="24"/>
              </w:rPr>
              <w:t>，水质目标为Ⅲ类，水质标准执行《地表水环境质量标准》（GB3838-2002）中Ⅲ类标准。</w:t>
            </w:r>
          </w:p>
          <w:p>
            <w:pPr>
              <w:adjustRightInd w:val="0"/>
              <w:snapToGrid w:val="0"/>
              <w:spacing w:line="360" w:lineRule="auto"/>
              <w:ind w:firstLine="480" w:firstLineChars="200"/>
              <w:rPr>
                <w:color w:val="auto"/>
                <w:sz w:val="24"/>
              </w:rPr>
            </w:pPr>
            <w:r>
              <w:rPr>
                <w:rFonts w:hint="eastAsia"/>
                <w:color w:val="auto"/>
                <w:sz w:val="24"/>
              </w:rPr>
              <w:t>根据《韶关市生态环境状况公报（202</w:t>
            </w:r>
            <w:r>
              <w:rPr>
                <w:color w:val="auto"/>
                <w:sz w:val="24"/>
              </w:rPr>
              <w:t>1</w:t>
            </w:r>
            <w:r>
              <w:rPr>
                <w:rFonts w:hint="eastAsia"/>
                <w:color w:val="auto"/>
                <w:sz w:val="24"/>
              </w:rPr>
              <w:t>年）》，202</w:t>
            </w:r>
            <w:r>
              <w:rPr>
                <w:color w:val="auto"/>
                <w:sz w:val="24"/>
              </w:rPr>
              <w:t>1</w:t>
            </w:r>
            <w:r>
              <w:rPr>
                <w:rFonts w:hint="eastAsia"/>
                <w:color w:val="auto"/>
                <w:sz w:val="24"/>
              </w:rPr>
              <w:t>年韶关市10条主要江河（北江、武江、浈江、南水河、墨江、锦江、马坝河、滃江、新丰江和横石水）共布设36个市控以上手工监测断面，有28个监测断面责任城市为韶关市（其中13个为“十四五”国控考核断面）；8个监测断面为省交界断面（其中5个为“十四五”国控考核断面），责任省份为湖南省或江西省。2021年，韶关市28个监测断面水质优良率为100%，与2020年持平，其中Ⅰ类比例为 3.57%、Ⅱ类比例为 78.6%、Ⅲ类比例为17.9%。</w:t>
            </w:r>
          </w:p>
          <w:p>
            <w:pPr>
              <w:adjustRightInd w:val="0"/>
              <w:snapToGrid w:val="0"/>
              <w:spacing w:line="360" w:lineRule="auto"/>
              <w:ind w:firstLine="240" w:firstLineChars="100"/>
              <w:jc w:val="left"/>
              <w:rPr>
                <w:b/>
                <w:color w:val="auto"/>
                <w:sz w:val="24"/>
              </w:rPr>
            </w:pPr>
            <w:r>
              <w:rPr>
                <w:rFonts w:hint="eastAsia"/>
                <w:color w:val="auto"/>
                <w:sz w:val="24"/>
              </w:rPr>
              <w:t>根据公报，武江“乐昌城～犁市”河段监测数据满足《地表水环境质量标准》（</w:t>
            </w:r>
            <w:r>
              <w:rPr>
                <w:color w:val="auto"/>
                <w:sz w:val="24"/>
              </w:rPr>
              <w:t>GB3838-2002</w:t>
            </w:r>
            <w:r>
              <w:rPr>
                <w:rFonts w:hint="eastAsia"/>
                <w:color w:val="auto"/>
                <w:sz w:val="24"/>
              </w:rPr>
              <w:t>）中的Ⅲ类标准要求</w:t>
            </w:r>
            <w:r>
              <w:rPr>
                <w:rFonts w:hint="eastAsia"/>
                <w:color w:val="auto"/>
                <w:sz w:val="24"/>
                <w:lang w:eastAsia="zh-CN"/>
              </w:rPr>
              <w:t>。</w:t>
            </w:r>
          </w:p>
          <w:p>
            <w:pPr>
              <w:adjustRightInd w:val="0"/>
              <w:snapToGrid w:val="0"/>
              <w:spacing w:line="360" w:lineRule="auto"/>
              <w:ind w:firstLine="482" w:firstLineChars="200"/>
              <w:rPr>
                <w:b/>
                <w:color w:val="auto"/>
                <w:sz w:val="24"/>
              </w:rPr>
            </w:pPr>
            <w:r>
              <w:rPr>
                <w:b/>
                <w:color w:val="auto"/>
                <w:sz w:val="24"/>
              </w:rPr>
              <w:t>3、环境噪声现状</w:t>
            </w:r>
          </w:p>
          <w:p>
            <w:pPr>
              <w:adjustRightInd w:val="0"/>
              <w:snapToGrid w:val="0"/>
              <w:spacing w:line="360" w:lineRule="auto"/>
              <w:ind w:firstLine="480" w:firstLineChars="200"/>
              <w:rPr>
                <w:color w:val="auto"/>
                <w:kern w:val="0"/>
                <w:sz w:val="24"/>
                <w:szCs w:val="21"/>
              </w:rPr>
            </w:pPr>
            <w:r>
              <w:rPr>
                <w:color w:val="auto"/>
                <w:sz w:val="24"/>
              </w:rPr>
              <w:t>项目所在地为工业区，声环境执行《声环境质量标准》（GB3096-2008）中的3类标准（昼间65dB（A）、夜间55 dB（A））</w:t>
            </w:r>
            <w:r>
              <w:rPr>
                <w:rFonts w:hint="eastAsia"/>
                <w:color w:val="auto"/>
                <w:sz w:val="24"/>
              </w:rPr>
              <w:t>。</w:t>
            </w:r>
            <w:r>
              <w:rPr>
                <w:color w:val="auto"/>
                <w:kern w:val="0"/>
                <w:sz w:val="24"/>
                <w:szCs w:val="21"/>
              </w:rPr>
              <w:t>同时由于本项目厂界外周边50米范围内不存在声环境保护目标，因此，不开展声环境质量现状监测。</w:t>
            </w:r>
          </w:p>
          <w:p>
            <w:pPr>
              <w:adjustRightInd w:val="0"/>
              <w:snapToGrid w:val="0"/>
              <w:spacing w:line="360" w:lineRule="auto"/>
              <w:ind w:firstLine="482" w:firstLineChars="200"/>
              <w:rPr>
                <w:b/>
                <w:color w:val="auto"/>
                <w:sz w:val="24"/>
                <w:lang w:val="en-GB"/>
              </w:rPr>
            </w:pPr>
            <w:r>
              <w:rPr>
                <w:b/>
                <w:color w:val="auto"/>
                <w:sz w:val="24"/>
                <w:lang w:val="en-GB"/>
              </w:rPr>
              <w:t>4、地下水环境现状</w:t>
            </w:r>
          </w:p>
          <w:p>
            <w:pPr>
              <w:adjustRightInd w:val="0"/>
              <w:snapToGrid w:val="0"/>
              <w:spacing w:line="360" w:lineRule="auto"/>
              <w:ind w:firstLine="480" w:firstLineChars="200"/>
              <w:rPr>
                <w:color w:val="auto"/>
                <w:sz w:val="24"/>
                <w:lang w:val="en-GB"/>
              </w:rPr>
            </w:pPr>
            <w:r>
              <w:rPr>
                <w:color w:val="auto"/>
                <w:sz w:val="24"/>
                <w:lang w:val="en-GB"/>
              </w:rPr>
              <w:t>根据《建设项目环境影响报告表编制技术指南（污染影响类）（试行）》，原则上不开展地下水环境质量现状调查。本项目正常情况下不存在地下水污染途径，因此本报告不开展地下水环境现状调查。</w:t>
            </w:r>
          </w:p>
          <w:p>
            <w:pPr>
              <w:adjustRightInd w:val="0"/>
              <w:snapToGrid w:val="0"/>
              <w:spacing w:line="360" w:lineRule="auto"/>
              <w:ind w:firstLine="482" w:firstLineChars="200"/>
              <w:rPr>
                <w:b/>
                <w:color w:val="auto"/>
                <w:sz w:val="24"/>
                <w:lang w:val="en-GB"/>
              </w:rPr>
            </w:pPr>
            <w:r>
              <w:rPr>
                <w:b/>
                <w:color w:val="auto"/>
                <w:sz w:val="24"/>
                <w:lang w:val="en-GB"/>
              </w:rPr>
              <w:t>5、土壤环境影响</w:t>
            </w:r>
          </w:p>
          <w:p>
            <w:pPr>
              <w:adjustRightInd w:val="0"/>
              <w:snapToGrid w:val="0"/>
              <w:spacing w:line="360" w:lineRule="auto"/>
              <w:ind w:firstLine="480" w:firstLineChars="200"/>
              <w:rPr>
                <w:color w:val="auto"/>
                <w:sz w:val="24"/>
                <w:lang w:val="en-GB"/>
              </w:rPr>
            </w:pPr>
            <w:r>
              <w:rPr>
                <w:rFonts w:hint="eastAsia"/>
                <w:color w:val="auto"/>
                <w:sz w:val="24"/>
              </w:rPr>
              <w:t>根据《建设项目环境影响报告表编制技术指南（污染影响类）（试行）》，原则上不开展土壤环境质量现状调查，本项目正常情况下不存在土壤污染途径，因此本报告不开展土壤环境现状调查</w:t>
            </w:r>
            <w:r>
              <w:rPr>
                <w:color w:val="auto"/>
                <w:sz w:val="24"/>
                <w:lang w:val="en-GB"/>
              </w:rPr>
              <w:t>。</w:t>
            </w:r>
          </w:p>
          <w:p>
            <w:pPr>
              <w:adjustRightInd w:val="0"/>
              <w:snapToGrid w:val="0"/>
              <w:spacing w:line="360" w:lineRule="auto"/>
              <w:ind w:firstLine="482" w:firstLineChars="200"/>
              <w:rPr>
                <w:b/>
                <w:color w:val="auto"/>
                <w:kern w:val="0"/>
                <w:sz w:val="24"/>
                <w:szCs w:val="21"/>
              </w:rPr>
            </w:pPr>
            <w:r>
              <w:rPr>
                <w:b/>
                <w:color w:val="auto"/>
                <w:kern w:val="0"/>
                <w:sz w:val="24"/>
                <w:szCs w:val="21"/>
              </w:rPr>
              <w:t>6、生态环境</w:t>
            </w:r>
          </w:p>
          <w:p>
            <w:pPr>
              <w:adjustRightInd w:val="0"/>
              <w:snapToGrid w:val="0"/>
              <w:spacing w:line="360" w:lineRule="auto"/>
              <w:ind w:firstLine="480" w:firstLineChars="200"/>
              <w:rPr>
                <w:color w:val="auto"/>
                <w:kern w:val="0"/>
                <w:sz w:val="24"/>
                <w:szCs w:val="21"/>
              </w:rPr>
            </w:pPr>
            <w:r>
              <w:rPr>
                <w:rFonts w:hint="eastAsia"/>
                <w:color w:val="auto"/>
                <w:sz w:val="24"/>
              </w:rPr>
              <w:t>根据《建设项目环境影响报告表编制技术指南（污染影响类）（试行）》，“产业园区外建设单位新增用地且用地范围内含有生态环境保护目标时，应进行生态现状调查”，本项目紧邻广东乐昌产业转移工业园，纳入园区管理，用地范围内不含生态环境保护目标，因此本报告不开展生态现状调查。</w:t>
            </w:r>
          </w:p>
          <w:p>
            <w:pPr>
              <w:adjustRightInd w:val="0"/>
              <w:snapToGrid w:val="0"/>
              <w:spacing w:line="360" w:lineRule="auto"/>
              <w:ind w:firstLine="482" w:firstLineChars="200"/>
              <w:rPr>
                <w:color w:val="auto"/>
                <w:sz w:val="24"/>
              </w:rPr>
            </w:pPr>
            <w:r>
              <w:rPr>
                <w:b/>
                <w:bCs/>
                <w:color w:val="auto"/>
                <w:kern w:val="0"/>
                <w:sz w:val="24"/>
                <w:szCs w:val="21"/>
              </w:rPr>
              <w:t>综上所述，本项目选址所在区域环境质量现状总体较好</w:t>
            </w:r>
            <w:r>
              <w:rPr>
                <w:rFonts w:hint="eastAsia"/>
                <w:b/>
                <w:bCs/>
                <w:color w:val="auto"/>
                <w:kern w:val="0"/>
                <w:sz w:val="24"/>
                <w:szCs w:val="21"/>
              </w:rPr>
              <w:t>，</w:t>
            </w:r>
            <w:r>
              <w:rPr>
                <w:b/>
                <w:bCs/>
                <w:color w:val="auto"/>
                <w:sz w:val="24"/>
              </w:rPr>
              <w:t>本项目环境影响评价等级及专项评价设置如下表所示。</w:t>
            </w:r>
          </w:p>
          <w:p>
            <w:pPr>
              <w:pStyle w:val="13"/>
              <w:adjustRightInd w:val="0"/>
              <w:snapToGrid w:val="0"/>
              <w:spacing w:line="360" w:lineRule="auto"/>
              <w:jc w:val="center"/>
              <w:rPr>
                <w:rFonts w:ascii="Times New Roman" w:hAnsi="Times New Roman" w:cs="Times New Roman"/>
                <w:b/>
                <w:color w:val="auto"/>
                <w:sz w:val="24"/>
                <w:szCs w:val="24"/>
              </w:rPr>
            </w:pPr>
            <w:r>
              <w:rPr>
                <w:rFonts w:ascii="Times New Roman" w:hAnsi="Times New Roman" w:cs="Times New Roman"/>
                <w:b/>
                <w:color w:val="auto"/>
                <w:sz w:val="24"/>
                <w:szCs w:val="24"/>
              </w:rPr>
              <w:t>表</w:t>
            </w:r>
            <w:r>
              <w:rPr>
                <w:rFonts w:hint="eastAsia" w:ascii="Times New Roman" w:hAnsi="Times New Roman" w:cs="Times New Roman"/>
                <w:b/>
                <w:color w:val="auto"/>
                <w:sz w:val="24"/>
                <w:szCs w:val="24"/>
                <w:lang w:val="en-US" w:eastAsia="zh-CN"/>
              </w:rPr>
              <w:t>3-5</w:t>
            </w:r>
            <w:r>
              <w:rPr>
                <w:rFonts w:ascii="Times New Roman" w:hAnsi="Times New Roman" w:cs="Times New Roman"/>
                <w:b/>
                <w:color w:val="auto"/>
                <w:sz w:val="24"/>
                <w:szCs w:val="24"/>
              </w:rPr>
              <w:t xml:space="preserve"> </w:t>
            </w:r>
            <w:r>
              <w:rPr>
                <w:rFonts w:ascii="Times New Roman" w:hAnsi="Times New Roman" w:cs="Times New Roman"/>
                <w:b/>
                <w:color w:val="auto"/>
                <w:sz w:val="24"/>
              </w:rPr>
              <w:t>项目各环境影响专项评价设置一览表</w:t>
            </w:r>
          </w:p>
          <w:tbl>
            <w:tblPr>
              <w:tblStyle w:val="28"/>
              <w:tblW w:w="7997"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57"/>
              <w:gridCol w:w="1187"/>
              <w:gridCol w:w="1542"/>
              <w:gridCol w:w="461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7" w:type="dxa"/>
                  <w:vAlign w:val="center"/>
                </w:tcPr>
                <w:p>
                  <w:pPr>
                    <w:adjustRightInd w:val="0"/>
                    <w:snapToGrid w:val="0"/>
                    <w:jc w:val="center"/>
                    <w:rPr>
                      <w:b/>
                      <w:color w:val="auto"/>
                    </w:rPr>
                  </w:pPr>
                  <w:r>
                    <w:rPr>
                      <w:b/>
                      <w:color w:val="auto"/>
                    </w:rPr>
                    <w:t>序号</w:t>
                  </w:r>
                </w:p>
              </w:tc>
              <w:tc>
                <w:tcPr>
                  <w:tcW w:w="1187" w:type="dxa"/>
                  <w:vAlign w:val="center"/>
                </w:tcPr>
                <w:p>
                  <w:pPr>
                    <w:adjustRightInd w:val="0"/>
                    <w:snapToGrid w:val="0"/>
                    <w:jc w:val="center"/>
                    <w:rPr>
                      <w:b/>
                      <w:color w:val="auto"/>
                    </w:rPr>
                  </w:pPr>
                  <w:r>
                    <w:rPr>
                      <w:b/>
                      <w:color w:val="auto"/>
                    </w:rPr>
                    <w:t>评价项目</w:t>
                  </w:r>
                </w:p>
              </w:tc>
              <w:tc>
                <w:tcPr>
                  <w:tcW w:w="1542" w:type="dxa"/>
                  <w:vAlign w:val="center"/>
                </w:tcPr>
                <w:p>
                  <w:pPr>
                    <w:adjustRightInd w:val="0"/>
                    <w:snapToGrid w:val="0"/>
                    <w:jc w:val="center"/>
                    <w:rPr>
                      <w:b/>
                      <w:color w:val="auto"/>
                    </w:rPr>
                  </w:pPr>
                  <w:r>
                    <w:rPr>
                      <w:b/>
                      <w:color w:val="auto"/>
                    </w:rPr>
                    <w:t>专项评价设置</w:t>
                  </w:r>
                </w:p>
              </w:tc>
              <w:tc>
                <w:tcPr>
                  <w:tcW w:w="4611" w:type="dxa"/>
                  <w:tcBorders>
                    <w:right w:val="single" w:color="auto" w:sz="4" w:space="0"/>
                  </w:tcBorders>
                  <w:vAlign w:val="center"/>
                </w:tcPr>
                <w:p>
                  <w:pPr>
                    <w:adjustRightInd w:val="0"/>
                    <w:snapToGrid w:val="0"/>
                    <w:jc w:val="center"/>
                    <w:rPr>
                      <w:b/>
                      <w:color w:val="auto"/>
                    </w:rPr>
                  </w:pPr>
                  <w:r>
                    <w:rPr>
                      <w:b/>
                      <w:color w:val="auto"/>
                    </w:rPr>
                    <w:t>设置理由</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7" w:type="dxa"/>
                  <w:vAlign w:val="center"/>
                </w:tcPr>
                <w:p>
                  <w:pPr>
                    <w:adjustRightInd w:val="0"/>
                    <w:snapToGrid w:val="0"/>
                    <w:jc w:val="center"/>
                    <w:rPr>
                      <w:color w:val="auto"/>
                    </w:rPr>
                  </w:pPr>
                  <w:r>
                    <w:rPr>
                      <w:color w:val="auto"/>
                    </w:rPr>
                    <w:t>1</w:t>
                  </w:r>
                </w:p>
              </w:tc>
              <w:tc>
                <w:tcPr>
                  <w:tcW w:w="1187" w:type="dxa"/>
                  <w:vAlign w:val="center"/>
                </w:tcPr>
                <w:p>
                  <w:pPr>
                    <w:adjustRightInd w:val="0"/>
                    <w:snapToGrid w:val="0"/>
                    <w:jc w:val="center"/>
                    <w:rPr>
                      <w:color w:val="auto"/>
                    </w:rPr>
                  </w:pPr>
                  <w:r>
                    <w:rPr>
                      <w:color w:val="auto"/>
                    </w:rPr>
                    <w:t>大气</w:t>
                  </w:r>
                </w:p>
              </w:tc>
              <w:tc>
                <w:tcPr>
                  <w:tcW w:w="1542" w:type="dxa"/>
                  <w:vAlign w:val="center"/>
                </w:tcPr>
                <w:p>
                  <w:pPr>
                    <w:adjustRightInd w:val="0"/>
                    <w:snapToGrid w:val="0"/>
                    <w:jc w:val="center"/>
                    <w:rPr>
                      <w:color w:val="auto"/>
                    </w:rPr>
                  </w:pPr>
                  <w:r>
                    <w:rPr>
                      <w:color w:val="auto"/>
                    </w:rPr>
                    <w:t>不设置</w:t>
                  </w:r>
                </w:p>
              </w:tc>
              <w:tc>
                <w:tcPr>
                  <w:tcW w:w="4611" w:type="dxa"/>
                  <w:tcBorders>
                    <w:right w:val="single" w:color="auto" w:sz="4" w:space="0"/>
                  </w:tcBorders>
                  <w:vAlign w:val="center"/>
                </w:tcPr>
                <w:p>
                  <w:pPr>
                    <w:adjustRightInd w:val="0"/>
                    <w:snapToGrid w:val="0"/>
                    <w:jc w:val="center"/>
                    <w:rPr>
                      <w:color w:val="auto"/>
                    </w:rPr>
                  </w:pPr>
                  <w:r>
                    <w:rPr>
                      <w:color w:val="auto"/>
                    </w:rPr>
                    <w:t>项目不排放含有毒有害污染物、二噁英、苯并[a]芘、氰化物、氯气等废气污染物</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7" w:type="dxa"/>
                  <w:vAlign w:val="center"/>
                </w:tcPr>
                <w:p>
                  <w:pPr>
                    <w:adjustRightInd w:val="0"/>
                    <w:snapToGrid w:val="0"/>
                    <w:jc w:val="center"/>
                    <w:rPr>
                      <w:color w:val="auto"/>
                    </w:rPr>
                  </w:pPr>
                  <w:r>
                    <w:rPr>
                      <w:color w:val="auto"/>
                    </w:rPr>
                    <w:t>2</w:t>
                  </w:r>
                </w:p>
              </w:tc>
              <w:tc>
                <w:tcPr>
                  <w:tcW w:w="1187" w:type="dxa"/>
                  <w:vAlign w:val="center"/>
                </w:tcPr>
                <w:p>
                  <w:pPr>
                    <w:adjustRightInd w:val="0"/>
                    <w:snapToGrid w:val="0"/>
                    <w:jc w:val="center"/>
                    <w:rPr>
                      <w:color w:val="auto"/>
                    </w:rPr>
                  </w:pPr>
                  <w:r>
                    <w:rPr>
                      <w:color w:val="auto"/>
                    </w:rPr>
                    <w:t>地表水</w:t>
                  </w:r>
                </w:p>
              </w:tc>
              <w:tc>
                <w:tcPr>
                  <w:tcW w:w="1542" w:type="dxa"/>
                  <w:vAlign w:val="center"/>
                </w:tcPr>
                <w:p>
                  <w:pPr>
                    <w:adjustRightInd w:val="0"/>
                    <w:snapToGrid w:val="0"/>
                    <w:jc w:val="center"/>
                    <w:rPr>
                      <w:color w:val="auto"/>
                    </w:rPr>
                  </w:pPr>
                  <w:r>
                    <w:rPr>
                      <w:color w:val="auto"/>
                    </w:rPr>
                    <w:t>不设置</w:t>
                  </w:r>
                </w:p>
              </w:tc>
              <w:tc>
                <w:tcPr>
                  <w:tcW w:w="4611" w:type="dxa"/>
                  <w:tcBorders>
                    <w:right w:val="single" w:color="auto" w:sz="4" w:space="0"/>
                  </w:tcBorders>
                  <w:vAlign w:val="center"/>
                </w:tcPr>
                <w:p>
                  <w:pPr>
                    <w:adjustRightInd w:val="0"/>
                    <w:snapToGrid w:val="0"/>
                    <w:jc w:val="center"/>
                    <w:rPr>
                      <w:color w:val="auto"/>
                    </w:rPr>
                  </w:pPr>
                  <w:r>
                    <w:rPr>
                      <w:color w:val="auto"/>
                    </w:rPr>
                    <w:t>项目产生的生活污水</w:t>
                  </w:r>
                  <w:r>
                    <w:rPr>
                      <w:rFonts w:hint="eastAsia"/>
                      <w:color w:val="auto"/>
                    </w:rPr>
                    <w:t>经三级化粪池预处理后</w:t>
                  </w:r>
                  <w:r>
                    <w:rPr>
                      <w:color w:val="auto"/>
                    </w:rPr>
                    <w:t>排入园区污水处理厂进行处理，为间接排放</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7" w:type="dxa"/>
                  <w:vAlign w:val="center"/>
                </w:tcPr>
                <w:p>
                  <w:pPr>
                    <w:adjustRightInd w:val="0"/>
                    <w:snapToGrid w:val="0"/>
                    <w:jc w:val="center"/>
                    <w:rPr>
                      <w:color w:val="auto"/>
                    </w:rPr>
                  </w:pPr>
                  <w:r>
                    <w:rPr>
                      <w:color w:val="auto"/>
                    </w:rPr>
                    <w:t>3</w:t>
                  </w:r>
                </w:p>
              </w:tc>
              <w:tc>
                <w:tcPr>
                  <w:tcW w:w="1187" w:type="dxa"/>
                  <w:vAlign w:val="center"/>
                </w:tcPr>
                <w:p>
                  <w:pPr>
                    <w:adjustRightInd w:val="0"/>
                    <w:snapToGrid w:val="0"/>
                    <w:jc w:val="center"/>
                    <w:rPr>
                      <w:color w:val="auto"/>
                    </w:rPr>
                  </w:pPr>
                  <w:r>
                    <w:rPr>
                      <w:color w:val="auto"/>
                    </w:rPr>
                    <w:t>噪声</w:t>
                  </w:r>
                </w:p>
              </w:tc>
              <w:tc>
                <w:tcPr>
                  <w:tcW w:w="1542" w:type="dxa"/>
                  <w:vAlign w:val="center"/>
                </w:tcPr>
                <w:p>
                  <w:pPr>
                    <w:adjustRightInd w:val="0"/>
                    <w:snapToGrid w:val="0"/>
                    <w:jc w:val="center"/>
                    <w:rPr>
                      <w:color w:val="auto"/>
                    </w:rPr>
                  </w:pPr>
                  <w:r>
                    <w:rPr>
                      <w:color w:val="auto"/>
                    </w:rPr>
                    <w:t>不设置</w:t>
                  </w:r>
                </w:p>
              </w:tc>
              <w:tc>
                <w:tcPr>
                  <w:tcW w:w="4611" w:type="dxa"/>
                  <w:tcBorders>
                    <w:right w:val="single" w:color="auto" w:sz="4" w:space="0"/>
                  </w:tcBorders>
                  <w:vAlign w:val="center"/>
                </w:tcPr>
                <w:p>
                  <w:pPr>
                    <w:adjustRightInd w:val="0"/>
                    <w:snapToGrid w:val="0"/>
                    <w:jc w:val="center"/>
                    <w:rPr>
                      <w:color w:val="auto"/>
                    </w:rPr>
                  </w:pPr>
                  <w:r>
                    <w:rPr>
                      <w:color w:val="auto"/>
                    </w:rPr>
                    <w:t>不开展专项评价</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7" w:type="dxa"/>
                  <w:vAlign w:val="center"/>
                </w:tcPr>
                <w:p>
                  <w:pPr>
                    <w:adjustRightInd w:val="0"/>
                    <w:snapToGrid w:val="0"/>
                    <w:jc w:val="center"/>
                    <w:rPr>
                      <w:color w:val="auto"/>
                    </w:rPr>
                  </w:pPr>
                  <w:r>
                    <w:rPr>
                      <w:color w:val="auto"/>
                    </w:rPr>
                    <w:t>4</w:t>
                  </w:r>
                </w:p>
              </w:tc>
              <w:tc>
                <w:tcPr>
                  <w:tcW w:w="1187" w:type="dxa"/>
                  <w:vAlign w:val="center"/>
                </w:tcPr>
                <w:p>
                  <w:pPr>
                    <w:adjustRightInd w:val="0"/>
                    <w:snapToGrid w:val="0"/>
                    <w:jc w:val="center"/>
                    <w:rPr>
                      <w:color w:val="auto"/>
                    </w:rPr>
                  </w:pPr>
                  <w:r>
                    <w:rPr>
                      <w:color w:val="auto"/>
                    </w:rPr>
                    <w:t>地下水</w:t>
                  </w:r>
                </w:p>
              </w:tc>
              <w:tc>
                <w:tcPr>
                  <w:tcW w:w="1542" w:type="dxa"/>
                  <w:vAlign w:val="center"/>
                </w:tcPr>
                <w:p>
                  <w:pPr>
                    <w:adjustRightInd w:val="0"/>
                    <w:snapToGrid w:val="0"/>
                    <w:jc w:val="center"/>
                    <w:rPr>
                      <w:color w:val="auto"/>
                    </w:rPr>
                  </w:pPr>
                  <w:r>
                    <w:rPr>
                      <w:color w:val="auto"/>
                    </w:rPr>
                    <w:t>不设置</w:t>
                  </w:r>
                </w:p>
              </w:tc>
              <w:tc>
                <w:tcPr>
                  <w:tcW w:w="4611" w:type="dxa"/>
                  <w:tcBorders>
                    <w:right w:val="single" w:color="auto" w:sz="4" w:space="0"/>
                  </w:tcBorders>
                  <w:vAlign w:val="center"/>
                </w:tcPr>
                <w:p>
                  <w:pPr>
                    <w:adjustRightInd w:val="0"/>
                    <w:snapToGrid w:val="0"/>
                    <w:jc w:val="center"/>
                    <w:rPr>
                      <w:color w:val="auto"/>
                    </w:rPr>
                  </w:pPr>
                  <w:r>
                    <w:rPr>
                      <w:color w:val="auto"/>
                    </w:rPr>
                    <w:t>不开展专项评价</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7" w:type="dxa"/>
                  <w:vAlign w:val="center"/>
                </w:tcPr>
                <w:p>
                  <w:pPr>
                    <w:adjustRightInd w:val="0"/>
                    <w:snapToGrid w:val="0"/>
                    <w:jc w:val="center"/>
                    <w:rPr>
                      <w:color w:val="auto"/>
                    </w:rPr>
                  </w:pPr>
                  <w:r>
                    <w:rPr>
                      <w:color w:val="auto"/>
                    </w:rPr>
                    <w:t>5</w:t>
                  </w:r>
                </w:p>
              </w:tc>
              <w:tc>
                <w:tcPr>
                  <w:tcW w:w="1187" w:type="dxa"/>
                  <w:vAlign w:val="center"/>
                </w:tcPr>
                <w:p>
                  <w:pPr>
                    <w:adjustRightInd w:val="0"/>
                    <w:snapToGrid w:val="0"/>
                    <w:jc w:val="center"/>
                    <w:rPr>
                      <w:color w:val="auto"/>
                    </w:rPr>
                  </w:pPr>
                  <w:r>
                    <w:rPr>
                      <w:color w:val="auto"/>
                    </w:rPr>
                    <w:t>土壤</w:t>
                  </w:r>
                </w:p>
              </w:tc>
              <w:tc>
                <w:tcPr>
                  <w:tcW w:w="1542" w:type="dxa"/>
                  <w:vAlign w:val="center"/>
                </w:tcPr>
                <w:p>
                  <w:pPr>
                    <w:adjustRightInd w:val="0"/>
                    <w:snapToGrid w:val="0"/>
                    <w:jc w:val="center"/>
                    <w:rPr>
                      <w:color w:val="auto"/>
                    </w:rPr>
                  </w:pPr>
                  <w:r>
                    <w:rPr>
                      <w:color w:val="auto"/>
                    </w:rPr>
                    <w:t>不设置</w:t>
                  </w:r>
                </w:p>
              </w:tc>
              <w:tc>
                <w:tcPr>
                  <w:tcW w:w="4611" w:type="dxa"/>
                  <w:tcBorders>
                    <w:right w:val="single" w:color="auto" w:sz="4" w:space="0"/>
                  </w:tcBorders>
                  <w:vAlign w:val="center"/>
                </w:tcPr>
                <w:p>
                  <w:pPr>
                    <w:adjustRightInd w:val="0"/>
                    <w:snapToGrid w:val="0"/>
                    <w:jc w:val="center"/>
                    <w:rPr>
                      <w:color w:val="auto"/>
                    </w:rPr>
                  </w:pPr>
                  <w:r>
                    <w:rPr>
                      <w:color w:val="auto"/>
                    </w:rPr>
                    <w:t>不开展专项评价</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7" w:type="dxa"/>
                  <w:vAlign w:val="center"/>
                </w:tcPr>
                <w:p>
                  <w:pPr>
                    <w:adjustRightInd w:val="0"/>
                    <w:snapToGrid w:val="0"/>
                    <w:jc w:val="center"/>
                    <w:rPr>
                      <w:color w:val="auto"/>
                    </w:rPr>
                  </w:pPr>
                  <w:r>
                    <w:rPr>
                      <w:color w:val="auto"/>
                    </w:rPr>
                    <w:t>6</w:t>
                  </w:r>
                </w:p>
              </w:tc>
              <w:tc>
                <w:tcPr>
                  <w:tcW w:w="1187" w:type="dxa"/>
                  <w:vAlign w:val="center"/>
                </w:tcPr>
                <w:p>
                  <w:pPr>
                    <w:adjustRightInd w:val="0"/>
                    <w:snapToGrid w:val="0"/>
                    <w:jc w:val="center"/>
                    <w:rPr>
                      <w:color w:val="auto"/>
                    </w:rPr>
                  </w:pPr>
                  <w:r>
                    <w:rPr>
                      <w:color w:val="auto"/>
                    </w:rPr>
                    <w:t>环境风险</w:t>
                  </w:r>
                </w:p>
              </w:tc>
              <w:tc>
                <w:tcPr>
                  <w:tcW w:w="1542" w:type="dxa"/>
                  <w:vAlign w:val="center"/>
                </w:tcPr>
                <w:p>
                  <w:pPr>
                    <w:adjustRightInd w:val="0"/>
                    <w:snapToGrid w:val="0"/>
                    <w:jc w:val="center"/>
                    <w:rPr>
                      <w:color w:val="auto"/>
                    </w:rPr>
                  </w:pPr>
                  <w:r>
                    <w:rPr>
                      <w:color w:val="auto"/>
                    </w:rPr>
                    <w:t>不设置</w:t>
                  </w:r>
                </w:p>
              </w:tc>
              <w:tc>
                <w:tcPr>
                  <w:tcW w:w="4611" w:type="dxa"/>
                  <w:tcBorders>
                    <w:right w:val="single" w:color="auto" w:sz="4" w:space="0"/>
                  </w:tcBorders>
                  <w:vAlign w:val="center"/>
                </w:tcPr>
                <w:p>
                  <w:pPr>
                    <w:adjustRightInd w:val="0"/>
                    <w:snapToGrid w:val="0"/>
                    <w:jc w:val="center"/>
                    <w:rPr>
                      <w:color w:val="auto"/>
                    </w:rPr>
                  </w:pPr>
                  <w:r>
                    <w:rPr>
                      <w:rFonts w:hint="eastAsia"/>
                      <w:color w:val="auto"/>
                    </w:rPr>
                    <w:t>Q</w:t>
                  </w:r>
                  <w:r>
                    <w:rPr>
                      <w:color w:val="auto"/>
                    </w:rPr>
                    <w:t xml:space="preserve">&lt;1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jc w:val="center"/>
              </w:trPr>
              <w:tc>
                <w:tcPr>
                  <w:tcW w:w="657" w:type="dxa"/>
                  <w:vAlign w:val="center"/>
                </w:tcPr>
                <w:p>
                  <w:pPr>
                    <w:adjustRightInd w:val="0"/>
                    <w:snapToGrid w:val="0"/>
                    <w:jc w:val="center"/>
                    <w:rPr>
                      <w:color w:val="auto"/>
                    </w:rPr>
                  </w:pPr>
                  <w:r>
                    <w:rPr>
                      <w:color w:val="auto"/>
                    </w:rPr>
                    <w:t>7</w:t>
                  </w:r>
                </w:p>
              </w:tc>
              <w:tc>
                <w:tcPr>
                  <w:tcW w:w="1187" w:type="dxa"/>
                  <w:vAlign w:val="center"/>
                </w:tcPr>
                <w:p>
                  <w:pPr>
                    <w:adjustRightInd w:val="0"/>
                    <w:snapToGrid w:val="0"/>
                    <w:jc w:val="center"/>
                    <w:rPr>
                      <w:color w:val="auto"/>
                    </w:rPr>
                  </w:pPr>
                  <w:r>
                    <w:rPr>
                      <w:color w:val="auto"/>
                    </w:rPr>
                    <w:t>海洋</w:t>
                  </w:r>
                </w:p>
              </w:tc>
              <w:tc>
                <w:tcPr>
                  <w:tcW w:w="1542" w:type="dxa"/>
                  <w:vAlign w:val="center"/>
                </w:tcPr>
                <w:p>
                  <w:pPr>
                    <w:adjustRightInd w:val="0"/>
                    <w:snapToGrid w:val="0"/>
                    <w:jc w:val="center"/>
                    <w:rPr>
                      <w:color w:val="auto"/>
                    </w:rPr>
                  </w:pPr>
                  <w:r>
                    <w:rPr>
                      <w:color w:val="auto"/>
                    </w:rPr>
                    <w:t>不设置</w:t>
                  </w:r>
                </w:p>
              </w:tc>
              <w:tc>
                <w:tcPr>
                  <w:tcW w:w="4611" w:type="dxa"/>
                  <w:tcBorders>
                    <w:right w:val="single" w:color="auto" w:sz="4" w:space="0"/>
                  </w:tcBorders>
                  <w:vAlign w:val="center"/>
                </w:tcPr>
                <w:p>
                  <w:pPr>
                    <w:adjustRightInd w:val="0"/>
                    <w:snapToGrid w:val="0"/>
                    <w:jc w:val="center"/>
                    <w:rPr>
                      <w:color w:val="auto"/>
                    </w:rPr>
                  </w:pPr>
                  <w:r>
                    <w:rPr>
                      <w:color w:val="auto"/>
                    </w:rPr>
                    <w:t>项目不涉及海洋</w:t>
                  </w:r>
                </w:p>
              </w:tc>
            </w:tr>
          </w:tbl>
          <w:p>
            <w:pPr>
              <w:adjustRightInd w:val="0"/>
              <w:snapToGrid w:val="0"/>
              <w:jc w:val="left"/>
              <w:rPr>
                <w:color w:val="auto"/>
                <w:kern w:val="0"/>
                <w:sz w:val="24"/>
              </w:rPr>
            </w:pPr>
          </w:p>
          <w:p>
            <w:pPr>
              <w:adjustRightInd w:val="0"/>
              <w:snapToGrid w:val="0"/>
              <w:jc w:val="left"/>
              <w:rPr>
                <w:color w:val="auto"/>
                <w:kern w:val="0"/>
                <w:sz w:val="11"/>
                <w:szCs w:val="1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400" w:hRule="atLeast"/>
          <w:jc w:val="center"/>
        </w:trPr>
        <w:tc>
          <w:tcPr>
            <w:tcW w:w="781" w:type="dxa"/>
            <w:vAlign w:val="center"/>
          </w:tcPr>
          <w:p>
            <w:pPr>
              <w:adjustRightInd w:val="0"/>
              <w:snapToGrid w:val="0"/>
              <w:jc w:val="center"/>
              <w:rPr>
                <w:color w:val="auto"/>
                <w:kern w:val="0"/>
                <w:sz w:val="24"/>
              </w:rPr>
            </w:pPr>
            <w:r>
              <w:rPr>
                <w:color w:val="auto"/>
                <w:kern w:val="0"/>
                <w:sz w:val="24"/>
              </w:rPr>
              <w:t>环境</w:t>
            </w:r>
          </w:p>
          <w:p>
            <w:pPr>
              <w:adjustRightInd w:val="0"/>
              <w:snapToGrid w:val="0"/>
              <w:jc w:val="center"/>
              <w:rPr>
                <w:color w:val="auto"/>
                <w:kern w:val="0"/>
                <w:sz w:val="24"/>
              </w:rPr>
            </w:pPr>
            <w:r>
              <w:rPr>
                <w:color w:val="auto"/>
                <w:kern w:val="0"/>
                <w:sz w:val="24"/>
              </w:rPr>
              <w:t>保护</w:t>
            </w:r>
          </w:p>
          <w:p>
            <w:pPr>
              <w:adjustRightInd w:val="0"/>
              <w:snapToGrid w:val="0"/>
              <w:jc w:val="center"/>
              <w:rPr>
                <w:color w:val="auto"/>
                <w:kern w:val="0"/>
                <w:sz w:val="24"/>
              </w:rPr>
            </w:pPr>
            <w:r>
              <w:rPr>
                <w:color w:val="auto"/>
                <w:kern w:val="0"/>
                <w:sz w:val="24"/>
              </w:rPr>
              <w:t>目标</w:t>
            </w:r>
          </w:p>
        </w:tc>
        <w:tc>
          <w:tcPr>
            <w:tcW w:w="8280" w:type="dxa"/>
          </w:tcPr>
          <w:p>
            <w:pPr>
              <w:adjustRightInd w:val="0"/>
              <w:snapToGrid w:val="0"/>
              <w:spacing w:line="360" w:lineRule="auto"/>
              <w:ind w:firstLine="482" w:firstLineChars="200"/>
              <w:rPr>
                <w:b/>
                <w:color w:val="auto"/>
                <w:sz w:val="24"/>
                <w:lang w:val="en-GB"/>
              </w:rPr>
            </w:pPr>
            <w:r>
              <w:rPr>
                <w:b/>
                <w:color w:val="auto"/>
                <w:sz w:val="24"/>
                <w:lang w:val="en-GB"/>
              </w:rPr>
              <w:t>1.大气环境保护目标</w:t>
            </w:r>
          </w:p>
          <w:p>
            <w:pPr>
              <w:adjustRightInd w:val="0"/>
              <w:snapToGrid w:val="0"/>
              <w:spacing w:line="360" w:lineRule="auto"/>
              <w:ind w:firstLine="480" w:firstLineChars="200"/>
              <w:rPr>
                <w:color w:val="auto"/>
                <w:kern w:val="0"/>
                <w:sz w:val="24"/>
                <w:szCs w:val="21"/>
              </w:rPr>
            </w:pPr>
            <w:r>
              <w:rPr>
                <w:color w:val="auto"/>
                <w:kern w:val="0"/>
                <w:sz w:val="24"/>
                <w:szCs w:val="21"/>
              </w:rPr>
              <w:t>本项目厂界外500米范围内存在</w:t>
            </w:r>
            <w:r>
              <w:rPr>
                <w:rFonts w:hint="eastAsia"/>
                <w:color w:val="auto"/>
                <w:kern w:val="0"/>
                <w:sz w:val="24"/>
                <w:szCs w:val="21"/>
              </w:rPr>
              <w:t>环境敏感点付村</w:t>
            </w:r>
            <w:r>
              <w:rPr>
                <w:color w:val="auto"/>
                <w:kern w:val="0"/>
                <w:sz w:val="24"/>
                <w:szCs w:val="21"/>
              </w:rPr>
              <w:t>。</w:t>
            </w:r>
          </w:p>
          <w:p>
            <w:pPr>
              <w:adjustRightInd w:val="0"/>
              <w:snapToGrid w:val="0"/>
              <w:spacing w:line="360" w:lineRule="auto"/>
              <w:ind w:firstLine="482" w:firstLineChars="200"/>
              <w:rPr>
                <w:b/>
                <w:color w:val="auto"/>
                <w:sz w:val="24"/>
                <w:lang w:val="en-GB"/>
              </w:rPr>
            </w:pPr>
            <w:r>
              <w:rPr>
                <w:b/>
                <w:color w:val="auto"/>
                <w:sz w:val="24"/>
                <w:lang w:val="en-GB"/>
              </w:rPr>
              <w:t>2</w:t>
            </w:r>
            <w:r>
              <w:rPr>
                <w:rFonts w:hint="eastAsia"/>
                <w:b/>
                <w:color w:val="auto"/>
                <w:sz w:val="24"/>
                <w:lang w:val="en-GB" w:eastAsia="zh-CN"/>
              </w:rPr>
              <w:t>.</w:t>
            </w:r>
            <w:r>
              <w:rPr>
                <w:b/>
                <w:color w:val="auto"/>
                <w:sz w:val="24"/>
                <w:lang w:val="en-GB"/>
              </w:rPr>
              <w:t>声环境保护目标</w:t>
            </w:r>
          </w:p>
          <w:p>
            <w:pPr>
              <w:adjustRightInd w:val="0"/>
              <w:snapToGrid w:val="0"/>
              <w:spacing w:line="360" w:lineRule="auto"/>
              <w:ind w:firstLine="480" w:firstLineChars="200"/>
              <w:rPr>
                <w:color w:val="auto"/>
                <w:kern w:val="0"/>
                <w:sz w:val="24"/>
                <w:szCs w:val="21"/>
              </w:rPr>
            </w:pPr>
            <w:r>
              <w:rPr>
                <w:color w:val="auto"/>
                <w:kern w:val="0"/>
                <w:sz w:val="24"/>
                <w:szCs w:val="21"/>
              </w:rPr>
              <w:t>本项目厂界外周边50米范围内不存在声环境保护目标。</w:t>
            </w:r>
          </w:p>
          <w:p>
            <w:pPr>
              <w:adjustRightInd w:val="0"/>
              <w:snapToGrid w:val="0"/>
              <w:spacing w:line="360" w:lineRule="auto"/>
              <w:ind w:firstLine="482" w:firstLineChars="200"/>
              <w:rPr>
                <w:b/>
                <w:color w:val="auto"/>
                <w:sz w:val="24"/>
                <w:lang w:val="en-GB"/>
              </w:rPr>
            </w:pPr>
            <w:r>
              <w:rPr>
                <w:rFonts w:hint="eastAsia"/>
                <w:b/>
                <w:color w:val="auto"/>
                <w:sz w:val="24"/>
                <w:lang w:val="en-US" w:eastAsia="zh-CN"/>
              </w:rPr>
              <w:t>3</w:t>
            </w:r>
            <w:r>
              <w:rPr>
                <w:b/>
                <w:color w:val="auto"/>
                <w:sz w:val="24"/>
                <w:lang w:val="en-GB"/>
              </w:rPr>
              <w:t>.地下水环境保护目标</w:t>
            </w:r>
          </w:p>
          <w:p>
            <w:pPr>
              <w:adjustRightInd w:val="0"/>
              <w:snapToGrid w:val="0"/>
              <w:spacing w:line="360" w:lineRule="auto"/>
              <w:ind w:firstLine="480" w:firstLineChars="200"/>
              <w:rPr>
                <w:color w:val="auto"/>
                <w:kern w:val="0"/>
                <w:sz w:val="24"/>
                <w:szCs w:val="21"/>
              </w:rPr>
            </w:pPr>
            <w:r>
              <w:rPr>
                <w:color w:val="auto"/>
                <w:kern w:val="0"/>
                <w:sz w:val="24"/>
                <w:szCs w:val="21"/>
              </w:rPr>
              <w:t>本项目厂界外周边500米范围内不存在地下水集中式饮用水水源和热水、矿泉水、温泉等特殊地下水资源。</w:t>
            </w:r>
          </w:p>
          <w:p>
            <w:pPr>
              <w:adjustRightInd w:val="0"/>
              <w:snapToGrid w:val="0"/>
              <w:spacing w:line="360" w:lineRule="auto"/>
              <w:ind w:firstLine="482" w:firstLineChars="200"/>
              <w:rPr>
                <w:b/>
                <w:color w:val="auto"/>
                <w:sz w:val="24"/>
                <w:lang w:val="en-GB"/>
              </w:rPr>
            </w:pPr>
            <w:r>
              <w:rPr>
                <w:rFonts w:hint="eastAsia"/>
                <w:b/>
                <w:color w:val="auto"/>
                <w:sz w:val="24"/>
                <w:lang w:val="en-US" w:eastAsia="zh-CN"/>
              </w:rPr>
              <w:t>4</w:t>
            </w:r>
            <w:r>
              <w:rPr>
                <w:b/>
                <w:color w:val="auto"/>
                <w:sz w:val="24"/>
                <w:lang w:val="en-GB"/>
              </w:rPr>
              <w:t>.生态环境保护目标</w:t>
            </w:r>
          </w:p>
          <w:p>
            <w:pPr>
              <w:adjustRightInd w:val="0"/>
              <w:snapToGrid w:val="0"/>
              <w:spacing w:line="360" w:lineRule="auto"/>
              <w:ind w:firstLine="480" w:firstLineChars="200"/>
              <w:rPr>
                <w:color w:val="auto"/>
                <w:kern w:val="0"/>
                <w:sz w:val="24"/>
                <w:szCs w:val="21"/>
              </w:rPr>
            </w:pPr>
            <w:r>
              <w:rPr>
                <w:color w:val="auto"/>
                <w:kern w:val="0"/>
                <w:sz w:val="24"/>
                <w:szCs w:val="21"/>
              </w:rPr>
              <w:t>本项目</w:t>
            </w:r>
            <w:r>
              <w:rPr>
                <w:rFonts w:hint="eastAsia"/>
                <w:color w:val="auto"/>
                <w:kern w:val="0"/>
                <w:sz w:val="24"/>
                <w:szCs w:val="21"/>
              </w:rPr>
              <w:t>紧邻乐昌产业转移工业园，纳入园区管理</w:t>
            </w:r>
            <w:r>
              <w:rPr>
                <w:color w:val="auto"/>
                <w:kern w:val="0"/>
                <w:sz w:val="24"/>
                <w:szCs w:val="21"/>
              </w:rPr>
              <w:t>，用地范围内不含生态环境保护目标。</w:t>
            </w:r>
          </w:p>
          <w:p>
            <w:pPr>
              <w:adjustRightInd w:val="0"/>
              <w:snapToGrid w:val="0"/>
              <w:spacing w:line="360" w:lineRule="auto"/>
              <w:ind w:firstLine="480" w:firstLineChars="200"/>
              <w:rPr>
                <w:color w:val="auto"/>
                <w:kern w:val="0"/>
                <w:sz w:val="24"/>
                <w:szCs w:val="21"/>
              </w:rPr>
            </w:pPr>
            <w:r>
              <w:rPr>
                <w:color w:val="auto"/>
                <w:kern w:val="0"/>
                <w:sz w:val="24"/>
                <w:szCs w:val="21"/>
              </w:rPr>
              <w:t>综上所述，本项目环境保护目标如表</w:t>
            </w:r>
            <w:r>
              <w:rPr>
                <w:rFonts w:hint="eastAsia"/>
                <w:color w:val="auto"/>
                <w:kern w:val="0"/>
                <w:sz w:val="24"/>
                <w:szCs w:val="21"/>
                <w:lang w:val="en-US" w:eastAsia="zh-CN"/>
              </w:rPr>
              <w:t>3-6</w:t>
            </w:r>
            <w:r>
              <w:rPr>
                <w:color w:val="auto"/>
                <w:kern w:val="0"/>
                <w:sz w:val="24"/>
                <w:szCs w:val="21"/>
              </w:rPr>
              <w:t>所示，分布情况见附图3。</w:t>
            </w:r>
          </w:p>
          <w:p>
            <w:pPr>
              <w:adjustRightInd w:val="0"/>
              <w:snapToGrid w:val="0"/>
              <w:spacing w:line="360" w:lineRule="auto"/>
              <w:jc w:val="center"/>
              <w:rPr>
                <w:color w:val="auto"/>
              </w:rPr>
            </w:pPr>
            <w:r>
              <w:rPr>
                <w:b/>
                <w:color w:val="auto"/>
                <w:sz w:val="24"/>
                <w:lang w:val="en-GB"/>
              </w:rPr>
              <w:t>表</w:t>
            </w:r>
            <w:r>
              <w:rPr>
                <w:rFonts w:hint="eastAsia"/>
                <w:b/>
                <w:color w:val="auto"/>
                <w:sz w:val="24"/>
                <w:lang w:val="en-US" w:eastAsia="zh-CN"/>
              </w:rPr>
              <w:t>3-6</w:t>
            </w:r>
            <w:r>
              <w:rPr>
                <w:b/>
                <w:color w:val="auto"/>
                <w:sz w:val="24"/>
                <w:lang w:val="en-GB"/>
              </w:rPr>
              <w:t xml:space="preserve"> 主要环境保护目标</w:t>
            </w:r>
          </w:p>
          <w:tbl>
            <w:tblPr>
              <w:tblStyle w:val="28"/>
              <w:tblW w:w="811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3"/>
              <w:gridCol w:w="1110"/>
              <w:gridCol w:w="1220"/>
              <w:gridCol w:w="969"/>
              <w:gridCol w:w="941"/>
              <w:gridCol w:w="1283"/>
              <w:gridCol w:w="859"/>
              <w:gridCol w:w="105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77" w:hRule="atLeast"/>
                <w:jc w:val="center"/>
              </w:trPr>
              <w:tc>
                <w:tcPr>
                  <w:tcW w:w="683" w:type="dxa"/>
                  <w:tcBorders>
                    <w:right w:val="single" w:color="auto" w:sz="4" w:space="0"/>
                    <w:tl2br w:val="nil"/>
                    <w:tr2bl w:val="nil"/>
                  </w:tcBorders>
                  <w:vAlign w:val="center"/>
                </w:tcPr>
                <w:p>
                  <w:pPr>
                    <w:overflowPunct w:val="0"/>
                    <w:snapToGrid w:val="0"/>
                    <w:ind w:left="-2" w:leftChars="-1"/>
                    <w:jc w:val="center"/>
                    <w:rPr>
                      <w:b/>
                      <w:bCs/>
                      <w:color w:val="auto"/>
                      <w:kern w:val="0"/>
                      <w:szCs w:val="20"/>
                    </w:rPr>
                  </w:pPr>
                  <w:r>
                    <w:rPr>
                      <w:rFonts w:hint="eastAsia"/>
                      <w:b/>
                      <w:bCs/>
                      <w:color w:val="auto"/>
                      <w:kern w:val="0"/>
                      <w:szCs w:val="20"/>
                    </w:rPr>
                    <w:t>序号</w:t>
                  </w:r>
                </w:p>
              </w:tc>
              <w:tc>
                <w:tcPr>
                  <w:tcW w:w="1110" w:type="dxa"/>
                  <w:tcBorders>
                    <w:left w:val="single" w:color="auto" w:sz="4" w:space="0"/>
                    <w:tl2br w:val="nil"/>
                    <w:tr2bl w:val="nil"/>
                  </w:tcBorders>
                  <w:vAlign w:val="center"/>
                </w:tcPr>
                <w:p>
                  <w:pPr>
                    <w:overflowPunct w:val="0"/>
                    <w:snapToGrid w:val="0"/>
                    <w:ind w:left="-2" w:leftChars="-1"/>
                    <w:jc w:val="center"/>
                    <w:rPr>
                      <w:b/>
                      <w:bCs/>
                      <w:color w:val="auto"/>
                      <w:kern w:val="0"/>
                      <w:szCs w:val="20"/>
                    </w:rPr>
                  </w:pPr>
                  <w:r>
                    <w:rPr>
                      <w:b/>
                      <w:bCs/>
                      <w:color w:val="auto"/>
                      <w:kern w:val="0"/>
                      <w:szCs w:val="20"/>
                    </w:rPr>
                    <w:t>名称</w:t>
                  </w:r>
                </w:p>
              </w:tc>
              <w:tc>
                <w:tcPr>
                  <w:tcW w:w="1220" w:type="dxa"/>
                  <w:tcBorders>
                    <w:tl2br w:val="nil"/>
                    <w:tr2bl w:val="nil"/>
                  </w:tcBorders>
                  <w:vAlign w:val="center"/>
                </w:tcPr>
                <w:p>
                  <w:pPr>
                    <w:overflowPunct w:val="0"/>
                    <w:snapToGrid w:val="0"/>
                    <w:ind w:left="-2" w:leftChars="-1"/>
                    <w:jc w:val="center"/>
                    <w:rPr>
                      <w:b/>
                      <w:bCs/>
                      <w:color w:val="auto"/>
                      <w:kern w:val="0"/>
                      <w:szCs w:val="20"/>
                    </w:rPr>
                  </w:pPr>
                  <w:r>
                    <w:rPr>
                      <w:b/>
                      <w:bCs/>
                      <w:color w:val="auto"/>
                      <w:kern w:val="0"/>
                      <w:szCs w:val="20"/>
                    </w:rPr>
                    <w:t>保护对象</w:t>
                  </w:r>
                </w:p>
              </w:tc>
              <w:tc>
                <w:tcPr>
                  <w:tcW w:w="969" w:type="dxa"/>
                  <w:tcBorders>
                    <w:tl2br w:val="nil"/>
                    <w:tr2bl w:val="nil"/>
                  </w:tcBorders>
                  <w:vAlign w:val="center"/>
                </w:tcPr>
                <w:p>
                  <w:pPr>
                    <w:overflowPunct w:val="0"/>
                    <w:snapToGrid w:val="0"/>
                    <w:ind w:left="-2" w:leftChars="-1"/>
                    <w:jc w:val="center"/>
                    <w:rPr>
                      <w:b/>
                      <w:bCs/>
                      <w:color w:val="auto"/>
                      <w:kern w:val="0"/>
                      <w:szCs w:val="20"/>
                    </w:rPr>
                  </w:pPr>
                  <w:r>
                    <w:rPr>
                      <w:b/>
                      <w:bCs/>
                      <w:color w:val="auto"/>
                      <w:kern w:val="0"/>
                      <w:szCs w:val="20"/>
                    </w:rPr>
                    <w:t>保护内容</w:t>
                  </w:r>
                </w:p>
              </w:tc>
              <w:tc>
                <w:tcPr>
                  <w:tcW w:w="941" w:type="dxa"/>
                  <w:tcBorders>
                    <w:tl2br w:val="nil"/>
                    <w:tr2bl w:val="nil"/>
                  </w:tcBorders>
                  <w:vAlign w:val="center"/>
                </w:tcPr>
                <w:p>
                  <w:pPr>
                    <w:overflowPunct w:val="0"/>
                    <w:snapToGrid w:val="0"/>
                    <w:ind w:left="-2" w:leftChars="-1"/>
                    <w:jc w:val="center"/>
                    <w:rPr>
                      <w:b/>
                      <w:bCs/>
                      <w:color w:val="auto"/>
                      <w:kern w:val="0"/>
                      <w:szCs w:val="20"/>
                    </w:rPr>
                  </w:pPr>
                  <w:r>
                    <w:rPr>
                      <w:rFonts w:hint="eastAsia"/>
                      <w:b/>
                      <w:bCs/>
                      <w:color w:val="auto"/>
                      <w:kern w:val="0"/>
                      <w:szCs w:val="20"/>
                    </w:rPr>
                    <w:t>受影响规模</w:t>
                  </w:r>
                </w:p>
              </w:tc>
              <w:tc>
                <w:tcPr>
                  <w:tcW w:w="1283" w:type="dxa"/>
                  <w:tcBorders>
                    <w:tl2br w:val="nil"/>
                    <w:tr2bl w:val="nil"/>
                  </w:tcBorders>
                  <w:vAlign w:val="center"/>
                </w:tcPr>
                <w:p>
                  <w:pPr>
                    <w:overflowPunct w:val="0"/>
                    <w:snapToGrid w:val="0"/>
                    <w:ind w:left="-2" w:leftChars="-1"/>
                    <w:jc w:val="center"/>
                    <w:rPr>
                      <w:b/>
                      <w:bCs/>
                      <w:color w:val="auto"/>
                      <w:kern w:val="0"/>
                      <w:szCs w:val="20"/>
                    </w:rPr>
                  </w:pPr>
                  <w:r>
                    <w:rPr>
                      <w:b/>
                      <w:bCs/>
                      <w:color w:val="auto"/>
                      <w:kern w:val="0"/>
                      <w:szCs w:val="20"/>
                    </w:rPr>
                    <w:t>环境功能区</w:t>
                  </w:r>
                </w:p>
              </w:tc>
              <w:tc>
                <w:tcPr>
                  <w:tcW w:w="859" w:type="dxa"/>
                  <w:tcBorders>
                    <w:tl2br w:val="nil"/>
                    <w:tr2bl w:val="nil"/>
                  </w:tcBorders>
                  <w:vAlign w:val="center"/>
                </w:tcPr>
                <w:p>
                  <w:pPr>
                    <w:overflowPunct w:val="0"/>
                    <w:snapToGrid w:val="0"/>
                    <w:ind w:left="-2" w:leftChars="-1"/>
                    <w:jc w:val="center"/>
                    <w:rPr>
                      <w:b/>
                      <w:bCs/>
                      <w:color w:val="auto"/>
                      <w:kern w:val="0"/>
                      <w:szCs w:val="20"/>
                    </w:rPr>
                  </w:pPr>
                  <w:r>
                    <w:rPr>
                      <w:b/>
                      <w:bCs/>
                      <w:color w:val="auto"/>
                      <w:kern w:val="0"/>
                      <w:szCs w:val="20"/>
                    </w:rPr>
                    <w:t>相对厂址方位</w:t>
                  </w:r>
                </w:p>
              </w:tc>
              <w:tc>
                <w:tcPr>
                  <w:tcW w:w="1050" w:type="dxa"/>
                  <w:tcBorders>
                    <w:tl2br w:val="nil"/>
                    <w:tr2bl w:val="nil"/>
                  </w:tcBorders>
                  <w:vAlign w:val="center"/>
                </w:tcPr>
                <w:p>
                  <w:pPr>
                    <w:overflowPunct w:val="0"/>
                    <w:snapToGrid w:val="0"/>
                    <w:ind w:left="-2" w:leftChars="-1"/>
                    <w:jc w:val="center"/>
                    <w:rPr>
                      <w:b/>
                      <w:bCs/>
                      <w:color w:val="auto"/>
                      <w:kern w:val="0"/>
                      <w:szCs w:val="20"/>
                    </w:rPr>
                  </w:pPr>
                  <w:r>
                    <w:rPr>
                      <w:b/>
                      <w:bCs/>
                      <w:color w:val="auto"/>
                      <w:kern w:val="0"/>
                      <w:szCs w:val="20"/>
                    </w:rPr>
                    <w:t>相对厂界距离/m/</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43" w:hRule="atLeast"/>
                <w:jc w:val="center"/>
              </w:trPr>
              <w:tc>
                <w:tcPr>
                  <w:tcW w:w="683" w:type="dxa"/>
                  <w:tcBorders>
                    <w:right w:val="single" w:color="auto" w:sz="4" w:space="0"/>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1</w:t>
                  </w:r>
                </w:p>
              </w:tc>
              <w:tc>
                <w:tcPr>
                  <w:tcW w:w="1110" w:type="dxa"/>
                  <w:tcBorders>
                    <w:left w:val="single" w:color="auto" w:sz="4" w:space="0"/>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付村</w:t>
                  </w:r>
                </w:p>
              </w:tc>
              <w:tc>
                <w:tcPr>
                  <w:tcW w:w="1220" w:type="dxa"/>
                  <w:tcBorders>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居民</w:t>
                  </w:r>
                </w:p>
              </w:tc>
              <w:tc>
                <w:tcPr>
                  <w:tcW w:w="969" w:type="dxa"/>
                  <w:tcBorders>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环境空气</w:t>
                  </w:r>
                </w:p>
              </w:tc>
              <w:tc>
                <w:tcPr>
                  <w:tcW w:w="941" w:type="dxa"/>
                  <w:tcBorders>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约556人</w:t>
                  </w:r>
                </w:p>
              </w:tc>
              <w:tc>
                <w:tcPr>
                  <w:tcW w:w="1283" w:type="dxa"/>
                  <w:tcBorders>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大气二类区</w:t>
                  </w:r>
                </w:p>
              </w:tc>
              <w:tc>
                <w:tcPr>
                  <w:tcW w:w="859" w:type="dxa"/>
                  <w:tcBorders>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NE</w:t>
                  </w:r>
                </w:p>
              </w:tc>
              <w:tc>
                <w:tcPr>
                  <w:tcW w:w="1050" w:type="dxa"/>
                  <w:tcBorders>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370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086" w:hRule="atLeast"/>
                <w:jc w:val="center"/>
              </w:trPr>
              <w:tc>
                <w:tcPr>
                  <w:tcW w:w="683" w:type="dxa"/>
                  <w:tcBorders>
                    <w:right w:val="single" w:color="auto" w:sz="4" w:space="0"/>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2</w:t>
                  </w:r>
                </w:p>
              </w:tc>
              <w:tc>
                <w:tcPr>
                  <w:tcW w:w="1110" w:type="dxa"/>
                  <w:tcBorders>
                    <w:left w:val="single" w:color="auto" w:sz="4" w:space="0"/>
                    <w:tl2br w:val="nil"/>
                    <w:tr2bl w:val="nil"/>
                  </w:tcBorders>
                  <w:vAlign w:val="center"/>
                </w:tcPr>
                <w:p>
                  <w:pPr>
                    <w:overflowPunct w:val="0"/>
                    <w:snapToGrid w:val="0"/>
                    <w:ind w:left="-2" w:leftChars="-1"/>
                    <w:jc w:val="center"/>
                    <w:rPr>
                      <w:color w:val="auto"/>
                    </w:rPr>
                  </w:pPr>
                  <w:r>
                    <w:rPr>
                      <w:color w:val="auto"/>
                    </w:rPr>
                    <w:t>武</w:t>
                  </w:r>
                  <w:r>
                    <w:rPr>
                      <w:rFonts w:hint="eastAsia" w:ascii="宋体" w:hAnsi="宋体" w:cs="宋体"/>
                      <w:color w:val="auto"/>
                    </w:rPr>
                    <w:t>江“乐昌城～犁市”</w:t>
                  </w:r>
                  <w:r>
                    <w:rPr>
                      <w:color w:val="auto"/>
                    </w:rPr>
                    <w:t>河段</w:t>
                  </w:r>
                </w:p>
              </w:tc>
              <w:tc>
                <w:tcPr>
                  <w:tcW w:w="1220" w:type="dxa"/>
                  <w:tcBorders>
                    <w:tl2br w:val="nil"/>
                    <w:tr2bl w:val="nil"/>
                  </w:tcBorders>
                  <w:vAlign w:val="center"/>
                </w:tcPr>
                <w:p>
                  <w:pPr>
                    <w:overflowPunct w:val="0"/>
                    <w:snapToGrid w:val="0"/>
                    <w:ind w:left="-2" w:leftChars="-1"/>
                    <w:jc w:val="center"/>
                    <w:rPr>
                      <w:color w:val="auto"/>
                      <w:kern w:val="0"/>
                      <w:szCs w:val="20"/>
                    </w:rPr>
                  </w:pPr>
                  <w:r>
                    <w:rPr>
                      <w:color w:val="auto"/>
                      <w:kern w:val="0"/>
                      <w:szCs w:val="20"/>
                    </w:rPr>
                    <w:t>地表水体（纳污河段）</w:t>
                  </w:r>
                </w:p>
              </w:tc>
              <w:tc>
                <w:tcPr>
                  <w:tcW w:w="969" w:type="dxa"/>
                  <w:tcBorders>
                    <w:tl2br w:val="nil"/>
                    <w:tr2bl w:val="nil"/>
                  </w:tcBorders>
                  <w:vAlign w:val="center"/>
                </w:tcPr>
                <w:p>
                  <w:pPr>
                    <w:overflowPunct w:val="0"/>
                    <w:snapToGrid w:val="0"/>
                    <w:ind w:left="-2" w:leftChars="-1"/>
                    <w:jc w:val="center"/>
                    <w:rPr>
                      <w:color w:val="auto"/>
                      <w:kern w:val="0"/>
                      <w:szCs w:val="20"/>
                    </w:rPr>
                  </w:pPr>
                  <w:r>
                    <w:rPr>
                      <w:color w:val="auto"/>
                      <w:kern w:val="0"/>
                      <w:szCs w:val="20"/>
                    </w:rPr>
                    <w:t>地表水环境</w:t>
                  </w:r>
                </w:p>
              </w:tc>
              <w:tc>
                <w:tcPr>
                  <w:tcW w:w="941" w:type="dxa"/>
                  <w:tcBorders>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w:t>
                  </w:r>
                </w:p>
              </w:tc>
              <w:tc>
                <w:tcPr>
                  <w:tcW w:w="1283" w:type="dxa"/>
                  <w:tcBorders>
                    <w:tl2br w:val="nil"/>
                    <w:tr2bl w:val="nil"/>
                  </w:tcBorders>
                  <w:vAlign w:val="center"/>
                </w:tcPr>
                <w:p>
                  <w:pPr>
                    <w:overflowPunct w:val="0"/>
                    <w:snapToGrid w:val="0"/>
                    <w:ind w:left="-2" w:leftChars="-1"/>
                    <w:jc w:val="center"/>
                    <w:rPr>
                      <w:color w:val="auto"/>
                      <w:kern w:val="0"/>
                      <w:szCs w:val="20"/>
                    </w:rPr>
                  </w:pPr>
                  <w:r>
                    <w:rPr>
                      <w:color w:val="auto"/>
                      <w:kern w:val="0"/>
                      <w:szCs w:val="20"/>
                    </w:rPr>
                    <w:t>Ⅲ类水</w:t>
                  </w:r>
                </w:p>
              </w:tc>
              <w:tc>
                <w:tcPr>
                  <w:tcW w:w="859" w:type="dxa"/>
                  <w:tcBorders>
                    <w:tl2br w:val="nil"/>
                    <w:tr2bl w:val="nil"/>
                  </w:tcBorders>
                  <w:vAlign w:val="center"/>
                </w:tcPr>
                <w:p>
                  <w:pPr>
                    <w:overflowPunct w:val="0"/>
                    <w:snapToGrid w:val="0"/>
                    <w:ind w:left="-2" w:leftChars="-1"/>
                    <w:jc w:val="center"/>
                    <w:rPr>
                      <w:color w:val="auto"/>
                      <w:kern w:val="0"/>
                      <w:szCs w:val="20"/>
                    </w:rPr>
                  </w:pPr>
                  <w:r>
                    <w:rPr>
                      <w:color w:val="auto"/>
                      <w:kern w:val="0"/>
                      <w:szCs w:val="20"/>
                    </w:rPr>
                    <w:t>SW</w:t>
                  </w:r>
                </w:p>
              </w:tc>
              <w:tc>
                <w:tcPr>
                  <w:tcW w:w="1050" w:type="dxa"/>
                  <w:tcBorders>
                    <w:tl2br w:val="nil"/>
                    <w:tr2bl w:val="nil"/>
                  </w:tcBorders>
                  <w:vAlign w:val="center"/>
                </w:tcPr>
                <w:p>
                  <w:pPr>
                    <w:overflowPunct w:val="0"/>
                    <w:snapToGrid w:val="0"/>
                    <w:ind w:left="-2" w:leftChars="-1"/>
                    <w:jc w:val="center"/>
                    <w:rPr>
                      <w:color w:val="auto"/>
                      <w:kern w:val="0"/>
                      <w:szCs w:val="20"/>
                    </w:rPr>
                  </w:pPr>
                  <w:r>
                    <w:rPr>
                      <w:rFonts w:hint="eastAsia"/>
                      <w:color w:val="auto"/>
                      <w:kern w:val="0"/>
                      <w:szCs w:val="20"/>
                    </w:rPr>
                    <w:t>4910</w:t>
                  </w:r>
                </w:p>
              </w:tc>
            </w:tr>
          </w:tbl>
          <w:p>
            <w:pPr>
              <w:adjustRightInd w:val="0"/>
              <w:snapToGrid w:val="0"/>
              <w:spacing w:line="360" w:lineRule="auto"/>
              <w:rPr>
                <w:color w:val="auto"/>
                <w:kern w:val="0"/>
                <w:sz w:val="13"/>
                <w:szCs w:val="10"/>
              </w:rPr>
            </w:pPr>
          </w:p>
          <w:p>
            <w:pPr>
              <w:pStyle w:val="43"/>
              <w:ind w:firstLine="0" w:firstLineChars="0"/>
              <w:rPr>
                <w:color w:val="auto"/>
                <w:sz w:val="6"/>
                <w:szCs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781" w:type="dxa"/>
            <w:tcMar>
              <w:left w:w="28" w:type="dxa"/>
              <w:right w:w="28" w:type="dxa"/>
            </w:tcMar>
            <w:vAlign w:val="center"/>
          </w:tcPr>
          <w:p>
            <w:pPr>
              <w:adjustRightInd w:val="0"/>
              <w:snapToGrid w:val="0"/>
              <w:jc w:val="center"/>
              <w:rPr>
                <w:color w:val="auto"/>
                <w:kern w:val="0"/>
                <w:sz w:val="24"/>
              </w:rPr>
            </w:pPr>
            <w:r>
              <w:rPr>
                <w:color w:val="auto"/>
                <w:kern w:val="0"/>
                <w:sz w:val="24"/>
              </w:rPr>
              <w:t>污染</w:t>
            </w:r>
          </w:p>
          <w:p>
            <w:pPr>
              <w:adjustRightInd w:val="0"/>
              <w:snapToGrid w:val="0"/>
              <w:jc w:val="center"/>
              <w:rPr>
                <w:color w:val="auto"/>
                <w:kern w:val="0"/>
                <w:sz w:val="24"/>
              </w:rPr>
            </w:pPr>
            <w:r>
              <w:rPr>
                <w:color w:val="auto"/>
                <w:kern w:val="0"/>
                <w:sz w:val="24"/>
              </w:rPr>
              <w:t>物排</w:t>
            </w:r>
          </w:p>
          <w:p>
            <w:pPr>
              <w:adjustRightInd w:val="0"/>
              <w:snapToGrid w:val="0"/>
              <w:jc w:val="center"/>
              <w:rPr>
                <w:color w:val="auto"/>
                <w:kern w:val="0"/>
                <w:sz w:val="24"/>
              </w:rPr>
            </w:pPr>
            <w:r>
              <w:rPr>
                <w:color w:val="auto"/>
                <w:kern w:val="0"/>
                <w:sz w:val="24"/>
              </w:rPr>
              <w:t>放控</w:t>
            </w:r>
          </w:p>
          <w:p>
            <w:pPr>
              <w:adjustRightInd w:val="0"/>
              <w:snapToGrid w:val="0"/>
              <w:jc w:val="center"/>
              <w:rPr>
                <w:color w:val="auto"/>
                <w:kern w:val="0"/>
                <w:sz w:val="24"/>
              </w:rPr>
            </w:pPr>
            <w:r>
              <w:rPr>
                <w:color w:val="auto"/>
                <w:kern w:val="0"/>
                <w:sz w:val="24"/>
              </w:rPr>
              <w:t>制标</w:t>
            </w:r>
          </w:p>
          <w:p>
            <w:pPr>
              <w:adjustRightInd w:val="0"/>
              <w:snapToGrid w:val="0"/>
              <w:jc w:val="center"/>
              <w:rPr>
                <w:color w:val="auto"/>
                <w:kern w:val="0"/>
                <w:sz w:val="24"/>
              </w:rPr>
            </w:pPr>
            <w:r>
              <w:rPr>
                <w:color w:val="auto"/>
                <w:kern w:val="0"/>
                <w:sz w:val="24"/>
              </w:rPr>
              <w:t>准</w:t>
            </w:r>
          </w:p>
        </w:tc>
        <w:tc>
          <w:tcPr>
            <w:tcW w:w="8280" w:type="dxa"/>
            <w:vAlign w:val="center"/>
          </w:tcPr>
          <w:p>
            <w:pPr>
              <w:adjustRightInd w:val="0"/>
              <w:snapToGrid w:val="0"/>
              <w:spacing w:line="360" w:lineRule="auto"/>
              <w:ind w:firstLine="482" w:firstLineChars="200"/>
              <w:rPr>
                <w:b/>
                <w:color w:val="auto"/>
                <w:sz w:val="24"/>
              </w:rPr>
            </w:pPr>
            <w:r>
              <w:rPr>
                <w:b/>
                <w:color w:val="auto"/>
                <w:sz w:val="24"/>
              </w:rPr>
              <w:t>1.废气排放标准</w:t>
            </w:r>
          </w:p>
          <w:p>
            <w:pPr>
              <w:adjustRightInd w:val="0"/>
              <w:snapToGrid w:val="0"/>
              <w:spacing w:line="360" w:lineRule="auto"/>
              <w:ind w:firstLine="482"/>
              <w:rPr>
                <w:rFonts w:ascii="宋体" w:hAnsi="宋体"/>
                <w:color w:val="auto"/>
                <w:sz w:val="24"/>
                <w:highlight w:val="none"/>
              </w:rPr>
            </w:pPr>
            <w:r>
              <w:rPr>
                <w:rFonts w:hint="eastAsia" w:ascii="宋体" w:hAnsi="宋体"/>
                <w:color w:val="auto"/>
                <w:sz w:val="24"/>
                <w:highlight w:val="none"/>
              </w:rPr>
              <w:t>本项目废气主要包括注塑、挤出废气、焊锡废气、投料粉尘和食堂油烟。</w:t>
            </w:r>
          </w:p>
          <w:p>
            <w:pPr>
              <w:adjustRightInd w:val="0"/>
              <w:snapToGrid w:val="0"/>
              <w:spacing w:line="360" w:lineRule="auto"/>
              <w:ind w:firstLine="482"/>
              <w:rPr>
                <w:color w:val="auto"/>
                <w:sz w:val="24"/>
              </w:rPr>
            </w:pPr>
            <w:r>
              <w:rPr>
                <w:rFonts w:hint="eastAsia"/>
                <w:color w:val="auto"/>
                <w:sz w:val="24"/>
                <w:highlight w:val="none"/>
              </w:rPr>
              <w:t>排气筒</w:t>
            </w:r>
            <w:r>
              <w:rPr>
                <w:rFonts w:hint="eastAsia"/>
                <w:color w:val="auto"/>
                <w:sz w:val="24"/>
                <w:highlight w:val="none"/>
                <w:lang w:val="en-US" w:eastAsia="zh-CN"/>
              </w:rPr>
              <w:t>DA00</w:t>
            </w:r>
            <w:r>
              <w:rPr>
                <w:rFonts w:hint="eastAsia"/>
                <w:color w:val="auto"/>
                <w:sz w:val="24"/>
                <w:highlight w:val="none"/>
              </w:rPr>
              <w:t>1（注塑、挤出废气）中含有PP塑料和PVC塑料的注塑、挤出废气，PP注塑废气适用《合成树脂工业污染物排放标准》（GB 31572-2015）中表5大气污染物特别排放限值，PVC注塑废气适用</w:t>
            </w:r>
            <w:r>
              <w:rPr>
                <w:rFonts w:hint="eastAsia"/>
                <w:color w:val="auto"/>
                <w:sz w:val="24"/>
                <w:highlight w:val="none"/>
                <w:lang w:val="en-US" w:eastAsia="zh-CN"/>
              </w:rPr>
              <w:t>广东省</w:t>
            </w:r>
            <w:r>
              <w:rPr>
                <w:rFonts w:hint="eastAsia"/>
                <w:color w:val="auto"/>
                <w:sz w:val="24"/>
                <w:highlight w:val="none"/>
              </w:rPr>
              <w:t>《固定污染源挥发性有机物综合排放标准》（DB44/2367-2022）中表1挥发性有机物排放限值，本项目两种废气</w:t>
            </w:r>
            <w:r>
              <w:rPr>
                <w:rFonts w:hint="eastAsia"/>
                <w:color w:val="auto"/>
                <w:sz w:val="24"/>
                <w:highlight w:val="none"/>
                <w:lang w:val="en-US" w:eastAsia="zh-CN"/>
              </w:rPr>
              <w:t>经同一排气筒</w:t>
            </w:r>
            <w:r>
              <w:rPr>
                <w:rFonts w:hint="eastAsia"/>
                <w:color w:val="auto"/>
                <w:sz w:val="24"/>
                <w:highlight w:val="none"/>
              </w:rPr>
              <w:t>排放，因此，排气</w:t>
            </w:r>
            <w:r>
              <w:rPr>
                <w:rFonts w:hint="eastAsia"/>
                <w:color w:val="auto"/>
                <w:sz w:val="24"/>
                <w:highlight w:val="none"/>
                <w:lang w:val="en-US" w:eastAsia="zh-CN"/>
              </w:rPr>
              <w:t>筒DA00</w:t>
            </w:r>
            <w:r>
              <w:rPr>
                <w:rFonts w:hint="eastAsia"/>
                <w:color w:val="auto"/>
                <w:sz w:val="24"/>
                <w:highlight w:val="none"/>
              </w:rPr>
              <w:t>1非甲</w:t>
            </w:r>
            <w:r>
              <w:rPr>
                <w:rFonts w:hint="eastAsia" w:hAnsi="宋体"/>
                <w:color w:val="auto"/>
                <w:sz w:val="24"/>
                <w:highlight w:val="none"/>
              </w:rPr>
              <w:t>烷总烃废气排放应执行《合成树脂工业污染物排放标准》（GB 31572-2015）中表5大气污染物特别排放限值及</w:t>
            </w:r>
            <w:r>
              <w:rPr>
                <w:rFonts w:hint="eastAsia" w:hAnsi="宋体"/>
                <w:color w:val="auto"/>
                <w:sz w:val="24"/>
                <w:highlight w:val="none"/>
                <w:lang w:val="en-US" w:eastAsia="zh-CN"/>
              </w:rPr>
              <w:t>广东省</w:t>
            </w:r>
            <w:r>
              <w:rPr>
                <w:rFonts w:hint="eastAsia" w:hAnsi="宋体"/>
                <w:color w:val="auto"/>
                <w:sz w:val="24"/>
                <w:highlight w:val="none"/>
              </w:rPr>
              <w:t>《固定污染源挥发性有机物综合排放标准》（DB44/2367-2022）中表1挥发性有机物排放限值较严者</w:t>
            </w:r>
            <w:r>
              <w:rPr>
                <w:rFonts w:hint="eastAsia"/>
                <w:color w:val="auto"/>
                <w:sz w:val="24"/>
                <w:highlight w:val="none"/>
              </w:rPr>
              <w:t>，</w:t>
            </w:r>
            <w:r>
              <w:rPr>
                <w:rFonts w:hint="eastAsia"/>
                <w:color w:val="auto"/>
                <w:sz w:val="24"/>
              </w:rPr>
              <w:t>臭气浓度排放执行《恶臭污染物排放标准》（GB 14554-93）表2恶臭污染物排放标准值。</w:t>
            </w:r>
          </w:p>
          <w:p>
            <w:pPr>
              <w:spacing w:line="360" w:lineRule="auto"/>
              <w:ind w:firstLine="480" w:firstLineChars="200"/>
              <w:rPr>
                <w:color w:val="auto"/>
                <w:sz w:val="24"/>
              </w:rPr>
            </w:pPr>
            <w:r>
              <w:rPr>
                <w:rFonts w:hint="eastAsia" w:hAnsi="宋体"/>
                <w:color w:val="auto"/>
                <w:sz w:val="24"/>
              </w:rPr>
              <w:t>厂区内VOCs无组织排放执行</w:t>
            </w:r>
            <w:r>
              <w:rPr>
                <w:rFonts w:hint="eastAsia" w:hAnsi="宋体"/>
                <w:color w:val="auto"/>
                <w:sz w:val="24"/>
                <w:lang w:val="en-US" w:eastAsia="zh-CN"/>
              </w:rPr>
              <w:t>广东省</w:t>
            </w:r>
            <w:r>
              <w:rPr>
                <w:rFonts w:ascii="宋体" w:hAnsi="宋体"/>
                <w:color w:val="auto"/>
                <w:sz w:val="24"/>
              </w:rPr>
              <w:t>《</w:t>
            </w:r>
            <w:r>
              <w:rPr>
                <w:rFonts w:hint="eastAsia" w:ascii="宋体" w:hAnsi="宋体"/>
                <w:color w:val="auto"/>
                <w:sz w:val="24"/>
              </w:rPr>
              <w:t>固定污染源挥发性有机物综合排放标准</w:t>
            </w:r>
            <w:r>
              <w:rPr>
                <w:rFonts w:ascii="宋体" w:hAnsi="宋体"/>
                <w:color w:val="auto"/>
                <w:sz w:val="24"/>
              </w:rPr>
              <w:t>》（</w:t>
            </w:r>
            <w:r>
              <w:rPr>
                <w:color w:val="auto"/>
                <w:sz w:val="24"/>
              </w:rPr>
              <w:t>DB44/2367-2022</w:t>
            </w:r>
            <w:r>
              <w:rPr>
                <w:rFonts w:ascii="宋体" w:hAnsi="宋体"/>
                <w:color w:val="auto"/>
                <w:sz w:val="24"/>
              </w:rPr>
              <w:t>）表</w:t>
            </w:r>
            <w:r>
              <w:rPr>
                <w:color w:val="auto"/>
                <w:sz w:val="24"/>
              </w:rPr>
              <w:t>3</w:t>
            </w:r>
            <w:r>
              <w:rPr>
                <w:rFonts w:hint="eastAsia" w:ascii="宋体" w:hAnsi="宋体"/>
                <w:color w:val="auto"/>
                <w:sz w:val="24"/>
              </w:rPr>
              <w:t>厂区内</w:t>
            </w:r>
            <w:r>
              <w:rPr>
                <w:rFonts w:hint="eastAsia"/>
                <w:color w:val="auto"/>
                <w:sz w:val="24"/>
              </w:rPr>
              <w:t>V</w:t>
            </w:r>
            <w:r>
              <w:rPr>
                <w:color w:val="auto"/>
                <w:sz w:val="24"/>
              </w:rPr>
              <w:t>OC</w:t>
            </w:r>
            <w:r>
              <w:rPr>
                <w:rFonts w:hint="eastAsia"/>
                <w:color w:val="auto"/>
                <w:sz w:val="24"/>
              </w:rPr>
              <w:t>s</w:t>
            </w:r>
            <w:r>
              <w:rPr>
                <w:rFonts w:hint="eastAsia" w:ascii="宋体" w:hAnsi="宋体"/>
                <w:color w:val="auto"/>
                <w:sz w:val="24"/>
              </w:rPr>
              <w:t>无组织排放</w:t>
            </w:r>
            <w:r>
              <w:rPr>
                <w:rFonts w:ascii="宋体" w:hAnsi="宋体"/>
                <w:color w:val="auto"/>
                <w:sz w:val="24"/>
              </w:rPr>
              <w:t>限值</w:t>
            </w:r>
            <w:r>
              <w:rPr>
                <w:rFonts w:hint="eastAsia"/>
                <w:color w:val="auto"/>
                <w:sz w:val="24"/>
              </w:rPr>
              <w:t>。</w:t>
            </w:r>
          </w:p>
          <w:p>
            <w:pPr>
              <w:spacing w:line="360" w:lineRule="auto"/>
              <w:ind w:firstLine="480" w:firstLineChars="200"/>
              <w:rPr>
                <w:color w:val="auto"/>
                <w:sz w:val="24"/>
              </w:rPr>
            </w:pPr>
            <w:r>
              <w:rPr>
                <w:rFonts w:hint="eastAsia"/>
                <w:color w:val="auto"/>
                <w:sz w:val="24"/>
              </w:rPr>
              <w:t>厂界</w:t>
            </w:r>
            <w:r>
              <w:rPr>
                <w:rFonts w:hint="eastAsia"/>
                <w:color w:val="auto"/>
                <w:sz w:val="24"/>
                <w:lang w:val="en-US" w:eastAsia="zh-CN"/>
              </w:rPr>
              <w:t>处</w:t>
            </w:r>
            <w:r>
              <w:rPr>
                <w:rFonts w:hint="eastAsia"/>
                <w:color w:val="auto"/>
                <w:sz w:val="24"/>
              </w:rPr>
              <w:t>非甲烷总烃、颗粒物无组织排放执行</w:t>
            </w:r>
            <w:r>
              <w:rPr>
                <w:color w:val="auto"/>
                <w:sz w:val="24"/>
              </w:rPr>
              <w:t>《</w:t>
            </w:r>
            <w:r>
              <w:rPr>
                <w:rFonts w:hint="eastAsia"/>
                <w:color w:val="auto"/>
                <w:sz w:val="24"/>
              </w:rPr>
              <w:t>合成树脂工业污染物排放标准</w:t>
            </w:r>
            <w:r>
              <w:rPr>
                <w:color w:val="auto"/>
                <w:sz w:val="24"/>
              </w:rPr>
              <w:t>》（</w:t>
            </w:r>
            <w:r>
              <w:rPr>
                <w:rFonts w:hint="eastAsia"/>
                <w:color w:val="auto"/>
                <w:sz w:val="24"/>
              </w:rPr>
              <w:t>G</w:t>
            </w:r>
            <w:r>
              <w:rPr>
                <w:color w:val="auto"/>
                <w:sz w:val="24"/>
              </w:rPr>
              <w:t>B</w:t>
            </w:r>
            <w:r>
              <w:rPr>
                <w:rFonts w:hint="eastAsia"/>
                <w:color w:val="auto"/>
                <w:sz w:val="24"/>
              </w:rPr>
              <w:t xml:space="preserve"> 31572</w:t>
            </w:r>
            <w:r>
              <w:rPr>
                <w:color w:val="auto"/>
                <w:sz w:val="24"/>
              </w:rPr>
              <w:t>-20</w:t>
            </w:r>
            <w:r>
              <w:rPr>
                <w:rFonts w:hint="eastAsia"/>
                <w:color w:val="auto"/>
                <w:sz w:val="24"/>
              </w:rPr>
              <w:t>15</w:t>
            </w:r>
            <w:r>
              <w:rPr>
                <w:color w:val="auto"/>
                <w:sz w:val="24"/>
              </w:rPr>
              <w:t>）</w:t>
            </w:r>
            <w:r>
              <w:rPr>
                <w:rFonts w:hint="eastAsia"/>
                <w:color w:val="auto"/>
                <w:sz w:val="24"/>
              </w:rPr>
              <w:t>中表9企业边界大气污染物浓度限值。</w:t>
            </w:r>
          </w:p>
          <w:p>
            <w:pPr>
              <w:snapToGrid w:val="0"/>
              <w:spacing w:line="360" w:lineRule="auto"/>
              <w:ind w:firstLine="480" w:firstLineChars="200"/>
              <w:rPr>
                <w:color w:val="auto"/>
                <w:sz w:val="24"/>
              </w:rPr>
            </w:pPr>
            <w:r>
              <w:rPr>
                <w:rFonts w:hint="eastAsia"/>
                <w:color w:val="auto"/>
                <w:sz w:val="24"/>
              </w:rPr>
              <w:t>厂界</w:t>
            </w:r>
            <w:r>
              <w:rPr>
                <w:rFonts w:hint="eastAsia"/>
                <w:color w:val="auto"/>
                <w:sz w:val="24"/>
                <w:lang w:val="en-US" w:eastAsia="zh-CN"/>
              </w:rPr>
              <w:t>处</w:t>
            </w:r>
            <w:r>
              <w:rPr>
                <w:rFonts w:hint="eastAsia"/>
                <w:color w:val="auto"/>
                <w:sz w:val="24"/>
              </w:rPr>
              <w:t>臭气浓度无组织排放执行《恶臭污染物排放标准》（GB 14554-93）表1恶臭污染物厂界标准值。</w:t>
            </w:r>
          </w:p>
          <w:p>
            <w:pPr>
              <w:snapToGrid w:val="0"/>
              <w:spacing w:line="360" w:lineRule="auto"/>
              <w:ind w:firstLine="480" w:firstLineChars="200"/>
              <w:rPr>
                <w:color w:val="auto"/>
                <w:sz w:val="24"/>
              </w:rPr>
            </w:pPr>
            <w:r>
              <w:rPr>
                <w:rFonts w:hint="eastAsia"/>
                <w:color w:val="auto"/>
                <w:sz w:val="24"/>
              </w:rPr>
              <w:t>厂界</w:t>
            </w:r>
            <w:r>
              <w:rPr>
                <w:rFonts w:hint="eastAsia"/>
                <w:color w:val="auto"/>
                <w:sz w:val="24"/>
                <w:lang w:val="en-US" w:eastAsia="zh-CN"/>
              </w:rPr>
              <w:t>处</w:t>
            </w:r>
            <w:r>
              <w:rPr>
                <w:rFonts w:hint="eastAsia"/>
                <w:color w:val="auto"/>
                <w:sz w:val="24"/>
              </w:rPr>
              <w:t>锡及其化合物</w:t>
            </w:r>
            <w:r>
              <w:rPr>
                <w:rFonts w:ascii="宋体" w:hAnsi="宋体" w:cs="宋体"/>
                <w:color w:val="auto"/>
                <w:spacing w:val="5"/>
                <w:sz w:val="24"/>
              </w:rPr>
              <w:t>执行广东省《大气污染物排放限</w:t>
            </w:r>
            <w:r>
              <w:rPr>
                <w:rFonts w:ascii="宋体" w:hAnsi="宋体" w:cs="宋体"/>
                <w:color w:val="auto"/>
                <w:spacing w:val="6"/>
                <w:sz w:val="24"/>
              </w:rPr>
              <w:t>值</w:t>
            </w:r>
            <w:r>
              <w:rPr>
                <w:rFonts w:ascii="宋体" w:hAnsi="宋体" w:cs="宋体"/>
                <w:color w:val="auto"/>
                <w:spacing w:val="3"/>
                <w:sz w:val="24"/>
              </w:rPr>
              <w:t>》(</w:t>
            </w:r>
            <w:r>
              <w:rPr>
                <w:rFonts w:eastAsia="Times New Roman"/>
                <w:color w:val="auto"/>
                <w:sz w:val="24"/>
              </w:rPr>
              <w:t>DB</w:t>
            </w:r>
            <w:r>
              <w:rPr>
                <w:rFonts w:eastAsia="Times New Roman"/>
                <w:color w:val="auto"/>
                <w:spacing w:val="3"/>
                <w:sz w:val="24"/>
              </w:rPr>
              <w:t>44/27-2001</w:t>
            </w:r>
            <w:r>
              <w:rPr>
                <w:rFonts w:ascii="宋体" w:hAnsi="宋体" w:cs="宋体"/>
                <w:color w:val="auto"/>
                <w:spacing w:val="3"/>
                <w:sz w:val="24"/>
              </w:rPr>
              <w:t>)</w:t>
            </w:r>
            <w:r>
              <w:rPr>
                <w:rFonts w:hint="eastAsia" w:ascii="宋体" w:hAnsi="宋体" w:cs="宋体"/>
                <w:color w:val="auto"/>
                <w:spacing w:val="3"/>
                <w:sz w:val="24"/>
              </w:rPr>
              <w:t>中</w:t>
            </w:r>
            <w:r>
              <w:rPr>
                <w:rFonts w:ascii="宋体" w:hAnsi="宋体" w:cs="宋体"/>
                <w:color w:val="auto"/>
                <w:spacing w:val="3"/>
                <w:sz w:val="24"/>
              </w:rPr>
              <w:t>第二时段无组织排放监控浓度限值</w:t>
            </w:r>
            <w:r>
              <w:rPr>
                <w:rFonts w:hint="eastAsia" w:ascii="宋体" w:hAnsi="宋体" w:cs="宋体"/>
                <w:color w:val="auto"/>
                <w:spacing w:val="3"/>
                <w:sz w:val="24"/>
              </w:rPr>
              <w:t>。</w:t>
            </w:r>
          </w:p>
          <w:p>
            <w:pPr>
              <w:snapToGrid w:val="0"/>
              <w:spacing w:line="360" w:lineRule="auto"/>
              <w:ind w:firstLine="480" w:firstLineChars="200"/>
              <w:rPr>
                <w:rFonts w:ascii="宋体" w:hAnsi="宋体"/>
                <w:color w:val="auto"/>
                <w:sz w:val="24"/>
              </w:rPr>
            </w:pPr>
            <w:r>
              <w:rPr>
                <w:color w:val="auto"/>
                <w:sz w:val="24"/>
              </w:rPr>
              <w:t>食堂油烟执行《饮食业油烟排放标准（试行）》（GB18483-2001）</w:t>
            </w:r>
            <w:r>
              <w:rPr>
                <w:rFonts w:hint="eastAsia"/>
                <w:color w:val="auto"/>
                <w:sz w:val="24"/>
              </w:rPr>
              <w:t>中</w:t>
            </w:r>
            <w:r>
              <w:rPr>
                <w:color w:val="auto"/>
                <w:sz w:val="24"/>
              </w:rPr>
              <w:t>型标准要求，即净化设备效率达到</w:t>
            </w:r>
            <w:r>
              <w:rPr>
                <w:rFonts w:hint="eastAsia"/>
                <w:color w:val="auto"/>
                <w:sz w:val="24"/>
              </w:rPr>
              <w:t>75</w:t>
            </w:r>
            <w:r>
              <w:rPr>
                <w:color w:val="auto"/>
                <w:sz w:val="24"/>
              </w:rPr>
              <w:t>%以上，油烟浓度≤2.0mg/m</w:t>
            </w:r>
            <w:r>
              <w:rPr>
                <w:color w:val="auto"/>
                <w:sz w:val="24"/>
                <w:vertAlign w:val="superscript"/>
              </w:rPr>
              <w:t>3</w:t>
            </w:r>
            <w:r>
              <w:rPr>
                <w:color w:val="auto"/>
                <w:sz w:val="24"/>
              </w:rPr>
              <w:t>。</w:t>
            </w:r>
          </w:p>
          <w:p>
            <w:pPr>
              <w:snapToGrid w:val="0"/>
              <w:spacing w:line="360" w:lineRule="auto"/>
              <w:ind w:firstLine="480" w:firstLineChars="200"/>
              <w:rPr>
                <w:color w:val="auto"/>
                <w:sz w:val="24"/>
              </w:rPr>
            </w:pPr>
            <w:r>
              <w:rPr>
                <w:rFonts w:hint="eastAsia" w:ascii="宋体" w:hAnsi="宋体"/>
                <w:color w:val="auto"/>
                <w:sz w:val="24"/>
              </w:rPr>
              <w:t>上述标准值具体</w:t>
            </w:r>
            <w:r>
              <w:rPr>
                <w:rFonts w:hint="eastAsia"/>
                <w:color w:val="auto"/>
                <w:sz w:val="24"/>
                <w:szCs w:val="32"/>
              </w:rPr>
              <w:t>详见表</w:t>
            </w:r>
            <w:r>
              <w:rPr>
                <w:rFonts w:hint="eastAsia"/>
                <w:color w:val="auto"/>
                <w:sz w:val="24"/>
                <w:szCs w:val="32"/>
                <w:lang w:val="en-US" w:eastAsia="zh-CN"/>
              </w:rPr>
              <w:t>3-7</w:t>
            </w:r>
            <w:r>
              <w:rPr>
                <w:rFonts w:hint="eastAsia"/>
                <w:color w:val="auto"/>
                <w:sz w:val="24"/>
                <w:szCs w:val="32"/>
              </w:rPr>
              <w:t>。</w:t>
            </w:r>
          </w:p>
          <w:p>
            <w:pPr>
              <w:spacing w:line="360" w:lineRule="auto"/>
              <w:jc w:val="center"/>
              <w:rPr>
                <w:rFonts w:hAnsi="宋体"/>
                <w:color w:val="auto"/>
                <w:sz w:val="24"/>
              </w:rPr>
            </w:pPr>
            <w:r>
              <w:rPr>
                <w:b/>
                <w:color w:val="auto"/>
                <w:sz w:val="24"/>
              </w:rPr>
              <w:t>表</w:t>
            </w:r>
            <w:r>
              <w:rPr>
                <w:rFonts w:hint="eastAsia"/>
                <w:b/>
                <w:color w:val="auto"/>
                <w:sz w:val="24"/>
                <w:lang w:val="en-US" w:eastAsia="zh-CN"/>
              </w:rPr>
              <w:t>3-7</w:t>
            </w:r>
            <w:r>
              <w:rPr>
                <w:rFonts w:hint="eastAsia"/>
                <w:b/>
                <w:color w:val="auto"/>
                <w:sz w:val="24"/>
              </w:rPr>
              <w:t xml:space="preserve"> 大气污染物排放限值</w:t>
            </w:r>
          </w:p>
          <w:tbl>
            <w:tblPr>
              <w:tblStyle w:val="28"/>
              <w:tblW w:w="80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1"/>
              <w:gridCol w:w="2220"/>
              <w:gridCol w:w="975"/>
              <w:gridCol w:w="1276"/>
              <w:gridCol w:w="989"/>
              <w:gridCol w:w="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1941" w:type="dxa"/>
                  <w:vAlign w:val="center"/>
                </w:tcPr>
                <w:p>
                  <w:pPr>
                    <w:snapToGrid w:val="0"/>
                    <w:jc w:val="center"/>
                    <w:rPr>
                      <w:rFonts w:hAnsi="宋体"/>
                      <w:b/>
                      <w:bCs/>
                      <w:color w:val="auto"/>
                      <w:szCs w:val="21"/>
                    </w:rPr>
                  </w:pPr>
                  <w:r>
                    <w:rPr>
                      <w:rFonts w:hint="eastAsia" w:hAnsi="宋体"/>
                      <w:b/>
                      <w:bCs/>
                      <w:color w:val="auto"/>
                      <w:szCs w:val="21"/>
                    </w:rPr>
                    <w:t>排放位置</w:t>
                  </w:r>
                </w:p>
              </w:tc>
              <w:tc>
                <w:tcPr>
                  <w:tcW w:w="2220" w:type="dxa"/>
                  <w:vAlign w:val="center"/>
                </w:tcPr>
                <w:p>
                  <w:pPr>
                    <w:snapToGrid w:val="0"/>
                    <w:jc w:val="center"/>
                    <w:rPr>
                      <w:rFonts w:hAnsi="宋体"/>
                      <w:b/>
                      <w:bCs/>
                      <w:color w:val="auto"/>
                      <w:szCs w:val="21"/>
                    </w:rPr>
                  </w:pPr>
                  <w:r>
                    <w:rPr>
                      <w:rFonts w:hAnsi="宋体"/>
                      <w:b/>
                      <w:bCs/>
                      <w:color w:val="auto"/>
                      <w:szCs w:val="21"/>
                    </w:rPr>
                    <w:t>标准名称</w:t>
                  </w:r>
                </w:p>
              </w:tc>
              <w:tc>
                <w:tcPr>
                  <w:tcW w:w="975" w:type="dxa"/>
                  <w:vAlign w:val="center"/>
                </w:tcPr>
                <w:p>
                  <w:pPr>
                    <w:snapToGrid w:val="0"/>
                    <w:jc w:val="center"/>
                    <w:rPr>
                      <w:rFonts w:hAnsi="宋体"/>
                      <w:b/>
                      <w:bCs/>
                      <w:color w:val="auto"/>
                      <w:szCs w:val="21"/>
                    </w:rPr>
                  </w:pPr>
                  <w:r>
                    <w:rPr>
                      <w:rFonts w:hAnsi="宋体"/>
                      <w:b/>
                      <w:bCs/>
                      <w:color w:val="auto"/>
                      <w:szCs w:val="21"/>
                    </w:rPr>
                    <w:t>污染物</w:t>
                  </w:r>
                </w:p>
              </w:tc>
              <w:tc>
                <w:tcPr>
                  <w:tcW w:w="1276" w:type="dxa"/>
                  <w:vAlign w:val="center"/>
                </w:tcPr>
                <w:p>
                  <w:pPr>
                    <w:snapToGrid w:val="0"/>
                    <w:jc w:val="center"/>
                    <w:rPr>
                      <w:rFonts w:hAnsi="宋体"/>
                      <w:b/>
                      <w:bCs/>
                      <w:color w:val="auto"/>
                      <w:szCs w:val="21"/>
                    </w:rPr>
                  </w:pPr>
                  <w:r>
                    <w:rPr>
                      <w:rFonts w:hAnsi="宋体"/>
                      <w:b/>
                      <w:bCs/>
                      <w:color w:val="auto"/>
                      <w:szCs w:val="21"/>
                    </w:rPr>
                    <w:t>最高允许排放浓度</w:t>
                  </w:r>
                  <w:r>
                    <w:rPr>
                      <w:rFonts w:hint="eastAsia" w:hAnsi="宋体"/>
                      <w:b/>
                      <w:bCs/>
                      <w:color w:val="auto"/>
                      <w:szCs w:val="21"/>
                    </w:rPr>
                    <w:t>(</w:t>
                  </w:r>
                  <w:r>
                    <w:rPr>
                      <w:rFonts w:hAnsi="宋体"/>
                      <w:b/>
                      <w:bCs/>
                      <w:color w:val="auto"/>
                      <w:szCs w:val="21"/>
                    </w:rPr>
                    <w:t>mg/m</w:t>
                  </w:r>
                  <w:r>
                    <w:rPr>
                      <w:rFonts w:hAnsi="宋体"/>
                      <w:b/>
                      <w:bCs/>
                      <w:color w:val="auto"/>
                      <w:szCs w:val="21"/>
                      <w:vertAlign w:val="superscript"/>
                    </w:rPr>
                    <w:t>3</w:t>
                  </w:r>
                  <w:r>
                    <w:rPr>
                      <w:rFonts w:hint="eastAsia" w:hAnsi="宋体"/>
                      <w:b/>
                      <w:bCs/>
                      <w:color w:val="auto"/>
                      <w:szCs w:val="21"/>
                    </w:rPr>
                    <w:t>)</w:t>
                  </w:r>
                </w:p>
              </w:tc>
              <w:tc>
                <w:tcPr>
                  <w:tcW w:w="989" w:type="dxa"/>
                  <w:vAlign w:val="center"/>
                </w:tcPr>
                <w:p>
                  <w:pPr>
                    <w:snapToGrid w:val="0"/>
                    <w:jc w:val="center"/>
                    <w:rPr>
                      <w:rFonts w:hAnsi="宋体"/>
                      <w:b/>
                      <w:bCs/>
                      <w:color w:val="auto"/>
                      <w:szCs w:val="21"/>
                    </w:rPr>
                  </w:pPr>
                  <w:r>
                    <w:rPr>
                      <w:rFonts w:hAnsi="宋体"/>
                      <w:b/>
                      <w:bCs/>
                      <w:color w:val="auto"/>
                      <w:szCs w:val="21"/>
                    </w:rPr>
                    <w:t>最高允许排放</w:t>
                  </w:r>
                </w:p>
                <w:p>
                  <w:pPr>
                    <w:snapToGrid w:val="0"/>
                    <w:jc w:val="center"/>
                    <w:rPr>
                      <w:rFonts w:hAnsi="宋体"/>
                      <w:b/>
                      <w:bCs/>
                      <w:color w:val="auto"/>
                      <w:szCs w:val="21"/>
                    </w:rPr>
                  </w:pPr>
                  <w:r>
                    <w:rPr>
                      <w:rFonts w:hAnsi="宋体"/>
                      <w:b/>
                      <w:bCs/>
                      <w:color w:val="auto"/>
                      <w:szCs w:val="21"/>
                    </w:rPr>
                    <w:t>速率（kg/h）</w:t>
                  </w:r>
                </w:p>
              </w:tc>
              <w:tc>
                <w:tcPr>
                  <w:tcW w:w="655" w:type="dxa"/>
                  <w:vAlign w:val="center"/>
                </w:tcPr>
                <w:p>
                  <w:pPr>
                    <w:snapToGrid w:val="0"/>
                    <w:jc w:val="center"/>
                    <w:rPr>
                      <w:rFonts w:hAnsi="宋体"/>
                      <w:b/>
                      <w:bCs/>
                      <w:color w:val="auto"/>
                      <w:szCs w:val="21"/>
                    </w:rPr>
                  </w:pPr>
                  <w:r>
                    <w:rPr>
                      <w:rFonts w:hAnsi="宋体"/>
                      <w:b/>
                      <w:bCs/>
                      <w:color w:val="auto"/>
                      <w:szCs w:val="21"/>
                    </w:rPr>
                    <w:t>排气筒高度</w:t>
                  </w:r>
                  <w:r>
                    <w:rPr>
                      <w:rFonts w:hint="eastAsia" w:hAnsi="宋体"/>
                      <w:b/>
                      <w:bCs/>
                      <w:color w:val="auto"/>
                      <w:szCs w:val="21"/>
                    </w:rPr>
                    <w:t>(</w:t>
                  </w:r>
                  <w:r>
                    <w:rPr>
                      <w:rFonts w:hAnsi="宋体"/>
                      <w:b/>
                      <w:bCs/>
                      <w:color w:val="auto"/>
                      <w:szCs w:val="21"/>
                    </w:rPr>
                    <w:t>m</w:t>
                  </w:r>
                  <w:r>
                    <w:rPr>
                      <w:rFonts w:hint="eastAsia" w:hAnsi="宋体"/>
                      <w:b/>
                      <w:bCs/>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1941" w:type="dxa"/>
                  <w:vMerge w:val="restart"/>
                  <w:vAlign w:val="center"/>
                </w:tcPr>
                <w:p>
                  <w:pPr>
                    <w:snapToGrid w:val="0"/>
                    <w:jc w:val="center"/>
                    <w:rPr>
                      <w:rFonts w:hAnsi="宋体"/>
                      <w:color w:val="auto"/>
                      <w:szCs w:val="21"/>
                    </w:rPr>
                  </w:pPr>
                  <w:r>
                    <w:rPr>
                      <w:rFonts w:hint="eastAsia" w:hAnsi="宋体"/>
                      <w:color w:val="auto"/>
                      <w:szCs w:val="21"/>
                    </w:rPr>
                    <w:t>排气筒</w:t>
                  </w:r>
                  <w:r>
                    <w:rPr>
                      <w:rFonts w:hint="eastAsia" w:hAnsi="宋体"/>
                      <w:color w:val="auto"/>
                      <w:szCs w:val="21"/>
                      <w:lang w:val="en-US" w:eastAsia="zh-CN"/>
                    </w:rPr>
                    <w:t>DA00</w:t>
                  </w:r>
                  <w:r>
                    <w:rPr>
                      <w:rFonts w:hint="eastAsia" w:hAnsi="宋体"/>
                      <w:color w:val="auto"/>
                      <w:szCs w:val="21"/>
                    </w:rPr>
                    <w:t>1（注塑、挤出废气）</w:t>
                  </w:r>
                </w:p>
              </w:tc>
              <w:tc>
                <w:tcPr>
                  <w:tcW w:w="2220" w:type="dxa"/>
                  <w:vAlign w:val="center"/>
                </w:tcPr>
                <w:p>
                  <w:pPr>
                    <w:snapToGrid w:val="0"/>
                    <w:jc w:val="both"/>
                    <w:rPr>
                      <w:rFonts w:hAnsi="宋体"/>
                      <w:color w:val="auto"/>
                      <w:szCs w:val="21"/>
                      <w:highlight w:val="none"/>
                    </w:rPr>
                  </w:pPr>
                  <w:r>
                    <w:rPr>
                      <w:rFonts w:hint="eastAsia" w:hAnsi="宋体"/>
                      <w:color w:val="auto"/>
                      <w:szCs w:val="21"/>
                      <w:highlight w:val="none"/>
                    </w:rPr>
                    <w:t>《合成树脂工业污染物排放标准》（GB 31572-2015）中表5大气污染物特别排放限值及</w:t>
                  </w:r>
                  <w:r>
                    <w:rPr>
                      <w:rFonts w:hint="eastAsia" w:hAnsi="宋体"/>
                      <w:color w:val="auto"/>
                      <w:szCs w:val="21"/>
                      <w:highlight w:val="none"/>
                      <w:lang w:val="en-US" w:eastAsia="zh-CN"/>
                    </w:rPr>
                    <w:t>广东省</w:t>
                  </w:r>
                  <w:r>
                    <w:rPr>
                      <w:rFonts w:hint="eastAsia" w:hAnsi="宋体"/>
                      <w:color w:val="auto"/>
                      <w:szCs w:val="21"/>
                      <w:highlight w:val="none"/>
                    </w:rPr>
                    <w:t>《固定污染源挥发性有机物综合排放标准》（DB44/2367-2022）中表1挥发性有机物排放限值较严者</w:t>
                  </w:r>
                </w:p>
              </w:tc>
              <w:tc>
                <w:tcPr>
                  <w:tcW w:w="975" w:type="dxa"/>
                  <w:vAlign w:val="center"/>
                </w:tcPr>
                <w:p>
                  <w:pPr>
                    <w:snapToGrid w:val="0"/>
                    <w:jc w:val="center"/>
                    <w:rPr>
                      <w:rFonts w:hAnsi="宋体"/>
                      <w:color w:val="auto"/>
                      <w:szCs w:val="21"/>
                    </w:rPr>
                  </w:pPr>
                  <w:r>
                    <w:rPr>
                      <w:rFonts w:hint="eastAsia" w:hAnsi="宋体"/>
                      <w:color w:val="auto"/>
                      <w:szCs w:val="21"/>
                    </w:rPr>
                    <w:t>NMHC</w:t>
                  </w:r>
                </w:p>
              </w:tc>
              <w:tc>
                <w:tcPr>
                  <w:tcW w:w="1276" w:type="dxa"/>
                  <w:vMerge w:val="restart"/>
                  <w:vAlign w:val="center"/>
                </w:tcPr>
                <w:p>
                  <w:pPr>
                    <w:snapToGrid w:val="0"/>
                    <w:jc w:val="center"/>
                    <w:rPr>
                      <w:rFonts w:hAnsi="宋体"/>
                      <w:color w:val="auto"/>
                      <w:szCs w:val="21"/>
                    </w:rPr>
                  </w:pPr>
                  <w:r>
                    <w:rPr>
                      <w:rFonts w:hint="eastAsia" w:hAnsi="宋体"/>
                      <w:color w:val="auto"/>
                      <w:szCs w:val="21"/>
                    </w:rPr>
                    <w:t>60</w:t>
                  </w:r>
                </w:p>
              </w:tc>
              <w:tc>
                <w:tcPr>
                  <w:tcW w:w="989" w:type="dxa"/>
                  <w:vMerge w:val="restart"/>
                  <w:vAlign w:val="center"/>
                </w:tcPr>
                <w:p>
                  <w:pPr>
                    <w:snapToGrid w:val="0"/>
                    <w:jc w:val="center"/>
                    <w:rPr>
                      <w:rFonts w:hAnsi="宋体"/>
                      <w:color w:val="auto"/>
                      <w:szCs w:val="21"/>
                    </w:rPr>
                  </w:pPr>
                  <w:r>
                    <w:rPr>
                      <w:rFonts w:hint="eastAsia" w:hAnsi="宋体"/>
                      <w:color w:val="auto"/>
                      <w:szCs w:val="21"/>
                    </w:rPr>
                    <w:t>—</w:t>
                  </w:r>
                </w:p>
              </w:tc>
              <w:tc>
                <w:tcPr>
                  <w:tcW w:w="655" w:type="dxa"/>
                  <w:vMerge w:val="restart"/>
                  <w:vAlign w:val="center"/>
                </w:tcPr>
                <w:p>
                  <w:pPr>
                    <w:snapToGrid w:val="0"/>
                    <w:jc w:val="center"/>
                    <w:rPr>
                      <w:rFonts w:hAnsi="宋体"/>
                      <w:color w:val="auto"/>
                      <w:szCs w:val="21"/>
                    </w:rPr>
                  </w:pPr>
                  <w:r>
                    <w:rPr>
                      <w:rFonts w:hint="eastAsia" w:hAnsi="宋体"/>
                      <w:color w:val="auto"/>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1941" w:type="dxa"/>
                  <w:vMerge w:val="continue"/>
                  <w:vAlign w:val="center"/>
                </w:tcPr>
                <w:p>
                  <w:pPr>
                    <w:snapToGrid w:val="0"/>
                    <w:jc w:val="center"/>
                    <w:rPr>
                      <w:rFonts w:hAnsi="宋体"/>
                      <w:color w:val="auto"/>
                      <w:szCs w:val="21"/>
                    </w:rPr>
                  </w:pPr>
                </w:p>
              </w:tc>
              <w:tc>
                <w:tcPr>
                  <w:tcW w:w="2220" w:type="dxa"/>
                  <w:vAlign w:val="center"/>
                </w:tcPr>
                <w:p>
                  <w:pPr>
                    <w:snapToGrid w:val="0"/>
                    <w:jc w:val="both"/>
                    <w:rPr>
                      <w:rFonts w:hAnsi="宋体"/>
                      <w:color w:val="auto"/>
                      <w:szCs w:val="21"/>
                    </w:rPr>
                  </w:pPr>
                  <w:r>
                    <w:rPr>
                      <w:rFonts w:hint="eastAsia" w:hAnsi="宋体"/>
                      <w:color w:val="auto"/>
                      <w:szCs w:val="21"/>
                    </w:rPr>
                    <w:t>《恶臭污染物排放标准》（GB 14554-93）表2恶臭污染物排放标准值</w:t>
                  </w:r>
                </w:p>
              </w:tc>
              <w:tc>
                <w:tcPr>
                  <w:tcW w:w="975" w:type="dxa"/>
                  <w:vAlign w:val="center"/>
                </w:tcPr>
                <w:p>
                  <w:pPr>
                    <w:snapToGrid w:val="0"/>
                    <w:jc w:val="center"/>
                    <w:rPr>
                      <w:rFonts w:hAnsi="宋体"/>
                      <w:color w:val="auto"/>
                      <w:szCs w:val="21"/>
                    </w:rPr>
                  </w:pPr>
                  <w:r>
                    <w:rPr>
                      <w:rFonts w:hint="eastAsia" w:hAnsi="宋体"/>
                      <w:color w:val="auto"/>
                      <w:szCs w:val="21"/>
                    </w:rPr>
                    <w:t>臭气浓度</w:t>
                  </w:r>
                </w:p>
              </w:tc>
              <w:tc>
                <w:tcPr>
                  <w:tcW w:w="1276" w:type="dxa"/>
                  <w:vAlign w:val="center"/>
                </w:tcPr>
                <w:p>
                  <w:pPr>
                    <w:snapToGrid w:val="0"/>
                    <w:jc w:val="center"/>
                    <w:rPr>
                      <w:rFonts w:hAnsi="宋体"/>
                      <w:color w:val="auto"/>
                      <w:szCs w:val="21"/>
                    </w:rPr>
                  </w:pPr>
                  <w:r>
                    <w:rPr>
                      <w:rFonts w:hint="eastAsia" w:hAnsi="宋体"/>
                      <w:color w:val="auto"/>
                      <w:szCs w:val="21"/>
                    </w:rPr>
                    <w:t>2000（无量纲）</w:t>
                  </w:r>
                </w:p>
              </w:tc>
              <w:tc>
                <w:tcPr>
                  <w:tcW w:w="989" w:type="dxa"/>
                  <w:vAlign w:val="center"/>
                </w:tcPr>
                <w:p>
                  <w:pPr>
                    <w:snapToGrid w:val="0"/>
                    <w:jc w:val="center"/>
                    <w:rPr>
                      <w:rFonts w:hAnsi="宋体"/>
                      <w:color w:val="auto"/>
                      <w:szCs w:val="21"/>
                    </w:rPr>
                  </w:pPr>
                  <w:r>
                    <w:rPr>
                      <w:rFonts w:hint="eastAsia" w:hAnsi="宋体"/>
                      <w:color w:val="auto"/>
                      <w:szCs w:val="21"/>
                    </w:rPr>
                    <w:t>—</w:t>
                  </w:r>
                </w:p>
              </w:tc>
              <w:tc>
                <w:tcPr>
                  <w:tcW w:w="655" w:type="dxa"/>
                  <w:vMerge w:val="continue"/>
                  <w:vAlign w:val="center"/>
                </w:tcPr>
                <w:p>
                  <w:pPr>
                    <w:snapToGrid w:val="0"/>
                    <w:jc w:val="center"/>
                    <w:rPr>
                      <w:rFonts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jc w:val="center"/>
              </w:trPr>
              <w:tc>
                <w:tcPr>
                  <w:tcW w:w="1941" w:type="dxa"/>
                  <w:vMerge w:val="restart"/>
                  <w:vAlign w:val="center"/>
                </w:tcPr>
                <w:p>
                  <w:pPr>
                    <w:snapToGrid w:val="0"/>
                    <w:jc w:val="center"/>
                    <w:rPr>
                      <w:rFonts w:hAnsi="宋体"/>
                      <w:color w:val="auto"/>
                      <w:szCs w:val="21"/>
                    </w:rPr>
                  </w:pPr>
                  <w:r>
                    <w:rPr>
                      <w:rFonts w:hint="eastAsia" w:hAnsi="宋体"/>
                      <w:color w:val="auto"/>
                      <w:szCs w:val="21"/>
                    </w:rPr>
                    <w:t>厂区内</w:t>
                  </w:r>
                </w:p>
              </w:tc>
              <w:tc>
                <w:tcPr>
                  <w:tcW w:w="2220" w:type="dxa"/>
                  <w:vMerge w:val="restart"/>
                  <w:vAlign w:val="center"/>
                </w:tcPr>
                <w:p>
                  <w:pPr>
                    <w:snapToGrid w:val="0"/>
                    <w:jc w:val="both"/>
                    <w:rPr>
                      <w:rFonts w:hAnsi="宋体"/>
                      <w:color w:val="auto"/>
                      <w:szCs w:val="21"/>
                    </w:rPr>
                  </w:pPr>
                  <w:r>
                    <w:rPr>
                      <w:rFonts w:hint="eastAsia" w:hAnsi="宋体"/>
                      <w:color w:val="auto"/>
                      <w:szCs w:val="21"/>
                      <w:lang w:val="en-US" w:eastAsia="zh-CN"/>
                    </w:rPr>
                    <w:t>广东省</w:t>
                  </w:r>
                  <w:r>
                    <w:rPr>
                      <w:rFonts w:hAnsi="宋体"/>
                      <w:color w:val="auto"/>
                      <w:szCs w:val="21"/>
                    </w:rPr>
                    <w:t>《</w:t>
                  </w:r>
                  <w:r>
                    <w:rPr>
                      <w:rFonts w:hint="eastAsia" w:hAnsi="宋体"/>
                      <w:color w:val="auto"/>
                      <w:szCs w:val="21"/>
                    </w:rPr>
                    <w:t>固定污染源挥发性有机物综合排放标准</w:t>
                  </w:r>
                  <w:r>
                    <w:rPr>
                      <w:rFonts w:hAnsi="宋体"/>
                      <w:color w:val="auto"/>
                      <w:szCs w:val="21"/>
                    </w:rPr>
                    <w:t>》（DB44/2367-2022）表3</w:t>
                  </w:r>
                  <w:r>
                    <w:rPr>
                      <w:rFonts w:hint="eastAsia" w:hAnsi="宋体"/>
                      <w:color w:val="auto"/>
                      <w:szCs w:val="21"/>
                    </w:rPr>
                    <w:t>厂区内V</w:t>
                  </w:r>
                  <w:r>
                    <w:rPr>
                      <w:rFonts w:hAnsi="宋体"/>
                      <w:color w:val="auto"/>
                      <w:szCs w:val="21"/>
                    </w:rPr>
                    <w:t>OC</w:t>
                  </w:r>
                  <w:r>
                    <w:rPr>
                      <w:rFonts w:hint="eastAsia" w:hAnsi="宋体"/>
                      <w:color w:val="auto"/>
                      <w:szCs w:val="21"/>
                    </w:rPr>
                    <w:t>s无组织排放</w:t>
                  </w:r>
                  <w:r>
                    <w:rPr>
                      <w:rFonts w:hAnsi="宋体"/>
                      <w:color w:val="auto"/>
                      <w:szCs w:val="21"/>
                    </w:rPr>
                    <w:t>限值</w:t>
                  </w:r>
                </w:p>
              </w:tc>
              <w:tc>
                <w:tcPr>
                  <w:tcW w:w="975" w:type="dxa"/>
                  <w:vMerge w:val="restart"/>
                  <w:vAlign w:val="center"/>
                </w:tcPr>
                <w:p>
                  <w:pPr>
                    <w:snapToGrid w:val="0"/>
                    <w:jc w:val="center"/>
                    <w:rPr>
                      <w:rFonts w:hAnsi="宋体"/>
                      <w:color w:val="auto"/>
                      <w:szCs w:val="21"/>
                    </w:rPr>
                  </w:pPr>
                  <w:r>
                    <w:rPr>
                      <w:rFonts w:hint="eastAsia" w:hAnsi="宋体"/>
                      <w:color w:val="auto"/>
                      <w:szCs w:val="21"/>
                    </w:rPr>
                    <w:t>NMHC</w:t>
                  </w:r>
                </w:p>
              </w:tc>
              <w:tc>
                <w:tcPr>
                  <w:tcW w:w="1276" w:type="dxa"/>
                  <w:vAlign w:val="center"/>
                </w:tcPr>
                <w:p>
                  <w:pPr>
                    <w:snapToGrid w:val="0"/>
                    <w:jc w:val="center"/>
                    <w:rPr>
                      <w:rFonts w:hAnsi="宋体"/>
                      <w:color w:val="auto"/>
                      <w:szCs w:val="21"/>
                    </w:rPr>
                  </w:pPr>
                  <w:r>
                    <w:rPr>
                      <w:rFonts w:hint="eastAsia" w:hAnsi="宋体"/>
                      <w:color w:val="auto"/>
                      <w:szCs w:val="21"/>
                    </w:rPr>
                    <w:t>6（监控点处1h平均浓度）</w:t>
                  </w:r>
                </w:p>
              </w:tc>
              <w:tc>
                <w:tcPr>
                  <w:tcW w:w="989" w:type="dxa"/>
                  <w:vMerge w:val="restart"/>
                  <w:vAlign w:val="center"/>
                </w:tcPr>
                <w:p>
                  <w:pPr>
                    <w:snapToGrid w:val="0"/>
                    <w:jc w:val="center"/>
                    <w:rPr>
                      <w:rFonts w:hAnsi="宋体"/>
                      <w:color w:val="auto"/>
                      <w:szCs w:val="21"/>
                    </w:rPr>
                  </w:pPr>
                  <w:r>
                    <w:rPr>
                      <w:rFonts w:hint="eastAsia" w:hAnsi="宋体"/>
                      <w:color w:val="auto"/>
                      <w:szCs w:val="21"/>
                    </w:rPr>
                    <w:t>—</w:t>
                  </w:r>
                </w:p>
              </w:tc>
              <w:tc>
                <w:tcPr>
                  <w:tcW w:w="655" w:type="dxa"/>
                  <w:vMerge w:val="restart"/>
                  <w:vAlign w:val="center"/>
                </w:tcPr>
                <w:p>
                  <w:pPr>
                    <w:snapToGrid w:val="0"/>
                    <w:jc w:val="center"/>
                    <w:rPr>
                      <w:rFonts w:hAnsi="宋体"/>
                      <w:color w:val="auto"/>
                      <w:szCs w:val="21"/>
                    </w:rPr>
                  </w:pPr>
                  <w:r>
                    <w:rPr>
                      <w:rFonts w:hint="eastAsia" w:hAnsi="宋体"/>
                      <w:color w:val="auto"/>
                      <w:szCs w:val="21"/>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 w:hRule="atLeast"/>
                <w:jc w:val="center"/>
              </w:trPr>
              <w:tc>
                <w:tcPr>
                  <w:tcW w:w="1941" w:type="dxa"/>
                  <w:vMerge w:val="continue"/>
                  <w:vAlign w:val="center"/>
                </w:tcPr>
                <w:p>
                  <w:pPr>
                    <w:snapToGrid w:val="0"/>
                    <w:jc w:val="center"/>
                    <w:rPr>
                      <w:rFonts w:hAnsi="宋体"/>
                      <w:color w:val="auto"/>
                      <w:szCs w:val="21"/>
                    </w:rPr>
                  </w:pPr>
                </w:p>
              </w:tc>
              <w:tc>
                <w:tcPr>
                  <w:tcW w:w="2220" w:type="dxa"/>
                  <w:vMerge w:val="continue"/>
                  <w:vAlign w:val="center"/>
                </w:tcPr>
                <w:p>
                  <w:pPr>
                    <w:snapToGrid w:val="0"/>
                    <w:jc w:val="both"/>
                    <w:rPr>
                      <w:rFonts w:hAnsi="宋体"/>
                      <w:color w:val="auto"/>
                      <w:szCs w:val="21"/>
                    </w:rPr>
                  </w:pPr>
                </w:p>
              </w:tc>
              <w:tc>
                <w:tcPr>
                  <w:tcW w:w="975" w:type="dxa"/>
                  <w:vMerge w:val="continue"/>
                  <w:vAlign w:val="center"/>
                </w:tcPr>
                <w:p>
                  <w:pPr>
                    <w:snapToGrid w:val="0"/>
                    <w:jc w:val="center"/>
                    <w:rPr>
                      <w:rFonts w:hAnsi="宋体"/>
                      <w:color w:val="auto"/>
                      <w:szCs w:val="21"/>
                    </w:rPr>
                  </w:pPr>
                </w:p>
              </w:tc>
              <w:tc>
                <w:tcPr>
                  <w:tcW w:w="1276" w:type="dxa"/>
                  <w:vAlign w:val="center"/>
                </w:tcPr>
                <w:p>
                  <w:pPr>
                    <w:snapToGrid w:val="0"/>
                    <w:jc w:val="center"/>
                    <w:rPr>
                      <w:rFonts w:hAnsi="宋体"/>
                      <w:color w:val="auto"/>
                      <w:szCs w:val="21"/>
                    </w:rPr>
                  </w:pPr>
                  <w:r>
                    <w:rPr>
                      <w:rFonts w:hint="eastAsia" w:hAnsi="宋体"/>
                      <w:color w:val="auto"/>
                      <w:szCs w:val="21"/>
                    </w:rPr>
                    <w:t>20（监控点处任意一次浓度值）</w:t>
                  </w:r>
                </w:p>
              </w:tc>
              <w:tc>
                <w:tcPr>
                  <w:tcW w:w="989" w:type="dxa"/>
                  <w:vMerge w:val="continue"/>
                  <w:vAlign w:val="center"/>
                </w:tcPr>
                <w:p>
                  <w:pPr>
                    <w:snapToGrid w:val="0"/>
                    <w:jc w:val="center"/>
                    <w:rPr>
                      <w:rFonts w:hAnsi="宋体"/>
                      <w:color w:val="auto"/>
                      <w:szCs w:val="21"/>
                    </w:rPr>
                  </w:pPr>
                </w:p>
              </w:tc>
              <w:tc>
                <w:tcPr>
                  <w:tcW w:w="655" w:type="dxa"/>
                  <w:vMerge w:val="continue"/>
                  <w:vAlign w:val="center"/>
                </w:tcPr>
                <w:p>
                  <w:pPr>
                    <w:snapToGrid w:val="0"/>
                    <w:jc w:val="center"/>
                    <w:rPr>
                      <w:rFonts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jc w:val="center"/>
              </w:trPr>
              <w:tc>
                <w:tcPr>
                  <w:tcW w:w="1941" w:type="dxa"/>
                  <w:vMerge w:val="restart"/>
                  <w:vAlign w:val="center"/>
                </w:tcPr>
                <w:p>
                  <w:pPr>
                    <w:snapToGrid w:val="0"/>
                    <w:jc w:val="center"/>
                    <w:rPr>
                      <w:rFonts w:hAnsi="宋体"/>
                      <w:color w:val="auto"/>
                      <w:szCs w:val="21"/>
                    </w:rPr>
                  </w:pPr>
                  <w:r>
                    <w:rPr>
                      <w:rFonts w:hint="eastAsia" w:hAnsi="宋体"/>
                      <w:color w:val="auto"/>
                      <w:szCs w:val="21"/>
                    </w:rPr>
                    <w:t>企业边界（厂界）</w:t>
                  </w:r>
                </w:p>
              </w:tc>
              <w:tc>
                <w:tcPr>
                  <w:tcW w:w="2220" w:type="dxa"/>
                  <w:vMerge w:val="restart"/>
                  <w:vAlign w:val="center"/>
                </w:tcPr>
                <w:p>
                  <w:pPr>
                    <w:snapToGrid w:val="0"/>
                    <w:jc w:val="both"/>
                    <w:rPr>
                      <w:rFonts w:hAnsi="宋体"/>
                      <w:color w:val="auto"/>
                      <w:szCs w:val="21"/>
                    </w:rPr>
                  </w:pPr>
                  <w:r>
                    <w:rPr>
                      <w:rFonts w:hAnsi="宋体"/>
                      <w:color w:val="auto"/>
                      <w:szCs w:val="21"/>
                    </w:rPr>
                    <w:t>《</w:t>
                  </w:r>
                  <w:r>
                    <w:rPr>
                      <w:rFonts w:hint="eastAsia" w:hAnsi="宋体"/>
                      <w:color w:val="auto"/>
                      <w:szCs w:val="21"/>
                    </w:rPr>
                    <w:t>合成树脂工业污染物排放标准</w:t>
                  </w:r>
                  <w:r>
                    <w:rPr>
                      <w:rFonts w:hAnsi="宋体"/>
                      <w:color w:val="auto"/>
                      <w:szCs w:val="21"/>
                    </w:rPr>
                    <w:t>》（</w:t>
                  </w:r>
                  <w:r>
                    <w:rPr>
                      <w:rFonts w:hint="eastAsia" w:hAnsi="宋体"/>
                      <w:color w:val="auto"/>
                      <w:szCs w:val="21"/>
                    </w:rPr>
                    <w:t>G</w:t>
                  </w:r>
                  <w:r>
                    <w:rPr>
                      <w:rFonts w:hAnsi="宋体"/>
                      <w:color w:val="auto"/>
                      <w:szCs w:val="21"/>
                    </w:rPr>
                    <w:t>B</w:t>
                  </w:r>
                  <w:r>
                    <w:rPr>
                      <w:rFonts w:hint="eastAsia" w:hAnsi="宋体"/>
                      <w:color w:val="auto"/>
                      <w:szCs w:val="21"/>
                    </w:rPr>
                    <w:t xml:space="preserve"> 31572</w:t>
                  </w:r>
                  <w:r>
                    <w:rPr>
                      <w:rFonts w:hAnsi="宋体"/>
                      <w:color w:val="auto"/>
                      <w:szCs w:val="21"/>
                    </w:rPr>
                    <w:t>-20</w:t>
                  </w:r>
                  <w:r>
                    <w:rPr>
                      <w:rFonts w:hint="eastAsia" w:hAnsi="宋体"/>
                      <w:color w:val="auto"/>
                      <w:szCs w:val="21"/>
                    </w:rPr>
                    <w:t>15</w:t>
                  </w:r>
                  <w:r>
                    <w:rPr>
                      <w:rFonts w:hAnsi="宋体"/>
                      <w:color w:val="auto"/>
                      <w:szCs w:val="21"/>
                    </w:rPr>
                    <w:t>）</w:t>
                  </w:r>
                  <w:r>
                    <w:rPr>
                      <w:rFonts w:hint="eastAsia" w:hAnsi="宋体"/>
                      <w:color w:val="auto"/>
                      <w:szCs w:val="21"/>
                    </w:rPr>
                    <w:t>表9企业边界大气污染物浓度限值</w:t>
                  </w:r>
                </w:p>
              </w:tc>
              <w:tc>
                <w:tcPr>
                  <w:tcW w:w="975" w:type="dxa"/>
                  <w:vAlign w:val="center"/>
                </w:tcPr>
                <w:p>
                  <w:pPr>
                    <w:snapToGrid w:val="0"/>
                    <w:jc w:val="center"/>
                    <w:rPr>
                      <w:rFonts w:hAnsi="宋体"/>
                      <w:color w:val="auto"/>
                      <w:szCs w:val="21"/>
                    </w:rPr>
                  </w:pPr>
                  <w:r>
                    <w:rPr>
                      <w:rFonts w:hAnsi="宋体"/>
                      <w:color w:val="auto"/>
                      <w:szCs w:val="21"/>
                    </w:rPr>
                    <w:t>颗粒物</w:t>
                  </w:r>
                </w:p>
              </w:tc>
              <w:tc>
                <w:tcPr>
                  <w:tcW w:w="1276" w:type="dxa"/>
                  <w:vAlign w:val="center"/>
                </w:tcPr>
                <w:p>
                  <w:pPr>
                    <w:snapToGrid w:val="0"/>
                    <w:jc w:val="center"/>
                    <w:rPr>
                      <w:rFonts w:hAnsi="宋体"/>
                      <w:color w:val="auto"/>
                      <w:szCs w:val="21"/>
                    </w:rPr>
                  </w:pPr>
                  <w:r>
                    <w:rPr>
                      <w:rFonts w:hint="eastAsia" w:hAnsi="宋体"/>
                      <w:color w:val="auto"/>
                      <w:szCs w:val="21"/>
                    </w:rPr>
                    <w:t>1.0</w:t>
                  </w:r>
                </w:p>
              </w:tc>
              <w:tc>
                <w:tcPr>
                  <w:tcW w:w="989" w:type="dxa"/>
                  <w:vAlign w:val="center"/>
                </w:tcPr>
                <w:p>
                  <w:pPr>
                    <w:snapToGrid w:val="0"/>
                    <w:jc w:val="center"/>
                    <w:rPr>
                      <w:rFonts w:hAnsi="宋体"/>
                      <w:color w:val="auto"/>
                      <w:szCs w:val="21"/>
                    </w:rPr>
                  </w:pPr>
                  <w:r>
                    <w:rPr>
                      <w:rFonts w:hint="eastAsia" w:hAnsi="宋体"/>
                      <w:color w:val="auto"/>
                      <w:szCs w:val="21"/>
                    </w:rPr>
                    <w:t>—</w:t>
                  </w:r>
                </w:p>
              </w:tc>
              <w:tc>
                <w:tcPr>
                  <w:tcW w:w="655" w:type="dxa"/>
                  <w:vAlign w:val="center"/>
                </w:tcPr>
                <w:p>
                  <w:pPr>
                    <w:snapToGrid w:val="0"/>
                    <w:jc w:val="center"/>
                    <w:rPr>
                      <w:rFonts w:hAnsi="宋体"/>
                      <w:color w:val="auto"/>
                      <w:szCs w:val="21"/>
                    </w:rPr>
                  </w:pPr>
                  <w:r>
                    <w:rPr>
                      <w:rFonts w:hint="eastAsia" w:hAnsi="宋体"/>
                      <w:color w:val="auto"/>
                      <w:szCs w:val="21"/>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941" w:type="dxa"/>
                  <w:vMerge w:val="continue"/>
                  <w:vAlign w:val="center"/>
                </w:tcPr>
                <w:p>
                  <w:pPr>
                    <w:snapToGrid w:val="0"/>
                    <w:jc w:val="center"/>
                    <w:rPr>
                      <w:rFonts w:hAnsi="宋体"/>
                      <w:color w:val="auto"/>
                      <w:szCs w:val="21"/>
                    </w:rPr>
                  </w:pPr>
                </w:p>
              </w:tc>
              <w:tc>
                <w:tcPr>
                  <w:tcW w:w="2220" w:type="dxa"/>
                  <w:vMerge w:val="continue"/>
                  <w:vAlign w:val="center"/>
                </w:tcPr>
                <w:p>
                  <w:pPr>
                    <w:snapToGrid w:val="0"/>
                    <w:jc w:val="both"/>
                    <w:rPr>
                      <w:rFonts w:hAnsi="宋体"/>
                      <w:color w:val="auto"/>
                      <w:szCs w:val="21"/>
                    </w:rPr>
                  </w:pPr>
                </w:p>
              </w:tc>
              <w:tc>
                <w:tcPr>
                  <w:tcW w:w="975" w:type="dxa"/>
                  <w:vAlign w:val="center"/>
                </w:tcPr>
                <w:p>
                  <w:pPr>
                    <w:snapToGrid w:val="0"/>
                    <w:jc w:val="center"/>
                    <w:rPr>
                      <w:rFonts w:hAnsi="宋体"/>
                      <w:color w:val="auto"/>
                      <w:szCs w:val="21"/>
                    </w:rPr>
                  </w:pPr>
                  <w:r>
                    <w:rPr>
                      <w:rFonts w:hint="eastAsia" w:hAnsi="宋体"/>
                      <w:color w:val="auto"/>
                      <w:szCs w:val="21"/>
                    </w:rPr>
                    <w:t>NMHC</w:t>
                  </w:r>
                </w:p>
              </w:tc>
              <w:tc>
                <w:tcPr>
                  <w:tcW w:w="1276" w:type="dxa"/>
                  <w:vAlign w:val="center"/>
                </w:tcPr>
                <w:p>
                  <w:pPr>
                    <w:snapToGrid w:val="0"/>
                    <w:jc w:val="center"/>
                    <w:rPr>
                      <w:rFonts w:hAnsi="宋体"/>
                      <w:color w:val="auto"/>
                      <w:szCs w:val="21"/>
                    </w:rPr>
                  </w:pPr>
                  <w:r>
                    <w:rPr>
                      <w:rFonts w:hint="eastAsia" w:hAnsi="宋体"/>
                      <w:color w:val="auto"/>
                      <w:szCs w:val="21"/>
                    </w:rPr>
                    <w:t>4.0</w:t>
                  </w:r>
                </w:p>
              </w:tc>
              <w:tc>
                <w:tcPr>
                  <w:tcW w:w="989" w:type="dxa"/>
                  <w:vAlign w:val="center"/>
                </w:tcPr>
                <w:p>
                  <w:pPr>
                    <w:snapToGrid w:val="0"/>
                    <w:jc w:val="center"/>
                    <w:rPr>
                      <w:rFonts w:hAnsi="宋体"/>
                      <w:color w:val="auto"/>
                      <w:szCs w:val="21"/>
                    </w:rPr>
                  </w:pPr>
                  <w:r>
                    <w:rPr>
                      <w:rFonts w:hint="eastAsia" w:hAnsi="宋体"/>
                      <w:color w:val="auto"/>
                      <w:szCs w:val="21"/>
                    </w:rPr>
                    <w:t>—</w:t>
                  </w:r>
                </w:p>
              </w:tc>
              <w:tc>
                <w:tcPr>
                  <w:tcW w:w="655" w:type="dxa"/>
                  <w:vAlign w:val="center"/>
                </w:tcPr>
                <w:p>
                  <w:pPr>
                    <w:snapToGrid w:val="0"/>
                    <w:jc w:val="center"/>
                    <w:rPr>
                      <w:rFonts w:hAnsi="宋体"/>
                      <w:color w:val="auto"/>
                      <w:szCs w:val="21"/>
                    </w:rPr>
                  </w:pPr>
                  <w:r>
                    <w:rPr>
                      <w:rFonts w:hint="eastAsia" w:hAnsi="宋体"/>
                      <w:color w:val="auto"/>
                      <w:szCs w:val="21"/>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941" w:type="dxa"/>
                  <w:vMerge w:val="continue"/>
                  <w:vAlign w:val="center"/>
                </w:tcPr>
                <w:p>
                  <w:pPr>
                    <w:snapToGrid w:val="0"/>
                    <w:jc w:val="center"/>
                    <w:rPr>
                      <w:rFonts w:hAnsi="宋体"/>
                      <w:color w:val="auto"/>
                      <w:szCs w:val="21"/>
                    </w:rPr>
                  </w:pPr>
                </w:p>
              </w:tc>
              <w:tc>
                <w:tcPr>
                  <w:tcW w:w="2220" w:type="dxa"/>
                  <w:vAlign w:val="center"/>
                </w:tcPr>
                <w:p>
                  <w:pPr>
                    <w:snapToGrid w:val="0"/>
                    <w:jc w:val="both"/>
                    <w:rPr>
                      <w:rFonts w:hAnsi="宋体"/>
                      <w:color w:val="auto"/>
                      <w:szCs w:val="21"/>
                    </w:rPr>
                  </w:pPr>
                  <w:r>
                    <w:rPr>
                      <w:rFonts w:hint="eastAsia" w:hAnsi="宋体"/>
                      <w:color w:val="auto"/>
                      <w:szCs w:val="21"/>
                    </w:rPr>
                    <w:t>《恶臭污染物排放标准》（GB 14554-93）表1恶臭污染物厂界标准值</w:t>
                  </w:r>
                </w:p>
              </w:tc>
              <w:tc>
                <w:tcPr>
                  <w:tcW w:w="975" w:type="dxa"/>
                  <w:vAlign w:val="center"/>
                </w:tcPr>
                <w:p>
                  <w:pPr>
                    <w:snapToGrid w:val="0"/>
                    <w:jc w:val="center"/>
                    <w:rPr>
                      <w:rFonts w:hAnsi="宋体"/>
                      <w:color w:val="auto"/>
                      <w:szCs w:val="21"/>
                    </w:rPr>
                  </w:pPr>
                  <w:r>
                    <w:rPr>
                      <w:rFonts w:hint="eastAsia" w:hAnsi="宋体"/>
                      <w:color w:val="auto"/>
                      <w:szCs w:val="21"/>
                    </w:rPr>
                    <w:t>臭气浓度</w:t>
                  </w:r>
                </w:p>
              </w:tc>
              <w:tc>
                <w:tcPr>
                  <w:tcW w:w="1276" w:type="dxa"/>
                  <w:vAlign w:val="center"/>
                </w:tcPr>
                <w:p>
                  <w:pPr>
                    <w:snapToGrid w:val="0"/>
                    <w:jc w:val="center"/>
                    <w:rPr>
                      <w:rFonts w:hAnsi="宋体"/>
                      <w:color w:val="auto"/>
                      <w:szCs w:val="21"/>
                    </w:rPr>
                  </w:pPr>
                  <w:r>
                    <w:rPr>
                      <w:rFonts w:hint="eastAsia" w:hAnsi="宋体"/>
                      <w:color w:val="auto"/>
                      <w:szCs w:val="21"/>
                    </w:rPr>
                    <w:t>20（无量纲）</w:t>
                  </w:r>
                </w:p>
              </w:tc>
              <w:tc>
                <w:tcPr>
                  <w:tcW w:w="989" w:type="dxa"/>
                  <w:vAlign w:val="center"/>
                </w:tcPr>
                <w:p>
                  <w:pPr>
                    <w:snapToGrid w:val="0"/>
                    <w:jc w:val="center"/>
                    <w:rPr>
                      <w:rFonts w:hAnsi="宋体"/>
                      <w:color w:val="auto"/>
                      <w:szCs w:val="21"/>
                    </w:rPr>
                  </w:pPr>
                  <w:r>
                    <w:rPr>
                      <w:rFonts w:hint="eastAsia" w:hAnsi="宋体"/>
                      <w:color w:val="auto"/>
                      <w:szCs w:val="21"/>
                    </w:rPr>
                    <w:t>—</w:t>
                  </w:r>
                </w:p>
              </w:tc>
              <w:tc>
                <w:tcPr>
                  <w:tcW w:w="655" w:type="dxa"/>
                  <w:vAlign w:val="center"/>
                </w:tcPr>
                <w:p>
                  <w:pPr>
                    <w:snapToGrid w:val="0"/>
                    <w:jc w:val="center"/>
                    <w:rPr>
                      <w:rFonts w:hAnsi="宋体"/>
                      <w:color w:val="auto"/>
                      <w:szCs w:val="21"/>
                    </w:rPr>
                  </w:pPr>
                  <w:r>
                    <w:rPr>
                      <w:rFonts w:hint="eastAsia" w:hAnsi="宋体"/>
                      <w:color w:val="auto"/>
                      <w:szCs w:val="21"/>
                    </w:rPr>
                    <w:t>无组织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941" w:type="dxa"/>
                  <w:vMerge w:val="continue"/>
                  <w:vAlign w:val="center"/>
                </w:tcPr>
                <w:p>
                  <w:pPr>
                    <w:snapToGrid w:val="0"/>
                    <w:jc w:val="center"/>
                    <w:rPr>
                      <w:rFonts w:hAnsi="宋体"/>
                      <w:color w:val="auto"/>
                      <w:szCs w:val="21"/>
                    </w:rPr>
                  </w:pPr>
                </w:p>
              </w:tc>
              <w:tc>
                <w:tcPr>
                  <w:tcW w:w="2220" w:type="dxa"/>
                  <w:vAlign w:val="center"/>
                </w:tcPr>
                <w:p>
                  <w:pPr>
                    <w:snapToGrid w:val="0"/>
                    <w:jc w:val="both"/>
                    <w:rPr>
                      <w:rFonts w:hAnsi="宋体"/>
                      <w:color w:val="auto"/>
                      <w:szCs w:val="21"/>
                    </w:rPr>
                  </w:pPr>
                  <w:r>
                    <w:rPr>
                      <w:rFonts w:ascii="宋体" w:hAnsi="宋体" w:cs="宋体"/>
                      <w:color w:val="auto"/>
                      <w:spacing w:val="5"/>
                      <w:szCs w:val="21"/>
                    </w:rPr>
                    <w:t>广东省《大气污染物排放限</w:t>
                  </w:r>
                  <w:r>
                    <w:rPr>
                      <w:rFonts w:ascii="宋体" w:hAnsi="宋体" w:cs="宋体"/>
                      <w:color w:val="auto"/>
                      <w:spacing w:val="6"/>
                      <w:szCs w:val="21"/>
                    </w:rPr>
                    <w:t>值</w:t>
                  </w:r>
                  <w:r>
                    <w:rPr>
                      <w:rFonts w:ascii="宋体" w:hAnsi="宋体" w:cs="宋体"/>
                      <w:color w:val="auto"/>
                      <w:spacing w:val="3"/>
                      <w:szCs w:val="21"/>
                    </w:rPr>
                    <w:t>》(</w:t>
                  </w:r>
                  <w:r>
                    <w:rPr>
                      <w:rFonts w:eastAsia="Times New Roman"/>
                      <w:color w:val="auto"/>
                      <w:szCs w:val="21"/>
                    </w:rPr>
                    <w:t>DB</w:t>
                  </w:r>
                  <w:r>
                    <w:rPr>
                      <w:rFonts w:eastAsia="Times New Roman"/>
                      <w:color w:val="auto"/>
                      <w:spacing w:val="3"/>
                      <w:szCs w:val="21"/>
                    </w:rPr>
                    <w:t>44/27-2001</w:t>
                  </w:r>
                  <w:r>
                    <w:rPr>
                      <w:rFonts w:ascii="宋体" w:hAnsi="宋体" w:cs="宋体"/>
                      <w:color w:val="auto"/>
                      <w:spacing w:val="3"/>
                      <w:szCs w:val="21"/>
                    </w:rPr>
                    <w:t>)</w:t>
                  </w:r>
                  <w:r>
                    <w:rPr>
                      <w:rFonts w:hint="eastAsia" w:ascii="宋体" w:hAnsi="宋体" w:cs="宋体"/>
                      <w:color w:val="auto"/>
                      <w:spacing w:val="3"/>
                      <w:szCs w:val="21"/>
                    </w:rPr>
                    <w:t>中</w:t>
                  </w:r>
                  <w:r>
                    <w:rPr>
                      <w:rFonts w:ascii="宋体" w:hAnsi="宋体" w:cs="宋体"/>
                      <w:color w:val="auto"/>
                      <w:spacing w:val="3"/>
                      <w:szCs w:val="21"/>
                    </w:rPr>
                    <w:t>第二时段无组织排放监控浓度限值</w:t>
                  </w:r>
                </w:p>
              </w:tc>
              <w:tc>
                <w:tcPr>
                  <w:tcW w:w="975" w:type="dxa"/>
                  <w:vAlign w:val="center"/>
                </w:tcPr>
                <w:p>
                  <w:pPr>
                    <w:snapToGrid w:val="0"/>
                    <w:jc w:val="center"/>
                    <w:rPr>
                      <w:rFonts w:hAnsi="宋体"/>
                      <w:color w:val="auto"/>
                      <w:szCs w:val="21"/>
                    </w:rPr>
                  </w:pPr>
                  <w:r>
                    <w:rPr>
                      <w:rFonts w:hint="eastAsia" w:hAnsi="宋体"/>
                      <w:color w:val="auto"/>
                      <w:szCs w:val="21"/>
                    </w:rPr>
                    <w:t>锡及其化合物</w:t>
                  </w:r>
                </w:p>
              </w:tc>
              <w:tc>
                <w:tcPr>
                  <w:tcW w:w="1276" w:type="dxa"/>
                  <w:vAlign w:val="center"/>
                </w:tcPr>
                <w:p>
                  <w:pPr>
                    <w:snapToGrid w:val="0"/>
                    <w:jc w:val="center"/>
                    <w:rPr>
                      <w:rFonts w:hAnsi="宋体"/>
                      <w:color w:val="auto"/>
                      <w:szCs w:val="21"/>
                    </w:rPr>
                  </w:pPr>
                  <w:r>
                    <w:rPr>
                      <w:rFonts w:hint="eastAsia" w:hAnsi="宋体"/>
                      <w:color w:val="auto"/>
                      <w:szCs w:val="21"/>
                    </w:rPr>
                    <w:t>0.24</w:t>
                  </w:r>
                </w:p>
              </w:tc>
              <w:tc>
                <w:tcPr>
                  <w:tcW w:w="989" w:type="dxa"/>
                  <w:vAlign w:val="center"/>
                </w:tcPr>
                <w:p>
                  <w:pPr>
                    <w:snapToGrid w:val="0"/>
                    <w:jc w:val="center"/>
                    <w:rPr>
                      <w:rFonts w:hAnsi="宋体"/>
                      <w:color w:val="auto"/>
                      <w:szCs w:val="21"/>
                    </w:rPr>
                  </w:pPr>
                  <w:r>
                    <w:rPr>
                      <w:rFonts w:hint="eastAsia" w:hAnsi="宋体"/>
                      <w:color w:val="auto"/>
                      <w:szCs w:val="21"/>
                    </w:rPr>
                    <w:t>—</w:t>
                  </w:r>
                </w:p>
              </w:tc>
              <w:tc>
                <w:tcPr>
                  <w:tcW w:w="655" w:type="dxa"/>
                  <w:vAlign w:val="center"/>
                </w:tcPr>
                <w:p>
                  <w:pPr>
                    <w:snapToGrid w:val="0"/>
                    <w:jc w:val="center"/>
                    <w:rPr>
                      <w:rFonts w:hAnsi="宋体"/>
                      <w:color w:val="auto"/>
                      <w:szCs w:val="21"/>
                    </w:rPr>
                  </w:pPr>
                  <w:r>
                    <w:rPr>
                      <w:rFonts w:hint="eastAsia" w:hAnsi="宋体"/>
                      <w:color w:val="auto"/>
                      <w:szCs w:val="21"/>
                    </w:rPr>
                    <w:t>无组织</w:t>
                  </w:r>
                </w:p>
              </w:tc>
            </w:tr>
          </w:tbl>
          <w:p>
            <w:pPr>
              <w:pStyle w:val="110"/>
              <w:spacing w:line="360" w:lineRule="auto"/>
              <w:rPr>
                <w:rFonts w:ascii="Times New Roman" w:hAnsi="Times New Roman" w:cs="Times New Roman"/>
                <w:color w:val="auto"/>
              </w:rPr>
            </w:pPr>
          </w:p>
          <w:p>
            <w:pPr>
              <w:pStyle w:val="110"/>
              <w:spacing w:line="360" w:lineRule="auto"/>
              <w:rPr>
                <w:rFonts w:ascii="Times New Roman" w:hAnsi="Times New Roman" w:cs="Times New Roman"/>
                <w:color w:val="auto"/>
                <w:vertAlign w:val="superscript"/>
              </w:rPr>
            </w:pPr>
            <w:r>
              <w:rPr>
                <w:rFonts w:ascii="Times New Roman" w:hAnsi="Times New Roman" w:cs="Times New Roman"/>
                <w:color w:val="auto"/>
              </w:rPr>
              <w:t>表</w:t>
            </w:r>
            <w:r>
              <w:rPr>
                <w:rFonts w:hint="eastAsia" w:ascii="Times New Roman" w:hAnsi="Times New Roman" w:cs="Times New Roman"/>
                <w:color w:val="auto"/>
                <w:lang w:val="en-US" w:eastAsia="zh-CN"/>
              </w:rPr>
              <w:t>3-8</w:t>
            </w:r>
            <w:r>
              <w:rPr>
                <w:rFonts w:ascii="Times New Roman" w:hAnsi="Times New Roman" w:cs="Times New Roman"/>
                <w:color w:val="auto"/>
              </w:rPr>
              <w:t xml:space="preserve"> </w:t>
            </w:r>
            <w:r>
              <w:rPr>
                <w:rFonts w:hint="eastAsia" w:ascii="Times New Roman" w:hAnsi="Times New Roman" w:cs="Times New Roman"/>
                <w:color w:val="auto"/>
              </w:rPr>
              <w:t>《饮食业油烟排放标准》（GB18483-2001）</w:t>
            </w:r>
          </w:p>
          <w:tbl>
            <w:tblPr>
              <w:tblStyle w:val="28"/>
              <w:tblW w:w="80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67"/>
              <w:gridCol w:w="1870"/>
              <w:gridCol w:w="1870"/>
              <w:gridCol w:w="1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67" w:type="dxa"/>
                  <w:tcBorders>
                    <w:top w:val="single" w:color="auto" w:sz="4" w:space="0"/>
                    <w:left w:val="single" w:color="auto" w:sz="4" w:space="0"/>
                    <w:bottom w:val="single" w:color="auto" w:sz="4" w:space="0"/>
                    <w:right w:val="single" w:color="auto" w:sz="4" w:space="0"/>
                  </w:tcBorders>
                  <w:vAlign w:val="center"/>
                </w:tcPr>
                <w:p>
                  <w:pPr>
                    <w:snapToGrid w:val="0"/>
                    <w:jc w:val="center"/>
                    <w:rPr>
                      <w:b/>
                      <w:color w:val="auto"/>
                      <w:szCs w:val="21"/>
                    </w:rPr>
                  </w:pPr>
                  <w:r>
                    <w:rPr>
                      <w:rFonts w:hAnsi="宋体"/>
                      <w:b/>
                      <w:color w:val="auto"/>
                    </w:rPr>
                    <w:t>规模</w:t>
                  </w:r>
                </w:p>
              </w:tc>
              <w:tc>
                <w:tcPr>
                  <w:tcW w:w="1870" w:type="dxa"/>
                  <w:tcBorders>
                    <w:top w:val="single" w:color="auto" w:sz="4" w:space="0"/>
                    <w:left w:val="nil"/>
                    <w:bottom w:val="single" w:color="auto" w:sz="4" w:space="0"/>
                    <w:right w:val="single" w:color="auto" w:sz="4" w:space="0"/>
                  </w:tcBorders>
                  <w:vAlign w:val="center"/>
                </w:tcPr>
                <w:p>
                  <w:pPr>
                    <w:snapToGrid w:val="0"/>
                    <w:jc w:val="center"/>
                    <w:rPr>
                      <w:b/>
                      <w:color w:val="auto"/>
                    </w:rPr>
                  </w:pPr>
                  <w:r>
                    <w:rPr>
                      <w:rFonts w:hAnsi="宋体"/>
                      <w:b/>
                      <w:color w:val="auto"/>
                    </w:rPr>
                    <w:t>小型</w:t>
                  </w:r>
                </w:p>
              </w:tc>
              <w:tc>
                <w:tcPr>
                  <w:tcW w:w="1870" w:type="dxa"/>
                  <w:tcBorders>
                    <w:top w:val="single" w:color="auto" w:sz="4" w:space="0"/>
                    <w:left w:val="nil"/>
                    <w:bottom w:val="single" w:color="auto" w:sz="4" w:space="0"/>
                    <w:right w:val="single" w:color="auto" w:sz="4" w:space="0"/>
                  </w:tcBorders>
                  <w:vAlign w:val="center"/>
                </w:tcPr>
                <w:p>
                  <w:pPr>
                    <w:snapToGrid w:val="0"/>
                    <w:jc w:val="center"/>
                    <w:rPr>
                      <w:b/>
                      <w:color w:val="auto"/>
                    </w:rPr>
                  </w:pPr>
                  <w:r>
                    <w:rPr>
                      <w:rFonts w:hAnsi="宋体"/>
                      <w:b/>
                      <w:color w:val="auto"/>
                    </w:rPr>
                    <w:t>中型</w:t>
                  </w:r>
                </w:p>
              </w:tc>
              <w:tc>
                <w:tcPr>
                  <w:tcW w:w="1870" w:type="dxa"/>
                  <w:tcBorders>
                    <w:top w:val="single" w:color="auto" w:sz="4" w:space="0"/>
                    <w:left w:val="nil"/>
                    <w:bottom w:val="single" w:color="auto" w:sz="4" w:space="0"/>
                    <w:right w:val="single" w:color="auto" w:sz="4" w:space="0"/>
                  </w:tcBorders>
                  <w:vAlign w:val="center"/>
                </w:tcPr>
                <w:p>
                  <w:pPr>
                    <w:snapToGrid w:val="0"/>
                    <w:jc w:val="center"/>
                    <w:rPr>
                      <w:b/>
                      <w:color w:val="auto"/>
                    </w:rPr>
                  </w:pPr>
                  <w:r>
                    <w:rPr>
                      <w:rFonts w:hAnsi="宋体"/>
                      <w:b/>
                      <w:color w:val="auto"/>
                    </w:rPr>
                    <w:t>大型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67" w:type="dxa"/>
                  <w:tcBorders>
                    <w:top w:val="single" w:color="auto" w:sz="4" w:space="0"/>
                    <w:left w:val="single" w:color="auto" w:sz="4" w:space="0"/>
                    <w:bottom w:val="single" w:color="auto" w:sz="4" w:space="0"/>
                    <w:right w:val="single" w:color="auto" w:sz="4" w:space="0"/>
                  </w:tcBorders>
                  <w:vAlign w:val="center"/>
                </w:tcPr>
                <w:p>
                  <w:pPr>
                    <w:snapToGrid w:val="0"/>
                    <w:jc w:val="center"/>
                    <w:rPr>
                      <w:color w:val="auto"/>
                    </w:rPr>
                  </w:pPr>
                  <w:r>
                    <w:rPr>
                      <w:rFonts w:hAnsi="宋体"/>
                      <w:color w:val="auto"/>
                    </w:rPr>
                    <w:t>允许排放浓度</w:t>
                  </w:r>
                  <w:r>
                    <w:rPr>
                      <w:color w:val="auto"/>
                    </w:rPr>
                    <w:t>(mg/m³)</w:t>
                  </w:r>
                </w:p>
              </w:tc>
              <w:tc>
                <w:tcPr>
                  <w:tcW w:w="5610" w:type="dxa"/>
                  <w:gridSpan w:val="3"/>
                  <w:tcBorders>
                    <w:top w:val="single" w:color="auto" w:sz="4" w:space="0"/>
                    <w:left w:val="nil"/>
                    <w:bottom w:val="single" w:color="auto" w:sz="4" w:space="0"/>
                    <w:right w:val="single" w:color="auto" w:sz="4" w:space="0"/>
                  </w:tcBorders>
                  <w:vAlign w:val="center"/>
                </w:tcPr>
                <w:p>
                  <w:pPr>
                    <w:snapToGrid w:val="0"/>
                    <w:jc w:val="center"/>
                    <w:rPr>
                      <w:color w:val="auto"/>
                      <w:spacing w:val="-10"/>
                    </w:rPr>
                  </w:pPr>
                  <w:r>
                    <w:rPr>
                      <w:bCs/>
                      <w:color w:val="auto"/>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467" w:type="dxa"/>
                  <w:tcBorders>
                    <w:top w:val="single" w:color="auto" w:sz="4" w:space="0"/>
                    <w:left w:val="single" w:color="auto" w:sz="4" w:space="0"/>
                    <w:bottom w:val="single" w:color="auto" w:sz="4" w:space="0"/>
                    <w:right w:val="single" w:color="auto" w:sz="4" w:space="0"/>
                  </w:tcBorders>
                  <w:vAlign w:val="center"/>
                </w:tcPr>
                <w:p>
                  <w:pPr>
                    <w:snapToGrid w:val="0"/>
                    <w:jc w:val="center"/>
                    <w:rPr>
                      <w:color w:val="auto"/>
                    </w:rPr>
                  </w:pPr>
                  <w:r>
                    <w:rPr>
                      <w:rFonts w:hAnsi="宋体"/>
                      <w:color w:val="auto"/>
                    </w:rPr>
                    <w:t>净化设施去除率（</w:t>
                  </w:r>
                  <w:r>
                    <w:rPr>
                      <w:color w:val="auto"/>
                    </w:rPr>
                    <w:t>%</w:t>
                  </w:r>
                  <w:r>
                    <w:rPr>
                      <w:rFonts w:hAnsi="宋体"/>
                      <w:color w:val="auto"/>
                    </w:rPr>
                    <w:t>）</w:t>
                  </w:r>
                </w:p>
              </w:tc>
              <w:tc>
                <w:tcPr>
                  <w:tcW w:w="1870" w:type="dxa"/>
                  <w:tcBorders>
                    <w:top w:val="single" w:color="auto" w:sz="4" w:space="0"/>
                    <w:left w:val="nil"/>
                    <w:bottom w:val="single" w:color="auto" w:sz="4" w:space="0"/>
                    <w:right w:val="single" w:color="auto" w:sz="4" w:space="0"/>
                  </w:tcBorders>
                  <w:vAlign w:val="center"/>
                </w:tcPr>
                <w:p>
                  <w:pPr>
                    <w:snapToGrid w:val="0"/>
                    <w:jc w:val="center"/>
                    <w:rPr>
                      <w:bCs/>
                      <w:color w:val="auto"/>
                    </w:rPr>
                  </w:pPr>
                  <w:r>
                    <w:rPr>
                      <w:bCs/>
                      <w:color w:val="auto"/>
                    </w:rPr>
                    <w:t>≥60</w:t>
                  </w:r>
                </w:p>
              </w:tc>
              <w:tc>
                <w:tcPr>
                  <w:tcW w:w="1870" w:type="dxa"/>
                  <w:tcBorders>
                    <w:top w:val="single" w:color="auto" w:sz="4" w:space="0"/>
                    <w:left w:val="nil"/>
                    <w:bottom w:val="single" w:color="auto" w:sz="4" w:space="0"/>
                    <w:right w:val="single" w:color="auto" w:sz="4" w:space="0"/>
                  </w:tcBorders>
                  <w:vAlign w:val="center"/>
                </w:tcPr>
                <w:p>
                  <w:pPr>
                    <w:snapToGrid w:val="0"/>
                    <w:jc w:val="center"/>
                    <w:rPr>
                      <w:bCs/>
                      <w:color w:val="auto"/>
                    </w:rPr>
                  </w:pPr>
                  <w:r>
                    <w:rPr>
                      <w:bCs/>
                      <w:color w:val="auto"/>
                    </w:rPr>
                    <w:t>≥75</w:t>
                  </w:r>
                </w:p>
              </w:tc>
              <w:tc>
                <w:tcPr>
                  <w:tcW w:w="1870" w:type="dxa"/>
                  <w:tcBorders>
                    <w:top w:val="single" w:color="auto" w:sz="4" w:space="0"/>
                    <w:left w:val="nil"/>
                    <w:bottom w:val="single" w:color="auto" w:sz="4" w:space="0"/>
                    <w:right w:val="single" w:color="auto" w:sz="4" w:space="0"/>
                  </w:tcBorders>
                  <w:vAlign w:val="center"/>
                </w:tcPr>
                <w:p>
                  <w:pPr>
                    <w:snapToGrid w:val="0"/>
                    <w:jc w:val="center"/>
                    <w:rPr>
                      <w:bCs/>
                      <w:color w:val="auto"/>
                    </w:rPr>
                  </w:pPr>
                  <w:r>
                    <w:rPr>
                      <w:bCs/>
                      <w:color w:val="auto"/>
                    </w:rPr>
                    <w:t>≥85</w:t>
                  </w:r>
                </w:p>
              </w:tc>
            </w:tr>
          </w:tbl>
          <w:p>
            <w:pPr>
              <w:spacing w:before="120" w:beforeLines="50" w:line="360" w:lineRule="auto"/>
              <w:ind w:firstLine="482" w:firstLineChars="200"/>
              <w:rPr>
                <w:b/>
                <w:color w:val="auto"/>
                <w:sz w:val="24"/>
              </w:rPr>
            </w:pPr>
            <w:r>
              <w:rPr>
                <w:b/>
                <w:color w:val="auto"/>
                <w:sz w:val="24"/>
              </w:rPr>
              <w:t>2.废水排放标准</w:t>
            </w:r>
          </w:p>
          <w:p>
            <w:pPr>
              <w:snapToGrid w:val="0"/>
              <w:spacing w:line="360" w:lineRule="auto"/>
              <w:ind w:firstLine="480" w:firstLineChars="200"/>
              <w:rPr>
                <w:color w:val="auto"/>
                <w:sz w:val="24"/>
              </w:rPr>
            </w:pPr>
            <w:r>
              <w:rPr>
                <w:color w:val="auto"/>
                <w:sz w:val="24"/>
              </w:rPr>
              <w:t>本项目</w:t>
            </w:r>
            <w:r>
              <w:rPr>
                <w:rFonts w:hint="eastAsia"/>
                <w:color w:val="auto"/>
                <w:sz w:val="24"/>
              </w:rPr>
              <w:t>运营期</w:t>
            </w:r>
            <w:r>
              <w:rPr>
                <w:color w:val="auto"/>
                <w:sz w:val="24"/>
              </w:rPr>
              <w:t>废水</w:t>
            </w:r>
            <w:r>
              <w:rPr>
                <w:rFonts w:hint="eastAsia"/>
                <w:color w:val="auto"/>
                <w:sz w:val="24"/>
              </w:rPr>
              <w:t>主要为员工生活污水，</w:t>
            </w:r>
            <w:r>
              <w:rPr>
                <w:color w:val="auto"/>
                <w:sz w:val="24"/>
              </w:rPr>
              <w:t>生活污水</w:t>
            </w:r>
            <w:r>
              <w:rPr>
                <w:rFonts w:hint="eastAsia"/>
                <w:color w:val="auto"/>
                <w:sz w:val="24"/>
              </w:rPr>
              <w:t>经三级化粪池处理达到</w:t>
            </w:r>
            <w:r>
              <w:rPr>
                <w:color w:val="auto"/>
                <w:sz w:val="24"/>
              </w:rPr>
              <w:t>园区污水处理厂接管水质要求后</w:t>
            </w:r>
            <w:r>
              <w:rPr>
                <w:rFonts w:hint="eastAsia"/>
                <w:color w:val="auto"/>
                <w:sz w:val="24"/>
              </w:rPr>
              <w:t>，通过园区污水管网排入园区污水处理厂进行深度处理。</w:t>
            </w:r>
          </w:p>
          <w:p>
            <w:pPr>
              <w:snapToGrid w:val="0"/>
              <w:spacing w:line="360" w:lineRule="auto"/>
              <w:ind w:firstLine="480" w:firstLineChars="200"/>
              <w:rPr>
                <w:color w:val="auto"/>
                <w:sz w:val="24"/>
              </w:rPr>
            </w:pPr>
            <w:r>
              <w:rPr>
                <w:color w:val="auto"/>
                <w:sz w:val="24"/>
              </w:rPr>
              <w:t>园区污水处理厂出水水质标准执行广东省《水污染排放限值》（DB44/26-2001）第二时段一级标准和《城镇污水处理厂污染物排放标准》（GB18919-2002）一级B标准中严者</w:t>
            </w:r>
            <w:r>
              <w:rPr>
                <w:rFonts w:hint="eastAsia"/>
                <w:color w:val="auto"/>
                <w:sz w:val="24"/>
              </w:rPr>
              <w:t>。</w:t>
            </w:r>
            <w:r>
              <w:rPr>
                <w:color w:val="auto"/>
                <w:sz w:val="24"/>
                <w:lang w:val="zh-CN"/>
              </w:rPr>
              <w:t>相关排放标准情况</w:t>
            </w:r>
            <w:r>
              <w:rPr>
                <w:color w:val="auto"/>
                <w:sz w:val="24"/>
              </w:rPr>
              <w:t>见表</w:t>
            </w:r>
            <w:r>
              <w:rPr>
                <w:rFonts w:hint="eastAsia"/>
                <w:color w:val="auto"/>
                <w:sz w:val="24"/>
                <w:lang w:val="en-US" w:eastAsia="zh-CN"/>
              </w:rPr>
              <w:t>3-9</w:t>
            </w:r>
            <w:r>
              <w:rPr>
                <w:color w:val="auto"/>
                <w:sz w:val="24"/>
              </w:rPr>
              <w:t>和表</w:t>
            </w:r>
            <w:r>
              <w:rPr>
                <w:rFonts w:hint="eastAsia"/>
                <w:color w:val="auto"/>
                <w:sz w:val="24"/>
                <w:lang w:val="en-US" w:eastAsia="zh-CN"/>
              </w:rPr>
              <w:t>3-10</w:t>
            </w:r>
            <w:r>
              <w:rPr>
                <w:color w:val="auto"/>
                <w:sz w:val="24"/>
              </w:rPr>
              <w:t>。</w:t>
            </w:r>
          </w:p>
          <w:p>
            <w:pPr>
              <w:spacing w:line="360" w:lineRule="auto"/>
              <w:jc w:val="center"/>
              <w:rPr>
                <w:b/>
                <w:bCs/>
                <w:color w:val="auto"/>
                <w:sz w:val="24"/>
              </w:rPr>
            </w:pPr>
            <w:r>
              <w:rPr>
                <w:b/>
                <w:bCs/>
                <w:color w:val="auto"/>
                <w:sz w:val="24"/>
              </w:rPr>
              <w:t>表</w:t>
            </w:r>
            <w:r>
              <w:rPr>
                <w:rFonts w:hint="eastAsia"/>
                <w:b/>
                <w:bCs/>
                <w:color w:val="auto"/>
                <w:sz w:val="24"/>
                <w:lang w:val="en-US" w:eastAsia="zh-CN"/>
              </w:rPr>
              <w:t>3-9</w:t>
            </w:r>
            <w:r>
              <w:rPr>
                <w:b/>
                <w:bCs/>
                <w:color w:val="auto"/>
                <w:sz w:val="24"/>
              </w:rPr>
              <w:t xml:space="preserve"> 园区污水处理厂进水水质要求  mg/L，pH除外</w:t>
            </w:r>
          </w:p>
          <w:tbl>
            <w:tblPr>
              <w:tblStyle w:val="28"/>
              <w:tblW w:w="80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1"/>
              <w:gridCol w:w="1054"/>
              <w:gridCol w:w="1058"/>
              <w:gridCol w:w="1204"/>
              <w:gridCol w:w="1203"/>
              <w:gridCol w:w="1203"/>
              <w:gridCol w:w="12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151" w:type="dxa"/>
                  <w:vAlign w:val="center"/>
                </w:tcPr>
                <w:p>
                  <w:pPr>
                    <w:jc w:val="center"/>
                    <w:rPr>
                      <w:b/>
                      <w:bCs/>
                      <w:color w:val="auto"/>
                      <w:szCs w:val="21"/>
                    </w:rPr>
                  </w:pPr>
                  <w:r>
                    <w:rPr>
                      <w:b/>
                      <w:bCs/>
                      <w:color w:val="auto"/>
                      <w:szCs w:val="21"/>
                    </w:rPr>
                    <w:t>污染物</w:t>
                  </w:r>
                </w:p>
              </w:tc>
              <w:tc>
                <w:tcPr>
                  <w:tcW w:w="1054" w:type="dxa"/>
                  <w:vAlign w:val="center"/>
                </w:tcPr>
                <w:p>
                  <w:pPr>
                    <w:jc w:val="center"/>
                    <w:rPr>
                      <w:b/>
                      <w:bCs/>
                      <w:color w:val="auto"/>
                      <w:szCs w:val="21"/>
                    </w:rPr>
                  </w:pPr>
                  <w:r>
                    <w:rPr>
                      <w:b/>
                      <w:bCs/>
                      <w:color w:val="auto"/>
                      <w:szCs w:val="21"/>
                    </w:rPr>
                    <w:t>pH</w:t>
                  </w:r>
                </w:p>
              </w:tc>
              <w:tc>
                <w:tcPr>
                  <w:tcW w:w="1058" w:type="dxa"/>
                  <w:vAlign w:val="center"/>
                </w:tcPr>
                <w:p>
                  <w:pPr>
                    <w:jc w:val="center"/>
                    <w:rPr>
                      <w:b/>
                      <w:bCs/>
                      <w:color w:val="auto"/>
                      <w:szCs w:val="21"/>
                    </w:rPr>
                  </w:pPr>
                  <w:r>
                    <w:rPr>
                      <w:b/>
                      <w:bCs/>
                      <w:color w:val="auto"/>
                      <w:szCs w:val="21"/>
                    </w:rPr>
                    <w:t>COD</w:t>
                  </w:r>
                  <w:r>
                    <w:rPr>
                      <w:b/>
                      <w:bCs/>
                      <w:color w:val="auto"/>
                      <w:szCs w:val="21"/>
                      <w:vertAlign w:val="subscript"/>
                    </w:rPr>
                    <w:t>Cr</w:t>
                  </w:r>
                </w:p>
              </w:tc>
              <w:tc>
                <w:tcPr>
                  <w:tcW w:w="1204" w:type="dxa"/>
                  <w:vAlign w:val="center"/>
                </w:tcPr>
                <w:p>
                  <w:pPr>
                    <w:jc w:val="center"/>
                    <w:rPr>
                      <w:b/>
                      <w:bCs/>
                      <w:color w:val="auto"/>
                      <w:szCs w:val="21"/>
                    </w:rPr>
                  </w:pPr>
                  <w:r>
                    <w:rPr>
                      <w:b/>
                      <w:bCs/>
                      <w:color w:val="auto"/>
                      <w:szCs w:val="21"/>
                    </w:rPr>
                    <w:t>BOD</w:t>
                  </w:r>
                  <w:r>
                    <w:rPr>
                      <w:b/>
                      <w:bCs/>
                      <w:color w:val="auto"/>
                      <w:szCs w:val="21"/>
                      <w:vertAlign w:val="subscript"/>
                    </w:rPr>
                    <w:t>5</w:t>
                  </w:r>
                </w:p>
              </w:tc>
              <w:tc>
                <w:tcPr>
                  <w:tcW w:w="1203" w:type="dxa"/>
                  <w:vAlign w:val="center"/>
                </w:tcPr>
                <w:p>
                  <w:pPr>
                    <w:jc w:val="center"/>
                    <w:rPr>
                      <w:b/>
                      <w:bCs/>
                      <w:color w:val="auto"/>
                      <w:szCs w:val="21"/>
                    </w:rPr>
                  </w:pPr>
                  <w:r>
                    <w:rPr>
                      <w:b/>
                      <w:bCs/>
                      <w:color w:val="auto"/>
                      <w:szCs w:val="21"/>
                    </w:rPr>
                    <w:t>SS</w:t>
                  </w:r>
                </w:p>
              </w:tc>
              <w:tc>
                <w:tcPr>
                  <w:tcW w:w="1203" w:type="dxa"/>
                  <w:vAlign w:val="center"/>
                </w:tcPr>
                <w:p>
                  <w:pPr>
                    <w:jc w:val="center"/>
                    <w:rPr>
                      <w:b/>
                      <w:bCs/>
                      <w:color w:val="auto"/>
                      <w:szCs w:val="21"/>
                    </w:rPr>
                  </w:pPr>
                  <w:r>
                    <w:rPr>
                      <w:b/>
                      <w:bCs/>
                      <w:color w:val="auto"/>
                      <w:szCs w:val="21"/>
                    </w:rPr>
                    <w:t>氨氮</w:t>
                  </w:r>
                </w:p>
              </w:tc>
              <w:tc>
                <w:tcPr>
                  <w:tcW w:w="1203" w:type="dxa"/>
                  <w:vAlign w:val="center"/>
                </w:tcPr>
                <w:p>
                  <w:pPr>
                    <w:jc w:val="center"/>
                    <w:rPr>
                      <w:b/>
                      <w:bCs/>
                      <w:color w:val="auto"/>
                      <w:szCs w:val="21"/>
                    </w:rPr>
                  </w:pPr>
                  <w:r>
                    <w:rPr>
                      <w:rFonts w:hint="eastAsia"/>
                      <w:b/>
                      <w:bCs/>
                      <w:color w:val="auto"/>
                      <w:szCs w:val="21"/>
                    </w:rPr>
                    <w:t>动植物油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151" w:type="dxa"/>
                  <w:vAlign w:val="center"/>
                </w:tcPr>
                <w:p>
                  <w:pPr>
                    <w:jc w:val="center"/>
                    <w:rPr>
                      <w:color w:val="auto"/>
                      <w:szCs w:val="21"/>
                    </w:rPr>
                  </w:pPr>
                  <w:r>
                    <w:rPr>
                      <w:color w:val="auto"/>
                      <w:szCs w:val="21"/>
                    </w:rPr>
                    <w:t>标准值</w:t>
                  </w:r>
                </w:p>
              </w:tc>
              <w:tc>
                <w:tcPr>
                  <w:tcW w:w="1054" w:type="dxa"/>
                  <w:vAlign w:val="center"/>
                </w:tcPr>
                <w:p>
                  <w:pPr>
                    <w:jc w:val="center"/>
                    <w:rPr>
                      <w:color w:val="auto"/>
                      <w:szCs w:val="21"/>
                    </w:rPr>
                  </w:pPr>
                  <w:r>
                    <w:rPr>
                      <w:color w:val="auto"/>
                      <w:szCs w:val="21"/>
                    </w:rPr>
                    <w:t>6-9</w:t>
                  </w:r>
                </w:p>
              </w:tc>
              <w:tc>
                <w:tcPr>
                  <w:tcW w:w="1058" w:type="dxa"/>
                  <w:vAlign w:val="center"/>
                </w:tcPr>
                <w:p>
                  <w:pPr>
                    <w:jc w:val="center"/>
                    <w:rPr>
                      <w:color w:val="auto"/>
                      <w:szCs w:val="21"/>
                    </w:rPr>
                  </w:pPr>
                  <w:r>
                    <w:rPr>
                      <w:color w:val="auto"/>
                      <w:szCs w:val="21"/>
                    </w:rPr>
                    <w:t>≤350</w:t>
                  </w:r>
                </w:p>
              </w:tc>
              <w:tc>
                <w:tcPr>
                  <w:tcW w:w="1204" w:type="dxa"/>
                  <w:vAlign w:val="center"/>
                </w:tcPr>
                <w:p>
                  <w:pPr>
                    <w:jc w:val="center"/>
                    <w:rPr>
                      <w:color w:val="auto"/>
                      <w:szCs w:val="21"/>
                    </w:rPr>
                  </w:pPr>
                  <w:r>
                    <w:rPr>
                      <w:color w:val="auto"/>
                      <w:szCs w:val="21"/>
                    </w:rPr>
                    <w:t>≤150</w:t>
                  </w:r>
                </w:p>
              </w:tc>
              <w:tc>
                <w:tcPr>
                  <w:tcW w:w="1203" w:type="dxa"/>
                  <w:vAlign w:val="center"/>
                </w:tcPr>
                <w:p>
                  <w:pPr>
                    <w:jc w:val="center"/>
                    <w:rPr>
                      <w:color w:val="auto"/>
                      <w:szCs w:val="21"/>
                    </w:rPr>
                  </w:pPr>
                  <w:r>
                    <w:rPr>
                      <w:color w:val="auto"/>
                      <w:szCs w:val="21"/>
                    </w:rPr>
                    <w:t>≤30</w:t>
                  </w:r>
                  <w:r>
                    <w:rPr>
                      <w:rFonts w:hint="eastAsia"/>
                      <w:color w:val="auto"/>
                      <w:szCs w:val="21"/>
                    </w:rPr>
                    <w:t>0</w:t>
                  </w:r>
                </w:p>
              </w:tc>
              <w:tc>
                <w:tcPr>
                  <w:tcW w:w="1203" w:type="dxa"/>
                  <w:vAlign w:val="center"/>
                </w:tcPr>
                <w:p>
                  <w:pPr>
                    <w:jc w:val="center"/>
                    <w:rPr>
                      <w:color w:val="auto"/>
                      <w:szCs w:val="21"/>
                    </w:rPr>
                  </w:pPr>
                  <w:r>
                    <w:rPr>
                      <w:color w:val="auto"/>
                      <w:szCs w:val="21"/>
                    </w:rPr>
                    <w:t>≤40</w:t>
                  </w:r>
                </w:p>
              </w:tc>
              <w:tc>
                <w:tcPr>
                  <w:tcW w:w="1203" w:type="dxa"/>
                  <w:vAlign w:val="center"/>
                </w:tcPr>
                <w:p>
                  <w:pPr>
                    <w:jc w:val="center"/>
                    <w:rPr>
                      <w:color w:val="auto"/>
                      <w:szCs w:val="21"/>
                    </w:rPr>
                  </w:pPr>
                  <w:r>
                    <w:rPr>
                      <w:color w:val="auto"/>
                      <w:szCs w:val="21"/>
                    </w:rPr>
                    <w:t>≤30</w:t>
                  </w:r>
                </w:p>
              </w:tc>
            </w:tr>
          </w:tbl>
          <w:p>
            <w:pPr>
              <w:spacing w:before="120" w:beforeLines="50" w:line="360" w:lineRule="auto"/>
              <w:jc w:val="center"/>
              <w:rPr>
                <w:b/>
                <w:bCs/>
                <w:color w:val="auto"/>
                <w:sz w:val="24"/>
              </w:rPr>
            </w:pPr>
            <w:r>
              <w:rPr>
                <w:b/>
                <w:bCs/>
                <w:color w:val="auto"/>
                <w:sz w:val="24"/>
              </w:rPr>
              <w:t>表</w:t>
            </w:r>
            <w:r>
              <w:rPr>
                <w:rFonts w:hint="eastAsia"/>
                <w:b/>
                <w:bCs/>
                <w:color w:val="auto"/>
                <w:sz w:val="24"/>
                <w:lang w:val="en-US" w:eastAsia="zh-CN"/>
              </w:rPr>
              <w:t>3-10</w:t>
            </w:r>
            <w:r>
              <w:rPr>
                <w:b/>
                <w:bCs/>
                <w:color w:val="auto"/>
                <w:sz w:val="24"/>
              </w:rPr>
              <w:t xml:space="preserve"> 园区污水处理厂水污染物排放限值（摘录） mg/L</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6"/>
              <w:gridCol w:w="644"/>
              <w:gridCol w:w="784"/>
              <w:gridCol w:w="599"/>
              <w:gridCol w:w="884"/>
              <w:gridCol w:w="1397"/>
              <w:gridCol w:w="1183"/>
              <w:gridCol w:w="8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snapToGrid w:val="0"/>
                    <w:jc w:val="center"/>
                    <w:rPr>
                      <w:b/>
                      <w:bCs/>
                      <w:color w:val="auto"/>
                      <w:szCs w:val="21"/>
                    </w:rPr>
                  </w:pPr>
                  <w:r>
                    <w:rPr>
                      <w:b/>
                      <w:bCs/>
                      <w:color w:val="auto"/>
                      <w:szCs w:val="21"/>
                    </w:rPr>
                    <w:t>污染物</w:t>
                  </w:r>
                </w:p>
              </w:tc>
              <w:tc>
                <w:tcPr>
                  <w:tcW w:w="399" w:type="pct"/>
                  <w:tcMar>
                    <w:left w:w="0" w:type="dxa"/>
                    <w:right w:w="0" w:type="dxa"/>
                  </w:tcMar>
                  <w:vAlign w:val="center"/>
                </w:tcPr>
                <w:p>
                  <w:pPr>
                    <w:snapToGrid w:val="0"/>
                    <w:jc w:val="center"/>
                    <w:rPr>
                      <w:b/>
                      <w:bCs/>
                      <w:color w:val="auto"/>
                      <w:szCs w:val="21"/>
                      <w:vertAlign w:val="subscript"/>
                    </w:rPr>
                  </w:pPr>
                  <w:r>
                    <w:rPr>
                      <w:b/>
                      <w:bCs/>
                      <w:color w:val="auto"/>
                      <w:szCs w:val="21"/>
                    </w:rPr>
                    <w:t>COD</w:t>
                  </w:r>
                  <w:r>
                    <w:rPr>
                      <w:b/>
                      <w:bCs/>
                      <w:color w:val="auto"/>
                      <w:szCs w:val="21"/>
                      <w:vertAlign w:val="subscript"/>
                    </w:rPr>
                    <w:t>Cr</w:t>
                  </w:r>
                </w:p>
              </w:tc>
              <w:tc>
                <w:tcPr>
                  <w:tcW w:w="486" w:type="pct"/>
                  <w:vAlign w:val="center"/>
                </w:tcPr>
                <w:p>
                  <w:pPr>
                    <w:snapToGrid w:val="0"/>
                    <w:jc w:val="center"/>
                    <w:rPr>
                      <w:b/>
                      <w:bCs/>
                      <w:color w:val="auto"/>
                      <w:szCs w:val="21"/>
                      <w:vertAlign w:val="subscript"/>
                    </w:rPr>
                  </w:pPr>
                  <w:r>
                    <w:rPr>
                      <w:b/>
                      <w:bCs/>
                      <w:color w:val="auto"/>
                      <w:szCs w:val="21"/>
                    </w:rPr>
                    <w:t>BOD</w:t>
                  </w:r>
                  <w:r>
                    <w:rPr>
                      <w:b/>
                      <w:bCs/>
                      <w:color w:val="auto"/>
                      <w:szCs w:val="21"/>
                      <w:vertAlign w:val="subscript"/>
                    </w:rPr>
                    <w:t>5</w:t>
                  </w:r>
                </w:p>
              </w:tc>
              <w:tc>
                <w:tcPr>
                  <w:tcW w:w="372" w:type="pct"/>
                  <w:vAlign w:val="center"/>
                </w:tcPr>
                <w:p>
                  <w:pPr>
                    <w:snapToGrid w:val="0"/>
                    <w:jc w:val="center"/>
                    <w:rPr>
                      <w:b/>
                      <w:bCs/>
                      <w:color w:val="auto"/>
                      <w:szCs w:val="21"/>
                    </w:rPr>
                  </w:pPr>
                  <w:r>
                    <w:rPr>
                      <w:b/>
                      <w:bCs/>
                      <w:color w:val="auto"/>
                      <w:szCs w:val="21"/>
                    </w:rPr>
                    <w:t>SS</w:t>
                  </w:r>
                </w:p>
              </w:tc>
              <w:tc>
                <w:tcPr>
                  <w:tcW w:w="549" w:type="pct"/>
                  <w:vAlign w:val="center"/>
                </w:tcPr>
                <w:p>
                  <w:pPr>
                    <w:snapToGrid w:val="0"/>
                    <w:jc w:val="center"/>
                    <w:rPr>
                      <w:b/>
                      <w:bCs/>
                      <w:color w:val="auto"/>
                      <w:szCs w:val="21"/>
                    </w:rPr>
                  </w:pPr>
                  <w:r>
                    <w:rPr>
                      <w:b/>
                      <w:bCs/>
                      <w:color w:val="auto"/>
                      <w:szCs w:val="21"/>
                    </w:rPr>
                    <w:t>氨氮</w:t>
                  </w:r>
                </w:p>
              </w:tc>
              <w:tc>
                <w:tcPr>
                  <w:tcW w:w="867" w:type="pct"/>
                  <w:vAlign w:val="center"/>
                </w:tcPr>
                <w:p>
                  <w:pPr>
                    <w:snapToGrid w:val="0"/>
                    <w:jc w:val="center"/>
                    <w:rPr>
                      <w:b/>
                      <w:bCs/>
                      <w:color w:val="auto"/>
                      <w:szCs w:val="21"/>
                    </w:rPr>
                  </w:pPr>
                  <w:r>
                    <w:rPr>
                      <w:b/>
                      <w:bCs/>
                      <w:color w:val="auto"/>
                      <w:szCs w:val="21"/>
                    </w:rPr>
                    <w:t>阴离子</w:t>
                  </w:r>
                </w:p>
                <w:p>
                  <w:pPr>
                    <w:snapToGrid w:val="0"/>
                    <w:jc w:val="center"/>
                    <w:rPr>
                      <w:b/>
                      <w:bCs/>
                      <w:color w:val="auto"/>
                      <w:szCs w:val="21"/>
                    </w:rPr>
                  </w:pPr>
                  <w:r>
                    <w:rPr>
                      <w:b/>
                      <w:bCs/>
                      <w:color w:val="auto"/>
                      <w:szCs w:val="21"/>
                    </w:rPr>
                    <w:t>表面活性剂</w:t>
                  </w:r>
                </w:p>
              </w:tc>
              <w:tc>
                <w:tcPr>
                  <w:tcW w:w="734" w:type="pct"/>
                  <w:vAlign w:val="center"/>
                </w:tcPr>
                <w:p>
                  <w:pPr>
                    <w:snapToGrid w:val="0"/>
                    <w:jc w:val="center"/>
                    <w:rPr>
                      <w:b/>
                      <w:bCs/>
                      <w:color w:val="auto"/>
                      <w:szCs w:val="21"/>
                    </w:rPr>
                  </w:pPr>
                  <w:r>
                    <w:rPr>
                      <w:b/>
                      <w:bCs/>
                      <w:color w:val="auto"/>
                      <w:szCs w:val="21"/>
                    </w:rPr>
                    <w:t>动植物油</w:t>
                  </w:r>
                </w:p>
              </w:tc>
              <w:tc>
                <w:tcPr>
                  <w:tcW w:w="549" w:type="pct"/>
                  <w:vAlign w:val="center"/>
                </w:tcPr>
                <w:p>
                  <w:pPr>
                    <w:snapToGrid w:val="0"/>
                    <w:jc w:val="center"/>
                    <w:rPr>
                      <w:b/>
                      <w:bCs/>
                      <w:color w:val="auto"/>
                      <w:szCs w:val="21"/>
                    </w:rPr>
                  </w:pPr>
                  <w:r>
                    <w:rPr>
                      <w:rFonts w:hint="eastAsia"/>
                      <w:b/>
                      <w:bCs/>
                      <w:color w:val="auto"/>
                      <w:szCs w:val="21"/>
                    </w:rPr>
                    <w:t>氟化物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jc w:val="center"/>
                    <w:rPr>
                      <w:color w:val="auto"/>
                      <w:szCs w:val="21"/>
                    </w:rPr>
                  </w:pPr>
                  <w:r>
                    <w:rPr>
                      <w:color w:val="auto"/>
                      <w:szCs w:val="21"/>
                    </w:rPr>
                    <w:t>DB44/26-2001第二时段一级排放标准</w:t>
                  </w:r>
                </w:p>
              </w:tc>
              <w:tc>
                <w:tcPr>
                  <w:tcW w:w="399" w:type="pct"/>
                  <w:tcMar>
                    <w:left w:w="0" w:type="dxa"/>
                    <w:right w:w="0" w:type="dxa"/>
                  </w:tcMar>
                  <w:vAlign w:val="center"/>
                </w:tcPr>
                <w:p>
                  <w:pPr>
                    <w:jc w:val="center"/>
                    <w:rPr>
                      <w:color w:val="auto"/>
                      <w:szCs w:val="21"/>
                    </w:rPr>
                  </w:pPr>
                  <w:r>
                    <w:rPr>
                      <w:color w:val="auto"/>
                      <w:szCs w:val="21"/>
                    </w:rPr>
                    <w:t>40</w:t>
                  </w:r>
                </w:p>
              </w:tc>
              <w:tc>
                <w:tcPr>
                  <w:tcW w:w="486" w:type="pct"/>
                  <w:vAlign w:val="center"/>
                </w:tcPr>
                <w:p>
                  <w:pPr>
                    <w:jc w:val="center"/>
                    <w:rPr>
                      <w:color w:val="auto"/>
                      <w:szCs w:val="21"/>
                    </w:rPr>
                  </w:pPr>
                  <w:r>
                    <w:rPr>
                      <w:color w:val="auto"/>
                      <w:szCs w:val="21"/>
                    </w:rPr>
                    <w:t>20</w:t>
                  </w:r>
                </w:p>
              </w:tc>
              <w:tc>
                <w:tcPr>
                  <w:tcW w:w="372" w:type="pct"/>
                  <w:vAlign w:val="center"/>
                </w:tcPr>
                <w:p>
                  <w:pPr>
                    <w:jc w:val="center"/>
                    <w:rPr>
                      <w:color w:val="auto"/>
                      <w:szCs w:val="21"/>
                    </w:rPr>
                  </w:pPr>
                  <w:r>
                    <w:rPr>
                      <w:color w:val="auto"/>
                      <w:szCs w:val="21"/>
                    </w:rPr>
                    <w:t>20</w:t>
                  </w:r>
                </w:p>
              </w:tc>
              <w:tc>
                <w:tcPr>
                  <w:tcW w:w="549" w:type="pct"/>
                  <w:vAlign w:val="center"/>
                </w:tcPr>
                <w:p>
                  <w:pPr>
                    <w:jc w:val="center"/>
                    <w:rPr>
                      <w:color w:val="auto"/>
                      <w:szCs w:val="21"/>
                    </w:rPr>
                  </w:pPr>
                  <w:r>
                    <w:rPr>
                      <w:color w:val="auto"/>
                      <w:szCs w:val="21"/>
                    </w:rPr>
                    <w:t>10</w:t>
                  </w:r>
                </w:p>
              </w:tc>
              <w:tc>
                <w:tcPr>
                  <w:tcW w:w="867" w:type="pct"/>
                  <w:vAlign w:val="center"/>
                </w:tcPr>
                <w:p>
                  <w:pPr>
                    <w:jc w:val="center"/>
                    <w:rPr>
                      <w:color w:val="auto"/>
                      <w:szCs w:val="21"/>
                    </w:rPr>
                  </w:pPr>
                  <w:r>
                    <w:rPr>
                      <w:color w:val="auto"/>
                      <w:szCs w:val="21"/>
                    </w:rPr>
                    <w:t>5.0</w:t>
                  </w:r>
                </w:p>
              </w:tc>
              <w:tc>
                <w:tcPr>
                  <w:tcW w:w="734" w:type="pct"/>
                  <w:vAlign w:val="center"/>
                </w:tcPr>
                <w:p>
                  <w:pPr>
                    <w:jc w:val="center"/>
                    <w:rPr>
                      <w:color w:val="auto"/>
                      <w:szCs w:val="21"/>
                    </w:rPr>
                  </w:pPr>
                  <w:r>
                    <w:rPr>
                      <w:color w:val="auto"/>
                      <w:szCs w:val="21"/>
                    </w:rPr>
                    <w:t>10</w:t>
                  </w:r>
                </w:p>
              </w:tc>
              <w:tc>
                <w:tcPr>
                  <w:tcW w:w="549" w:type="pct"/>
                  <w:vAlign w:val="center"/>
                </w:tcPr>
                <w:p>
                  <w:pPr>
                    <w:jc w:val="center"/>
                    <w:rPr>
                      <w:color w:val="auto"/>
                      <w:szCs w:val="21"/>
                    </w:rPr>
                  </w:pPr>
                  <w:r>
                    <w:rPr>
                      <w:rFonts w:hint="eastAsia"/>
                      <w:color w:val="auto"/>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jc w:val="center"/>
                    <w:rPr>
                      <w:color w:val="auto"/>
                      <w:szCs w:val="21"/>
                    </w:rPr>
                  </w:pPr>
                  <w:r>
                    <w:rPr>
                      <w:color w:val="auto"/>
                      <w:szCs w:val="21"/>
                    </w:rPr>
                    <w:t>GB18918-2002一级B标准</w:t>
                  </w:r>
                </w:p>
              </w:tc>
              <w:tc>
                <w:tcPr>
                  <w:tcW w:w="399" w:type="pct"/>
                  <w:tcMar>
                    <w:left w:w="0" w:type="dxa"/>
                    <w:right w:w="0" w:type="dxa"/>
                  </w:tcMar>
                  <w:vAlign w:val="center"/>
                </w:tcPr>
                <w:p>
                  <w:pPr>
                    <w:jc w:val="center"/>
                    <w:rPr>
                      <w:color w:val="auto"/>
                      <w:szCs w:val="21"/>
                    </w:rPr>
                  </w:pPr>
                  <w:r>
                    <w:rPr>
                      <w:color w:val="auto"/>
                      <w:szCs w:val="21"/>
                    </w:rPr>
                    <w:t>60</w:t>
                  </w:r>
                </w:p>
              </w:tc>
              <w:tc>
                <w:tcPr>
                  <w:tcW w:w="486" w:type="pct"/>
                  <w:vAlign w:val="center"/>
                </w:tcPr>
                <w:p>
                  <w:pPr>
                    <w:jc w:val="center"/>
                    <w:rPr>
                      <w:color w:val="auto"/>
                      <w:szCs w:val="21"/>
                    </w:rPr>
                  </w:pPr>
                  <w:r>
                    <w:rPr>
                      <w:color w:val="auto"/>
                      <w:szCs w:val="21"/>
                    </w:rPr>
                    <w:t>20</w:t>
                  </w:r>
                </w:p>
              </w:tc>
              <w:tc>
                <w:tcPr>
                  <w:tcW w:w="372" w:type="pct"/>
                  <w:vAlign w:val="center"/>
                </w:tcPr>
                <w:p>
                  <w:pPr>
                    <w:jc w:val="center"/>
                    <w:rPr>
                      <w:color w:val="auto"/>
                      <w:szCs w:val="21"/>
                    </w:rPr>
                  </w:pPr>
                  <w:r>
                    <w:rPr>
                      <w:color w:val="auto"/>
                      <w:szCs w:val="21"/>
                    </w:rPr>
                    <w:t>20</w:t>
                  </w:r>
                </w:p>
              </w:tc>
              <w:tc>
                <w:tcPr>
                  <w:tcW w:w="549" w:type="pct"/>
                  <w:vAlign w:val="center"/>
                </w:tcPr>
                <w:p>
                  <w:pPr>
                    <w:jc w:val="center"/>
                    <w:rPr>
                      <w:color w:val="auto"/>
                      <w:szCs w:val="21"/>
                    </w:rPr>
                  </w:pPr>
                  <w:r>
                    <w:rPr>
                      <w:color w:val="auto"/>
                      <w:szCs w:val="21"/>
                    </w:rPr>
                    <w:t>8(15①)</w:t>
                  </w:r>
                </w:p>
              </w:tc>
              <w:tc>
                <w:tcPr>
                  <w:tcW w:w="867" w:type="pct"/>
                  <w:vAlign w:val="center"/>
                </w:tcPr>
                <w:p>
                  <w:pPr>
                    <w:jc w:val="center"/>
                    <w:rPr>
                      <w:color w:val="auto"/>
                      <w:szCs w:val="21"/>
                    </w:rPr>
                  </w:pPr>
                  <w:r>
                    <w:rPr>
                      <w:color w:val="auto"/>
                      <w:szCs w:val="21"/>
                    </w:rPr>
                    <w:t>1.0</w:t>
                  </w:r>
                </w:p>
              </w:tc>
              <w:tc>
                <w:tcPr>
                  <w:tcW w:w="734" w:type="pct"/>
                  <w:vAlign w:val="center"/>
                </w:tcPr>
                <w:p>
                  <w:pPr>
                    <w:jc w:val="center"/>
                    <w:rPr>
                      <w:color w:val="auto"/>
                      <w:szCs w:val="21"/>
                    </w:rPr>
                  </w:pPr>
                  <w:r>
                    <w:rPr>
                      <w:color w:val="auto"/>
                      <w:szCs w:val="21"/>
                    </w:rPr>
                    <w:t>3.0</w:t>
                  </w:r>
                </w:p>
              </w:tc>
              <w:tc>
                <w:tcPr>
                  <w:tcW w:w="549" w:type="pct"/>
                  <w:vAlign w:val="center"/>
                </w:tcPr>
                <w:p>
                  <w:pPr>
                    <w:jc w:val="center"/>
                    <w:rPr>
                      <w:color w:val="auto"/>
                      <w:szCs w:val="21"/>
                    </w:rPr>
                  </w:pPr>
                  <w:r>
                    <w:rPr>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jc w:val="center"/>
                    <w:rPr>
                      <w:color w:val="auto"/>
                      <w:szCs w:val="21"/>
                    </w:rPr>
                  </w:pPr>
                  <w:r>
                    <w:rPr>
                      <w:color w:val="auto"/>
                      <w:szCs w:val="21"/>
                    </w:rPr>
                    <w:t>执行限值</w:t>
                  </w:r>
                </w:p>
              </w:tc>
              <w:tc>
                <w:tcPr>
                  <w:tcW w:w="399" w:type="pct"/>
                  <w:tcMar>
                    <w:left w:w="0" w:type="dxa"/>
                    <w:right w:w="0" w:type="dxa"/>
                  </w:tcMar>
                  <w:vAlign w:val="center"/>
                </w:tcPr>
                <w:p>
                  <w:pPr>
                    <w:jc w:val="center"/>
                    <w:rPr>
                      <w:color w:val="auto"/>
                      <w:szCs w:val="21"/>
                    </w:rPr>
                  </w:pPr>
                  <w:r>
                    <w:rPr>
                      <w:color w:val="auto"/>
                      <w:szCs w:val="21"/>
                    </w:rPr>
                    <w:t>40</w:t>
                  </w:r>
                </w:p>
              </w:tc>
              <w:tc>
                <w:tcPr>
                  <w:tcW w:w="486" w:type="pct"/>
                  <w:vAlign w:val="center"/>
                </w:tcPr>
                <w:p>
                  <w:pPr>
                    <w:jc w:val="center"/>
                    <w:rPr>
                      <w:color w:val="auto"/>
                      <w:szCs w:val="21"/>
                    </w:rPr>
                  </w:pPr>
                  <w:r>
                    <w:rPr>
                      <w:color w:val="auto"/>
                      <w:szCs w:val="21"/>
                    </w:rPr>
                    <w:t>20</w:t>
                  </w:r>
                </w:p>
              </w:tc>
              <w:tc>
                <w:tcPr>
                  <w:tcW w:w="372" w:type="pct"/>
                  <w:vAlign w:val="center"/>
                </w:tcPr>
                <w:p>
                  <w:pPr>
                    <w:jc w:val="center"/>
                    <w:rPr>
                      <w:color w:val="auto"/>
                      <w:szCs w:val="21"/>
                    </w:rPr>
                  </w:pPr>
                  <w:r>
                    <w:rPr>
                      <w:color w:val="auto"/>
                      <w:szCs w:val="21"/>
                    </w:rPr>
                    <w:t>20</w:t>
                  </w:r>
                </w:p>
              </w:tc>
              <w:tc>
                <w:tcPr>
                  <w:tcW w:w="549" w:type="pct"/>
                  <w:vAlign w:val="center"/>
                </w:tcPr>
                <w:p>
                  <w:pPr>
                    <w:jc w:val="center"/>
                    <w:rPr>
                      <w:color w:val="auto"/>
                      <w:szCs w:val="21"/>
                    </w:rPr>
                  </w:pPr>
                  <w:r>
                    <w:rPr>
                      <w:color w:val="auto"/>
                      <w:szCs w:val="21"/>
                    </w:rPr>
                    <w:t>8</w:t>
                  </w:r>
                </w:p>
              </w:tc>
              <w:tc>
                <w:tcPr>
                  <w:tcW w:w="867" w:type="pct"/>
                  <w:vAlign w:val="center"/>
                </w:tcPr>
                <w:p>
                  <w:pPr>
                    <w:jc w:val="center"/>
                    <w:rPr>
                      <w:color w:val="auto"/>
                      <w:szCs w:val="21"/>
                    </w:rPr>
                  </w:pPr>
                  <w:r>
                    <w:rPr>
                      <w:color w:val="auto"/>
                      <w:szCs w:val="21"/>
                    </w:rPr>
                    <w:t>1.0</w:t>
                  </w:r>
                </w:p>
              </w:tc>
              <w:tc>
                <w:tcPr>
                  <w:tcW w:w="734" w:type="pct"/>
                  <w:vAlign w:val="center"/>
                </w:tcPr>
                <w:p>
                  <w:pPr>
                    <w:jc w:val="center"/>
                    <w:rPr>
                      <w:color w:val="auto"/>
                      <w:szCs w:val="21"/>
                    </w:rPr>
                  </w:pPr>
                  <w:r>
                    <w:rPr>
                      <w:color w:val="auto"/>
                      <w:szCs w:val="21"/>
                    </w:rPr>
                    <w:t>3.0</w:t>
                  </w:r>
                </w:p>
              </w:tc>
              <w:tc>
                <w:tcPr>
                  <w:tcW w:w="549" w:type="pct"/>
                  <w:vAlign w:val="center"/>
                </w:tcPr>
                <w:p>
                  <w:pPr>
                    <w:jc w:val="center"/>
                    <w:rPr>
                      <w:color w:val="auto"/>
                      <w:szCs w:val="21"/>
                    </w:rPr>
                  </w:pPr>
                  <w:r>
                    <w:rPr>
                      <w:rFonts w:hint="eastAsia"/>
                      <w:color w:val="auto"/>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snapToGrid w:val="0"/>
                    <w:jc w:val="center"/>
                    <w:rPr>
                      <w:b/>
                      <w:bCs/>
                      <w:color w:val="auto"/>
                      <w:szCs w:val="21"/>
                    </w:rPr>
                  </w:pPr>
                  <w:r>
                    <w:rPr>
                      <w:b/>
                      <w:bCs/>
                      <w:color w:val="auto"/>
                      <w:szCs w:val="21"/>
                    </w:rPr>
                    <w:t>污染物</w:t>
                  </w:r>
                </w:p>
              </w:tc>
              <w:tc>
                <w:tcPr>
                  <w:tcW w:w="399" w:type="pct"/>
                  <w:tcMar>
                    <w:left w:w="0" w:type="dxa"/>
                    <w:right w:w="0" w:type="dxa"/>
                  </w:tcMar>
                  <w:vAlign w:val="center"/>
                </w:tcPr>
                <w:p>
                  <w:pPr>
                    <w:snapToGrid w:val="0"/>
                    <w:jc w:val="center"/>
                    <w:rPr>
                      <w:b/>
                      <w:bCs/>
                      <w:color w:val="auto"/>
                      <w:szCs w:val="21"/>
                    </w:rPr>
                  </w:pPr>
                  <w:r>
                    <w:rPr>
                      <w:b/>
                      <w:bCs/>
                      <w:color w:val="auto"/>
                      <w:szCs w:val="21"/>
                    </w:rPr>
                    <w:t>总氮</w:t>
                  </w:r>
                </w:p>
              </w:tc>
              <w:tc>
                <w:tcPr>
                  <w:tcW w:w="486" w:type="pct"/>
                  <w:vAlign w:val="center"/>
                </w:tcPr>
                <w:p>
                  <w:pPr>
                    <w:snapToGrid w:val="0"/>
                    <w:jc w:val="center"/>
                    <w:rPr>
                      <w:b/>
                      <w:bCs/>
                      <w:color w:val="auto"/>
                      <w:szCs w:val="21"/>
                    </w:rPr>
                  </w:pPr>
                  <w:r>
                    <w:rPr>
                      <w:b/>
                      <w:bCs/>
                      <w:color w:val="auto"/>
                      <w:szCs w:val="21"/>
                    </w:rPr>
                    <w:t>总磷</w:t>
                  </w:r>
                </w:p>
              </w:tc>
              <w:tc>
                <w:tcPr>
                  <w:tcW w:w="372" w:type="pct"/>
                  <w:vAlign w:val="center"/>
                </w:tcPr>
                <w:p>
                  <w:pPr>
                    <w:snapToGrid w:val="0"/>
                    <w:jc w:val="center"/>
                    <w:rPr>
                      <w:b/>
                      <w:bCs/>
                      <w:color w:val="auto"/>
                      <w:szCs w:val="21"/>
                    </w:rPr>
                  </w:pPr>
                  <w:r>
                    <w:rPr>
                      <w:b/>
                      <w:bCs/>
                      <w:color w:val="auto"/>
                      <w:szCs w:val="21"/>
                    </w:rPr>
                    <w:t>pH</w:t>
                  </w:r>
                </w:p>
              </w:tc>
              <w:tc>
                <w:tcPr>
                  <w:tcW w:w="549" w:type="pct"/>
                  <w:vAlign w:val="center"/>
                </w:tcPr>
                <w:p>
                  <w:pPr>
                    <w:snapToGrid w:val="0"/>
                    <w:jc w:val="center"/>
                    <w:rPr>
                      <w:b/>
                      <w:bCs/>
                      <w:color w:val="auto"/>
                      <w:szCs w:val="21"/>
                    </w:rPr>
                  </w:pPr>
                  <w:r>
                    <w:rPr>
                      <w:b/>
                      <w:bCs/>
                      <w:color w:val="auto"/>
                      <w:szCs w:val="21"/>
                    </w:rPr>
                    <w:t>石油类</w:t>
                  </w:r>
                </w:p>
              </w:tc>
              <w:tc>
                <w:tcPr>
                  <w:tcW w:w="867" w:type="pct"/>
                  <w:vAlign w:val="center"/>
                </w:tcPr>
                <w:p>
                  <w:pPr>
                    <w:snapToGrid w:val="0"/>
                    <w:jc w:val="center"/>
                    <w:rPr>
                      <w:b/>
                      <w:bCs/>
                      <w:color w:val="auto"/>
                      <w:szCs w:val="21"/>
                    </w:rPr>
                  </w:pPr>
                  <w:r>
                    <w:rPr>
                      <w:b/>
                      <w:bCs/>
                      <w:color w:val="auto"/>
                      <w:szCs w:val="21"/>
                    </w:rPr>
                    <w:t>色度</w:t>
                  </w:r>
                </w:p>
                <w:p>
                  <w:pPr>
                    <w:snapToGrid w:val="0"/>
                    <w:jc w:val="center"/>
                    <w:rPr>
                      <w:b/>
                      <w:bCs/>
                      <w:color w:val="auto"/>
                      <w:szCs w:val="21"/>
                    </w:rPr>
                  </w:pPr>
                  <w:r>
                    <w:rPr>
                      <w:b/>
                      <w:bCs/>
                      <w:color w:val="auto"/>
                      <w:szCs w:val="21"/>
                    </w:rPr>
                    <w:t>（稀释倍数）</w:t>
                  </w:r>
                </w:p>
              </w:tc>
              <w:tc>
                <w:tcPr>
                  <w:tcW w:w="734" w:type="pct"/>
                  <w:vAlign w:val="center"/>
                </w:tcPr>
                <w:p>
                  <w:pPr>
                    <w:snapToGrid w:val="0"/>
                    <w:jc w:val="center"/>
                    <w:rPr>
                      <w:b/>
                      <w:bCs/>
                      <w:color w:val="auto"/>
                      <w:szCs w:val="21"/>
                    </w:rPr>
                  </w:pPr>
                  <w:r>
                    <w:rPr>
                      <w:b/>
                      <w:bCs/>
                      <w:color w:val="auto"/>
                      <w:szCs w:val="21"/>
                    </w:rPr>
                    <w:t>粪大</w:t>
                  </w:r>
                </w:p>
                <w:p>
                  <w:pPr>
                    <w:snapToGrid w:val="0"/>
                    <w:jc w:val="center"/>
                    <w:rPr>
                      <w:b/>
                      <w:bCs/>
                      <w:color w:val="auto"/>
                      <w:szCs w:val="21"/>
                    </w:rPr>
                  </w:pPr>
                  <w:r>
                    <w:rPr>
                      <w:b/>
                      <w:bCs/>
                      <w:color w:val="auto"/>
                      <w:szCs w:val="21"/>
                    </w:rPr>
                    <w:t>肠菌群</w:t>
                  </w:r>
                </w:p>
              </w:tc>
              <w:tc>
                <w:tcPr>
                  <w:tcW w:w="549" w:type="pct"/>
                  <w:vAlign w:val="center"/>
                </w:tcPr>
                <w:p>
                  <w:pPr>
                    <w:snapToGrid w:val="0"/>
                    <w:jc w:val="center"/>
                    <w:rPr>
                      <w:b/>
                      <w:bCs/>
                      <w:color w:val="auto"/>
                      <w:szCs w:val="21"/>
                    </w:rPr>
                  </w:pPr>
                  <w:r>
                    <w:rPr>
                      <w:rFonts w:hint="eastAsia"/>
                      <w:b/>
                      <w:bCs/>
                      <w:color w:val="auto"/>
                      <w:szCs w:val="21"/>
                    </w:rPr>
                    <w:t>石油类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jc w:val="center"/>
                    <w:rPr>
                      <w:color w:val="auto"/>
                      <w:szCs w:val="21"/>
                    </w:rPr>
                  </w:pPr>
                  <w:r>
                    <w:rPr>
                      <w:color w:val="auto"/>
                      <w:szCs w:val="21"/>
                    </w:rPr>
                    <w:t>DB44/26-2001第二时段一级排放标准</w:t>
                  </w:r>
                </w:p>
              </w:tc>
              <w:tc>
                <w:tcPr>
                  <w:tcW w:w="399" w:type="pct"/>
                  <w:tcMar>
                    <w:left w:w="0" w:type="dxa"/>
                    <w:right w:w="0" w:type="dxa"/>
                  </w:tcMar>
                  <w:vAlign w:val="center"/>
                </w:tcPr>
                <w:p>
                  <w:pPr>
                    <w:jc w:val="center"/>
                    <w:rPr>
                      <w:color w:val="auto"/>
                      <w:szCs w:val="21"/>
                    </w:rPr>
                  </w:pPr>
                  <w:r>
                    <w:rPr>
                      <w:color w:val="auto"/>
                      <w:szCs w:val="21"/>
                    </w:rPr>
                    <w:t>/</w:t>
                  </w:r>
                </w:p>
              </w:tc>
              <w:tc>
                <w:tcPr>
                  <w:tcW w:w="486" w:type="pct"/>
                  <w:vAlign w:val="center"/>
                </w:tcPr>
                <w:p>
                  <w:pPr>
                    <w:jc w:val="center"/>
                    <w:rPr>
                      <w:color w:val="auto"/>
                      <w:szCs w:val="21"/>
                    </w:rPr>
                  </w:pPr>
                  <w:r>
                    <w:rPr>
                      <w:color w:val="auto"/>
                      <w:szCs w:val="21"/>
                    </w:rPr>
                    <w:t>0.5</w:t>
                  </w:r>
                </w:p>
              </w:tc>
              <w:tc>
                <w:tcPr>
                  <w:tcW w:w="372" w:type="pct"/>
                  <w:vAlign w:val="center"/>
                </w:tcPr>
                <w:p>
                  <w:pPr>
                    <w:jc w:val="center"/>
                    <w:rPr>
                      <w:color w:val="auto"/>
                      <w:szCs w:val="21"/>
                    </w:rPr>
                  </w:pPr>
                  <w:r>
                    <w:rPr>
                      <w:color w:val="auto"/>
                      <w:szCs w:val="21"/>
                    </w:rPr>
                    <w:t>6~9</w:t>
                  </w:r>
                </w:p>
              </w:tc>
              <w:tc>
                <w:tcPr>
                  <w:tcW w:w="549" w:type="pct"/>
                  <w:vAlign w:val="center"/>
                </w:tcPr>
                <w:p>
                  <w:pPr>
                    <w:jc w:val="center"/>
                    <w:rPr>
                      <w:color w:val="auto"/>
                      <w:szCs w:val="21"/>
                    </w:rPr>
                  </w:pPr>
                  <w:r>
                    <w:rPr>
                      <w:color w:val="auto"/>
                      <w:szCs w:val="21"/>
                    </w:rPr>
                    <w:t>5.0</w:t>
                  </w:r>
                </w:p>
              </w:tc>
              <w:tc>
                <w:tcPr>
                  <w:tcW w:w="867" w:type="pct"/>
                  <w:vAlign w:val="center"/>
                </w:tcPr>
                <w:p>
                  <w:pPr>
                    <w:jc w:val="center"/>
                    <w:rPr>
                      <w:color w:val="auto"/>
                      <w:szCs w:val="21"/>
                    </w:rPr>
                  </w:pPr>
                  <w:r>
                    <w:rPr>
                      <w:color w:val="auto"/>
                      <w:szCs w:val="21"/>
                    </w:rPr>
                    <w:t>40</w:t>
                  </w:r>
                </w:p>
              </w:tc>
              <w:tc>
                <w:tcPr>
                  <w:tcW w:w="734" w:type="pct"/>
                  <w:vAlign w:val="center"/>
                </w:tcPr>
                <w:p>
                  <w:pPr>
                    <w:jc w:val="center"/>
                    <w:rPr>
                      <w:color w:val="auto"/>
                      <w:szCs w:val="21"/>
                    </w:rPr>
                  </w:pPr>
                  <w:r>
                    <w:rPr>
                      <w:color w:val="auto"/>
                      <w:szCs w:val="21"/>
                    </w:rPr>
                    <w:t>/</w:t>
                  </w:r>
                </w:p>
              </w:tc>
              <w:tc>
                <w:tcPr>
                  <w:tcW w:w="549" w:type="pct"/>
                  <w:vAlign w:val="center"/>
                </w:tcPr>
                <w:p>
                  <w:pPr>
                    <w:jc w:val="center"/>
                    <w:rPr>
                      <w:color w:val="auto"/>
                      <w:szCs w:val="21"/>
                    </w:rPr>
                  </w:pPr>
                  <w:r>
                    <w:rPr>
                      <w:rFonts w:hint="eastAsia"/>
                      <w:color w:val="auto"/>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jc w:val="center"/>
                    <w:rPr>
                      <w:color w:val="auto"/>
                      <w:szCs w:val="21"/>
                    </w:rPr>
                  </w:pPr>
                  <w:r>
                    <w:rPr>
                      <w:color w:val="auto"/>
                      <w:szCs w:val="21"/>
                    </w:rPr>
                    <w:t>GB18918-2002一级B标准</w:t>
                  </w:r>
                </w:p>
              </w:tc>
              <w:tc>
                <w:tcPr>
                  <w:tcW w:w="399" w:type="pct"/>
                  <w:tcMar>
                    <w:left w:w="0" w:type="dxa"/>
                    <w:right w:w="0" w:type="dxa"/>
                  </w:tcMar>
                  <w:vAlign w:val="center"/>
                </w:tcPr>
                <w:p>
                  <w:pPr>
                    <w:jc w:val="center"/>
                    <w:rPr>
                      <w:color w:val="auto"/>
                      <w:szCs w:val="21"/>
                    </w:rPr>
                  </w:pPr>
                  <w:r>
                    <w:rPr>
                      <w:color w:val="auto"/>
                      <w:szCs w:val="21"/>
                    </w:rPr>
                    <w:t>20</w:t>
                  </w:r>
                </w:p>
              </w:tc>
              <w:tc>
                <w:tcPr>
                  <w:tcW w:w="486" w:type="pct"/>
                  <w:vAlign w:val="center"/>
                </w:tcPr>
                <w:p>
                  <w:pPr>
                    <w:jc w:val="center"/>
                    <w:rPr>
                      <w:color w:val="auto"/>
                      <w:szCs w:val="21"/>
                    </w:rPr>
                  </w:pPr>
                  <w:r>
                    <w:rPr>
                      <w:color w:val="auto"/>
                      <w:szCs w:val="21"/>
                    </w:rPr>
                    <w:t>1.0</w:t>
                  </w:r>
                </w:p>
              </w:tc>
              <w:tc>
                <w:tcPr>
                  <w:tcW w:w="372" w:type="pct"/>
                  <w:vAlign w:val="center"/>
                </w:tcPr>
                <w:p>
                  <w:pPr>
                    <w:jc w:val="center"/>
                    <w:rPr>
                      <w:color w:val="auto"/>
                      <w:szCs w:val="21"/>
                    </w:rPr>
                  </w:pPr>
                  <w:r>
                    <w:rPr>
                      <w:color w:val="auto"/>
                      <w:szCs w:val="21"/>
                    </w:rPr>
                    <w:t>6~9</w:t>
                  </w:r>
                </w:p>
              </w:tc>
              <w:tc>
                <w:tcPr>
                  <w:tcW w:w="549" w:type="pct"/>
                  <w:vAlign w:val="center"/>
                </w:tcPr>
                <w:p>
                  <w:pPr>
                    <w:jc w:val="center"/>
                    <w:rPr>
                      <w:color w:val="auto"/>
                      <w:szCs w:val="21"/>
                    </w:rPr>
                  </w:pPr>
                  <w:r>
                    <w:rPr>
                      <w:color w:val="auto"/>
                      <w:szCs w:val="21"/>
                    </w:rPr>
                    <w:t>3.0</w:t>
                  </w:r>
                </w:p>
              </w:tc>
              <w:tc>
                <w:tcPr>
                  <w:tcW w:w="867" w:type="pct"/>
                  <w:vAlign w:val="center"/>
                </w:tcPr>
                <w:p>
                  <w:pPr>
                    <w:jc w:val="center"/>
                    <w:rPr>
                      <w:color w:val="auto"/>
                      <w:szCs w:val="21"/>
                    </w:rPr>
                  </w:pPr>
                  <w:r>
                    <w:rPr>
                      <w:color w:val="auto"/>
                      <w:szCs w:val="21"/>
                    </w:rPr>
                    <w:t>30</w:t>
                  </w:r>
                </w:p>
              </w:tc>
              <w:tc>
                <w:tcPr>
                  <w:tcW w:w="734" w:type="pct"/>
                  <w:vAlign w:val="center"/>
                </w:tcPr>
                <w:p>
                  <w:pPr>
                    <w:jc w:val="center"/>
                    <w:rPr>
                      <w:color w:val="auto"/>
                      <w:szCs w:val="21"/>
                    </w:rPr>
                  </w:pPr>
                  <w:r>
                    <w:rPr>
                      <w:color w:val="auto"/>
                      <w:szCs w:val="21"/>
                    </w:rPr>
                    <w:t>10000个/L</w:t>
                  </w:r>
                </w:p>
              </w:tc>
              <w:tc>
                <w:tcPr>
                  <w:tcW w:w="549" w:type="pct"/>
                  <w:vAlign w:val="center"/>
                </w:tcPr>
                <w:p>
                  <w:pPr>
                    <w:jc w:val="center"/>
                    <w:rPr>
                      <w:color w:val="auto"/>
                      <w:szCs w:val="21"/>
                    </w:rPr>
                  </w:pPr>
                  <w:r>
                    <w:rPr>
                      <w:rFonts w:hint="eastAsia"/>
                      <w:color w:val="auto"/>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jc w:val="center"/>
                    <w:rPr>
                      <w:color w:val="auto"/>
                      <w:szCs w:val="21"/>
                    </w:rPr>
                  </w:pPr>
                  <w:r>
                    <w:rPr>
                      <w:color w:val="auto"/>
                      <w:szCs w:val="21"/>
                    </w:rPr>
                    <w:t>执行限值</w:t>
                  </w:r>
                </w:p>
              </w:tc>
              <w:tc>
                <w:tcPr>
                  <w:tcW w:w="399" w:type="pct"/>
                  <w:tcMar>
                    <w:left w:w="0" w:type="dxa"/>
                    <w:right w:w="0" w:type="dxa"/>
                  </w:tcMar>
                  <w:vAlign w:val="center"/>
                </w:tcPr>
                <w:p>
                  <w:pPr>
                    <w:jc w:val="center"/>
                    <w:rPr>
                      <w:color w:val="auto"/>
                      <w:szCs w:val="21"/>
                    </w:rPr>
                  </w:pPr>
                  <w:r>
                    <w:rPr>
                      <w:color w:val="auto"/>
                      <w:szCs w:val="21"/>
                    </w:rPr>
                    <w:t>20</w:t>
                  </w:r>
                </w:p>
              </w:tc>
              <w:tc>
                <w:tcPr>
                  <w:tcW w:w="486" w:type="pct"/>
                  <w:vAlign w:val="center"/>
                </w:tcPr>
                <w:p>
                  <w:pPr>
                    <w:jc w:val="center"/>
                    <w:rPr>
                      <w:color w:val="auto"/>
                      <w:szCs w:val="21"/>
                    </w:rPr>
                  </w:pPr>
                  <w:r>
                    <w:rPr>
                      <w:color w:val="auto"/>
                      <w:szCs w:val="21"/>
                    </w:rPr>
                    <w:t>0.5</w:t>
                  </w:r>
                </w:p>
              </w:tc>
              <w:tc>
                <w:tcPr>
                  <w:tcW w:w="372" w:type="pct"/>
                  <w:vAlign w:val="center"/>
                </w:tcPr>
                <w:p>
                  <w:pPr>
                    <w:jc w:val="center"/>
                    <w:rPr>
                      <w:color w:val="auto"/>
                      <w:szCs w:val="21"/>
                    </w:rPr>
                  </w:pPr>
                  <w:r>
                    <w:rPr>
                      <w:color w:val="auto"/>
                      <w:szCs w:val="21"/>
                    </w:rPr>
                    <w:t>6~9</w:t>
                  </w:r>
                </w:p>
              </w:tc>
              <w:tc>
                <w:tcPr>
                  <w:tcW w:w="549" w:type="pct"/>
                  <w:vAlign w:val="center"/>
                </w:tcPr>
                <w:p>
                  <w:pPr>
                    <w:jc w:val="center"/>
                    <w:rPr>
                      <w:color w:val="auto"/>
                      <w:szCs w:val="21"/>
                    </w:rPr>
                  </w:pPr>
                  <w:r>
                    <w:rPr>
                      <w:color w:val="auto"/>
                      <w:szCs w:val="21"/>
                    </w:rPr>
                    <w:t>3.0</w:t>
                  </w:r>
                </w:p>
              </w:tc>
              <w:tc>
                <w:tcPr>
                  <w:tcW w:w="867" w:type="pct"/>
                  <w:vAlign w:val="center"/>
                </w:tcPr>
                <w:p>
                  <w:pPr>
                    <w:jc w:val="center"/>
                    <w:rPr>
                      <w:color w:val="auto"/>
                      <w:szCs w:val="21"/>
                    </w:rPr>
                  </w:pPr>
                  <w:r>
                    <w:rPr>
                      <w:color w:val="auto"/>
                      <w:szCs w:val="21"/>
                    </w:rPr>
                    <w:t>30</w:t>
                  </w:r>
                </w:p>
              </w:tc>
              <w:tc>
                <w:tcPr>
                  <w:tcW w:w="734" w:type="pct"/>
                  <w:vAlign w:val="center"/>
                </w:tcPr>
                <w:p>
                  <w:pPr>
                    <w:jc w:val="center"/>
                    <w:rPr>
                      <w:color w:val="auto"/>
                      <w:szCs w:val="21"/>
                    </w:rPr>
                  </w:pPr>
                  <w:r>
                    <w:rPr>
                      <w:color w:val="auto"/>
                      <w:szCs w:val="21"/>
                    </w:rPr>
                    <w:t>10000个/L</w:t>
                  </w:r>
                </w:p>
              </w:tc>
              <w:tc>
                <w:tcPr>
                  <w:tcW w:w="549" w:type="pct"/>
                  <w:vAlign w:val="center"/>
                </w:tcPr>
                <w:p>
                  <w:pPr>
                    <w:jc w:val="center"/>
                    <w:rPr>
                      <w:color w:val="auto"/>
                      <w:szCs w:val="21"/>
                    </w:rPr>
                  </w:pPr>
                  <w:r>
                    <w:rPr>
                      <w:rFonts w:hint="eastAsia"/>
                      <w:color w:val="auto"/>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1040" w:type="pct"/>
                  <w:tcMar>
                    <w:left w:w="0" w:type="dxa"/>
                    <w:right w:w="0" w:type="dxa"/>
                  </w:tcMar>
                  <w:vAlign w:val="center"/>
                </w:tcPr>
                <w:p>
                  <w:pPr>
                    <w:jc w:val="center"/>
                    <w:rPr>
                      <w:color w:val="auto"/>
                      <w:szCs w:val="21"/>
                    </w:rPr>
                  </w:pPr>
                  <w:r>
                    <w:rPr>
                      <w:color w:val="auto"/>
                      <w:szCs w:val="21"/>
                    </w:rPr>
                    <w:t>备注</w:t>
                  </w:r>
                </w:p>
              </w:tc>
              <w:tc>
                <w:tcPr>
                  <w:tcW w:w="3959" w:type="pct"/>
                  <w:gridSpan w:val="7"/>
                  <w:vAlign w:val="center"/>
                </w:tcPr>
                <w:p>
                  <w:pPr>
                    <w:jc w:val="center"/>
                    <w:rPr>
                      <w:color w:val="auto"/>
                      <w:szCs w:val="21"/>
                      <w:lang w:eastAsia="ja-JP"/>
                    </w:rPr>
                  </w:pPr>
                  <w:r>
                    <w:rPr>
                      <w:color w:val="auto"/>
                      <w:szCs w:val="21"/>
                      <w:lang w:eastAsia="ja-JP"/>
                    </w:rPr>
                    <w:t>①</w:t>
                  </w:r>
                  <w:r>
                    <w:rPr>
                      <w:color w:val="auto"/>
                      <w:szCs w:val="21"/>
                    </w:rPr>
                    <w:t>括号内为水温&lt;12℃时的限值，括号外为水温在12℃以上的限值</w:t>
                  </w:r>
                </w:p>
              </w:tc>
            </w:tr>
          </w:tbl>
          <w:p>
            <w:pPr>
              <w:pStyle w:val="13"/>
              <w:adjustRightInd w:val="0"/>
              <w:snapToGrid w:val="0"/>
              <w:spacing w:line="360" w:lineRule="auto"/>
              <w:ind w:firstLine="480"/>
              <w:rPr>
                <w:rFonts w:ascii="Times New Roman" w:hAnsi="Times New Roman" w:cs="Times New Roman"/>
                <w:b/>
                <w:color w:val="auto"/>
                <w:sz w:val="24"/>
              </w:rPr>
            </w:pPr>
            <w:r>
              <w:rPr>
                <w:rFonts w:ascii="Times New Roman" w:hAnsi="Times New Roman" w:cs="Times New Roman"/>
                <w:b/>
                <w:color w:val="auto"/>
                <w:sz w:val="24"/>
              </w:rPr>
              <w:t>3.噪声排放标准</w:t>
            </w:r>
          </w:p>
          <w:p>
            <w:pPr>
              <w:pStyle w:val="13"/>
              <w:adjustRightInd w:val="0"/>
              <w:snapToGrid w:val="0"/>
              <w:spacing w:line="360" w:lineRule="auto"/>
              <w:ind w:firstLine="480"/>
              <w:rPr>
                <w:rFonts w:ascii="Times New Roman" w:hAnsi="Times New Roman" w:cs="Times New Roman"/>
                <w:color w:val="auto"/>
                <w:sz w:val="24"/>
                <w:szCs w:val="20"/>
              </w:rPr>
            </w:pPr>
            <w:r>
              <w:rPr>
                <w:rFonts w:ascii="Times New Roman" w:hAnsi="Times New Roman" w:cs="Times New Roman"/>
                <w:color w:val="auto"/>
                <w:sz w:val="24"/>
                <w:szCs w:val="20"/>
              </w:rPr>
              <w:t>建设期执行《建筑施工场界环境噪声排放标准》（GB12523-2011）中噪声限值，即昼间低于70dB（A），夜间低于55dB（A）。</w:t>
            </w:r>
          </w:p>
          <w:p>
            <w:pPr>
              <w:pStyle w:val="13"/>
              <w:adjustRightInd w:val="0"/>
              <w:snapToGrid w:val="0"/>
              <w:spacing w:line="360" w:lineRule="auto"/>
              <w:ind w:firstLine="480"/>
              <w:rPr>
                <w:rFonts w:ascii="Times New Roman" w:hAnsi="Times New Roman" w:cs="Times New Roman"/>
                <w:color w:val="auto"/>
                <w:sz w:val="24"/>
                <w:szCs w:val="20"/>
              </w:rPr>
            </w:pPr>
            <w:r>
              <w:rPr>
                <w:rFonts w:ascii="Times New Roman" w:hAnsi="Times New Roman" w:cs="Times New Roman"/>
                <w:color w:val="auto"/>
                <w:kern w:val="0"/>
                <w:sz w:val="24"/>
              </w:rPr>
              <w:t>运营期</w:t>
            </w:r>
            <w:r>
              <w:rPr>
                <w:rFonts w:ascii="Times New Roman" w:hAnsi="Times New Roman" w:cs="Times New Roman"/>
                <w:color w:val="auto"/>
                <w:sz w:val="24"/>
                <w:szCs w:val="20"/>
              </w:rPr>
              <w:t>执行《工业企业厂界环境噪声排放标准》（GB12348-2008）中3类排放标准要求，即昼间低于65dB（A），夜间低于55dB（A）。</w:t>
            </w:r>
          </w:p>
          <w:p>
            <w:pPr>
              <w:pStyle w:val="13"/>
              <w:adjustRightInd w:val="0"/>
              <w:snapToGrid w:val="0"/>
              <w:spacing w:line="360" w:lineRule="auto"/>
              <w:ind w:firstLine="482" w:firstLineChars="200"/>
              <w:rPr>
                <w:rFonts w:ascii="Times New Roman" w:hAnsi="Times New Roman" w:cs="Times New Roman"/>
                <w:b/>
                <w:color w:val="auto"/>
                <w:sz w:val="24"/>
                <w:szCs w:val="24"/>
              </w:rPr>
            </w:pPr>
            <w:r>
              <w:rPr>
                <w:rFonts w:ascii="Times New Roman" w:hAnsi="Times New Roman" w:cs="Times New Roman"/>
                <w:b/>
                <w:color w:val="auto"/>
                <w:sz w:val="24"/>
                <w:szCs w:val="24"/>
              </w:rPr>
              <w:t>4.</w:t>
            </w:r>
            <w:r>
              <w:rPr>
                <w:rFonts w:hint="eastAsia" w:ascii="Times New Roman" w:hAnsi="Times New Roman" w:cs="Times New Roman"/>
                <w:b/>
                <w:color w:val="auto"/>
                <w:sz w:val="24"/>
                <w:szCs w:val="24"/>
                <w:lang w:eastAsia="zh-CN"/>
              </w:rPr>
              <w:t>固体废物</w:t>
            </w:r>
            <w:r>
              <w:rPr>
                <w:rFonts w:ascii="Times New Roman" w:hAnsi="Times New Roman" w:cs="Times New Roman"/>
                <w:b/>
                <w:color w:val="auto"/>
                <w:sz w:val="24"/>
                <w:szCs w:val="24"/>
              </w:rPr>
              <w:t>执行标准</w:t>
            </w:r>
          </w:p>
          <w:p>
            <w:pPr>
              <w:adjustRightInd w:val="0"/>
              <w:snapToGrid w:val="0"/>
              <w:spacing w:line="360" w:lineRule="auto"/>
              <w:ind w:firstLine="480" w:firstLineChars="200"/>
              <w:rPr>
                <w:color w:val="auto"/>
                <w:sz w:val="24"/>
              </w:rPr>
            </w:pPr>
            <w:r>
              <w:rPr>
                <w:rFonts w:hint="default"/>
                <w:color w:val="auto"/>
                <w:sz w:val="24"/>
              </w:rPr>
              <w:t>一般工业固体废物在厂内采用库房或包装工具贮存，贮存过程应满足相应防渗漏、防雨淋、防扬尘等环境保护要求；</w:t>
            </w:r>
            <w:r>
              <w:rPr>
                <w:color w:val="auto"/>
                <w:sz w:val="24"/>
              </w:rPr>
              <w:t>危险废物暂存执行</w:t>
            </w:r>
            <w:r>
              <w:rPr>
                <w:rFonts w:hint="default"/>
                <w:color w:val="auto"/>
                <w:sz w:val="24"/>
              </w:rPr>
              <w:t>《危险废物贮存污染控制标准》（GB18597-20</w:t>
            </w:r>
            <w:r>
              <w:rPr>
                <w:rFonts w:hint="eastAsia"/>
                <w:color w:val="auto"/>
                <w:sz w:val="24"/>
                <w:lang w:val="en-US" w:eastAsia="zh-CN"/>
              </w:rPr>
              <w:t>23</w:t>
            </w:r>
            <w:r>
              <w:rPr>
                <w:rFonts w:hint="default"/>
                <w:color w:val="auto"/>
                <w:sz w:val="24"/>
              </w:rPr>
              <w:t>）</w:t>
            </w:r>
            <w:r>
              <w:rPr>
                <w:color w:val="auto"/>
                <w:sz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60" w:hRule="atLeast"/>
          <w:jc w:val="center"/>
        </w:trPr>
        <w:tc>
          <w:tcPr>
            <w:tcW w:w="781" w:type="dxa"/>
            <w:vAlign w:val="center"/>
          </w:tcPr>
          <w:p>
            <w:pPr>
              <w:adjustRightInd w:val="0"/>
              <w:snapToGrid w:val="0"/>
              <w:jc w:val="center"/>
              <w:rPr>
                <w:color w:val="auto"/>
                <w:kern w:val="0"/>
                <w:sz w:val="24"/>
              </w:rPr>
            </w:pPr>
            <w:r>
              <w:rPr>
                <w:color w:val="auto"/>
                <w:kern w:val="0"/>
                <w:sz w:val="24"/>
              </w:rPr>
              <w:t>总量</w:t>
            </w:r>
          </w:p>
          <w:p>
            <w:pPr>
              <w:adjustRightInd w:val="0"/>
              <w:snapToGrid w:val="0"/>
              <w:jc w:val="center"/>
              <w:rPr>
                <w:color w:val="auto"/>
                <w:kern w:val="0"/>
                <w:sz w:val="24"/>
              </w:rPr>
            </w:pPr>
            <w:r>
              <w:rPr>
                <w:color w:val="auto"/>
                <w:kern w:val="0"/>
                <w:sz w:val="24"/>
              </w:rPr>
              <w:t>控制</w:t>
            </w:r>
          </w:p>
          <w:p>
            <w:pPr>
              <w:adjustRightInd w:val="0"/>
              <w:snapToGrid w:val="0"/>
              <w:jc w:val="center"/>
              <w:rPr>
                <w:color w:val="auto"/>
                <w:kern w:val="0"/>
                <w:szCs w:val="21"/>
              </w:rPr>
            </w:pPr>
            <w:r>
              <w:rPr>
                <w:color w:val="auto"/>
                <w:kern w:val="0"/>
                <w:sz w:val="24"/>
              </w:rPr>
              <w:t>指标</w:t>
            </w:r>
          </w:p>
        </w:tc>
        <w:tc>
          <w:tcPr>
            <w:tcW w:w="8280" w:type="dxa"/>
            <w:vAlign w:val="center"/>
          </w:tcPr>
          <w:p>
            <w:pPr>
              <w:spacing w:line="360" w:lineRule="auto"/>
              <w:ind w:firstLine="482" w:firstLineChars="200"/>
              <w:rPr>
                <w:rFonts w:hint="eastAsia"/>
                <w:b/>
                <w:bCs/>
                <w:color w:val="auto"/>
                <w:sz w:val="24"/>
              </w:rPr>
            </w:pPr>
            <w:r>
              <w:rPr>
                <w:rFonts w:hint="eastAsia"/>
                <w:b/>
                <w:bCs/>
                <w:color w:val="auto"/>
                <w:sz w:val="24"/>
              </w:rPr>
              <w:t>1、水污染物总量控制指标</w:t>
            </w:r>
          </w:p>
          <w:p>
            <w:pPr>
              <w:spacing w:line="360" w:lineRule="auto"/>
              <w:ind w:firstLine="480" w:firstLineChars="200"/>
              <w:rPr>
                <w:rFonts w:hint="eastAsia"/>
                <w:color w:val="auto"/>
                <w:sz w:val="24"/>
              </w:rPr>
            </w:pPr>
            <w:r>
              <w:rPr>
                <w:rFonts w:hint="eastAsia"/>
                <w:color w:val="auto"/>
                <w:sz w:val="24"/>
              </w:rPr>
              <w:t>本项目新增污染物排放总量为COD：</w:t>
            </w:r>
            <w:r>
              <w:rPr>
                <w:color w:val="auto"/>
                <w:sz w:val="24"/>
              </w:rPr>
              <w:t>0.</w:t>
            </w:r>
            <w:r>
              <w:rPr>
                <w:rFonts w:hint="eastAsia"/>
                <w:color w:val="auto"/>
                <w:sz w:val="24"/>
              </w:rPr>
              <w:t>16t/a、NH</w:t>
            </w:r>
            <w:r>
              <w:rPr>
                <w:rFonts w:hint="eastAsia"/>
                <w:color w:val="auto"/>
                <w:sz w:val="24"/>
                <w:vertAlign w:val="subscript"/>
              </w:rPr>
              <w:t>3</w:t>
            </w:r>
            <w:r>
              <w:rPr>
                <w:rFonts w:hint="eastAsia"/>
                <w:color w:val="auto"/>
                <w:sz w:val="24"/>
              </w:rPr>
              <w:t>-N：</w:t>
            </w:r>
            <w:r>
              <w:rPr>
                <w:color w:val="auto"/>
                <w:sz w:val="24"/>
              </w:rPr>
              <w:t>0.0</w:t>
            </w:r>
            <w:r>
              <w:rPr>
                <w:rFonts w:hint="eastAsia"/>
                <w:color w:val="auto"/>
                <w:sz w:val="24"/>
              </w:rPr>
              <w:t>3t/a</w:t>
            </w:r>
            <w:r>
              <w:rPr>
                <w:rFonts w:hint="eastAsia"/>
                <w:color w:val="auto"/>
                <w:sz w:val="24"/>
                <w:highlight w:val="none"/>
              </w:rPr>
              <w:t>，其中C</w:t>
            </w:r>
            <w:r>
              <w:rPr>
                <w:color w:val="auto"/>
                <w:sz w:val="24"/>
                <w:highlight w:val="none"/>
              </w:rPr>
              <w:t>OD</w:t>
            </w:r>
            <w:r>
              <w:rPr>
                <w:rFonts w:hint="eastAsia"/>
                <w:color w:val="auto"/>
                <w:sz w:val="24"/>
                <w:highlight w:val="none"/>
              </w:rPr>
              <w:t>和N</w:t>
            </w:r>
            <w:r>
              <w:rPr>
                <w:color w:val="auto"/>
                <w:sz w:val="24"/>
                <w:highlight w:val="none"/>
              </w:rPr>
              <w:t>H</w:t>
            </w:r>
            <w:r>
              <w:rPr>
                <w:color w:val="auto"/>
                <w:sz w:val="24"/>
                <w:highlight w:val="none"/>
                <w:vertAlign w:val="subscript"/>
              </w:rPr>
              <w:t>3</w:t>
            </w:r>
            <w:r>
              <w:rPr>
                <w:color w:val="auto"/>
                <w:sz w:val="24"/>
                <w:highlight w:val="none"/>
              </w:rPr>
              <w:t>-N</w:t>
            </w:r>
            <w:r>
              <w:rPr>
                <w:rFonts w:hint="eastAsia"/>
                <w:color w:val="auto"/>
                <w:sz w:val="24"/>
                <w:highlight w:val="none"/>
              </w:rPr>
              <w:t>从园区污水处理厂总量中调配，不再单独分配。</w:t>
            </w:r>
          </w:p>
          <w:p>
            <w:pPr>
              <w:spacing w:line="360" w:lineRule="auto"/>
              <w:ind w:firstLine="482" w:firstLineChars="200"/>
              <w:rPr>
                <w:rFonts w:hint="eastAsia"/>
                <w:b/>
                <w:bCs/>
                <w:color w:val="auto"/>
                <w:sz w:val="24"/>
              </w:rPr>
            </w:pPr>
            <w:r>
              <w:rPr>
                <w:rFonts w:hint="eastAsia"/>
                <w:b/>
                <w:bCs/>
                <w:color w:val="auto"/>
                <w:sz w:val="24"/>
              </w:rPr>
              <w:t>2、大气污染物总量控制指标</w:t>
            </w:r>
          </w:p>
          <w:p>
            <w:pPr>
              <w:spacing w:line="360" w:lineRule="auto"/>
              <w:ind w:firstLine="480" w:firstLineChars="200"/>
              <w:rPr>
                <w:color w:val="auto"/>
                <w:sz w:val="24"/>
              </w:rPr>
            </w:pPr>
            <w:r>
              <w:rPr>
                <w:rFonts w:hint="eastAsia"/>
                <w:color w:val="auto"/>
                <w:sz w:val="24"/>
                <w:highlight w:val="none"/>
              </w:rPr>
              <w:t>本项目废气污染物经治理达标后，颗粒物排放量为</w:t>
            </w:r>
            <w:r>
              <w:rPr>
                <w:rFonts w:hint="eastAsia"/>
                <w:color w:val="auto"/>
                <w:sz w:val="24"/>
                <w:highlight w:val="none"/>
                <w:lang w:val="en-US" w:eastAsia="zh-CN"/>
              </w:rPr>
              <w:t>0.04t</w:t>
            </w:r>
            <w:r>
              <w:rPr>
                <w:rFonts w:hint="eastAsia"/>
                <w:color w:val="auto"/>
                <w:sz w:val="24"/>
                <w:highlight w:val="none"/>
              </w:rPr>
              <w:t>/a（无组织排放）、VOCs排放量为</w:t>
            </w:r>
            <w:r>
              <w:rPr>
                <w:rFonts w:hint="eastAsia"/>
                <w:color w:val="auto"/>
                <w:sz w:val="24"/>
                <w:highlight w:val="none"/>
                <w:lang w:val="en-US" w:eastAsia="zh-CN"/>
              </w:rPr>
              <w:t>0.29t</w:t>
            </w:r>
            <w:r>
              <w:rPr>
                <w:rFonts w:hint="eastAsia"/>
                <w:color w:val="auto"/>
                <w:sz w:val="24"/>
                <w:highlight w:val="none"/>
              </w:rPr>
              <w:t>/a（有组织排放</w:t>
            </w:r>
            <w:r>
              <w:rPr>
                <w:rFonts w:hint="eastAsia"/>
                <w:color w:val="auto"/>
                <w:sz w:val="24"/>
                <w:highlight w:val="none"/>
                <w:lang w:val="en-US" w:eastAsia="zh-CN"/>
              </w:rPr>
              <w:t>量为0.0378t/a、无组织排放量为0.252t/a</w:t>
            </w:r>
            <w:r>
              <w:rPr>
                <w:rFonts w:hint="eastAsia"/>
                <w:color w:val="auto"/>
                <w:sz w:val="24"/>
                <w:highlight w:val="none"/>
              </w:rPr>
              <w:t>）</w:t>
            </w:r>
            <w:r>
              <w:rPr>
                <w:rFonts w:hint="eastAsia"/>
                <w:color w:val="auto"/>
                <w:sz w:val="24"/>
                <w:highlight w:val="none"/>
                <w:lang w:eastAsia="zh-CN"/>
              </w:rPr>
              <w:t>。</w:t>
            </w:r>
            <w:r>
              <w:rPr>
                <w:rFonts w:hint="eastAsia"/>
                <w:color w:val="auto"/>
                <w:sz w:val="24"/>
                <w:highlight w:val="none"/>
              </w:rPr>
              <w:t>颗粒物总量</w:t>
            </w:r>
            <w:r>
              <w:rPr>
                <w:rFonts w:hint="eastAsia"/>
                <w:color w:val="auto"/>
                <w:sz w:val="24"/>
                <w:highlight w:val="none"/>
                <w:lang w:val="en-US" w:eastAsia="zh-CN"/>
              </w:rPr>
              <w:t>控制</w:t>
            </w:r>
            <w:r>
              <w:rPr>
                <w:rFonts w:hint="eastAsia"/>
                <w:color w:val="auto"/>
                <w:sz w:val="24"/>
                <w:highlight w:val="none"/>
              </w:rPr>
              <w:t>指标由建设单位向韶关市生态环境局申请分配总量控制指标和氮氧化物等量替代来源。</w:t>
            </w:r>
            <w:r>
              <w:rPr>
                <w:color w:val="auto"/>
                <w:sz w:val="24"/>
                <w:highlight w:val="none"/>
              </w:rPr>
              <w:t>根据广东省生态环境厅2019年7月12日网络答复公众意见（网页链接：</w:t>
            </w:r>
            <w:r>
              <w:rPr>
                <w:color w:val="auto"/>
                <w:highlight w:val="none"/>
              </w:rPr>
              <w:fldChar w:fldCharType="begin"/>
            </w:r>
            <w:r>
              <w:rPr>
                <w:color w:val="auto"/>
                <w:highlight w:val="none"/>
              </w:rPr>
              <w:instrText xml:space="preserve"> HYPERLINK "http://gdee.gd.gov.cn/qtwt/content/post_2536339.html，详见" </w:instrText>
            </w:r>
            <w:r>
              <w:rPr>
                <w:color w:val="auto"/>
                <w:highlight w:val="none"/>
              </w:rPr>
              <w:fldChar w:fldCharType="separate"/>
            </w:r>
            <w:r>
              <w:rPr>
                <w:color w:val="auto"/>
                <w:sz w:val="24"/>
                <w:szCs w:val="32"/>
                <w:highlight w:val="none"/>
                <w:u w:val="single"/>
              </w:rPr>
              <w:t>http://gdee.gd.gov.cn/qtwt/content/post_2536339.html</w:t>
            </w:r>
            <w:r>
              <w:rPr>
                <w:rFonts w:hint="eastAsia"/>
                <w:color w:val="auto"/>
                <w:highlight w:val="none"/>
              </w:rPr>
              <w:t>，详见</w:t>
            </w:r>
            <w:r>
              <w:rPr>
                <w:color w:val="auto"/>
                <w:highlight w:val="none"/>
              </w:rPr>
              <w:fldChar w:fldCharType="end"/>
            </w:r>
            <w:r>
              <w:rPr>
                <w:rFonts w:hint="eastAsia"/>
                <w:color w:val="auto"/>
                <w:sz w:val="24"/>
                <w:highlight w:val="none"/>
              </w:rPr>
              <w:t>附件4</w:t>
            </w:r>
            <w:r>
              <w:rPr>
                <w:color w:val="auto"/>
                <w:sz w:val="24"/>
                <w:highlight w:val="none"/>
              </w:rPr>
              <w:t>）</w:t>
            </w:r>
            <w:r>
              <w:rPr>
                <w:color w:val="auto"/>
                <w:highlight w:val="none"/>
              </w:rPr>
              <w:fldChar w:fldCharType="begin"/>
            </w:r>
            <w:r>
              <w:rPr>
                <w:color w:val="auto"/>
                <w:highlight w:val="none"/>
              </w:rPr>
              <w:instrText xml:space="preserve"> HYPERLINK "http://gdee.gd.gov.cn/qtwt/content/post_2536339.html），VOCs排放量超过300公斤/年需要申请总量，本项目VOCs排放量仅70kg/a，建议不分配总量控制指标" </w:instrText>
            </w:r>
            <w:r>
              <w:rPr>
                <w:color w:val="auto"/>
                <w:highlight w:val="none"/>
              </w:rPr>
              <w:fldChar w:fldCharType="separate"/>
            </w:r>
            <w:r>
              <w:rPr>
                <w:color w:val="auto"/>
                <w:sz w:val="24"/>
                <w:highlight w:val="none"/>
              </w:rPr>
              <w:t>，VOCs排放量超过300公斤/年需要申请总量，本项目VOCs排放量</w:t>
            </w:r>
            <w:r>
              <w:rPr>
                <w:rFonts w:hint="eastAsia"/>
                <w:color w:val="auto"/>
                <w:sz w:val="24"/>
                <w:highlight w:val="none"/>
                <w:lang w:val="en-US" w:eastAsia="zh-CN"/>
              </w:rPr>
              <w:t>为</w:t>
            </w:r>
            <w:r>
              <w:rPr>
                <w:rFonts w:hint="eastAsia"/>
                <w:color w:val="auto"/>
                <w:sz w:val="24"/>
                <w:highlight w:val="none"/>
              </w:rPr>
              <w:t>2</w:t>
            </w:r>
            <w:r>
              <w:rPr>
                <w:rFonts w:hint="eastAsia"/>
                <w:color w:val="auto"/>
                <w:sz w:val="24"/>
                <w:highlight w:val="none"/>
                <w:lang w:val="en-US" w:eastAsia="zh-CN"/>
              </w:rPr>
              <w:t>9</w:t>
            </w:r>
            <w:r>
              <w:rPr>
                <w:rFonts w:hint="eastAsia"/>
                <w:color w:val="auto"/>
                <w:sz w:val="24"/>
                <w:highlight w:val="none"/>
              </w:rPr>
              <w:t>0</w:t>
            </w:r>
            <w:r>
              <w:rPr>
                <w:color w:val="auto"/>
                <w:sz w:val="24"/>
                <w:highlight w:val="none"/>
              </w:rPr>
              <w:t>公斤/年，</w:t>
            </w:r>
            <w:r>
              <w:rPr>
                <w:rFonts w:hint="eastAsia"/>
                <w:color w:val="auto"/>
                <w:sz w:val="24"/>
                <w:highlight w:val="none"/>
                <w:lang w:val="en-US" w:eastAsia="zh-CN"/>
              </w:rPr>
              <w:t>无需</w:t>
            </w:r>
            <w:r>
              <w:rPr>
                <w:color w:val="auto"/>
                <w:sz w:val="24"/>
                <w:highlight w:val="none"/>
              </w:rPr>
              <w:t>分配总量控制指标</w:t>
            </w:r>
            <w:r>
              <w:rPr>
                <w:color w:val="auto"/>
                <w:sz w:val="24"/>
                <w:highlight w:val="none"/>
              </w:rPr>
              <w:fldChar w:fldCharType="end"/>
            </w:r>
            <w:r>
              <w:rPr>
                <w:color w:val="auto"/>
                <w:sz w:val="24"/>
                <w:highlight w:val="none"/>
              </w:rPr>
              <w:t>。</w:t>
            </w:r>
          </w:p>
        </w:tc>
      </w:tr>
    </w:tbl>
    <w:p>
      <w:pPr>
        <w:pStyle w:val="23"/>
        <w:snapToGrid w:val="0"/>
        <w:spacing w:before="0" w:beforeAutospacing="0" w:after="0" w:afterAutospacing="0" w:line="360" w:lineRule="auto"/>
        <w:jc w:val="center"/>
        <w:outlineLvl w:val="0"/>
        <w:rPr>
          <w:rFonts w:ascii="Times New Roman" w:hAnsi="Times New Roman" w:eastAsia="黑体"/>
          <w:snapToGrid w:val="0"/>
          <w:color w:val="auto"/>
          <w:sz w:val="30"/>
          <w:szCs w:val="30"/>
        </w:rPr>
      </w:pPr>
      <w:r>
        <w:rPr>
          <w:rFonts w:ascii="Times New Roman" w:hAnsi="Times New Roman" w:eastAsia="黑体"/>
          <w:snapToGrid w:val="0"/>
          <w:color w:val="auto"/>
          <w:sz w:val="36"/>
          <w:szCs w:val="36"/>
        </w:rPr>
        <w:br w:type="page"/>
      </w:r>
      <w:bookmarkStart w:id="58" w:name="_Toc3915"/>
      <w:bookmarkStart w:id="59" w:name="_Toc31453"/>
      <w:r>
        <w:rPr>
          <w:rFonts w:ascii="Times New Roman" w:hAnsi="Times New Roman" w:eastAsia="黑体"/>
          <w:snapToGrid w:val="0"/>
          <w:color w:val="auto"/>
          <w:sz w:val="30"/>
          <w:szCs w:val="30"/>
        </w:rPr>
        <w:t>四、主要环境影响和保护措施</w:t>
      </w:r>
      <w:bookmarkEnd w:id="58"/>
      <w:bookmarkEnd w:id="59"/>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1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49" w:hRule="atLeast"/>
          <w:jc w:val="center"/>
        </w:trPr>
        <w:tc>
          <w:tcPr>
            <w:tcW w:w="746" w:type="dxa"/>
            <w:tcMar>
              <w:left w:w="28" w:type="dxa"/>
              <w:right w:w="28" w:type="dxa"/>
            </w:tcMar>
            <w:vAlign w:val="center"/>
          </w:tcPr>
          <w:p>
            <w:pPr>
              <w:pStyle w:val="23"/>
              <w:adjustRightInd w:val="0"/>
              <w:snapToGrid w:val="0"/>
              <w:spacing w:before="0" w:beforeAutospacing="0" w:after="0" w:afterAutospacing="0"/>
              <w:jc w:val="center"/>
              <w:rPr>
                <w:rFonts w:ascii="Times New Roman" w:hAnsi="Times New Roman"/>
                <w:color w:val="auto"/>
                <w:kern w:val="2"/>
                <w:szCs w:val="24"/>
              </w:rPr>
            </w:pPr>
            <w:r>
              <w:rPr>
                <w:rFonts w:ascii="Times New Roman" w:hAnsi="Times New Roman"/>
                <w:color w:val="auto"/>
                <w:kern w:val="2"/>
                <w:szCs w:val="24"/>
              </w:rPr>
              <w:t>施工</w:t>
            </w:r>
          </w:p>
          <w:p>
            <w:pPr>
              <w:pStyle w:val="23"/>
              <w:adjustRightInd w:val="0"/>
              <w:snapToGrid w:val="0"/>
              <w:spacing w:before="0" w:beforeAutospacing="0" w:after="0" w:afterAutospacing="0"/>
              <w:jc w:val="center"/>
              <w:rPr>
                <w:rFonts w:ascii="Times New Roman" w:hAnsi="Times New Roman"/>
                <w:color w:val="auto"/>
                <w:kern w:val="2"/>
                <w:szCs w:val="24"/>
              </w:rPr>
            </w:pPr>
            <w:r>
              <w:rPr>
                <w:rFonts w:ascii="Times New Roman" w:hAnsi="Times New Roman"/>
                <w:color w:val="auto"/>
                <w:kern w:val="2"/>
                <w:szCs w:val="24"/>
              </w:rPr>
              <w:t>期环</w:t>
            </w:r>
          </w:p>
          <w:p>
            <w:pPr>
              <w:pStyle w:val="23"/>
              <w:adjustRightInd w:val="0"/>
              <w:snapToGrid w:val="0"/>
              <w:spacing w:before="0" w:beforeAutospacing="0" w:after="0" w:afterAutospacing="0"/>
              <w:jc w:val="center"/>
              <w:rPr>
                <w:rFonts w:ascii="Times New Roman" w:hAnsi="Times New Roman"/>
                <w:color w:val="auto"/>
                <w:kern w:val="2"/>
                <w:szCs w:val="24"/>
              </w:rPr>
            </w:pPr>
            <w:r>
              <w:rPr>
                <w:rFonts w:ascii="Times New Roman" w:hAnsi="Times New Roman"/>
                <w:color w:val="auto"/>
                <w:kern w:val="2"/>
                <w:szCs w:val="24"/>
              </w:rPr>
              <w:t>境保</w:t>
            </w:r>
          </w:p>
          <w:p>
            <w:pPr>
              <w:pStyle w:val="23"/>
              <w:adjustRightInd w:val="0"/>
              <w:snapToGrid w:val="0"/>
              <w:spacing w:before="0" w:beforeAutospacing="0" w:after="0" w:afterAutospacing="0"/>
              <w:jc w:val="center"/>
              <w:rPr>
                <w:rFonts w:ascii="Times New Roman" w:hAnsi="Times New Roman"/>
                <w:color w:val="auto"/>
                <w:kern w:val="2"/>
                <w:szCs w:val="24"/>
              </w:rPr>
            </w:pPr>
            <w:r>
              <w:rPr>
                <w:rFonts w:ascii="Times New Roman" w:hAnsi="Times New Roman"/>
                <w:color w:val="auto"/>
                <w:kern w:val="2"/>
                <w:szCs w:val="24"/>
              </w:rPr>
              <w:t>护措</w:t>
            </w:r>
          </w:p>
          <w:p>
            <w:pPr>
              <w:pStyle w:val="23"/>
              <w:adjustRightInd w:val="0"/>
              <w:snapToGrid w:val="0"/>
              <w:spacing w:before="0" w:beforeAutospacing="0" w:after="0" w:afterAutospacing="0"/>
              <w:jc w:val="center"/>
              <w:rPr>
                <w:rFonts w:ascii="Times New Roman" w:hAnsi="Times New Roman"/>
                <w:bCs/>
                <w:color w:val="auto"/>
                <w:kern w:val="2"/>
                <w:sz w:val="21"/>
                <w:szCs w:val="21"/>
              </w:rPr>
            </w:pPr>
            <w:r>
              <w:rPr>
                <w:rFonts w:ascii="Times New Roman" w:hAnsi="Times New Roman"/>
                <w:color w:val="auto"/>
                <w:kern w:val="2"/>
                <w:szCs w:val="24"/>
              </w:rPr>
              <w:t>施</w:t>
            </w:r>
          </w:p>
        </w:tc>
        <w:tc>
          <w:tcPr>
            <w:tcW w:w="8162" w:type="dxa"/>
            <w:vAlign w:val="center"/>
          </w:tcPr>
          <w:p>
            <w:pPr>
              <w:autoSpaceDE w:val="0"/>
              <w:autoSpaceDN w:val="0"/>
              <w:adjustRightInd w:val="0"/>
              <w:snapToGrid w:val="0"/>
              <w:spacing w:line="360" w:lineRule="auto"/>
              <w:ind w:firstLine="482" w:firstLineChars="200"/>
              <w:rPr>
                <w:b/>
                <w:color w:val="auto"/>
                <w:kern w:val="0"/>
                <w:sz w:val="24"/>
              </w:rPr>
            </w:pPr>
            <w:r>
              <w:rPr>
                <w:b/>
                <w:color w:val="auto"/>
                <w:kern w:val="0"/>
                <w:sz w:val="24"/>
              </w:rPr>
              <w:t>1、施工期扬尘治理措施</w:t>
            </w:r>
          </w:p>
          <w:p>
            <w:pPr>
              <w:autoSpaceDE w:val="0"/>
              <w:autoSpaceDN w:val="0"/>
              <w:adjustRightInd w:val="0"/>
              <w:snapToGrid w:val="0"/>
              <w:spacing w:line="360" w:lineRule="auto"/>
              <w:ind w:firstLine="480" w:firstLineChars="200"/>
              <w:rPr>
                <w:color w:val="auto"/>
                <w:kern w:val="0"/>
                <w:sz w:val="24"/>
              </w:rPr>
            </w:pPr>
            <w:r>
              <w:rPr>
                <w:color w:val="auto"/>
                <w:kern w:val="0"/>
                <w:sz w:val="24"/>
              </w:rPr>
              <w:t>A．配备足够的洒水车以保证将汽车行走施工道路的粉尘（扬尘）控制在最低限度。</w:t>
            </w:r>
          </w:p>
          <w:p>
            <w:pPr>
              <w:autoSpaceDE w:val="0"/>
              <w:autoSpaceDN w:val="0"/>
              <w:adjustRightInd w:val="0"/>
              <w:snapToGrid w:val="0"/>
              <w:spacing w:line="360" w:lineRule="auto"/>
              <w:ind w:firstLine="480" w:firstLineChars="200"/>
              <w:rPr>
                <w:color w:val="auto"/>
                <w:kern w:val="0"/>
                <w:sz w:val="24"/>
              </w:rPr>
            </w:pPr>
            <w:r>
              <w:rPr>
                <w:color w:val="auto"/>
                <w:kern w:val="0"/>
                <w:sz w:val="24"/>
              </w:rPr>
              <w:t>B．定时派人清扫施工便道路面，减少施工扬尘。</w:t>
            </w:r>
          </w:p>
          <w:p>
            <w:pPr>
              <w:autoSpaceDE w:val="0"/>
              <w:autoSpaceDN w:val="0"/>
              <w:adjustRightInd w:val="0"/>
              <w:snapToGrid w:val="0"/>
              <w:spacing w:line="360" w:lineRule="auto"/>
              <w:ind w:firstLine="480" w:firstLineChars="200"/>
              <w:rPr>
                <w:color w:val="auto"/>
                <w:kern w:val="0"/>
                <w:sz w:val="24"/>
              </w:rPr>
            </w:pPr>
            <w:r>
              <w:rPr>
                <w:color w:val="auto"/>
                <w:kern w:val="0"/>
                <w:sz w:val="24"/>
              </w:rPr>
              <w:t>C．对可能扬尘的施工场地定时洒水，并为在场的作业人员配备必要的专用劳保用品。对易于引起粉尘的细料或散料应予遮盖或适当洒水，运输时亦应予遮盖。</w:t>
            </w:r>
          </w:p>
          <w:p>
            <w:pPr>
              <w:autoSpaceDE w:val="0"/>
              <w:autoSpaceDN w:val="0"/>
              <w:adjustRightInd w:val="0"/>
              <w:snapToGrid w:val="0"/>
              <w:spacing w:line="360" w:lineRule="auto"/>
              <w:ind w:firstLine="480" w:firstLineChars="200"/>
              <w:rPr>
                <w:color w:val="auto"/>
                <w:kern w:val="0"/>
                <w:sz w:val="24"/>
              </w:rPr>
            </w:pPr>
            <w:r>
              <w:rPr>
                <w:color w:val="auto"/>
                <w:kern w:val="0"/>
                <w:sz w:val="24"/>
              </w:rPr>
              <w:t>D．汽车进入施工场地应减速行驶，减少扬尘。</w:t>
            </w:r>
          </w:p>
          <w:p>
            <w:pPr>
              <w:autoSpaceDE w:val="0"/>
              <w:autoSpaceDN w:val="0"/>
              <w:adjustRightInd w:val="0"/>
              <w:snapToGrid w:val="0"/>
              <w:spacing w:line="360" w:lineRule="auto"/>
              <w:ind w:firstLine="482" w:firstLineChars="200"/>
              <w:rPr>
                <w:b/>
                <w:color w:val="auto"/>
                <w:kern w:val="0"/>
                <w:sz w:val="24"/>
              </w:rPr>
            </w:pPr>
            <w:r>
              <w:rPr>
                <w:b/>
                <w:color w:val="auto"/>
                <w:kern w:val="0"/>
                <w:sz w:val="24"/>
              </w:rPr>
              <w:t>2、施工期废水防治措施</w:t>
            </w:r>
          </w:p>
          <w:p>
            <w:pPr>
              <w:autoSpaceDE w:val="0"/>
              <w:autoSpaceDN w:val="0"/>
              <w:adjustRightInd w:val="0"/>
              <w:snapToGrid w:val="0"/>
              <w:spacing w:line="360" w:lineRule="auto"/>
              <w:ind w:firstLine="480" w:firstLineChars="200"/>
              <w:rPr>
                <w:color w:val="auto"/>
                <w:kern w:val="0"/>
                <w:sz w:val="24"/>
              </w:rPr>
            </w:pPr>
            <w:r>
              <w:rPr>
                <w:color w:val="auto"/>
                <w:kern w:val="0"/>
                <w:sz w:val="24"/>
              </w:rPr>
              <w:t>A．加强对施工机械的维修保养，防止机械使用的油类渗漏进入土壤和地下水。</w:t>
            </w:r>
          </w:p>
          <w:p>
            <w:pPr>
              <w:autoSpaceDE w:val="0"/>
              <w:autoSpaceDN w:val="0"/>
              <w:adjustRightInd w:val="0"/>
              <w:snapToGrid w:val="0"/>
              <w:spacing w:line="360" w:lineRule="auto"/>
              <w:ind w:firstLine="480" w:firstLineChars="200"/>
              <w:rPr>
                <w:color w:val="auto"/>
                <w:kern w:val="0"/>
                <w:sz w:val="24"/>
              </w:rPr>
            </w:pPr>
            <w:r>
              <w:rPr>
                <w:color w:val="auto"/>
                <w:kern w:val="0"/>
                <w:sz w:val="24"/>
              </w:rPr>
              <w:t>B．施工人员</w:t>
            </w:r>
            <w:r>
              <w:rPr>
                <w:rFonts w:hint="eastAsia"/>
                <w:color w:val="auto"/>
                <w:kern w:val="0"/>
                <w:sz w:val="24"/>
              </w:rPr>
              <w:t>生活污水经三级化粪池预处理后，通过园区污水管网排入园区污水处理厂进行深度处理</w:t>
            </w:r>
            <w:r>
              <w:rPr>
                <w:color w:val="auto"/>
                <w:kern w:val="0"/>
                <w:sz w:val="24"/>
              </w:rPr>
              <w:t>。</w:t>
            </w:r>
          </w:p>
          <w:p>
            <w:pPr>
              <w:autoSpaceDE w:val="0"/>
              <w:autoSpaceDN w:val="0"/>
              <w:adjustRightInd w:val="0"/>
              <w:snapToGrid w:val="0"/>
              <w:spacing w:line="360" w:lineRule="auto"/>
              <w:ind w:firstLine="480" w:firstLineChars="200"/>
              <w:rPr>
                <w:color w:val="auto"/>
                <w:kern w:val="0"/>
                <w:sz w:val="24"/>
              </w:rPr>
            </w:pPr>
            <w:r>
              <w:rPr>
                <w:color w:val="auto"/>
                <w:kern w:val="0"/>
                <w:sz w:val="24"/>
              </w:rPr>
              <w:t>C．</w:t>
            </w:r>
            <w:r>
              <w:rPr>
                <w:color w:val="auto"/>
                <w:sz w:val="24"/>
              </w:rPr>
              <w:t>建设单位拟在施工场周围设置废水收集沟并设置二级沉淀池，将生产废水收集至二沉池处理后回用或用于各易扬尘点洒水，不外排</w:t>
            </w:r>
            <w:r>
              <w:rPr>
                <w:color w:val="auto"/>
                <w:kern w:val="0"/>
                <w:sz w:val="24"/>
              </w:rPr>
              <w:t>。</w:t>
            </w:r>
          </w:p>
          <w:p>
            <w:pPr>
              <w:autoSpaceDE w:val="0"/>
              <w:autoSpaceDN w:val="0"/>
              <w:adjustRightInd w:val="0"/>
              <w:snapToGrid w:val="0"/>
              <w:spacing w:line="360" w:lineRule="auto"/>
              <w:ind w:firstLine="482" w:firstLineChars="200"/>
              <w:rPr>
                <w:b/>
                <w:color w:val="auto"/>
                <w:kern w:val="0"/>
                <w:sz w:val="24"/>
              </w:rPr>
            </w:pPr>
            <w:r>
              <w:rPr>
                <w:b/>
                <w:color w:val="auto"/>
                <w:kern w:val="0"/>
                <w:sz w:val="24"/>
              </w:rPr>
              <w:t>3、噪声防治措施</w:t>
            </w:r>
          </w:p>
          <w:p>
            <w:pPr>
              <w:autoSpaceDE w:val="0"/>
              <w:autoSpaceDN w:val="0"/>
              <w:adjustRightInd w:val="0"/>
              <w:snapToGrid w:val="0"/>
              <w:spacing w:line="360" w:lineRule="auto"/>
              <w:ind w:firstLine="480" w:firstLineChars="200"/>
              <w:rPr>
                <w:color w:val="auto"/>
                <w:kern w:val="0"/>
                <w:sz w:val="24"/>
              </w:rPr>
            </w:pPr>
            <w:r>
              <w:rPr>
                <w:color w:val="auto"/>
                <w:kern w:val="0"/>
                <w:sz w:val="24"/>
              </w:rPr>
              <w:t>施工噪声主要来自施工机械，为减轻施工噪声对其造成的影响，建设单位拟采用的噪声防治措施如下：</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①</w:t>
            </w:r>
            <w:r>
              <w:rPr>
                <w:color w:val="auto"/>
                <w:kern w:val="0"/>
                <w:sz w:val="24"/>
              </w:rPr>
              <w:t>尽量选用低噪声机械设备，同时加强保养和维护，并负责对现场工作人员进行培训，严格按操作规范使用各类机械。</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②</w:t>
            </w:r>
            <w:r>
              <w:rPr>
                <w:color w:val="auto"/>
                <w:kern w:val="0"/>
                <w:sz w:val="24"/>
              </w:rPr>
              <w:t>合理安排施工时间：合理安排好施工时间，禁止在12:00～14:30、22:00～8:00期间施工。</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③</w:t>
            </w:r>
            <w:r>
              <w:rPr>
                <w:color w:val="auto"/>
                <w:kern w:val="0"/>
                <w:sz w:val="24"/>
              </w:rPr>
              <w:t>采用距离防护措施：高噪声设备布置在远离</w:t>
            </w:r>
            <w:r>
              <w:rPr>
                <w:rFonts w:hint="eastAsia"/>
                <w:color w:val="auto"/>
                <w:kern w:val="0"/>
                <w:sz w:val="24"/>
              </w:rPr>
              <w:t>环境敏感</w:t>
            </w:r>
            <w:r>
              <w:rPr>
                <w:color w:val="auto"/>
                <w:kern w:val="0"/>
                <w:sz w:val="24"/>
              </w:rPr>
              <w:t>点一侧，同时对固定的机械设备尽量入棚操作。</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④</w:t>
            </w:r>
            <w:r>
              <w:rPr>
                <w:color w:val="auto"/>
                <w:kern w:val="0"/>
                <w:sz w:val="24"/>
              </w:rPr>
              <w:t>使用商品混凝土，避免混凝土搅拌机等噪声的影响。</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⑤</w:t>
            </w:r>
            <w:r>
              <w:rPr>
                <w:color w:val="auto"/>
                <w:kern w:val="0"/>
                <w:sz w:val="24"/>
              </w:rPr>
              <w:t>在施工场地周围有敏感点的地方设立临时声屏障。</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⑥</w:t>
            </w:r>
            <w:r>
              <w:rPr>
                <w:color w:val="auto"/>
                <w:kern w:val="0"/>
                <w:sz w:val="24"/>
              </w:rPr>
              <w:t>施工场出入口位置尽量远离敏感点，车辆出入现场时尽量低速、禁鸣。</w:t>
            </w:r>
          </w:p>
          <w:p>
            <w:pPr>
              <w:autoSpaceDE w:val="0"/>
              <w:autoSpaceDN w:val="0"/>
              <w:adjustRightInd w:val="0"/>
              <w:snapToGrid w:val="0"/>
              <w:spacing w:line="360" w:lineRule="auto"/>
              <w:ind w:firstLine="480" w:firstLineChars="200"/>
              <w:rPr>
                <w:color w:val="auto"/>
                <w:kern w:val="0"/>
                <w:sz w:val="24"/>
              </w:rPr>
            </w:pPr>
            <w:r>
              <w:rPr>
                <w:color w:val="auto"/>
                <w:kern w:val="0"/>
                <w:sz w:val="24"/>
              </w:rPr>
              <w:t>受技术条件和施工环境的限制，即使采取严格的控制手段，仍可能对周围环境产生明显影响的，要向周围受影响的单位和居民做好宣传工作，以取得受影响人群的理解，克服暂时困难，配合施工单位完成建设任务。</w:t>
            </w:r>
          </w:p>
          <w:p>
            <w:pPr>
              <w:autoSpaceDE w:val="0"/>
              <w:autoSpaceDN w:val="0"/>
              <w:adjustRightInd w:val="0"/>
              <w:snapToGrid w:val="0"/>
              <w:spacing w:line="360" w:lineRule="auto"/>
              <w:ind w:firstLine="482" w:firstLineChars="200"/>
              <w:rPr>
                <w:b/>
                <w:color w:val="auto"/>
                <w:kern w:val="0"/>
                <w:sz w:val="24"/>
              </w:rPr>
            </w:pPr>
            <w:r>
              <w:rPr>
                <w:b/>
                <w:color w:val="auto"/>
                <w:kern w:val="0"/>
                <w:sz w:val="24"/>
              </w:rPr>
              <w:t>4、固体废物处理处置措施</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sz w:val="24"/>
              </w:rPr>
              <w:t>①</w:t>
            </w:r>
            <w:r>
              <w:rPr>
                <w:color w:val="auto"/>
                <w:sz w:val="24"/>
              </w:rPr>
              <w:t>本工</w:t>
            </w:r>
            <w:r>
              <w:rPr>
                <w:color w:val="auto"/>
                <w:kern w:val="0"/>
                <w:sz w:val="24"/>
              </w:rPr>
              <w:t>程施工人员产生的生活垃圾统一收集后交由环卫部门处理。</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②</w:t>
            </w:r>
            <w:r>
              <w:rPr>
                <w:color w:val="auto"/>
                <w:kern w:val="0"/>
                <w:sz w:val="24"/>
              </w:rPr>
              <w:t>施工期</w:t>
            </w:r>
            <w:r>
              <w:rPr>
                <w:rFonts w:hint="eastAsia"/>
                <w:color w:val="auto"/>
                <w:kern w:val="0"/>
                <w:sz w:val="24"/>
                <w:lang w:eastAsia="zh-CN"/>
              </w:rPr>
              <w:t>固体废物</w:t>
            </w:r>
            <w:r>
              <w:rPr>
                <w:color w:val="auto"/>
                <w:kern w:val="0"/>
                <w:sz w:val="24"/>
              </w:rPr>
              <w:t>为工程弃渣，主要来源于施工过程中产生的建筑垃圾、弃土。建筑垃圾主要为残砖、断瓦、废弃混凝土等。渣土外运处理不当将会产生一系列环境问题，</w:t>
            </w:r>
            <w:r>
              <w:rPr>
                <w:color w:val="auto"/>
                <w:sz w:val="24"/>
              </w:rPr>
              <w:t>因此建设单位须按照要求妥善处理渣土调运工作，将渣土运至城市管理局指定的消纳场消纳</w:t>
            </w:r>
            <w:r>
              <w:rPr>
                <w:color w:val="auto"/>
                <w:kern w:val="0"/>
                <w:sz w:val="24"/>
              </w:rPr>
              <w:t>。</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③</w:t>
            </w:r>
            <w:r>
              <w:rPr>
                <w:color w:val="auto"/>
                <w:kern w:val="0"/>
                <w:sz w:val="24"/>
              </w:rPr>
              <w:t>对施工期间的</w:t>
            </w:r>
            <w:r>
              <w:rPr>
                <w:rFonts w:hint="eastAsia"/>
                <w:color w:val="auto"/>
                <w:kern w:val="0"/>
                <w:sz w:val="24"/>
                <w:lang w:eastAsia="zh-CN"/>
              </w:rPr>
              <w:t>固体废物</w:t>
            </w:r>
            <w:r>
              <w:rPr>
                <w:color w:val="auto"/>
                <w:kern w:val="0"/>
                <w:sz w:val="24"/>
              </w:rPr>
              <w:t>应分类定点堆放，分类处理。</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④</w:t>
            </w:r>
            <w:r>
              <w:rPr>
                <w:color w:val="auto"/>
                <w:kern w:val="0"/>
                <w:sz w:val="24"/>
              </w:rPr>
              <w:t>施工期间产生的废钢材、木材，塑料等固体废料应予回收利用。</w:t>
            </w:r>
          </w:p>
          <w:p>
            <w:pPr>
              <w:autoSpaceDE w:val="0"/>
              <w:autoSpaceDN w:val="0"/>
              <w:adjustRightInd w:val="0"/>
              <w:snapToGrid w:val="0"/>
              <w:spacing w:line="360" w:lineRule="auto"/>
              <w:ind w:firstLine="480" w:firstLineChars="200"/>
              <w:rPr>
                <w:color w:val="auto"/>
                <w:kern w:val="0"/>
                <w:sz w:val="24"/>
              </w:rPr>
            </w:pPr>
            <w:r>
              <w:rPr>
                <w:rFonts w:hint="eastAsia" w:ascii="宋体" w:hAnsi="宋体" w:cs="宋体"/>
                <w:color w:val="auto"/>
                <w:kern w:val="0"/>
                <w:sz w:val="24"/>
              </w:rPr>
              <w:t>⑤</w:t>
            </w:r>
            <w:r>
              <w:rPr>
                <w:color w:val="auto"/>
                <w:kern w:val="0"/>
                <w:sz w:val="24"/>
              </w:rPr>
              <w:t>严禁将有害废弃物用作土方回填料。</w:t>
            </w:r>
          </w:p>
          <w:p>
            <w:pPr>
              <w:autoSpaceDE w:val="0"/>
              <w:autoSpaceDN w:val="0"/>
              <w:adjustRightInd w:val="0"/>
              <w:snapToGrid w:val="0"/>
              <w:spacing w:line="360" w:lineRule="auto"/>
              <w:ind w:firstLine="482" w:firstLineChars="200"/>
              <w:rPr>
                <w:b/>
                <w:color w:val="auto"/>
                <w:kern w:val="0"/>
                <w:sz w:val="24"/>
              </w:rPr>
            </w:pPr>
            <w:r>
              <w:rPr>
                <w:b/>
                <w:color w:val="auto"/>
                <w:kern w:val="0"/>
                <w:sz w:val="24"/>
              </w:rPr>
              <w:t>5、水土保持措施</w:t>
            </w:r>
          </w:p>
          <w:p>
            <w:pPr>
              <w:spacing w:line="360" w:lineRule="auto"/>
              <w:ind w:firstLine="480" w:firstLineChars="200"/>
              <w:jc w:val="left"/>
              <w:rPr>
                <w:color w:val="auto"/>
                <w:kern w:val="0"/>
                <w:sz w:val="24"/>
              </w:rPr>
            </w:pPr>
            <w:r>
              <w:rPr>
                <w:color w:val="auto"/>
                <w:kern w:val="0"/>
                <w:sz w:val="24"/>
              </w:rPr>
              <w:t>合理施工布局，有计划地施工，避免大面积开挖，减少裸地面积，将基础开挖工作安排在降雨量少的季节进行、封闭施工、施工场地四周开挖防洪沟、弃土建筑垃圾及时清运等措施，减少水土流失。</w:t>
            </w:r>
          </w:p>
          <w:p>
            <w:pPr>
              <w:spacing w:line="360" w:lineRule="auto"/>
              <w:ind w:firstLine="480" w:firstLineChars="200"/>
              <w:jc w:val="left"/>
              <w:rPr>
                <w:color w:val="auto"/>
                <w:kern w:val="0"/>
                <w:sz w:val="24"/>
              </w:rPr>
            </w:pPr>
            <w:r>
              <w:rPr>
                <w:color w:val="auto"/>
                <w:kern w:val="0"/>
                <w:sz w:val="24"/>
              </w:rPr>
              <w:t>经采取上述措施后，施工期产生的污染物均能合理处置，对周围环境影响在可接受的范围内，且本项目施工期较短，待施工期结束后对外界的影响也随之消失，对周围环境造成影响较小。</w:t>
            </w:r>
          </w:p>
          <w:p>
            <w:pPr>
              <w:spacing w:line="360" w:lineRule="auto"/>
              <w:jc w:val="left"/>
              <w:rPr>
                <w:color w:val="auto"/>
                <w:kern w:val="0"/>
                <w:sz w:val="24"/>
              </w:rPr>
            </w:pPr>
          </w:p>
          <w:p>
            <w:pPr>
              <w:spacing w:line="360" w:lineRule="auto"/>
              <w:jc w:val="left"/>
              <w:rPr>
                <w:color w:val="auto"/>
                <w:kern w:val="0"/>
                <w:sz w:val="24"/>
              </w:rPr>
            </w:pPr>
          </w:p>
          <w:p>
            <w:pPr>
              <w:spacing w:line="360" w:lineRule="auto"/>
              <w:jc w:val="left"/>
              <w:rPr>
                <w:color w:val="auto"/>
                <w:kern w:val="0"/>
                <w:sz w:val="24"/>
              </w:rPr>
            </w:pPr>
          </w:p>
          <w:p>
            <w:pPr>
              <w:spacing w:line="360" w:lineRule="auto"/>
              <w:jc w:val="left"/>
              <w:rPr>
                <w:color w:val="auto"/>
                <w:kern w:val="0"/>
                <w:sz w:val="24"/>
              </w:rPr>
            </w:pPr>
          </w:p>
          <w:p>
            <w:pPr>
              <w:spacing w:line="360" w:lineRule="auto"/>
              <w:jc w:val="left"/>
              <w:rPr>
                <w:color w:val="auto"/>
                <w:kern w:val="0"/>
                <w:sz w:val="24"/>
              </w:rPr>
            </w:pPr>
          </w:p>
          <w:p>
            <w:pPr>
              <w:spacing w:line="360" w:lineRule="auto"/>
              <w:jc w:val="left"/>
              <w:rPr>
                <w:color w:val="auto"/>
                <w:kern w:val="0"/>
                <w:sz w:val="24"/>
              </w:rPr>
            </w:pPr>
          </w:p>
          <w:p>
            <w:pPr>
              <w:spacing w:line="360" w:lineRule="auto"/>
              <w:jc w:val="left"/>
              <w:rPr>
                <w:color w:val="auto"/>
                <w:kern w:val="0"/>
                <w:sz w:val="24"/>
              </w:rPr>
            </w:pPr>
          </w:p>
          <w:p>
            <w:pPr>
              <w:spacing w:line="360" w:lineRule="auto"/>
              <w:jc w:val="left"/>
              <w:rPr>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10" w:hRule="atLeast"/>
          <w:jc w:val="center"/>
        </w:trPr>
        <w:tc>
          <w:tcPr>
            <w:tcW w:w="746" w:type="dxa"/>
            <w:tcMar>
              <w:left w:w="28" w:type="dxa"/>
              <w:right w:w="28" w:type="dxa"/>
            </w:tcMar>
            <w:vAlign w:val="center"/>
          </w:tcPr>
          <w:p>
            <w:pPr>
              <w:adjustRightInd w:val="0"/>
              <w:snapToGrid w:val="0"/>
              <w:jc w:val="center"/>
              <w:rPr>
                <w:bCs/>
                <w:color w:val="auto"/>
                <w:sz w:val="24"/>
              </w:rPr>
            </w:pPr>
            <w:r>
              <w:rPr>
                <w:bCs/>
                <w:color w:val="auto"/>
                <w:sz w:val="24"/>
              </w:rPr>
              <w:t>运营</w:t>
            </w:r>
          </w:p>
          <w:p>
            <w:pPr>
              <w:adjustRightInd w:val="0"/>
              <w:snapToGrid w:val="0"/>
              <w:jc w:val="center"/>
              <w:rPr>
                <w:bCs/>
                <w:color w:val="auto"/>
                <w:sz w:val="24"/>
              </w:rPr>
            </w:pPr>
            <w:r>
              <w:rPr>
                <w:bCs/>
                <w:color w:val="auto"/>
                <w:sz w:val="24"/>
              </w:rPr>
              <w:t>期环</w:t>
            </w:r>
          </w:p>
          <w:p>
            <w:pPr>
              <w:adjustRightInd w:val="0"/>
              <w:snapToGrid w:val="0"/>
              <w:jc w:val="center"/>
              <w:rPr>
                <w:bCs/>
                <w:color w:val="auto"/>
                <w:sz w:val="24"/>
              </w:rPr>
            </w:pPr>
            <w:r>
              <w:rPr>
                <w:bCs/>
                <w:color w:val="auto"/>
                <w:sz w:val="24"/>
              </w:rPr>
              <w:t>境影</w:t>
            </w:r>
          </w:p>
          <w:p>
            <w:pPr>
              <w:adjustRightInd w:val="0"/>
              <w:snapToGrid w:val="0"/>
              <w:jc w:val="center"/>
              <w:rPr>
                <w:bCs/>
                <w:color w:val="auto"/>
                <w:sz w:val="24"/>
              </w:rPr>
            </w:pPr>
            <w:r>
              <w:rPr>
                <w:bCs/>
                <w:color w:val="auto"/>
                <w:sz w:val="24"/>
              </w:rPr>
              <w:t>响和</w:t>
            </w:r>
          </w:p>
          <w:p>
            <w:pPr>
              <w:adjustRightInd w:val="0"/>
              <w:snapToGrid w:val="0"/>
              <w:jc w:val="center"/>
              <w:rPr>
                <w:bCs/>
                <w:color w:val="auto"/>
                <w:sz w:val="24"/>
              </w:rPr>
            </w:pPr>
            <w:r>
              <w:rPr>
                <w:bCs/>
                <w:color w:val="auto"/>
                <w:sz w:val="24"/>
              </w:rPr>
              <w:t>保护</w:t>
            </w:r>
          </w:p>
          <w:p>
            <w:pPr>
              <w:adjustRightInd w:val="0"/>
              <w:snapToGrid w:val="0"/>
              <w:jc w:val="center"/>
              <w:rPr>
                <w:bCs/>
                <w:color w:val="auto"/>
                <w:szCs w:val="21"/>
              </w:rPr>
            </w:pPr>
            <w:r>
              <w:rPr>
                <w:bCs/>
                <w:color w:val="auto"/>
                <w:sz w:val="24"/>
              </w:rPr>
              <w:t>措施</w:t>
            </w:r>
          </w:p>
        </w:tc>
        <w:tc>
          <w:tcPr>
            <w:tcW w:w="8162" w:type="dxa"/>
            <w:vAlign w:val="center"/>
          </w:tcPr>
          <w:p>
            <w:pPr>
              <w:pStyle w:val="15"/>
              <w:adjustRightInd w:val="0"/>
              <w:snapToGrid w:val="0"/>
              <w:spacing w:after="0" w:line="360" w:lineRule="auto"/>
              <w:ind w:left="0" w:leftChars="0" w:firstLine="482" w:firstLineChars="200"/>
              <w:rPr>
                <w:rFonts w:hAnsi="宋体"/>
                <w:b/>
                <w:color w:val="auto"/>
                <w:sz w:val="24"/>
              </w:rPr>
            </w:pPr>
            <w:r>
              <w:rPr>
                <w:rFonts w:hint="eastAsia" w:hAnsi="宋体"/>
                <w:b/>
                <w:color w:val="auto"/>
                <w:sz w:val="24"/>
              </w:rPr>
              <w:t>1.</w:t>
            </w:r>
            <w:r>
              <w:rPr>
                <w:rFonts w:hAnsi="宋体"/>
                <w:b/>
                <w:color w:val="auto"/>
                <w:sz w:val="24"/>
              </w:rPr>
              <w:t>废气</w:t>
            </w:r>
          </w:p>
          <w:p>
            <w:pPr>
              <w:spacing w:line="360" w:lineRule="auto"/>
              <w:ind w:firstLine="480" w:firstLineChars="200"/>
              <w:rPr>
                <w:rFonts w:hAnsi="宋体"/>
                <w:bCs/>
                <w:color w:val="auto"/>
                <w:sz w:val="24"/>
              </w:rPr>
            </w:pPr>
            <w:r>
              <w:rPr>
                <w:rFonts w:hint="eastAsia"/>
                <w:color w:val="auto"/>
                <w:sz w:val="24"/>
              </w:rPr>
              <w:t>本项目废气主要为注塑废气、挤出废气、焊锡废气、投料粉尘、破碎粉尘及油烟废气。</w:t>
            </w:r>
          </w:p>
          <w:p>
            <w:pPr>
              <w:spacing w:line="360" w:lineRule="auto"/>
              <w:ind w:left="420" w:leftChars="200"/>
              <w:jc w:val="left"/>
              <w:rPr>
                <w:b/>
                <w:bCs/>
                <w:color w:val="auto"/>
                <w:sz w:val="24"/>
              </w:rPr>
            </w:pPr>
            <w:r>
              <w:rPr>
                <w:rFonts w:hint="eastAsia"/>
                <w:b/>
                <w:bCs/>
                <w:color w:val="auto"/>
                <w:sz w:val="24"/>
              </w:rPr>
              <w:t>（1）废气产排污情况分析</w:t>
            </w:r>
          </w:p>
          <w:p>
            <w:pPr>
              <w:spacing w:line="360" w:lineRule="auto"/>
              <w:ind w:left="420" w:leftChars="200"/>
              <w:jc w:val="left"/>
              <w:rPr>
                <w:b/>
                <w:bCs/>
                <w:color w:val="auto"/>
                <w:sz w:val="24"/>
              </w:rPr>
            </w:pPr>
            <w:r>
              <w:rPr>
                <w:rFonts w:hint="eastAsia"/>
                <w:b/>
                <w:bCs/>
                <w:color w:val="auto"/>
                <w:sz w:val="24"/>
              </w:rPr>
              <w:t>①注塑废气、挤出废气</w:t>
            </w:r>
          </w:p>
          <w:p>
            <w:pPr>
              <w:spacing w:line="360" w:lineRule="auto"/>
              <w:ind w:firstLine="482" w:firstLineChars="200"/>
              <w:rPr>
                <w:rFonts w:hint="eastAsia"/>
                <w:b/>
                <w:bCs/>
                <w:color w:val="000000"/>
                <w:sz w:val="24"/>
                <w:szCs w:val="32"/>
              </w:rPr>
            </w:pPr>
            <w:r>
              <w:rPr>
                <w:rFonts w:hint="eastAsia"/>
                <w:b/>
                <w:bCs/>
                <w:color w:val="000000"/>
                <w:sz w:val="24"/>
                <w:szCs w:val="32"/>
              </w:rPr>
              <w:t>产生情况：</w:t>
            </w:r>
          </w:p>
          <w:p>
            <w:pPr>
              <w:spacing w:line="360" w:lineRule="auto"/>
              <w:ind w:firstLine="480" w:firstLineChars="200"/>
              <w:rPr>
                <w:rFonts w:hint="eastAsia"/>
                <w:bCs/>
                <w:color w:val="auto"/>
                <w:sz w:val="24"/>
                <w:lang w:eastAsia="zh-CN"/>
              </w:rPr>
            </w:pPr>
            <w:r>
              <w:rPr>
                <w:rFonts w:hint="eastAsia"/>
                <w:bCs/>
                <w:color w:val="auto"/>
                <w:sz w:val="24"/>
              </w:rPr>
              <w:t>本项目灯带生产使用原料为PP、PVC，生产过程</w:t>
            </w:r>
            <w:r>
              <w:rPr>
                <w:rFonts w:ascii="宋体" w:hAnsi="宋体" w:cs="宋体"/>
                <w:color w:val="auto"/>
                <w:spacing w:val="-3"/>
                <w:sz w:val="24"/>
              </w:rPr>
              <w:t>对塑胶新料加热软化，此过程中会产生</w:t>
            </w:r>
            <w:r>
              <w:rPr>
                <w:rFonts w:ascii="宋体" w:hAnsi="宋体" w:cs="宋体"/>
                <w:color w:val="auto"/>
                <w:spacing w:val="-8"/>
                <w:sz w:val="24"/>
              </w:rPr>
              <w:t>一定量的废气，</w:t>
            </w:r>
            <w:r>
              <w:rPr>
                <w:rFonts w:hint="eastAsia" w:ascii="宋体" w:hAnsi="宋体" w:cs="宋体"/>
                <w:color w:val="auto"/>
                <w:spacing w:val="-8"/>
                <w:sz w:val="24"/>
              </w:rPr>
              <w:t>工艺温度约</w:t>
            </w:r>
            <w:r>
              <w:rPr>
                <w:color w:val="auto"/>
                <w:spacing w:val="-8"/>
                <w:sz w:val="24"/>
              </w:rPr>
              <w:t>为150℃</w:t>
            </w:r>
            <w:r>
              <w:rPr>
                <w:bCs/>
                <w:color w:val="auto"/>
                <w:sz w:val="24"/>
              </w:rPr>
              <w:t>，</w:t>
            </w:r>
            <w:r>
              <w:rPr>
                <w:rFonts w:hint="eastAsia"/>
                <w:bCs/>
                <w:color w:val="auto"/>
                <w:sz w:val="24"/>
              </w:rPr>
              <w:t>低于两种原料分解温度，</w:t>
            </w:r>
            <w:r>
              <w:rPr>
                <w:rFonts w:ascii="宋体" w:hAnsi="宋体" w:cs="宋体"/>
                <w:color w:val="auto"/>
                <w:sz w:val="24"/>
              </w:rPr>
              <w:t>故不会产生苯乙烯、丙烯腈、丁二烯、甲苯、乙苯等污染因子</w:t>
            </w:r>
            <w:r>
              <w:rPr>
                <w:rFonts w:hint="eastAsia" w:ascii="宋体" w:hAnsi="宋体" w:cs="宋体"/>
                <w:color w:val="auto"/>
                <w:sz w:val="24"/>
              </w:rPr>
              <w:t>，</w:t>
            </w:r>
            <w:r>
              <w:rPr>
                <w:rFonts w:ascii="宋体" w:hAnsi="宋体" w:cs="宋体"/>
                <w:color w:val="auto"/>
                <w:sz w:val="24"/>
              </w:rPr>
              <w:t>则注</w:t>
            </w:r>
            <w:r>
              <w:rPr>
                <w:rFonts w:ascii="宋体" w:hAnsi="宋体" w:cs="宋体"/>
                <w:color w:val="auto"/>
                <w:spacing w:val="1"/>
                <w:sz w:val="24"/>
              </w:rPr>
              <w:t>塑废气其</w:t>
            </w:r>
            <w:r>
              <w:rPr>
                <w:rFonts w:ascii="宋体" w:hAnsi="宋体" w:cs="宋体"/>
                <w:color w:val="auto"/>
                <w:sz w:val="24"/>
              </w:rPr>
              <w:t>主要成分为非甲烷总烃、臭气浓度。由于臭气浓度的发生比例与操作温</w:t>
            </w:r>
            <w:r>
              <w:rPr>
                <w:rFonts w:ascii="宋体" w:hAnsi="宋体" w:cs="宋体"/>
                <w:color w:val="auto"/>
                <w:spacing w:val="1"/>
                <w:sz w:val="24"/>
              </w:rPr>
              <w:t>度、原</w:t>
            </w:r>
            <w:r>
              <w:rPr>
                <w:rFonts w:ascii="宋体" w:hAnsi="宋体" w:cs="宋体"/>
                <w:color w:val="auto"/>
                <w:sz w:val="24"/>
              </w:rPr>
              <w:t>料性能等诸多因素有关，较难进行准确定量计算，本评价以非甲烷总烃进</w:t>
            </w:r>
            <w:r>
              <w:rPr>
                <w:rFonts w:ascii="宋体" w:hAnsi="宋体" w:cs="宋体"/>
                <w:color w:val="auto"/>
                <w:spacing w:val="-6"/>
                <w:sz w:val="24"/>
              </w:rPr>
              <w:t>行量</w:t>
            </w:r>
            <w:r>
              <w:rPr>
                <w:rFonts w:ascii="宋体" w:hAnsi="宋体" w:cs="宋体"/>
                <w:color w:val="auto"/>
                <w:spacing w:val="-5"/>
                <w:sz w:val="24"/>
              </w:rPr>
              <w:t>化</w:t>
            </w:r>
            <w:r>
              <w:rPr>
                <w:rFonts w:ascii="宋体" w:hAnsi="宋体" w:cs="宋体"/>
                <w:color w:val="auto"/>
                <w:spacing w:val="-3"/>
                <w:sz w:val="24"/>
              </w:rPr>
              <w:t>分析，臭气浓度进行定性分析。</w:t>
            </w:r>
            <w:r>
              <w:rPr>
                <w:rFonts w:hint="eastAsia" w:ascii="宋体" w:hAnsi="宋体" w:cs="宋体"/>
                <w:color w:val="auto"/>
                <w:spacing w:val="-3"/>
                <w:sz w:val="24"/>
                <w:lang w:val="en-US" w:eastAsia="zh-CN"/>
              </w:rPr>
              <w:t>根据</w:t>
            </w:r>
            <w:r>
              <w:rPr>
                <w:rFonts w:hint="eastAsia"/>
                <w:bCs/>
                <w:color w:val="auto"/>
                <w:sz w:val="24"/>
              </w:rPr>
              <w:t>《排放源统计调查产排污核算方法和系数手册（公告2021年第24号）》中33-37,431-434机械行业系数手册08树脂纤维加工产品为注塑件、吹塑件原料树脂材料或塑料（PVC材料） 工艺名称注塑成型、吹塑成型挥发性有机物1.2kg/t-原料，项目年使用PP、PVC塑料粒约</w:t>
            </w:r>
            <w:r>
              <w:rPr>
                <w:rFonts w:hint="eastAsia"/>
                <w:bCs/>
                <w:color w:val="auto"/>
                <w:sz w:val="24"/>
                <w:lang w:val="en-US" w:eastAsia="zh-CN"/>
              </w:rPr>
              <w:t>420</w:t>
            </w:r>
            <w:r>
              <w:rPr>
                <w:rFonts w:hint="eastAsia"/>
                <w:bCs/>
                <w:color w:val="auto"/>
                <w:sz w:val="24"/>
              </w:rPr>
              <w:t>吨（其中新料</w:t>
            </w:r>
            <w:r>
              <w:rPr>
                <w:rFonts w:hint="eastAsia"/>
                <w:bCs/>
                <w:color w:val="auto"/>
                <w:sz w:val="24"/>
                <w:lang w:val="en-US" w:eastAsia="zh-CN"/>
              </w:rPr>
              <w:t>400</w:t>
            </w:r>
            <w:r>
              <w:rPr>
                <w:rFonts w:hint="eastAsia"/>
                <w:bCs/>
                <w:color w:val="auto"/>
                <w:sz w:val="24"/>
              </w:rPr>
              <w:t>吨，破碎回用量</w:t>
            </w:r>
            <w:r>
              <w:rPr>
                <w:rFonts w:hint="eastAsia"/>
                <w:bCs/>
                <w:color w:val="auto"/>
                <w:sz w:val="24"/>
                <w:lang w:val="en-US" w:eastAsia="zh-CN"/>
              </w:rPr>
              <w:t>20</w:t>
            </w:r>
            <w:r>
              <w:rPr>
                <w:rFonts w:hint="eastAsia"/>
                <w:bCs/>
                <w:color w:val="auto"/>
                <w:sz w:val="24"/>
              </w:rPr>
              <w:t>吨），则非甲烷总烃的产生量为</w:t>
            </w:r>
            <w:r>
              <w:rPr>
                <w:rFonts w:hint="eastAsia"/>
                <w:bCs/>
                <w:color w:val="auto"/>
                <w:sz w:val="24"/>
                <w:lang w:eastAsia="zh-CN"/>
              </w:rPr>
              <w:t>0.504</w:t>
            </w:r>
            <w:r>
              <w:rPr>
                <w:rFonts w:hint="eastAsia"/>
                <w:bCs/>
                <w:color w:val="auto"/>
                <w:sz w:val="24"/>
              </w:rPr>
              <w:t>t/a</w:t>
            </w:r>
            <w:r>
              <w:rPr>
                <w:rFonts w:hint="eastAsia"/>
                <w:bCs/>
                <w:color w:val="auto"/>
                <w:sz w:val="24"/>
                <w:lang w:eastAsia="zh-CN"/>
              </w:rPr>
              <w:t>。</w:t>
            </w:r>
          </w:p>
          <w:p>
            <w:pPr>
              <w:spacing w:line="360" w:lineRule="auto"/>
              <w:ind w:firstLine="482" w:firstLineChars="200"/>
              <w:rPr>
                <w:rFonts w:hint="eastAsia"/>
                <w:b/>
                <w:bCs/>
                <w:color w:val="000000"/>
                <w:sz w:val="24"/>
                <w:szCs w:val="32"/>
              </w:rPr>
            </w:pPr>
            <w:r>
              <w:rPr>
                <w:rFonts w:hint="eastAsia"/>
                <w:b/>
                <w:bCs/>
                <w:color w:val="000000"/>
                <w:sz w:val="24"/>
                <w:szCs w:val="32"/>
              </w:rPr>
              <w:t>收集及处理情况：</w:t>
            </w:r>
          </w:p>
          <w:p>
            <w:pPr>
              <w:pStyle w:val="20"/>
              <w:adjustRightInd w:val="0"/>
              <w:spacing w:line="360" w:lineRule="auto"/>
              <w:ind w:firstLine="480"/>
              <w:outlineLvl w:val="9"/>
              <w:rPr>
                <w:rFonts w:hint="eastAsia"/>
                <w:bCs/>
                <w:color w:val="auto"/>
                <w:sz w:val="24"/>
              </w:rPr>
            </w:pPr>
            <w:r>
              <w:rPr>
                <w:rFonts w:hint="eastAsia"/>
                <w:bCs/>
                <w:color w:val="auto"/>
                <w:sz w:val="24"/>
              </w:rPr>
              <w:t>建设</w:t>
            </w:r>
            <w:r>
              <w:rPr>
                <w:rFonts w:hint="eastAsia"/>
                <w:bCs/>
                <w:color w:val="auto"/>
                <w:sz w:val="24"/>
                <w:lang w:val="en-US" w:eastAsia="zh-CN"/>
              </w:rPr>
              <w:t>单位</w:t>
            </w:r>
            <w:r>
              <w:rPr>
                <w:rFonts w:hint="eastAsia"/>
                <w:bCs/>
                <w:color w:val="auto"/>
                <w:sz w:val="24"/>
              </w:rPr>
              <w:t>将使用集气罩对机器出口废气进行收集，设置的集气罩为局部吸气式，集气罩配有万向吸气臂，可对准注塑机废气污染产生点位，局部形成微负压，减少其他空气的吸入，使污染物的扩散限制在最小的范围内，以便防止横向气流的干扰，吸气方向与废气流运动方向一致，充分利用了污染气流的初始动能。集气罩罩口投影面积比污染产生点位面积大，能够有效覆盖污染产生源，四周通过软质垂帘设置围挡</w:t>
            </w:r>
            <w:r>
              <w:rPr>
                <w:rFonts w:hint="eastAsia"/>
                <w:bCs/>
                <w:color w:val="auto"/>
                <w:sz w:val="24"/>
                <w:lang w:eastAsia="zh-CN"/>
              </w:rPr>
              <w:t>，</w:t>
            </w:r>
            <w:r>
              <w:rPr>
                <w:rFonts w:hint="eastAsia"/>
                <w:bCs/>
                <w:color w:val="auto"/>
                <w:sz w:val="24"/>
              </w:rPr>
              <w:t>集气罩距离污染产生源的距离小，大部分的废气产生时即被吸入集气罩内。</w:t>
            </w:r>
          </w:p>
          <w:p>
            <w:pPr>
              <w:widowControl w:val="0"/>
              <w:wordWrap w:val="0"/>
              <w:spacing w:line="360" w:lineRule="auto"/>
              <w:ind w:firstLine="480" w:firstLineChars="200"/>
              <w:jc w:val="both"/>
              <w:rPr>
                <w:rFonts w:ascii="Times New Roman" w:hAnsi="Times New Roman" w:eastAsia="宋体" w:cs="Times New Roman"/>
                <w:color w:val="auto"/>
                <w:kern w:val="2"/>
                <w:sz w:val="24"/>
                <w:szCs w:val="24"/>
                <w:highlight w:val="none"/>
                <w:lang w:val="en-US" w:eastAsia="zh-CN" w:bidi="ar-SA"/>
              </w:rPr>
            </w:pPr>
            <w:bookmarkStart w:id="60" w:name="_Toc20030"/>
            <w:bookmarkStart w:id="61" w:name="_Toc6118"/>
            <w:r>
              <w:rPr>
                <w:rFonts w:hint="eastAsia" w:ascii="Times New Roman" w:hAnsi="Times New Roman" w:eastAsia="宋体" w:cs="Times New Roman"/>
                <w:color w:val="auto"/>
                <w:kern w:val="2"/>
                <w:sz w:val="24"/>
                <w:szCs w:val="24"/>
                <w:highlight w:val="none"/>
                <w:lang w:val="en-US" w:eastAsia="zh-CN" w:bidi="ar-SA"/>
              </w:rPr>
              <w:t>于每台注塑机和电线压出机物料出口处设置一个圆形排风罩收集废气，罩面尺寸为Φ300mm，共设置48个。根据《简明通风设计手册》，本项目挤出和注塑成型过程中产生的挥发性有机化合物放散情况属于以轻微的速度放散到相当平静的空气中，类似于槽内液体的蒸发，最小控制风速应当取0.25~0.5m/s，为有效收集废气，圆形排风罩取0.35m/s作为废气收集的最小控制风速，则圆形排风罩的设置情况及收集风量列表如下：</w:t>
            </w:r>
          </w:p>
          <w:p>
            <w:pPr>
              <w:spacing w:line="360" w:lineRule="auto"/>
              <w:jc w:val="center"/>
              <w:rPr>
                <w:rFonts w:ascii="Times New Roman" w:hAnsi="Times New Roman" w:eastAsia="宋体" w:cs="Times New Roman"/>
                <w:b/>
                <w:bCs/>
                <w:color w:val="auto"/>
                <w:sz w:val="24"/>
                <w:szCs w:val="32"/>
                <w:highlight w:val="none"/>
              </w:rPr>
            </w:pPr>
            <w:r>
              <w:rPr>
                <w:rFonts w:ascii="Times New Roman" w:hAnsi="Times New Roman" w:eastAsia="宋体" w:cs="Times New Roman"/>
                <w:b/>
                <w:bCs/>
                <w:color w:val="auto"/>
                <w:sz w:val="24"/>
                <w:szCs w:val="32"/>
                <w:highlight w:val="none"/>
              </w:rPr>
              <w:t>表</w:t>
            </w:r>
            <w:r>
              <w:rPr>
                <w:rFonts w:ascii="Times New Roman" w:hAnsi="Times New Roman" w:eastAsia="宋体" w:cs="Times New Roman"/>
                <w:b/>
                <w:bCs/>
                <w:color w:val="auto"/>
                <w:sz w:val="24"/>
                <w:szCs w:val="32"/>
                <w:highlight w:val="none"/>
              </w:rPr>
              <w:fldChar w:fldCharType="begin"/>
            </w:r>
            <w:r>
              <w:rPr>
                <w:rFonts w:ascii="Times New Roman" w:hAnsi="Times New Roman" w:eastAsia="宋体" w:cs="Times New Roman"/>
                <w:b/>
                <w:bCs/>
                <w:color w:val="auto"/>
                <w:sz w:val="24"/>
                <w:szCs w:val="32"/>
                <w:highlight w:val="none"/>
              </w:rPr>
              <w:instrText xml:space="preserve"> STYLEREF 1 \s </w:instrText>
            </w:r>
            <w:r>
              <w:rPr>
                <w:rFonts w:ascii="Times New Roman" w:hAnsi="Times New Roman" w:eastAsia="宋体" w:cs="Times New Roman"/>
                <w:b/>
                <w:bCs/>
                <w:color w:val="auto"/>
                <w:sz w:val="24"/>
                <w:szCs w:val="32"/>
                <w:highlight w:val="none"/>
              </w:rPr>
              <w:fldChar w:fldCharType="separate"/>
            </w:r>
            <w:r>
              <w:rPr>
                <w:rFonts w:ascii="Times New Roman" w:hAnsi="Times New Roman" w:eastAsia="宋体" w:cs="Times New Roman"/>
                <w:b/>
                <w:bCs/>
                <w:color w:val="auto"/>
                <w:sz w:val="24"/>
                <w:szCs w:val="32"/>
                <w:highlight w:val="none"/>
              </w:rPr>
              <w:t>4</w:t>
            </w:r>
            <w:r>
              <w:rPr>
                <w:rFonts w:ascii="Times New Roman" w:hAnsi="Times New Roman" w:eastAsia="宋体" w:cs="Times New Roman"/>
                <w:b/>
                <w:bCs/>
                <w:color w:val="auto"/>
                <w:sz w:val="24"/>
                <w:szCs w:val="32"/>
                <w:highlight w:val="none"/>
              </w:rPr>
              <w:fldChar w:fldCharType="end"/>
            </w:r>
            <w:r>
              <w:rPr>
                <w:rFonts w:ascii="Times New Roman" w:hAnsi="Times New Roman" w:eastAsia="宋体" w:cs="Times New Roman"/>
                <w:b/>
                <w:bCs/>
                <w:color w:val="auto"/>
                <w:sz w:val="24"/>
                <w:szCs w:val="32"/>
                <w:highlight w:val="none"/>
              </w:rPr>
              <w:t>-</w:t>
            </w:r>
            <w:r>
              <w:rPr>
                <w:rFonts w:hint="eastAsia" w:ascii="Times New Roman" w:hAnsi="Times New Roman" w:eastAsia="宋体" w:cs="Times New Roman"/>
                <w:b/>
                <w:bCs/>
                <w:color w:val="auto"/>
                <w:sz w:val="24"/>
                <w:szCs w:val="32"/>
                <w:highlight w:val="none"/>
                <w:lang w:val="en-US" w:eastAsia="zh-CN"/>
              </w:rPr>
              <w:t>1</w:t>
            </w:r>
            <w:r>
              <w:rPr>
                <w:rFonts w:ascii="Times New Roman" w:hAnsi="Times New Roman" w:eastAsia="宋体" w:cs="Times New Roman"/>
                <w:b/>
                <w:bCs/>
                <w:color w:val="auto"/>
                <w:sz w:val="24"/>
                <w:szCs w:val="32"/>
                <w:highlight w:val="none"/>
              </w:rPr>
              <w:t xml:space="preserve"> </w:t>
            </w:r>
            <w:r>
              <w:rPr>
                <w:rFonts w:hint="eastAsia" w:ascii="Times New Roman" w:hAnsi="Times New Roman" w:eastAsia="宋体" w:cs="Times New Roman"/>
                <w:b/>
                <w:bCs/>
                <w:color w:val="auto"/>
                <w:sz w:val="24"/>
                <w:szCs w:val="32"/>
                <w:highlight w:val="none"/>
              </w:rPr>
              <w:t>集气罩参数</w:t>
            </w:r>
          </w:p>
          <w:tbl>
            <w:tblPr>
              <w:tblStyle w:val="2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96"/>
              <w:gridCol w:w="945"/>
              <w:gridCol w:w="1665"/>
              <w:gridCol w:w="1620"/>
              <w:gridCol w:w="19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696" w:type="dxa"/>
                  <w:vAlign w:val="center"/>
                </w:tcPr>
                <w:p>
                  <w:pPr>
                    <w:wordWrap w:val="0"/>
                    <w:autoSpaceDE w:val="0"/>
                    <w:autoSpaceDN w:val="0"/>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hint="eastAsia" w:ascii="Times New Roman" w:hAnsi="Times New Roman" w:eastAsia="宋体" w:cs="Times New Roman"/>
                      <w:b/>
                      <w:bCs/>
                      <w:color w:val="auto"/>
                      <w:position w:val="-10"/>
                      <w:sz w:val="21"/>
                      <w:szCs w:val="21"/>
                      <w:highlight w:val="none"/>
                      <w:lang w:val="en-US" w:eastAsia="zh-CN" w:bidi="ar-SA"/>
                    </w:rPr>
                    <w:t>集气罩</w:t>
                  </w:r>
                  <w:r>
                    <w:rPr>
                      <w:rFonts w:ascii="Times New Roman" w:hAnsi="Times New Roman" w:eastAsia="宋体" w:cs="Times New Roman"/>
                      <w:b/>
                      <w:bCs/>
                      <w:color w:val="auto"/>
                      <w:position w:val="-10"/>
                      <w:sz w:val="21"/>
                      <w:szCs w:val="21"/>
                      <w:highlight w:val="none"/>
                      <w:lang w:val="en-US" w:eastAsia="zh-CN" w:bidi="ar-SA"/>
                    </w:rPr>
                    <w:t>尺寸</w:t>
                  </w:r>
                </w:p>
              </w:tc>
              <w:tc>
                <w:tcPr>
                  <w:tcW w:w="945" w:type="dxa"/>
                  <w:vAlign w:val="center"/>
                </w:tcPr>
                <w:p>
                  <w:pPr>
                    <w:wordWrap w:val="0"/>
                    <w:autoSpaceDE w:val="0"/>
                    <w:autoSpaceDN w:val="0"/>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hint="eastAsia" w:ascii="Times New Roman" w:hAnsi="Times New Roman" w:eastAsia="宋体" w:cs="Times New Roman"/>
                      <w:b/>
                      <w:bCs/>
                      <w:color w:val="auto"/>
                      <w:position w:val="-10"/>
                      <w:sz w:val="21"/>
                      <w:szCs w:val="21"/>
                      <w:highlight w:val="none"/>
                      <w:lang w:val="en-US" w:eastAsia="zh-CN" w:bidi="ar-SA"/>
                    </w:rPr>
                    <w:t>数量</w:t>
                  </w:r>
                </w:p>
              </w:tc>
              <w:tc>
                <w:tcPr>
                  <w:tcW w:w="1665" w:type="dxa"/>
                  <w:vAlign w:val="center"/>
                </w:tcPr>
                <w:p>
                  <w:pPr>
                    <w:wordWrap w:val="0"/>
                    <w:autoSpaceDE w:val="0"/>
                    <w:autoSpaceDN w:val="0"/>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hint="eastAsia" w:ascii="Times New Roman" w:hAnsi="Times New Roman" w:eastAsia="宋体" w:cs="Times New Roman"/>
                      <w:b/>
                      <w:bCs/>
                      <w:color w:val="auto"/>
                      <w:position w:val="-10"/>
                      <w:sz w:val="21"/>
                      <w:szCs w:val="21"/>
                      <w:highlight w:val="none"/>
                      <w:lang w:val="en-US" w:eastAsia="zh-CN" w:bidi="ar-SA"/>
                    </w:rPr>
                    <w:t>污染物</w:t>
                  </w:r>
                  <w:r>
                    <w:rPr>
                      <w:rFonts w:ascii="Times New Roman" w:hAnsi="Times New Roman" w:eastAsia="宋体" w:cs="Times New Roman"/>
                      <w:b/>
                      <w:bCs/>
                      <w:color w:val="auto"/>
                      <w:position w:val="-10"/>
                      <w:sz w:val="21"/>
                      <w:szCs w:val="21"/>
                      <w:highlight w:val="none"/>
                      <w:lang w:val="en-US" w:eastAsia="zh-CN" w:bidi="ar-SA"/>
                    </w:rPr>
                    <w:t>因子</w:t>
                  </w:r>
                </w:p>
              </w:tc>
              <w:tc>
                <w:tcPr>
                  <w:tcW w:w="1620" w:type="dxa"/>
                  <w:vAlign w:val="center"/>
                </w:tcPr>
                <w:p>
                  <w:pPr>
                    <w:wordWrap w:val="0"/>
                    <w:autoSpaceDE w:val="0"/>
                    <w:autoSpaceDN w:val="0"/>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hint="eastAsia" w:ascii="Times New Roman" w:hAnsi="Times New Roman" w:eastAsia="宋体" w:cs="Times New Roman"/>
                      <w:b/>
                      <w:bCs/>
                      <w:color w:val="auto"/>
                      <w:position w:val="-10"/>
                      <w:sz w:val="21"/>
                      <w:szCs w:val="21"/>
                      <w:highlight w:val="none"/>
                      <w:lang w:val="en-US" w:eastAsia="zh-CN" w:bidi="ar-SA"/>
                    </w:rPr>
                    <w:t>罩口</w:t>
                  </w:r>
                  <w:r>
                    <w:rPr>
                      <w:rFonts w:ascii="Times New Roman" w:hAnsi="Times New Roman" w:eastAsia="宋体" w:cs="Times New Roman"/>
                      <w:b/>
                      <w:bCs/>
                      <w:color w:val="auto"/>
                      <w:position w:val="-10"/>
                      <w:sz w:val="21"/>
                      <w:szCs w:val="21"/>
                      <w:highlight w:val="none"/>
                      <w:lang w:val="en-US" w:eastAsia="zh-CN" w:bidi="ar-SA"/>
                    </w:rPr>
                    <w:t>与有害物发生点距离</w:t>
                  </w:r>
                </w:p>
              </w:tc>
              <w:tc>
                <w:tcPr>
                  <w:tcW w:w="1920" w:type="dxa"/>
                  <w:vAlign w:val="center"/>
                </w:tcPr>
                <w:p>
                  <w:pPr>
                    <w:wordWrap w:val="0"/>
                    <w:autoSpaceDE w:val="0"/>
                    <w:autoSpaceDN w:val="0"/>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圆形排风罩排风量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2" w:hRule="atLeast"/>
              </w:trPr>
              <w:tc>
                <w:tcPr>
                  <w:tcW w:w="1696" w:type="dxa"/>
                  <w:vAlign w:val="center"/>
                </w:tcPr>
                <w:p>
                  <w:pPr>
                    <w:wordWrap w:val="0"/>
                    <w:autoSpaceDE w:val="0"/>
                    <w:autoSpaceDN w:val="0"/>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φ300</w:t>
                  </w:r>
                  <w:r>
                    <w:rPr>
                      <w:rFonts w:ascii="Times New Roman" w:hAnsi="Times New Roman" w:eastAsia="宋体" w:cs="Times New Roman"/>
                      <w:color w:val="auto"/>
                      <w:position w:val="-10"/>
                      <w:sz w:val="21"/>
                      <w:szCs w:val="21"/>
                      <w:highlight w:val="none"/>
                      <w:lang w:val="en-US" w:eastAsia="zh-CN" w:bidi="ar-SA"/>
                    </w:rPr>
                    <w:t>mm</w:t>
                  </w:r>
                </w:p>
              </w:tc>
              <w:tc>
                <w:tcPr>
                  <w:tcW w:w="945" w:type="dxa"/>
                  <w:vAlign w:val="center"/>
                </w:tcPr>
                <w:p>
                  <w:pPr>
                    <w:wordWrap w:val="0"/>
                    <w:autoSpaceDE w:val="0"/>
                    <w:autoSpaceDN w:val="0"/>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48个</w:t>
                  </w:r>
                </w:p>
              </w:tc>
              <w:tc>
                <w:tcPr>
                  <w:tcW w:w="1665" w:type="dxa"/>
                  <w:vAlign w:val="center"/>
                </w:tcPr>
                <w:p>
                  <w:pPr>
                    <w:wordWrap w:val="0"/>
                    <w:autoSpaceDE w:val="0"/>
                    <w:autoSpaceDN w:val="0"/>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非甲烷总烃</w:t>
                  </w:r>
                </w:p>
              </w:tc>
              <w:tc>
                <w:tcPr>
                  <w:tcW w:w="1620" w:type="dxa"/>
                  <w:vAlign w:val="center"/>
                </w:tcPr>
                <w:p>
                  <w:pPr>
                    <w:wordWrap w:val="0"/>
                    <w:autoSpaceDE w:val="0"/>
                    <w:autoSpaceDN w:val="0"/>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0.15</w:t>
                  </w:r>
                  <w:r>
                    <w:rPr>
                      <w:rFonts w:ascii="Times New Roman" w:hAnsi="Times New Roman" w:eastAsia="宋体" w:cs="Times New Roman"/>
                      <w:color w:val="auto"/>
                      <w:position w:val="-10"/>
                      <w:sz w:val="21"/>
                      <w:szCs w:val="21"/>
                      <w:highlight w:val="none"/>
                      <w:lang w:val="en-US" w:eastAsia="zh-CN" w:bidi="ar-SA"/>
                    </w:rPr>
                    <w:t>m</w:t>
                  </w:r>
                </w:p>
              </w:tc>
              <w:tc>
                <w:tcPr>
                  <w:tcW w:w="1920" w:type="dxa"/>
                  <w:vAlign w:val="center"/>
                </w:tcPr>
                <w:p>
                  <w:pPr>
                    <w:wordWrap w:val="0"/>
                    <w:autoSpaceDE w:val="0"/>
                    <w:autoSpaceDN w:val="0"/>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17884</w:t>
                  </w:r>
                </w:p>
              </w:tc>
            </w:tr>
          </w:tbl>
          <w:p>
            <w:pPr>
              <w:spacing w:line="360" w:lineRule="auto"/>
              <w:ind w:firstLine="480" w:firstLineChars="200"/>
              <w:jc w:val="left"/>
              <w:rPr>
                <w:rFonts w:ascii="Times New Roman" w:hAnsi="Times New Roman" w:eastAsia="宋体" w:cs="Times New Roman"/>
                <w:color w:val="auto"/>
                <w:kern w:val="0"/>
                <w:sz w:val="24"/>
                <w:highlight w:val="none"/>
              </w:rPr>
            </w:pPr>
            <w:r>
              <w:rPr>
                <w:rFonts w:ascii="Times New Roman" w:hAnsi="Times New Roman" w:eastAsia="宋体" w:cs="Times New Roman"/>
                <w:color w:val="auto"/>
                <w:kern w:val="0"/>
                <w:sz w:val="24"/>
                <w:highlight w:val="none"/>
              </w:rPr>
              <w:t>排风量计算公</w:t>
            </w:r>
            <w:r>
              <w:rPr>
                <w:rFonts w:hint="eastAsia" w:ascii="Times New Roman" w:hAnsi="Times New Roman" w:eastAsia="宋体" w:cs="Times New Roman"/>
                <w:color w:val="auto"/>
                <w:kern w:val="0"/>
                <w:sz w:val="24"/>
                <w:highlight w:val="none"/>
              </w:rPr>
              <w:t>式</w:t>
            </w:r>
            <w:r>
              <w:rPr>
                <w:rFonts w:ascii="Times New Roman" w:hAnsi="Times New Roman" w:eastAsia="宋体" w:cs="Times New Roman"/>
                <w:color w:val="auto"/>
                <w:kern w:val="0"/>
                <w:sz w:val="24"/>
                <w:highlight w:val="none"/>
              </w:rPr>
              <w:t>为：</w:t>
            </w:r>
          </w:p>
          <w:p>
            <w:pPr>
              <w:adjustRightInd w:val="0"/>
              <w:spacing w:line="360" w:lineRule="auto"/>
              <w:ind w:firstLine="480" w:firstLineChars="200"/>
              <w:jc w:val="center"/>
              <w:rPr>
                <w:rFonts w:ascii="Times New Roman" w:hAnsi="Times New Roman" w:eastAsia="宋体" w:cs="Times New Roman"/>
                <w:color w:val="auto"/>
                <w:kern w:val="0"/>
                <w:sz w:val="24"/>
                <w:highlight w:val="none"/>
              </w:rPr>
            </w:pPr>
            <w:r>
              <w:rPr>
                <w:rFonts w:ascii="Times New Roman" w:hAnsi="Times New Roman" w:eastAsia="宋体" w:cs="Times New Roman"/>
                <w:color w:val="auto"/>
                <w:kern w:val="0"/>
                <w:sz w:val="24"/>
                <w:highlight w:val="none"/>
              </w:rPr>
              <w:t>Q＝C（10x</w:t>
            </w:r>
            <w:r>
              <w:rPr>
                <w:rFonts w:ascii="Times New Roman" w:hAnsi="Times New Roman" w:eastAsia="宋体" w:cs="Times New Roman"/>
                <w:color w:val="auto"/>
                <w:kern w:val="0"/>
                <w:sz w:val="24"/>
                <w:highlight w:val="none"/>
                <w:vertAlign w:val="superscript"/>
              </w:rPr>
              <w:t>2</w:t>
            </w:r>
            <w:r>
              <w:rPr>
                <w:rFonts w:ascii="Times New Roman" w:hAnsi="Times New Roman" w:eastAsia="宋体" w:cs="Times New Roman"/>
                <w:color w:val="auto"/>
                <w:kern w:val="0"/>
                <w:sz w:val="24"/>
                <w:highlight w:val="none"/>
              </w:rPr>
              <w:t>+A</w:t>
            </w:r>
            <w:r>
              <w:rPr>
                <w:rFonts w:ascii="Times New Roman" w:hAnsi="Times New Roman" w:eastAsia="宋体" w:cs="Times New Roman"/>
                <w:color w:val="auto"/>
                <w:sz w:val="24"/>
                <w:highlight w:val="none"/>
                <w:vertAlign w:val="subscript"/>
              </w:rPr>
              <w:t>0</w:t>
            </w:r>
            <w:r>
              <w:rPr>
                <w:rFonts w:ascii="Times New Roman" w:hAnsi="Times New Roman" w:eastAsia="宋体" w:cs="Times New Roman"/>
                <w:color w:val="auto"/>
                <w:kern w:val="0"/>
                <w:sz w:val="24"/>
                <w:highlight w:val="none"/>
              </w:rPr>
              <w:t>）v</w:t>
            </w:r>
            <w:r>
              <w:rPr>
                <w:rFonts w:ascii="Times New Roman" w:hAnsi="Times New Roman" w:eastAsia="宋体" w:cs="Times New Roman"/>
                <w:color w:val="auto"/>
                <w:sz w:val="24"/>
                <w:highlight w:val="none"/>
                <w:vertAlign w:val="subscript"/>
              </w:rPr>
              <w:t>x</w:t>
            </w:r>
            <w:r>
              <w:rPr>
                <w:rFonts w:ascii="Times New Roman" w:hAnsi="Times New Roman" w:eastAsia="宋体" w:cs="Times New Roman"/>
                <w:color w:val="auto"/>
                <w:kern w:val="0"/>
                <w:sz w:val="24"/>
                <w:highlight w:val="none"/>
              </w:rPr>
              <w:t>（m</w:t>
            </w:r>
            <w:r>
              <w:rPr>
                <w:rFonts w:ascii="Times New Roman" w:hAnsi="Times New Roman" w:eastAsia="宋体" w:cs="Times New Roman"/>
                <w:color w:val="auto"/>
                <w:kern w:val="0"/>
                <w:sz w:val="24"/>
                <w:highlight w:val="none"/>
                <w:vertAlign w:val="superscript"/>
              </w:rPr>
              <w:t>3</w:t>
            </w:r>
            <w:r>
              <w:rPr>
                <w:rFonts w:ascii="Times New Roman" w:hAnsi="Times New Roman" w:eastAsia="宋体" w:cs="Times New Roman"/>
                <w:color w:val="auto"/>
                <w:kern w:val="0"/>
                <w:sz w:val="24"/>
                <w:highlight w:val="none"/>
              </w:rPr>
              <w:t>/s）</w:t>
            </w:r>
          </w:p>
          <w:p>
            <w:pPr>
              <w:adjustRightInd w:val="0"/>
              <w:spacing w:line="360" w:lineRule="auto"/>
              <w:ind w:firstLine="480" w:firstLineChars="200"/>
              <w:rPr>
                <w:rFonts w:ascii="Times New Roman" w:hAnsi="Times New Roman" w:eastAsia="宋体" w:cs="Times New Roman"/>
                <w:color w:val="auto"/>
                <w:kern w:val="0"/>
                <w:sz w:val="24"/>
                <w:highlight w:val="none"/>
              </w:rPr>
            </w:pPr>
            <w:r>
              <w:rPr>
                <w:rFonts w:ascii="Times New Roman" w:hAnsi="Times New Roman" w:eastAsia="宋体" w:cs="Times New Roman"/>
                <w:color w:val="auto"/>
                <w:kern w:val="0"/>
                <w:sz w:val="24"/>
                <w:highlight w:val="none"/>
              </w:rPr>
              <w:t>式中：C—与集气罩的结构形状和设置情况有关的系数，采用四周无边的侧吸罩，C=1；</w:t>
            </w:r>
          </w:p>
          <w:p>
            <w:pPr>
              <w:autoSpaceDE w:val="0"/>
              <w:autoSpaceDN w:val="0"/>
              <w:adjustRightInd w:val="0"/>
              <w:spacing w:line="360" w:lineRule="auto"/>
              <w:ind w:firstLine="480" w:firstLineChars="200"/>
              <w:rPr>
                <w:rFonts w:ascii="Times New Roman" w:hAnsi="Times New Roman" w:eastAsia="宋体" w:cs="Times New Roman"/>
                <w:color w:val="auto"/>
                <w:sz w:val="24"/>
                <w:highlight w:val="none"/>
              </w:rPr>
            </w:pPr>
            <w:r>
              <w:rPr>
                <w:rFonts w:hint="eastAsia" w:ascii="Times New Roman" w:hAnsi="Times New Roman" w:eastAsia="宋体" w:cs="Times New Roman"/>
                <w:color w:val="auto"/>
                <w:sz w:val="24"/>
                <w:highlight w:val="none"/>
              </w:rPr>
              <w:t>x</w:t>
            </w:r>
            <w:r>
              <w:rPr>
                <w:rFonts w:ascii="Times New Roman" w:hAnsi="Times New Roman" w:eastAsia="宋体" w:cs="Times New Roman"/>
                <w:color w:val="auto"/>
                <w:sz w:val="24"/>
                <w:highlight w:val="none"/>
              </w:rPr>
              <w:t>—控制距离</w:t>
            </w:r>
            <w:r>
              <w:rPr>
                <w:rFonts w:hint="eastAsia" w:ascii="Times New Roman" w:hAnsi="Times New Roman" w:eastAsia="宋体" w:cs="Times New Roman"/>
                <w:color w:val="auto"/>
                <w:sz w:val="24"/>
                <w:highlight w:val="none"/>
              </w:rPr>
              <w:t>，</w:t>
            </w:r>
            <w:r>
              <w:rPr>
                <w:rFonts w:ascii="Times New Roman" w:hAnsi="Times New Roman" w:eastAsia="宋体" w:cs="Times New Roman"/>
                <w:color w:val="auto"/>
                <w:sz w:val="24"/>
                <w:highlight w:val="none"/>
              </w:rPr>
              <w:t>m</w:t>
            </w:r>
            <w:r>
              <w:rPr>
                <w:rFonts w:hint="eastAsia" w:ascii="Times New Roman" w:hAnsi="Times New Roman" w:eastAsia="宋体" w:cs="Times New Roman"/>
                <w:color w:val="auto"/>
                <w:sz w:val="24"/>
                <w:highlight w:val="none"/>
              </w:rPr>
              <w:t>；</w:t>
            </w:r>
          </w:p>
          <w:p>
            <w:pPr>
              <w:spacing w:line="360" w:lineRule="auto"/>
              <w:ind w:firstLine="480" w:firstLineChars="200"/>
              <w:rPr>
                <w:rFonts w:ascii="Times New Roman" w:hAnsi="Times New Roman" w:eastAsia="宋体" w:cs="Times New Roman"/>
                <w:color w:val="auto"/>
                <w:sz w:val="24"/>
                <w:highlight w:val="none"/>
              </w:rPr>
            </w:pPr>
            <w:r>
              <w:rPr>
                <w:rFonts w:ascii="Times New Roman" w:hAnsi="Times New Roman" w:eastAsia="宋体" w:cs="Times New Roman"/>
                <w:color w:val="auto"/>
                <w:sz w:val="24"/>
                <w:highlight w:val="none"/>
              </w:rPr>
              <w:t>A</w:t>
            </w:r>
            <w:r>
              <w:rPr>
                <w:rFonts w:ascii="Times New Roman" w:hAnsi="Times New Roman" w:eastAsia="宋体" w:cs="Times New Roman"/>
                <w:color w:val="auto"/>
                <w:sz w:val="24"/>
                <w:highlight w:val="none"/>
                <w:vertAlign w:val="subscript"/>
              </w:rPr>
              <w:t>0</w:t>
            </w:r>
            <w:r>
              <w:rPr>
                <w:rFonts w:ascii="Times New Roman" w:hAnsi="Times New Roman" w:eastAsia="宋体" w:cs="Times New Roman"/>
                <w:color w:val="auto"/>
                <w:sz w:val="24"/>
                <w:highlight w:val="none"/>
              </w:rPr>
              <w:t>—罩口面积，m</w:t>
            </w:r>
            <w:r>
              <w:rPr>
                <w:rFonts w:ascii="Times New Roman" w:hAnsi="Times New Roman" w:eastAsia="宋体" w:cs="Times New Roman"/>
                <w:color w:val="auto"/>
                <w:sz w:val="24"/>
                <w:highlight w:val="none"/>
                <w:vertAlign w:val="superscript"/>
              </w:rPr>
              <w:t>2</w:t>
            </w:r>
            <w:r>
              <w:rPr>
                <w:rFonts w:ascii="Times New Roman" w:hAnsi="Times New Roman" w:eastAsia="宋体" w:cs="Times New Roman"/>
                <w:color w:val="auto"/>
                <w:sz w:val="24"/>
                <w:highlight w:val="none"/>
              </w:rPr>
              <w:t>；</w:t>
            </w:r>
          </w:p>
          <w:p>
            <w:pPr>
              <w:adjustRightInd w:val="0"/>
              <w:spacing w:line="360" w:lineRule="auto"/>
              <w:ind w:firstLine="480" w:firstLineChars="200"/>
              <w:rPr>
                <w:rFonts w:ascii="Times New Roman" w:hAnsi="Times New Roman" w:eastAsia="宋体" w:cs="Times New Roman"/>
                <w:color w:val="auto"/>
                <w:kern w:val="0"/>
                <w:sz w:val="24"/>
                <w:highlight w:val="none"/>
              </w:rPr>
            </w:pPr>
            <w:r>
              <w:rPr>
                <w:rFonts w:ascii="Times New Roman" w:hAnsi="Times New Roman" w:eastAsia="宋体" w:cs="Times New Roman"/>
                <w:color w:val="auto"/>
                <w:kern w:val="0"/>
                <w:sz w:val="24"/>
                <w:highlight w:val="none"/>
              </w:rPr>
              <w:t>v</w:t>
            </w:r>
            <w:r>
              <w:rPr>
                <w:rFonts w:ascii="Times New Roman" w:hAnsi="Times New Roman" w:eastAsia="宋体" w:cs="Times New Roman"/>
                <w:color w:val="auto"/>
                <w:sz w:val="24"/>
                <w:highlight w:val="none"/>
                <w:vertAlign w:val="subscript"/>
              </w:rPr>
              <w:t>x</w:t>
            </w:r>
            <w:r>
              <w:rPr>
                <w:rFonts w:ascii="Times New Roman" w:hAnsi="Times New Roman" w:eastAsia="宋体" w:cs="Times New Roman"/>
                <w:color w:val="auto"/>
                <w:kern w:val="0"/>
                <w:sz w:val="24"/>
                <w:highlight w:val="none"/>
              </w:rPr>
              <w:t>—边缘控制点的控制风速，m/s，</w:t>
            </w:r>
            <w:r>
              <w:rPr>
                <w:rFonts w:hint="eastAsia" w:ascii="Times New Roman" w:hAnsi="Times New Roman" w:eastAsia="宋体" w:cs="Times New Roman"/>
                <w:color w:val="auto"/>
                <w:kern w:val="0"/>
                <w:sz w:val="24"/>
                <w:highlight w:val="none"/>
              </w:rPr>
              <w:t>以轻微的速度放散到相当平静的空气中</w:t>
            </w:r>
            <w:r>
              <w:rPr>
                <w:rFonts w:ascii="Times New Roman" w:hAnsi="Times New Roman" w:eastAsia="宋体" w:cs="Times New Roman"/>
                <w:color w:val="auto"/>
                <w:kern w:val="0"/>
                <w:sz w:val="24"/>
                <w:highlight w:val="none"/>
              </w:rPr>
              <w:t>，一般取0.</w:t>
            </w:r>
            <w:r>
              <w:rPr>
                <w:rFonts w:hint="eastAsia" w:ascii="Times New Roman" w:hAnsi="Times New Roman" w:eastAsia="宋体" w:cs="Times New Roman"/>
                <w:color w:val="auto"/>
                <w:kern w:val="0"/>
                <w:sz w:val="24"/>
                <w:highlight w:val="none"/>
              </w:rPr>
              <w:t>2</w:t>
            </w:r>
            <w:r>
              <w:rPr>
                <w:rFonts w:ascii="Times New Roman" w:hAnsi="Times New Roman" w:eastAsia="宋体" w:cs="Times New Roman"/>
                <w:color w:val="auto"/>
                <w:kern w:val="0"/>
                <w:sz w:val="24"/>
                <w:highlight w:val="none"/>
              </w:rPr>
              <w:t>5~</w:t>
            </w:r>
            <w:r>
              <w:rPr>
                <w:rFonts w:hint="eastAsia" w:ascii="Times New Roman" w:hAnsi="Times New Roman" w:eastAsia="宋体" w:cs="Times New Roman"/>
                <w:color w:val="auto"/>
                <w:kern w:val="0"/>
                <w:sz w:val="24"/>
                <w:highlight w:val="none"/>
              </w:rPr>
              <w:t>0.5</w:t>
            </w:r>
            <w:r>
              <w:rPr>
                <w:rFonts w:ascii="Times New Roman" w:hAnsi="Times New Roman" w:eastAsia="宋体" w:cs="Times New Roman"/>
                <w:color w:val="auto"/>
                <w:kern w:val="0"/>
                <w:sz w:val="24"/>
                <w:highlight w:val="none"/>
              </w:rPr>
              <w:t>m/s，本项目取</w:t>
            </w:r>
            <w:r>
              <w:rPr>
                <w:rFonts w:hint="eastAsia" w:ascii="Times New Roman" w:hAnsi="Times New Roman" w:eastAsia="宋体" w:cs="Times New Roman"/>
                <w:color w:val="auto"/>
                <w:kern w:val="0"/>
                <w:sz w:val="24"/>
                <w:highlight w:val="none"/>
              </w:rPr>
              <w:t>0.</w:t>
            </w:r>
            <w:r>
              <w:rPr>
                <w:rFonts w:hint="eastAsia" w:ascii="Times New Roman" w:hAnsi="Times New Roman" w:eastAsia="宋体" w:cs="Times New Roman"/>
                <w:color w:val="auto"/>
                <w:kern w:val="0"/>
                <w:sz w:val="24"/>
                <w:highlight w:val="none"/>
                <w:lang w:val="en-US" w:eastAsia="zh-CN"/>
              </w:rPr>
              <w:t>3</w:t>
            </w:r>
            <w:r>
              <w:rPr>
                <w:rFonts w:hint="eastAsia" w:ascii="Times New Roman" w:hAnsi="Times New Roman" w:eastAsia="宋体" w:cs="Times New Roman"/>
                <w:color w:val="auto"/>
                <w:kern w:val="0"/>
                <w:sz w:val="24"/>
                <w:highlight w:val="none"/>
              </w:rPr>
              <w:t>5</w:t>
            </w:r>
            <w:r>
              <w:rPr>
                <w:rFonts w:ascii="Times New Roman" w:hAnsi="Times New Roman" w:eastAsia="宋体" w:cs="Times New Roman"/>
                <w:color w:val="auto"/>
                <w:kern w:val="0"/>
                <w:sz w:val="24"/>
                <w:highlight w:val="none"/>
              </w:rPr>
              <w:t>m/s；</w:t>
            </w:r>
          </w:p>
          <w:p>
            <w:pPr>
              <w:adjustRightInd w:val="0"/>
              <w:spacing w:line="360" w:lineRule="auto"/>
              <w:ind w:firstLine="480" w:firstLineChars="200"/>
              <w:rPr>
                <w:rFonts w:ascii="Times New Roman" w:hAnsi="Times New Roman" w:eastAsia="宋体" w:cs="Times New Roman"/>
                <w:color w:val="auto"/>
                <w:kern w:val="0"/>
                <w:sz w:val="24"/>
                <w:highlight w:val="none"/>
              </w:rPr>
            </w:pPr>
            <w:r>
              <w:rPr>
                <w:rFonts w:hint="eastAsia" w:ascii="Times New Roman" w:hAnsi="Times New Roman" w:eastAsia="宋体" w:cs="Times New Roman"/>
                <w:bCs/>
                <w:color w:val="auto"/>
                <w:kern w:val="0"/>
                <w:sz w:val="24"/>
                <w:highlight w:val="none"/>
              </w:rPr>
              <w:t xml:space="preserve">综合以上分析，本项目理论所需风量为 </w:t>
            </w:r>
            <w:r>
              <w:rPr>
                <w:rFonts w:hint="eastAsia" w:ascii="Times New Roman" w:hAnsi="Times New Roman" w:eastAsia="宋体" w:cs="Times New Roman"/>
                <w:bCs/>
                <w:color w:val="auto"/>
                <w:kern w:val="0"/>
                <w:sz w:val="24"/>
                <w:highlight w:val="none"/>
                <w:lang w:val="en-US" w:eastAsia="zh-CN"/>
              </w:rPr>
              <w:t>17884</w:t>
            </w:r>
            <w:r>
              <w:rPr>
                <w:rFonts w:hint="eastAsia" w:ascii="Times New Roman" w:hAnsi="Times New Roman" w:eastAsia="宋体" w:cs="Times New Roman"/>
                <w:bCs/>
                <w:color w:val="auto"/>
                <w:kern w:val="0"/>
                <w:sz w:val="24"/>
                <w:highlight w:val="none"/>
              </w:rPr>
              <w:t>m³/h，为保证废气的有效收集，</w:t>
            </w:r>
            <w:r>
              <w:rPr>
                <w:rFonts w:hint="eastAsia" w:ascii="Times New Roman" w:hAnsi="Times New Roman" w:eastAsia="宋体" w:cs="Times New Roman"/>
                <w:bCs/>
                <w:color w:val="auto"/>
                <w:kern w:val="0"/>
                <w:sz w:val="24"/>
                <w:highlight w:val="none"/>
                <w:lang w:eastAsia="zh-CN"/>
              </w:rPr>
              <w:t>且考虑到风损等原因，</w:t>
            </w:r>
            <w:r>
              <w:rPr>
                <w:rFonts w:hint="eastAsia" w:ascii="Times New Roman" w:hAnsi="Times New Roman" w:eastAsia="宋体" w:cs="Times New Roman"/>
                <w:bCs/>
                <w:color w:val="auto"/>
                <w:kern w:val="0"/>
                <w:sz w:val="24"/>
                <w:highlight w:val="none"/>
              </w:rPr>
              <w:t>本项目设计处理风量为</w:t>
            </w:r>
            <w:r>
              <w:rPr>
                <w:rFonts w:hint="eastAsia" w:ascii="Times New Roman" w:hAnsi="Times New Roman" w:eastAsia="宋体" w:cs="Times New Roman"/>
                <w:bCs/>
                <w:color w:val="auto"/>
                <w:kern w:val="0"/>
                <w:sz w:val="24"/>
                <w:highlight w:val="none"/>
                <w:lang w:val="en-US" w:eastAsia="zh-CN"/>
              </w:rPr>
              <w:t>20</w:t>
            </w:r>
            <w:r>
              <w:rPr>
                <w:rFonts w:hint="eastAsia" w:ascii="Times New Roman" w:hAnsi="Times New Roman" w:eastAsia="宋体" w:cs="Times New Roman"/>
                <w:bCs/>
                <w:color w:val="auto"/>
                <w:kern w:val="0"/>
                <w:sz w:val="24"/>
                <w:highlight w:val="none"/>
              </w:rPr>
              <w:t>000</w:t>
            </w:r>
            <w:r>
              <w:rPr>
                <w:rFonts w:ascii="Times New Roman" w:hAnsi="Times New Roman" w:eastAsia="宋体" w:cs="Times New Roman"/>
                <w:bCs/>
                <w:color w:val="auto"/>
                <w:kern w:val="0"/>
                <w:sz w:val="24"/>
                <w:highlight w:val="none"/>
              </w:rPr>
              <w:t>m</w:t>
            </w:r>
            <w:r>
              <w:rPr>
                <w:rFonts w:ascii="Times New Roman" w:hAnsi="Times New Roman" w:eastAsia="宋体" w:cs="Times New Roman"/>
                <w:bCs/>
                <w:color w:val="auto"/>
                <w:kern w:val="0"/>
                <w:sz w:val="24"/>
                <w:highlight w:val="none"/>
                <w:vertAlign w:val="superscript"/>
              </w:rPr>
              <w:t>3</w:t>
            </w:r>
            <w:r>
              <w:rPr>
                <w:rFonts w:ascii="Times New Roman" w:hAnsi="Times New Roman" w:eastAsia="宋体" w:cs="Times New Roman"/>
                <w:bCs/>
                <w:color w:val="auto"/>
                <w:kern w:val="0"/>
                <w:sz w:val="24"/>
                <w:highlight w:val="none"/>
              </w:rPr>
              <w:t>/h</w:t>
            </w:r>
            <w:r>
              <w:rPr>
                <w:rFonts w:ascii="Times New Roman" w:hAnsi="Times New Roman" w:eastAsia="宋体" w:cs="Times New Roman"/>
                <w:color w:val="auto"/>
                <w:kern w:val="0"/>
                <w:sz w:val="24"/>
                <w:highlight w:val="none"/>
              </w:rPr>
              <w:t>，可知本项目集气罩的设计风量</w:t>
            </w:r>
            <w:r>
              <w:rPr>
                <w:rFonts w:hint="eastAsia" w:ascii="Times New Roman" w:hAnsi="Times New Roman" w:eastAsia="宋体" w:cs="Times New Roman"/>
                <w:color w:val="auto"/>
                <w:kern w:val="0"/>
                <w:sz w:val="24"/>
                <w:highlight w:val="none"/>
                <w:lang w:val="en-US" w:eastAsia="zh-CN"/>
              </w:rPr>
              <w:t>满足</w:t>
            </w:r>
            <w:r>
              <w:rPr>
                <w:rFonts w:ascii="Times New Roman" w:hAnsi="Times New Roman" w:eastAsia="宋体" w:cs="Times New Roman"/>
                <w:color w:val="auto"/>
                <w:kern w:val="0"/>
                <w:sz w:val="24"/>
                <w:highlight w:val="none"/>
              </w:rPr>
              <w:t>风量</w:t>
            </w:r>
            <w:r>
              <w:rPr>
                <w:rFonts w:hint="eastAsia" w:ascii="Times New Roman" w:hAnsi="Times New Roman" w:eastAsia="宋体" w:cs="Times New Roman"/>
                <w:color w:val="auto"/>
                <w:kern w:val="0"/>
                <w:sz w:val="24"/>
                <w:highlight w:val="none"/>
                <w:lang w:val="en-US" w:eastAsia="zh-CN"/>
              </w:rPr>
              <w:t>需求</w:t>
            </w:r>
            <w:r>
              <w:rPr>
                <w:rFonts w:ascii="Times New Roman" w:hAnsi="Times New Roman" w:eastAsia="宋体" w:cs="Times New Roman"/>
                <w:color w:val="auto"/>
                <w:kern w:val="0"/>
                <w:sz w:val="24"/>
                <w:highlight w:val="none"/>
              </w:rPr>
              <w:t>。</w:t>
            </w:r>
          </w:p>
          <w:p>
            <w:pPr>
              <w:pStyle w:val="20"/>
              <w:adjustRightInd w:val="0"/>
              <w:spacing w:line="360" w:lineRule="auto"/>
              <w:ind w:firstLine="480"/>
              <w:outlineLvl w:val="9"/>
              <w:rPr>
                <w:rFonts w:ascii="Times New Roman" w:hAnsi="Times New Roman" w:eastAsia="宋体" w:cs="Times New Roman"/>
                <w:bCs w:val="0"/>
                <w:color w:val="000000"/>
                <w:sz w:val="24"/>
              </w:rPr>
            </w:pPr>
            <w:r>
              <w:rPr>
                <w:rFonts w:ascii="Times New Roman" w:hAnsi="Times New Roman" w:eastAsia="宋体" w:cs="Times New Roman"/>
                <w:color w:val="000000"/>
                <w:sz w:val="24"/>
              </w:rPr>
              <w:t>根据</w:t>
            </w:r>
            <w:r>
              <w:rPr>
                <w:rFonts w:hint="eastAsia" w:ascii="Times New Roman" w:hAnsi="Times New Roman" w:eastAsia="宋体" w:cs="Times New Roman"/>
                <w:color w:val="000000"/>
                <w:sz w:val="24"/>
              </w:rPr>
              <w:t>《广东省生态环境厅关于印发工业源挥发性有机物和氮氧化物减排量核算方法的通知》（粤环函〔2023〕538 号），本项目</w:t>
            </w:r>
            <w:r>
              <w:rPr>
                <w:rFonts w:hint="eastAsia" w:cs="Times New Roman"/>
                <w:color w:val="000000"/>
                <w:sz w:val="24"/>
                <w:lang w:val="en-US" w:eastAsia="zh-CN"/>
              </w:rPr>
              <w:t>收集方式属于通过软质垂帘四周围挡（偶有部分敞开）的包围型集气罩，在敞开面控制风速不小于 0.3m/s时，对应的</w:t>
            </w:r>
            <w:r>
              <w:rPr>
                <w:rFonts w:hint="eastAsia" w:ascii="Times New Roman" w:hAnsi="Times New Roman" w:eastAsia="宋体" w:cs="Times New Roman"/>
                <w:color w:val="000000"/>
                <w:sz w:val="24"/>
              </w:rPr>
              <w:t>收集效率</w:t>
            </w:r>
            <w:r>
              <w:rPr>
                <w:rFonts w:hint="eastAsia" w:cs="Times New Roman"/>
                <w:color w:val="000000"/>
                <w:sz w:val="24"/>
                <w:lang w:val="en-US" w:eastAsia="zh-CN"/>
              </w:rPr>
              <w:t>为50</w:t>
            </w:r>
            <w:r>
              <w:rPr>
                <w:rFonts w:hint="eastAsia" w:ascii="Times New Roman" w:hAnsi="Times New Roman" w:eastAsia="宋体" w:cs="Times New Roman"/>
                <w:color w:val="000000"/>
                <w:sz w:val="24"/>
              </w:rPr>
              <w:t>%</w:t>
            </w:r>
            <w:bookmarkEnd w:id="60"/>
            <w:bookmarkEnd w:id="61"/>
            <w:r>
              <w:rPr>
                <w:rFonts w:hint="eastAsia"/>
                <w:color w:val="auto"/>
                <w:spacing w:val="-1"/>
                <w:sz w:val="24"/>
              </w:rPr>
              <w:t>，</w:t>
            </w:r>
            <w:r>
              <w:rPr>
                <w:rFonts w:hint="eastAsia"/>
                <w:color w:val="auto"/>
                <w:spacing w:val="-1"/>
                <w:sz w:val="24"/>
                <w:lang w:val="en-US" w:eastAsia="zh-CN"/>
              </w:rPr>
              <w:t>本项目</w:t>
            </w:r>
            <w:r>
              <w:rPr>
                <w:color w:val="auto"/>
                <w:spacing w:val="-1"/>
                <w:sz w:val="24"/>
              </w:rPr>
              <w:t>收集效率按</w:t>
            </w:r>
            <w:r>
              <w:rPr>
                <w:rFonts w:hint="eastAsia"/>
                <w:color w:val="auto"/>
                <w:spacing w:val="-1"/>
                <w:sz w:val="24"/>
                <w:lang w:val="en-US" w:eastAsia="zh-CN"/>
              </w:rPr>
              <w:t>5</w:t>
            </w:r>
            <w:r>
              <w:rPr>
                <w:color w:val="auto"/>
                <w:spacing w:val="-1"/>
                <w:sz w:val="24"/>
              </w:rPr>
              <w:t>0%计</w:t>
            </w:r>
            <w:r>
              <w:rPr>
                <w:rFonts w:hint="eastAsia" w:ascii="Times New Roman" w:hAnsi="Times New Roman" w:eastAsia="宋体" w:cs="Times New Roman"/>
                <w:color w:val="000000"/>
                <w:sz w:val="24"/>
              </w:rPr>
              <w:t>。</w:t>
            </w:r>
          </w:p>
          <w:p>
            <w:pPr>
              <w:spacing w:line="360" w:lineRule="auto"/>
              <w:ind w:firstLine="480" w:firstLineChars="200"/>
              <w:rPr>
                <w:rFonts w:ascii="Times New Roman" w:hAnsi="Times New Roman" w:eastAsia="宋体" w:cs="Times New Roman"/>
                <w:bCs/>
                <w:color w:val="000000"/>
                <w:kern w:val="28"/>
                <w:sz w:val="24"/>
                <w:szCs w:val="24"/>
                <w:lang w:val="en-US" w:eastAsia="zh-CN" w:bidi="ar-SA"/>
              </w:rPr>
            </w:pPr>
            <w:bookmarkStart w:id="62" w:name="_Toc25409"/>
            <w:bookmarkStart w:id="63" w:name="_Toc4412"/>
            <w:r>
              <w:rPr>
                <w:rFonts w:ascii="Times New Roman" w:hAnsi="Times New Roman" w:eastAsia="宋体" w:cs="Times New Roman"/>
                <w:bCs/>
                <w:color w:val="000000"/>
                <w:kern w:val="28"/>
                <w:sz w:val="24"/>
                <w:szCs w:val="24"/>
                <w:lang w:val="en-US" w:eastAsia="zh-CN" w:bidi="ar-SA"/>
              </w:rPr>
              <w:t>收集后的废气经管道进入</w:t>
            </w:r>
            <w:r>
              <w:rPr>
                <w:rFonts w:hint="eastAsia" w:ascii="Times New Roman" w:hAnsi="Times New Roman" w:eastAsia="宋体" w:cs="Times New Roman"/>
                <w:bCs/>
                <w:color w:val="000000"/>
                <w:kern w:val="28"/>
                <w:sz w:val="24"/>
                <w:szCs w:val="24"/>
                <w:lang w:val="en-US" w:eastAsia="zh-CN" w:bidi="ar-SA"/>
              </w:rPr>
              <w:t>“</w:t>
            </w:r>
            <w:r>
              <w:rPr>
                <w:rFonts w:ascii="Times New Roman" w:hAnsi="Times New Roman" w:eastAsia="宋体" w:cs="Times New Roman"/>
                <w:bCs/>
                <w:color w:val="000000"/>
                <w:kern w:val="28"/>
                <w:sz w:val="24"/>
                <w:szCs w:val="24"/>
                <w:lang w:val="en-US" w:eastAsia="zh-CN" w:bidi="ar-SA"/>
              </w:rPr>
              <w:t>二级活性炭吸附装置</w:t>
            </w:r>
            <w:r>
              <w:rPr>
                <w:rFonts w:hint="eastAsia" w:ascii="Times New Roman" w:hAnsi="Times New Roman" w:eastAsia="宋体" w:cs="Times New Roman"/>
                <w:bCs/>
                <w:color w:val="000000"/>
                <w:kern w:val="28"/>
                <w:sz w:val="24"/>
                <w:szCs w:val="24"/>
                <w:lang w:val="en-US" w:eastAsia="zh-CN" w:bidi="ar-SA"/>
              </w:rPr>
              <w:t>”</w:t>
            </w:r>
            <w:r>
              <w:rPr>
                <w:rFonts w:ascii="Times New Roman" w:hAnsi="Times New Roman" w:eastAsia="宋体" w:cs="Times New Roman"/>
                <w:bCs/>
                <w:color w:val="000000"/>
                <w:kern w:val="28"/>
                <w:sz w:val="24"/>
                <w:szCs w:val="24"/>
                <w:lang w:val="en-US" w:eastAsia="zh-CN" w:bidi="ar-SA"/>
              </w:rPr>
              <w:t>进行处理，处理后</w:t>
            </w:r>
            <w:r>
              <w:rPr>
                <w:rFonts w:hint="eastAsia" w:ascii="Times New Roman" w:hAnsi="Times New Roman" w:eastAsia="宋体" w:cs="Times New Roman"/>
                <w:bCs/>
                <w:color w:val="000000"/>
                <w:kern w:val="28"/>
                <w:sz w:val="24"/>
                <w:szCs w:val="24"/>
                <w:lang w:val="en-US" w:eastAsia="zh-CN" w:bidi="ar-SA"/>
              </w:rPr>
              <w:t>达标后的</w:t>
            </w:r>
            <w:r>
              <w:rPr>
                <w:rFonts w:ascii="Times New Roman" w:hAnsi="Times New Roman" w:eastAsia="宋体" w:cs="Times New Roman"/>
                <w:bCs/>
                <w:color w:val="000000"/>
                <w:kern w:val="28"/>
                <w:sz w:val="24"/>
                <w:szCs w:val="24"/>
                <w:lang w:val="en-US" w:eastAsia="zh-CN" w:bidi="ar-SA"/>
              </w:rPr>
              <w:t>尾气经</w:t>
            </w:r>
            <w:r>
              <w:rPr>
                <w:rFonts w:hint="eastAsia" w:ascii="Times New Roman" w:hAnsi="Times New Roman" w:eastAsia="宋体" w:cs="Times New Roman"/>
                <w:bCs/>
                <w:color w:val="000000"/>
                <w:kern w:val="28"/>
                <w:sz w:val="24"/>
                <w:szCs w:val="24"/>
                <w:lang w:val="en-US" w:eastAsia="zh-CN" w:bidi="ar-SA"/>
              </w:rPr>
              <w:t>15m高排气筒DA001排放</w:t>
            </w:r>
            <w:r>
              <w:rPr>
                <w:rFonts w:ascii="Times New Roman" w:hAnsi="Times New Roman" w:eastAsia="宋体" w:cs="Times New Roman"/>
                <w:bCs/>
                <w:color w:val="000000"/>
                <w:kern w:val="28"/>
                <w:sz w:val="24"/>
                <w:szCs w:val="24"/>
                <w:lang w:val="en-US" w:eastAsia="zh-CN" w:bidi="ar-SA"/>
              </w:rPr>
              <w:t>。本项目活性炭箱设计严格按照《吸附法工业有机废气治理工程技术规范》（HJ2026-2013）进行设计，</w:t>
            </w:r>
            <w:r>
              <w:rPr>
                <w:rFonts w:ascii="Times New Roman" w:hAnsi="Times New Roman" w:eastAsia="宋体" w:cs="Times New Roman"/>
                <w:bCs/>
                <w:color w:val="000000"/>
                <w:kern w:val="28"/>
                <w:sz w:val="24"/>
                <w:szCs w:val="32"/>
                <w:lang w:val="en-US" w:eastAsia="zh-CN" w:bidi="ar-SA"/>
              </w:rPr>
              <w:t>根据《广东省表面涂装（汽车制造）挥发性有机废气治理技术指南》，典型治理技术中，吸附法可达治理效率为50%~90%，</w:t>
            </w:r>
            <w:r>
              <w:rPr>
                <w:rFonts w:hint="eastAsia" w:ascii="Times New Roman" w:hAnsi="Times New Roman" w:eastAsia="宋体" w:cs="Times New Roman"/>
                <w:bCs/>
                <w:color w:val="000000"/>
                <w:kern w:val="28"/>
                <w:sz w:val="24"/>
                <w:szCs w:val="32"/>
                <w:lang w:val="en-US" w:eastAsia="zh-CN" w:bidi="ar-SA"/>
              </w:rPr>
              <w:t>本项目第一级活性炭处理取65%，第二级活性炭处理取60%，则</w:t>
            </w:r>
            <w:r>
              <w:rPr>
                <w:rFonts w:ascii="Times New Roman" w:hAnsi="Times New Roman" w:eastAsia="宋体" w:cs="Times New Roman"/>
                <w:bCs/>
                <w:color w:val="000000"/>
                <w:kern w:val="28"/>
                <w:sz w:val="24"/>
                <w:szCs w:val="32"/>
                <w:lang w:val="en-US" w:eastAsia="zh-CN" w:bidi="ar-SA"/>
              </w:rPr>
              <w:t>“二级活性炭吸附装”置处理效率</w:t>
            </w:r>
            <w:r>
              <w:rPr>
                <w:rFonts w:hint="eastAsia" w:ascii="Times New Roman" w:hAnsi="Times New Roman" w:eastAsia="宋体" w:cs="Times New Roman"/>
                <w:bCs/>
                <w:color w:val="000000"/>
                <w:kern w:val="28"/>
                <w:sz w:val="24"/>
                <w:szCs w:val="32"/>
                <w:lang w:val="en-US" w:eastAsia="zh-CN" w:bidi="ar-SA"/>
              </w:rPr>
              <w:t>为1-（1-65%）</w:t>
            </w:r>
            <w:r>
              <w:rPr>
                <w:rFonts w:hint="default" w:ascii="Arial" w:hAnsi="Arial" w:eastAsia="宋体" w:cs="Arial"/>
                <w:bCs/>
                <w:color w:val="000000"/>
                <w:kern w:val="28"/>
                <w:sz w:val="24"/>
                <w:szCs w:val="32"/>
                <w:lang w:val="en-US" w:eastAsia="zh-CN" w:bidi="ar-SA"/>
              </w:rPr>
              <w:t>×</w:t>
            </w:r>
            <w:r>
              <w:rPr>
                <w:rFonts w:hint="eastAsia" w:ascii="Times New Roman" w:hAnsi="Times New Roman" w:eastAsia="宋体" w:cs="Times New Roman"/>
                <w:bCs/>
                <w:color w:val="000000"/>
                <w:kern w:val="28"/>
                <w:sz w:val="24"/>
                <w:szCs w:val="32"/>
                <w:lang w:val="en-US" w:eastAsia="zh-CN" w:bidi="ar-SA"/>
              </w:rPr>
              <w:t>（1-60%）=86</w:t>
            </w:r>
            <w:r>
              <w:rPr>
                <w:rFonts w:ascii="Times New Roman" w:hAnsi="Times New Roman" w:eastAsia="宋体" w:cs="Times New Roman"/>
                <w:bCs/>
                <w:color w:val="000000"/>
                <w:kern w:val="28"/>
                <w:sz w:val="24"/>
                <w:szCs w:val="32"/>
                <w:lang w:val="en-US" w:eastAsia="zh-CN" w:bidi="ar-SA"/>
              </w:rPr>
              <w:t>%</w:t>
            </w:r>
            <w:r>
              <w:rPr>
                <w:rFonts w:ascii="Times New Roman" w:hAnsi="Times New Roman" w:eastAsia="宋体" w:cs="Times New Roman"/>
                <w:bCs/>
                <w:color w:val="000000"/>
                <w:kern w:val="28"/>
                <w:sz w:val="24"/>
                <w:szCs w:val="24"/>
                <w:lang w:val="en-US" w:eastAsia="zh-CN" w:bidi="ar-SA"/>
              </w:rPr>
              <w:t>，</w:t>
            </w:r>
            <w:r>
              <w:rPr>
                <w:rFonts w:hint="eastAsia" w:ascii="Times New Roman" w:hAnsi="Times New Roman" w:eastAsia="宋体" w:cs="Times New Roman"/>
                <w:bCs/>
                <w:color w:val="000000"/>
                <w:kern w:val="28"/>
                <w:sz w:val="24"/>
                <w:szCs w:val="24"/>
                <w:lang w:val="en-US" w:eastAsia="zh-CN" w:bidi="ar-SA"/>
              </w:rPr>
              <w:t>本项目二级活性炭吸附装置综合去除效率按85%计</w:t>
            </w:r>
            <w:r>
              <w:rPr>
                <w:rFonts w:ascii="Times New Roman" w:hAnsi="Times New Roman" w:eastAsia="宋体" w:cs="Times New Roman"/>
                <w:bCs/>
                <w:color w:val="000000"/>
                <w:kern w:val="28"/>
                <w:sz w:val="24"/>
                <w:szCs w:val="24"/>
                <w:lang w:val="en-US" w:eastAsia="zh-CN" w:bidi="ar-SA"/>
              </w:rPr>
              <w:t>。</w:t>
            </w:r>
            <w:bookmarkEnd w:id="62"/>
            <w:bookmarkEnd w:id="63"/>
          </w:p>
          <w:p>
            <w:pPr>
              <w:spacing w:line="360" w:lineRule="auto"/>
              <w:ind w:firstLine="476" w:firstLineChars="200"/>
              <w:rPr>
                <w:color w:val="auto"/>
              </w:rPr>
            </w:pPr>
            <w:r>
              <w:rPr>
                <w:rFonts w:hint="eastAsia"/>
                <w:color w:val="auto"/>
                <w:spacing w:val="-1"/>
                <w:sz w:val="24"/>
                <w:highlight w:val="none"/>
                <w:lang w:val="en-US" w:eastAsia="zh-CN"/>
              </w:rPr>
              <w:t>综上所述，</w:t>
            </w:r>
            <w:r>
              <w:rPr>
                <w:rFonts w:hint="eastAsia"/>
                <w:color w:val="auto"/>
                <w:spacing w:val="-1"/>
                <w:sz w:val="24"/>
                <w:highlight w:val="none"/>
              </w:rPr>
              <w:t>非甲烷总烃的</w:t>
            </w:r>
            <w:r>
              <w:rPr>
                <w:rFonts w:hint="eastAsia"/>
                <w:color w:val="auto"/>
                <w:spacing w:val="-1"/>
                <w:sz w:val="24"/>
                <w:highlight w:val="none"/>
                <w:lang w:val="en-US" w:eastAsia="zh-CN"/>
              </w:rPr>
              <w:t>有组织</w:t>
            </w:r>
            <w:r>
              <w:rPr>
                <w:rFonts w:hint="eastAsia"/>
                <w:color w:val="auto"/>
                <w:spacing w:val="-1"/>
                <w:sz w:val="24"/>
                <w:highlight w:val="none"/>
              </w:rPr>
              <w:t>排放量为0.</w:t>
            </w:r>
            <w:r>
              <w:rPr>
                <w:rFonts w:hint="eastAsia"/>
                <w:color w:val="auto"/>
                <w:spacing w:val="-1"/>
                <w:sz w:val="24"/>
                <w:highlight w:val="none"/>
                <w:lang w:val="en-US" w:eastAsia="zh-CN"/>
              </w:rPr>
              <w:t>0378</w:t>
            </w:r>
            <w:r>
              <w:rPr>
                <w:rFonts w:hint="eastAsia"/>
                <w:color w:val="auto"/>
                <w:spacing w:val="-1"/>
                <w:sz w:val="24"/>
                <w:highlight w:val="none"/>
              </w:rPr>
              <w:t>t/a，</w:t>
            </w:r>
            <w:r>
              <w:rPr>
                <w:rFonts w:hint="eastAsia"/>
                <w:color w:val="auto"/>
                <w:spacing w:val="-1"/>
                <w:sz w:val="24"/>
              </w:rPr>
              <w:t>排放浓度为</w:t>
            </w:r>
            <w:r>
              <w:rPr>
                <w:rFonts w:hint="eastAsia"/>
                <w:color w:val="auto"/>
                <w:spacing w:val="-1"/>
                <w:sz w:val="24"/>
                <w:lang w:eastAsia="zh-CN"/>
              </w:rPr>
              <w:t>0.79</w:t>
            </w:r>
            <w:r>
              <w:rPr>
                <w:rFonts w:hint="eastAsia"/>
                <w:color w:val="auto"/>
                <w:spacing w:val="-1"/>
                <w:sz w:val="24"/>
              </w:rPr>
              <w:t>mg/m</w:t>
            </w:r>
            <w:r>
              <w:rPr>
                <w:rFonts w:hint="eastAsia"/>
                <w:color w:val="auto"/>
                <w:spacing w:val="-1"/>
                <w:sz w:val="24"/>
                <w:vertAlign w:val="superscript"/>
              </w:rPr>
              <w:t>3</w:t>
            </w:r>
            <w:r>
              <w:rPr>
                <w:rFonts w:hint="eastAsia"/>
                <w:color w:val="auto"/>
                <w:spacing w:val="-1"/>
                <w:sz w:val="24"/>
              </w:rPr>
              <w:t>，排放速率为</w:t>
            </w:r>
            <w:r>
              <w:rPr>
                <w:rFonts w:hint="eastAsia"/>
                <w:color w:val="auto"/>
                <w:spacing w:val="-1"/>
                <w:sz w:val="24"/>
                <w:lang w:eastAsia="zh-CN"/>
              </w:rPr>
              <w:t>0.0158</w:t>
            </w:r>
            <w:r>
              <w:rPr>
                <w:rFonts w:hint="eastAsia"/>
                <w:color w:val="auto"/>
                <w:spacing w:val="-1"/>
                <w:sz w:val="24"/>
              </w:rPr>
              <w:t>kg/h。</w:t>
            </w:r>
            <w:r>
              <w:rPr>
                <w:rFonts w:hint="eastAsia"/>
                <w:bCs/>
                <w:color w:val="auto"/>
                <w:sz w:val="24"/>
              </w:rPr>
              <w:t>未收集到的有机废气</w:t>
            </w:r>
            <w:r>
              <w:rPr>
                <w:rFonts w:hint="eastAsia"/>
                <w:color w:val="auto"/>
                <w:spacing w:val="-1"/>
                <w:sz w:val="24"/>
              </w:rPr>
              <w:t>排放量</w:t>
            </w:r>
            <w:r>
              <w:rPr>
                <w:rFonts w:hint="eastAsia"/>
                <w:bCs/>
                <w:color w:val="auto"/>
                <w:sz w:val="24"/>
              </w:rPr>
              <w:t>约</w:t>
            </w:r>
            <w:r>
              <w:rPr>
                <w:rFonts w:hint="eastAsia"/>
                <w:bCs/>
                <w:color w:val="auto"/>
                <w:sz w:val="24"/>
                <w:lang w:eastAsia="zh-CN"/>
              </w:rPr>
              <w:t>0.252</w:t>
            </w:r>
            <w:r>
              <w:rPr>
                <w:rFonts w:hint="eastAsia"/>
                <w:bCs/>
                <w:color w:val="auto"/>
                <w:sz w:val="24"/>
              </w:rPr>
              <w:t>t/a，排放速率为</w:t>
            </w:r>
            <w:r>
              <w:rPr>
                <w:rFonts w:hint="eastAsia"/>
                <w:bCs/>
                <w:color w:val="auto"/>
                <w:sz w:val="24"/>
                <w:lang w:eastAsia="zh-CN"/>
              </w:rPr>
              <w:t>0.105</w:t>
            </w:r>
            <w:r>
              <w:rPr>
                <w:rFonts w:hint="eastAsia"/>
                <w:bCs/>
                <w:color w:val="auto"/>
                <w:sz w:val="24"/>
              </w:rPr>
              <w:t>kg/h</w:t>
            </w:r>
            <w:r>
              <w:rPr>
                <w:rFonts w:hint="eastAsia"/>
                <w:bCs/>
                <w:color w:val="auto"/>
                <w:sz w:val="24"/>
                <w:lang w:eastAsia="zh-CN"/>
              </w:rPr>
              <w:t>，</w:t>
            </w:r>
            <w:r>
              <w:rPr>
                <w:rFonts w:hint="eastAsia"/>
                <w:bCs/>
                <w:color w:val="auto"/>
                <w:sz w:val="24"/>
                <w:lang w:val="en-US" w:eastAsia="zh-CN"/>
              </w:rPr>
              <w:t>经车间通风换气无组织排放</w:t>
            </w:r>
            <w:r>
              <w:rPr>
                <w:rFonts w:hint="eastAsia"/>
                <w:bCs/>
                <w:color w:val="auto"/>
                <w:sz w:val="24"/>
              </w:rPr>
              <w:t>。</w:t>
            </w:r>
          </w:p>
          <w:p>
            <w:pPr>
              <w:spacing w:line="360" w:lineRule="auto"/>
              <w:ind w:left="420" w:leftChars="200"/>
              <w:jc w:val="left"/>
              <w:rPr>
                <w:b/>
                <w:bCs/>
                <w:color w:val="auto"/>
                <w:sz w:val="24"/>
              </w:rPr>
            </w:pPr>
            <w:r>
              <w:rPr>
                <w:rFonts w:hint="eastAsia"/>
                <w:b/>
                <w:bCs/>
                <w:color w:val="auto"/>
                <w:sz w:val="24"/>
              </w:rPr>
              <w:t>②焊锡废气</w:t>
            </w:r>
          </w:p>
          <w:p>
            <w:pPr>
              <w:spacing w:line="360" w:lineRule="auto"/>
              <w:ind w:firstLine="480" w:firstLineChars="200"/>
              <w:rPr>
                <w:color w:val="auto"/>
                <w:sz w:val="24"/>
              </w:rPr>
            </w:pPr>
            <w:r>
              <w:rPr>
                <w:rFonts w:hint="eastAsia"/>
                <w:color w:val="auto"/>
                <w:sz w:val="24"/>
              </w:rPr>
              <w:t>焊锡过程中由于锡线的受热会有少量的颗粒物产生，颗粒物的主要成分为锡及其化合物，本项目焊锡工序采用电烙铁，为手工焊使用的原料为无铅锡丝，且不含助焊剂，焊锡工序产生的锡及其化合物（颗粒物）量参照《排放源统计调查产排污核算方法和系数手册</w:t>
            </w:r>
            <w:r>
              <w:rPr>
                <w:rFonts w:hint="eastAsia"/>
                <w:bCs/>
                <w:color w:val="auto"/>
                <w:sz w:val="24"/>
              </w:rPr>
              <w:t>（公告2021年第24号）</w:t>
            </w:r>
            <w:r>
              <w:rPr>
                <w:rFonts w:hint="eastAsia"/>
                <w:color w:val="auto"/>
                <w:sz w:val="24"/>
              </w:rPr>
              <w:t>》中38-40电子电气行业系数手册，无铅焊料（锡丝等，含助焊剂）手工焊加工过程中颗粒物的排放系数为0.4023克/千克-焊料，项目无铅锡丝的用量为0.56t/a，则锡及其化合物的产生量为0.00023t/a，产生量较低，项目拟通过加强车间机械通风及厂区内绿化后无组织排放，则锡及其化合物排放量为0.00023t/a，排放速率为0.000096kg/h。</w:t>
            </w:r>
          </w:p>
          <w:p>
            <w:pPr>
              <w:spacing w:line="360" w:lineRule="auto"/>
              <w:ind w:firstLine="482" w:firstLineChars="200"/>
              <w:rPr>
                <w:b/>
                <w:bCs/>
                <w:color w:val="auto"/>
                <w:sz w:val="24"/>
              </w:rPr>
            </w:pPr>
            <w:r>
              <w:rPr>
                <w:rFonts w:hint="eastAsia"/>
                <w:b/>
                <w:bCs/>
                <w:color w:val="auto"/>
                <w:sz w:val="24"/>
              </w:rPr>
              <w:t>③投料粉尘、破碎粉尘</w:t>
            </w:r>
          </w:p>
          <w:p>
            <w:pPr>
              <w:spacing w:line="360" w:lineRule="auto"/>
              <w:ind w:firstLine="536" w:firstLineChars="200"/>
              <w:rPr>
                <w:color w:val="auto"/>
                <w:sz w:val="24"/>
              </w:rPr>
            </w:pPr>
            <w:r>
              <w:rPr>
                <w:rFonts w:ascii="宋体" w:hAnsi="宋体" w:cs="宋体"/>
                <w:color w:val="auto"/>
                <w:spacing w:val="14"/>
                <w:sz w:val="24"/>
              </w:rPr>
              <w:t>项</w:t>
            </w:r>
            <w:r>
              <w:rPr>
                <w:rFonts w:ascii="宋体" w:hAnsi="宋体" w:cs="宋体"/>
                <w:color w:val="auto"/>
                <w:spacing w:val="7"/>
                <w:sz w:val="24"/>
              </w:rPr>
              <w:t>目混料工序使用破碎后回用原料进行投料的过程中会外逸产生少量的粉</w:t>
            </w:r>
            <w:r>
              <w:rPr>
                <w:rFonts w:ascii="宋体" w:hAnsi="宋体" w:cs="宋体"/>
                <w:color w:val="auto"/>
                <w:spacing w:val="1"/>
                <w:sz w:val="24"/>
              </w:rPr>
              <w:t>尘，破碎工序由</w:t>
            </w:r>
            <w:r>
              <w:rPr>
                <w:rFonts w:ascii="宋体" w:hAnsi="宋体" w:cs="宋体"/>
                <w:color w:val="auto"/>
                <w:sz w:val="24"/>
              </w:rPr>
              <w:t>于破碎机对塑胶边角料的高速切割，会有少量的粉尘逸出。混料</w:t>
            </w:r>
            <w:r>
              <w:rPr>
                <w:rFonts w:ascii="宋体" w:hAnsi="宋体" w:cs="宋体"/>
                <w:color w:val="auto"/>
                <w:spacing w:val="-12"/>
                <w:sz w:val="24"/>
              </w:rPr>
              <w:t>机、</w:t>
            </w:r>
            <w:r>
              <w:rPr>
                <w:rFonts w:ascii="宋体" w:hAnsi="宋体" w:cs="宋体"/>
                <w:color w:val="auto"/>
                <w:spacing w:val="-6"/>
                <w:sz w:val="24"/>
              </w:rPr>
              <w:t>破碎机为密闭式，只有在开盖时会有外逸产生的粉尘量产生，混料、破碎产</w:t>
            </w:r>
            <w:r>
              <w:rPr>
                <w:rFonts w:ascii="宋体" w:hAnsi="宋体" w:cs="宋体"/>
                <w:color w:val="auto"/>
                <w:spacing w:val="-2"/>
                <w:sz w:val="24"/>
              </w:rPr>
              <w:t>生的粉尘参照《排放源统计</w:t>
            </w:r>
            <w:r>
              <w:rPr>
                <w:rFonts w:ascii="宋体" w:hAnsi="宋体" w:cs="宋体"/>
                <w:color w:val="auto"/>
                <w:spacing w:val="-1"/>
                <w:sz w:val="24"/>
              </w:rPr>
              <w:t>调查产排污核算方法和系数手册</w:t>
            </w:r>
            <w:r>
              <w:rPr>
                <w:rFonts w:hint="eastAsia"/>
                <w:bCs/>
                <w:color w:val="auto"/>
                <w:sz w:val="24"/>
              </w:rPr>
              <w:t>（公告2021年第24号）</w:t>
            </w:r>
            <w:r>
              <w:rPr>
                <w:rFonts w:ascii="宋体" w:hAnsi="宋体" w:cs="宋体"/>
                <w:color w:val="auto"/>
                <w:spacing w:val="-1"/>
                <w:sz w:val="24"/>
              </w:rPr>
              <w:t>》中</w:t>
            </w:r>
            <w:r>
              <w:rPr>
                <w:rFonts w:eastAsia="Times New Roman"/>
                <w:color w:val="auto"/>
                <w:spacing w:val="-1"/>
                <w:sz w:val="24"/>
              </w:rPr>
              <w:t>42</w:t>
            </w:r>
            <w:r>
              <w:rPr>
                <w:rFonts w:ascii="宋体" w:hAnsi="宋体" w:cs="宋体"/>
                <w:color w:val="auto"/>
                <w:spacing w:val="-1"/>
                <w:sz w:val="24"/>
              </w:rPr>
              <w:t>废弃资源综</w:t>
            </w:r>
            <w:r>
              <w:rPr>
                <w:rFonts w:ascii="宋体" w:hAnsi="宋体" w:cs="宋体"/>
                <w:color w:val="auto"/>
                <w:spacing w:val="-12"/>
                <w:sz w:val="24"/>
              </w:rPr>
              <w:t>合利用行</w:t>
            </w:r>
            <w:r>
              <w:rPr>
                <w:rFonts w:ascii="宋体" w:hAnsi="宋体" w:cs="宋体"/>
                <w:color w:val="auto"/>
                <w:spacing w:val="-6"/>
                <w:sz w:val="24"/>
              </w:rPr>
              <w:t>业系数手册</w:t>
            </w:r>
            <w:r>
              <w:rPr>
                <w:rFonts w:hint="eastAsia"/>
                <w:color w:val="auto"/>
                <w:spacing w:val="-6"/>
                <w:sz w:val="24"/>
              </w:rPr>
              <w:t xml:space="preserve"> </w:t>
            </w:r>
            <w:r>
              <w:rPr>
                <w:rFonts w:eastAsia="Times New Roman"/>
                <w:color w:val="auto"/>
                <w:spacing w:val="-6"/>
                <w:sz w:val="24"/>
              </w:rPr>
              <w:t>4220</w:t>
            </w:r>
            <w:r>
              <w:rPr>
                <w:rFonts w:ascii="宋体" w:hAnsi="宋体" w:cs="宋体"/>
                <w:color w:val="auto"/>
                <w:spacing w:val="-6"/>
                <w:sz w:val="24"/>
              </w:rPr>
              <w:t>非金属废料和碎屑加工处理行业产污系数表</w:t>
            </w:r>
            <w:r>
              <w:rPr>
                <w:rFonts w:hint="eastAsia" w:ascii="宋体" w:hAnsi="宋体" w:cs="宋体"/>
                <w:color w:val="auto"/>
                <w:spacing w:val="-6"/>
                <w:sz w:val="24"/>
              </w:rPr>
              <w:t xml:space="preserve"> </w:t>
            </w:r>
            <w:r>
              <w:rPr>
                <w:rFonts w:ascii="宋体" w:hAnsi="宋体" w:cs="宋体"/>
                <w:color w:val="auto"/>
                <w:spacing w:val="-6"/>
                <w:sz w:val="24"/>
              </w:rPr>
              <w:t>废</w:t>
            </w:r>
            <w:r>
              <w:rPr>
                <w:rFonts w:eastAsia="Times New Roman"/>
                <w:color w:val="auto"/>
                <w:spacing w:val="-6"/>
                <w:sz w:val="24"/>
              </w:rPr>
              <w:t>PVC</w:t>
            </w:r>
            <w:r>
              <w:rPr>
                <w:rFonts w:ascii="宋体" w:hAnsi="宋体" w:cs="宋体"/>
                <w:color w:val="auto"/>
                <w:spacing w:val="-6"/>
                <w:sz w:val="24"/>
              </w:rPr>
              <w:t>、</w:t>
            </w:r>
            <w:r>
              <w:rPr>
                <w:rFonts w:ascii="宋体" w:hAnsi="宋体" w:cs="宋体"/>
                <w:color w:val="auto"/>
                <w:spacing w:val="-18"/>
                <w:sz w:val="24"/>
              </w:rPr>
              <w:t>废</w:t>
            </w:r>
            <w:r>
              <w:rPr>
                <w:rFonts w:eastAsia="Times New Roman"/>
                <w:color w:val="auto"/>
                <w:spacing w:val="-9"/>
                <w:sz w:val="24"/>
              </w:rPr>
              <w:t>PE/PP</w:t>
            </w:r>
            <w:r>
              <w:rPr>
                <w:rFonts w:ascii="宋体" w:hAnsi="宋体" w:cs="宋体"/>
                <w:color w:val="auto"/>
                <w:spacing w:val="-9"/>
                <w:sz w:val="24"/>
              </w:rPr>
              <w:t>、废</w:t>
            </w:r>
            <w:r>
              <w:rPr>
                <w:rFonts w:eastAsia="Times New Roman"/>
                <w:color w:val="auto"/>
                <w:spacing w:val="-9"/>
                <w:sz w:val="24"/>
              </w:rPr>
              <w:t>PS/ABS</w:t>
            </w:r>
            <w:r>
              <w:rPr>
                <w:rFonts w:ascii="宋体" w:hAnsi="宋体" w:cs="宋体"/>
                <w:color w:val="auto"/>
                <w:spacing w:val="-9"/>
                <w:sz w:val="24"/>
              </w:rPr>
              <w:t>破碎工艺颗粒物产污系数分别为：</w:t>
            </w:r>
            <w:r>
              <w:rPr>
                <w:rFonts w:eastAsia="Times New Roman"/>
                <w:color w:val="auto"/>
                <w:spacing w:val="-9"/>
                <w:sz w:val="24"/>
              </w:rPr>
              <w:t>450g/t-</w:t>
            </w:r>
            <w:r>
              <w:rPr>
                <w:rFonts w:ascii="宋体" w:hAnsi="宋体" w:cs="宋体"/>
                <w:color w:val="auto"/>
                <w:spacing w:val="-9"/>
                <w:sz w:val="24"/>
              </w:rPr>
              <w:t>原料、</w:t>
            </w:r>
            <w:r>
              <w:rPr>
                <w:rFonts w:eastAsia="Times New Roman"/>
                <w:color w:val="auto"/>
                <w:spacing w:val="-9"/>
                <w:sz w:val="24"/>
              </w:rPr>
              <w:t>375g/t-</w:t>
            </w:r>
            <w:r>
              <w:rPr>
                <w:rFonts w:ascii="宋体" w:hAnsi="宋体" w:cs="宋体"/>
                <w:color w:val="auto"/>
                <w:spacing w:val="-9"/>
                <w:sz w:val="24"/>
              </w:rPr>
              <w:t>原料、</w:t>
            </w:r>
            <w:r>
              <w:rPr>
                <w:rFonts w:eastAsia="Times New Roman"/>
                <w:color w:val="auto"/>
                <w:spacing w:val="-18"/>
                <w:sz w:val="24"/>
              </w:rPr>
              <w:t>42</w:t>
            </w:r>
            <w:r>
              <w:rPr>
                <w:rFonts w:eastAsia="Times New Roman"/>
                <w:color w:val="auto"/>
                <w:spacing w:val="-13"/>
                <w:sz w:val="24"/>
              </w:rPr>
              <w:t>5</w:t>
            </w:r>
            <w:r>
              <w:rPr>
                <w:rFonts w:eastAsia="Times New Roman"/>
                <w:color w:val="auto"/>
                <w:spacing w:val="-9"/>
                <w:sz w:val="24"/>
              </w:rPr>
              <w:t>g/t-</w:t>
            </w:r>
            <w:r>
              <w:rPr>
                <w:rFonts w:ascii="宋体" w:hAnsi="宋体" w:cs="宋体"/>
                <w:color w:val="auto"/>
                <w:spacing w:val="-9"/>
                <w:sz w:val="24"/>
              </w:rPr>
              <w:t>原料，本项目参考废</w:t>
            </w:r>
            <w:r>
              <w:rPr>
                <w:rFonts w:eastAsia="Times New Roman"/>
                <w:color w:val="auto"/>
                <w:spacing w:val="-9"/>
                <w:sz w:val="24"/>
              </w:rPr>
              <w:t>PVC</w:t>
            </w:r>
            <w:r>
              <w:rPr>
                <w:rFonts w:ascii="宋体" w:hAnsi="宋体" w:cs="宋体"/>
                <w:color w:val="auto"/>
                <w:spacing w:val="-9"/>
                <w:sz w:val="24"/>
              </w:rPr>
              <w:t>产污系数</w:t>
            </w:r>
            <w:r>
              <w:rPr>
                <w:rFonts w:eastAsia="Times New Roman"/>
                <w:color w:val="auto"/>
                <w:spacing w:val="-9"/>
                <w:sz w:val="24"/>
              </w:rPr>
              <w:t>450g/t-</w:t>
            </w:r>
            <w:r>
              <w:rPr>
                <w:rFonts w:ascii="宋体" w:hAnsi="宋体" w:cs="宋体"/>
                <w:color w:val="auto"/>
                <w:spacing w:val="-9"/>
                <w:sz w:val="24"/>
              </w:rPr>
              <w:t>原料，计算混料、破碎工序产生</w:t>
            </w:r>
            <w:r>
              <w:rPr>
                <w:rFonts w:ascii="宋体" w:hAnsi="宋体" w:cs="宋体"/>
                <w:color w:val="auto"/>
                <w:spacing w:val="-2"/>
                <w:sz w:val="24"/>
              </w:rPr>
              <w:t>的粉尘量，项目破碎过程</w:t>
            </w:r>
            <w:r>
              <w:rPr>
                <w:rFonts w:ascii="宋体" w:hAnsi="宋体" w:cs="宋体"/>
                <w:color w:val="auto"/>
                <w:spacing w:val="-1"/>
                <w:sz w:val="24"/>
              </w:rPr>
              <w:t>中原料为生产过程的塑胶边角料</w:t>
            </w:r>
            <w:r>
              <w:rPr>
                <w:rFonts w:hint="eastAsia" w:ascii="宋体" w:hAnsi="宋体" w:cs="宋体"/>
                <w:color w:val="auto"/>
                <w:spacing w:val="-1"/>
                <w:sz w:val="24"/>
              </w:rPr>
              <w:t>（约原料</w:t>
            </w:r>
            <w:r>
              <w:rPr>
                <w:color w:val="auto"/>
                <w:spacing w:val="-1"/>
                <w:sz w:val="24"/>
              </w:rPr>
              <w:t>量的5%）</w:t>
            </w:r>
            <w:r>
              <w:rPr>
                <w:rFonts w:ascii="宋体" w:hAnsi="宋体" w:cs="宋体"/>
                <w:color w:val="auto"/>
                <w:spacing w:val="-1"/>
                <w:sz w:val="24"/>
              </w:rPr>
              <w:t>，即</w:t>
            </w:r>
            <w:r>
              <w:rPr>
                <w:rFonts w:hint="eastAsia"/>
                <w:color w:val="auto"/>
                <w:spacing w:val="-1"/>
                <w:sz w:val="24"/>
              </w:rPr>
              <w:t>48</w:t>
            </w:r>
            <w:r>
              <w:rPr>
                <w:rFonts w:eastAsia="Times New Roman"/>
                <w:color w:val="auto"/>
                <w:spacing w:val="-1"/>
                <w:sz w:val="24"/>
              </w:rPr>
              <w:t>t/a</w:t>
            </w:r>
            <w:r>
              <w:rPr>
                <w:rFonts w:ascii="宋体" w:hAnsi="宋体" w:cs="宋体"/>
                <w:color w:val="auto"/>
                <w:spacing w:val="-1"/>
                <w:sz w:val="24"/>
              </w:rPr>
              <w:t>，则破碎过</w:t>
            </w:r>
            <w:r>
              <w:rPr>
                <w:rFonts w:ascii="宋体" w:hAnsi="宋体" w:cs="宋体"/>
                <w:color w:val="auto"/>
                <w:spacing w:val="2"/>
                <w:sz w:val="24"/>
              </w:rPr>
              <w:t>程中粉尘的产生</w:t>
            </w:r>
            <w:r>
              <w:rPr>
                <w:rFonts w:ascii="宋体" w:hAnsi="宋体" w:cs="宋体"/>
                <w:color w:val="auto"/>
                <w:spacing w:val="1"/>
                <w:sz w:val="24"/>
              </w:rPr>
              <w:t>量为</w:t>
            </w:r>
            <w:r>
              <w:rPr>
                <w:rFonts w:hint="eastAsia"/>
                <w:color w:val="auto"/>
                <w:spacing w:val="1"/>
                <w:sz w:val="24"/>
              </w:rPr>
              <w:t>0.02</w:t>
            </w:r>
            <w:r>
              <w:rPr>
                <w:rFonts w:eastAsia="Times New Roman"/>
                <w:color w:val="auto"/>
                <w:sz w:val="24"/>
              </w:rPr>
              <w:t>t</w:t>
            </w:r>
            <w:r>
              <w:rPr>
                <w:rFonts w:eastAsia="Times New Roman"/>
                <w:color w:val="auto"/>
                <w:spacing w:val="1"/>
                <w:sz w:val="24"/>
              </w:rPr>
              <w:t>/</w:t>
            </w:r>
            <w:r>
              <w:rPr>
                <w:rFonts w:eastAsia="Times New Roman"/>
                <w:color w:val="auto"/>
                <w:sz w:val="24"/>
              </w:rPr>
              <w:t>a</w:t>
            </w:r>
            <w:r>
              <w:rPr>
                <w:rFonts w:ascii="宋体" w:hAnsi="宋体" w:cs="宋体"/>
                <w:color w:val="auto"/>
                <w:spacing w:val="1"/>
                <w:sz w:val="24"/>
              </w:rPr>
              <w:t>，项目混料过程中粉状原料为破碎后的塑胶料，即</w:t>
            </w:r>
            <w:r>
              <w:rPr>
                <w:rFonts w:hint="eastAsia"/>
                <w:color w:val="auto"/>
                <w:spacing w:val="-6"/>
                <w:sz w:val="24"/>
              </w:rPr>
              <w:t>48</w:t>
            </w:r>
            <w:r>
              <w:rPr>
                <w:rFonts w:eastAsia="Times New Roman"/>
                <w:color w:val="auto"/>
                <w:spacing w:val="-3"/>
                <w:sz w:val="24"/>
              </w:rPr>
              <w:t>t</w:t>
            </w:r>
            <w:r>
              <w:rPr>
                <w:rFonts w:eastAsia="Times New Roman"/>
                <w:color w:val="auto"/>
                <w:spacing w:val="-6"/>
                <w:sz w:val="24"/>
              </w:rPr>
              <w:t>/</w:t>
            </w:r>
            <w:r>
              <w:rPr>
                <w:rFonts w:eastAsia="Times New Roman"/>
                <w:color w:val="auto"/>
                <w:spacing w:val="-3"/>
                <w:sz w:val="24"/>
              </w:rPr>
              <w:t>a</w:t>
            </w:r>
            <w:r>
              <w:rPr>
                <w:rFonts w:ascii="宋体" w:hAnsi="宋体" w:cs="宋体"/>
                <w:color w:val="auto"/>
                <w:spacing w:val="-6"/>
                <w:sz w:val="24"/>
              </w:rPr>
              <w:t>，则混料过</w:t>
            </w:r>
            <w:r>
              <w:rPr>
                <w:rFonts w:ascii="宋体" w:hAnsi="宋体" w:cs="宋体"/>
                <w:color w:val="auto"/>
                <w:spacing w:val="-4"/>
                <w:sz w:val="24"/>
              </w:rPr>
              <w:t>程</w:t>
            </w:r>
            <w:r>
              <w:rPr>
                <w:rFonts w:ascii="宋体" w:hAnsi="宋体" w:cs="宋体"/>
                <w:color w:val="auto"/>
                <w:spacing w:val="-3"/>
                <w:sz w:val="24"/>
              </w:rPr>
              <w:t>中粉尘的产生量为</w:t>
            </w:r>
            <w:r>
              <w:rPr>
                <w:rFonts w:eastAsia="Times New Roman"/>
                <w:color w:val="auto"/>
                <w:spacing w:val="-3"/>
                <w:sz w:val="24"/>
              </w:rPr>
              <w:t>0.02t/a</w:t>
            </w:r>
            <w:r>
              <w:rPr>
                <w:rFonts w:ascii="宋体" w:hAnsi="宋体" w:cs="宋体"/>
                <w:color w:val="auto"/>
                <w:spacing w:val="-3"/>
                <w:sz w:val="24"/>
              </w:rPr>
              <w:t>，则混料、破碎过程产生的粉尘量</w:t>
            </w:r>
            <w:r>
              <w:rPr>
                <w:rFonts w:ascii="宋体" w:hAnsi="宋体" w:cs="宋体"/>
                <w:color w:val="auto"/>
                <w:spacing w:val="-18"/>
                <w:sz w:val="24"/>
              </w:rPr>
              <w:t>共为</w:t>
            </w:r>
            <w:r>
              <w:rPr>
                <w:rFonts w:eastAsia="Times New Roman"/>
                <w:color w:val="auto"/>
                <w:spacing w:val="-9"/>
                <w:sz w:val="24"/>
              </w:rPr>
              <w:t>0.04t/a</w:t>
            </w:r>
            <w:r>
              <w:rPr>
                <w:rFonts w:ascii="宋体" w:hAnsi="宋体" w:cs="宋体"/>
                <w:color w:val="auto"/>
                <w:spacing w:val="-9"/>
                <w:sz w:val="24"/>
              </w:rPr>
              <w:t>，产生量较少，项目混料、破碎工序均集中同一时段进行处理</w:t>
            </w:r>
            <w:r>
              <w:rPr>
                <w:rFonts w:ascii="宋体" w:hAnsi="宋体" w:cs="宋体"/>
                <w:color w:val="auto"/>
                <w:spacing w:val="-10"/>
                <w:sz w:val="24"/>
              </w:rPr>
              <w:t>，</w:t>
            </w:r>
            <w:r>
              <w:rPr>
                <w:rFonts w:ascii="宋体" w:hAnsi="宋体" w:cs="宋体"/>
                <w:color w:val="auto"/>
                <w:spacing w:val="1"/>
                <w:sz w:val="24"/>
              </w:rPr>
              <w:t>项目</w:t>
            </w:r>
            <w:r>
              <w:rPr>
                <w:rFonts w:hint="eastAsia" w:ascii="宋体" w:hAnsi="宋体" w:cs="宋体"/>
                <w:color w:val="auto"/>
                <w:spacing w:val="1"/>
                <w:sz w:val="24"/>
              </w:rPr>
              <w:t>拟</w:t>
            </w:r>
            <w:r>
              <w:rPr>
                <w:rFonts w:ascii="宋体" w:hAnsi="宋体" w:cs="宋体"/>
                <w:color w:val="auto"/>
                <w:spacing w:val="1"/>
                <w:sz w:val="24"/>
              </w:rPr>
              <w:t>通过加强</w:t>
            </w:r>
            <w:r>
              <w:rPr>
                <w:rFonts w:ascii="宋体" w:hAnsi="宋体" w:cs="宋体"/>
                <w:color w:val="auto"/>
                <w:sz w:val="24"/>
              </w:rPr>
              <w:t>车间机械通风</w:t>
            </w:r>
            <w:r>
              <w:rPr>
                <w:rFonts w:hint="eastAsia" w:ascii="宋体" w:hAnsi="宋体" w:cs="宋体"/>
                <w:color w:val="auto"/>
                <w:sz w:val="24"/>
              </w:rPr>
              <w:t>及厂</w:t>
            </w:r>
            <w:r>
              <w:rPr>
                <w:color w:val="auto"/>
                <w:sz w:val="24"/>
              </w:rPr>
              <w:t>区内绿化后无组织排放，则投料、破碎粉尘的排放量约0.04t/a，排放速率为0.02kg/h。</w:t>
            </w:r>
          </w:p>
          <w:p>
            <w:pPr>
              <w:spacing w:line="360" w:lineRule="auto"/>
              <w:ind w:firstLine="482" w:firstLineChars="200"/>
              <w:rPr>
                <w:b/>
                <w:bCs/>
                <w:color w:val="auto"/>
                <w:sz w:val="24"/>
              </w:rPr>
            </w:pPr>
            <w:r>
              <w:rPr>
                <w:rFonts w:hint="eastAsia"/>
                <w:b/>
                <w:bCs/>
                <w:color w:val="auto"/>
                <w:sz w:val="24"/>
              </w:rPr>
              <w:t>④油烟废气</w:t>
            </w:r>
          </w:p>
          <w:p>
            <w:pPr>
              <w:spacing w:line="360" w:lineRule="auto"/>
              <w:ind w:firstLine="480" w:firstLineChars="200"/>
              <w:rPr>
                <w:color w:val="auto"/>
                <w:sz w:val="24"/>
              </w:rPr>
            </w:pPr>
            <w:r>
              <w:rPr>
                <w:color w:val="auto"/>
                <w:sz w:val="24"/>
              </w:rPr>
              <w:t>本项目运营期设置食堂，项目员工</w:t>
            </w:r>
            <w:r>
              <w:rPr>
                <w:rFonts w:hint="eastAsia"/>
                <w:color w:val="auto"/>
                <w:sz w:val="24"/>
              </w:rPr>
              <w:t>100</w:t>
            </w:r>
            <w:r>
              <w:rPr>
                <w:color w:val="auto"/>
                <w:sz w:val="24"/>
              </w:rPr>
              <w:t>人，根据建设单位提供的资料，共有基准灶头数为</w:t>
            </w:r>
            <w:r>
              <w:rPr>
                <w:rFonts w:hint="eastAsia"/>
                <w:color w:val="auto"/>
                <w:sz w:val="24"/>
              </w:rPr>
              <w:t>3</w:t>
            </w:r>
            <w:r>
              <w:rPr>
                <w:color w:val="auto"/>
                <w:sz w:val="24"/>
              </w:rPr>
              <w:t>个，属</w:t>
            </w:r>
            <w:r>
              <w:rPr>
                <w:rFonts w:hint="eastAsia"/>
                <w:color w:val="auto"/>
                <w:sz w:val="24"/>
              </w:rPr>
              <w:t>中</w:t>
            </w:r>
            <w:r>
              <w:rPr>
                <w:color w:val="auto"/>
                <w:sz w:val="24"/>
              </w:rPr>
              <w:t>型，每个灶头烟气产生量为2000m</w:t>
            </w:r>
            <w:r>
              <w:rPr>
                <w:color w:val="auto"/>
                <w:sz w:val="24"/>
                <w:vertAlign w:val="superscript"/>
              </w:rPr>
              <w:t>3</w:t>
            </w:r>
            <w:r>
              <w:rPr>
                <w:color w:val="auto"/>
                <w:sz w:val="24"/>
              </w:rPr>
              <w:t>/h，烹饪时间按每天4h计，项目每年的经营时间为3</w:t>
            </w:r>
            <w:r>
              <w:rPr>
                <w:rFonts w:hint="eastAsia"/>
                <w:color w:val="auto"/>
                <w:sz w:val="24"/>
              </w:rPr>
              <w:t>00</w:t>
            </w:r>
            <w:r>
              <w:rPr>
                <w:color w:val="auto"/>
                <w:sz w:val="24"/>
              </w:rPr>
              <w:t>天，则产生的烟气量为499.2</w:t>
            </w:r>
            <w:r>
              <w:rPr>
                <w:rFonts w:hint="eastAsia"/>
                <w:color w:val="auto"/>
                <w:sz w:val="24"/>
              </w:rPr>
              <w:t>万</w:t>
            </w:r>
            <w:r>
              <w:rPr>
                <w:color w:val="auto"/>
                <w:sz w:val="24"/>
              </w:rPr>
              <w:t>m</w:t>
            </w:r>
            <w:r>
              <w:rPr>
                <w:color w:val="auto"/>
                <w:sz w:val="24"/>
                <w:vertAlign w:val="superscript"/>
              </w:rPr>
              <w:t>3</w:t>
            </w:r>
            <w:r>
              <w:rPr>
                <w:color w:val="auto"/>
                <w:sz w:val="24"/>
              </w:rPr>
              <w:t>/a，油烟产生浓度约为10mg/m</w:t>
            </w:r>
            <w:r>
              <w:rPr>
                <w:color w:val="auto"/>
                <w:sz w:val="24"/>
                <w:vertAlign w:val="superscript"/>
              </w:rPr>
              <w:t>3</w:t>
            </w:r>
            <w:r>
              <w:rPr>
                <w:color w:val="auto"/>
                <w:sz w:val="24"/>
              </w:rPr>
              <w:t>，油烟产生量为</w:t>
            </w:r>
            <w:r>
              <w:rPr>
                <w:rFonts w:hint="eastAsia"/>
                <w:color w:val="auto"/>
                <w:sz w:val="24"/>
              </w:rPr>
              <w:t>72</w:t>
            </w:r>
            <w:r>
              <w:rPr>
                <w:color w:val="auto"/>
                <w:sz w:val="24"/>
              </w:rPr>
              <w:t>kg/a。建设单位拟采用油烟净化装置处理，油烟净化器去除效率约8</w:t>
            </w:r>
            <w:r>
              <w:rPr>
                <w:rFonts w:hint="eastAsia"/>
                <w:color w:val="auto"/>
                <w:sz w:val="24"/>
              </w:rPr>
              <w:t>0</w:t>
            </w:r>
            <w:r>
              <w:rPr>
                <w:color w:val="auto"/>
                <w:sz w:val="24"/>
              </w:rPr>
              <w:t>%，排放浓度为</w:t>
            </w:r>
            <w:r>
              <w:rPr>
                <w:rFonts w:hint="eastAsia"/>
                <w:color w:val="auto"/>
                <w:sz w:val="24"/>
              </w:rPr>
              <w:t>2</w:t>
            </w:r>
            <w:r>
              <w:rPr>
                <w:color w:val="auto"/>
                <w:sz w:val="24"/>
              </w:rPr>
              <w:t>mg/m</w:t>
            </w:r>
            <w:r>
              <w:rPr>
                <w:color w:val="auto"/>
                <w:sz w:val="24"/>
                <w:vertAlign w:val="superscript"/>
              </w:rPr>
              <w:t>3</w:t>
            </w:r>
            <w:r>
              <w:rPr>
                <w:color w:val="auto"/>
                <w:sz w:val="24"/>
              </w:rPr>
              <w:t>，油烟排放量为</w:t>
            </w:r>
            <w:r>
              <w:rPr>
                <w:rFonts w:hint="eastAsia"/>
                <w:color w:val="auto"/>
                <w:sz w:val="24"/>
              </w:rPr>
              <w:t>14.4</w:t>
            </w:r>
            <w:r>
              <w:rPr>
                <w:color w:val="auto"/>
                <w:sz w:val="24"/>
              </w:rPr>
              <w:t>kg/a</w:t>
            </w:r>
            <w:r>
              <w:rPr>
                <w:rFonts w:hint="eastAsia"/>
                <w:color w:val="auto"/>
                <w:sz w:val="24"/>
              </w:rPr>
              <w:t>，油烟废气经处理后沿墙体烟气道</w:t>
            </w:r>
            <w:r>
              <w:rPr>
                <w:rFonts w:hint="eastAsia"/>
                <w:color w:val="auto"/>
                <w:sz w:val="24"/>
                <w:lang w:val="en-US" w:eastAsia="zh-CN"/>
              </w:rPr>
              <w:t>引至</w:t>
            </w:r>
            <w:r>
              <w:rPr>
                <w:rFonts w:hint="eastAsia"/>
                <w:color w:val="auto"/>
                <w:sz w:val="24"/>
              </w:rPr>
              <w:t>屋顶排放</w:t>
            </w:r>
            <w:r>
              <w:rPr>
                <w:rFonts w:hint="eastAsia"/>
                <w:color w:val="auto"/>
                <w:sz w:val="24"/>
                <w:lang w:eastAsia="zh-CN"/>
              </w:rPr>
              <w:t>（</w:t>
            </w:r>
            <w:r>
              <w:rPr>
                <w:rFonts w:hint="eastAsia"/>
                <w:color w:val="auto"/>
                <w:sz w:val="24"/>
                <w:lang w:val="en-US" w:eastAsia="zh-CN"/>
              </w:rPr>
              <w:t>排气筒DA002</w:t>
            </w:r>
            <w:r>
              <w:rPr>
                <w:rFonts w:hint="eastAsia"/>
                <w:color w:val="auto"/>
                <w:sz w:val="24"/>
                <w:lang w:eastAsia="zh-CN"/>
              </w:rPr>
              <w:t>）</w:t>
            </w:r>
            <w:r>
              <w:rPr>
                <w:rFonts w:hint="eastAsia"/>
                <w:color w:val="auto"/>
                <w:sz w:val="24"/>
              </w:rPr>
              <w:t>。</w:t>
            </w:r>
          </w:p>
          <w:p>
            <w:pPr>
              <w:spacing w:line="360" w:lineRule="auto"/>
              <w:ind w:firstLine="482" w:firstLineChars="200"/>
              <w:rPr>
                <w:b/>
                <w:bCs/>
                <w:color w:val="auto"/>
                <w:sz w:val="24"/>
              </w:rPr>
            </w:pPr>
            <w:r>
              <w:rPr>
                <w:rFonts w:hint="eastAsia"/>
                <w:b/>
                <w:bCs/>
                <w:color w:val="auto"/>
                <w:sz w:val="24"/>
              </w:rPr>
              <w:t>⑤生产异味</w:t>
            </w:r>
          </w:p>
          <w:p>
            <w:pPr>
              <w:spacing w:line="360" w:lineRule="auto"/>
              <w:ind w:firstLine="480" w:firstLineChars="200"/>
              <w:rPr>
                <w:rFonts w:hint="eastAsia"/>
                <w:color w:val="auto"/>
                <w:sz w:val="24"/>
              </w:rPr>
            </w:pPr>
            <w:r>
              <w:rPr>
                <w:rFonts w:hint="eastAsia"/>
                <w:color w:val="auto"/>
                <w:sz w:val="24"/>
              </w:rPr>
              <w:t>本项目生产过程中会产生一定的异味，这种异味能够刺激人的嗅觉器官并引起人们的不适，散发的异味浓度因原料、生产规模、操作工艺等而有较大差异，难以定量确定。国家对这种异味现状也暂无相关规定，本评价采用臭气浓度对其进行日常监管。由于生产过程中均在一体化设备中，恶臭污染物在</w:t>
            </w:r>
            <w:r>
              <w:rPr>
                <w:color w:val="auto"/>
                <w:sz w:val="24"/>
              </w:rPr>
              <w:t>进料和出料时产生。项目生产异味与有机废气一同经</w:t>
            </w:r>
            <w:r>
              <w:rPr>
                <w:rFonts w:hint="eastAsia"/>
                <w:color w:val="auto"/>
                <w:sz w:val="24"/>
                <w:lang w:eastAsia="zh-CN"/>
              </w:rPr>
              <w:t>“</w:t>
            </w:r>
            <w:r>
              <w:rPr>
                <w:rFonts w:hint="eastAsia"/>
                <w:color w:val="auto"/>
                <w:sz w:val="24"/>
                <w:lang w:val="en-US" w:eastAsia="zh-CN"/>
              </w:rPr>
              <w:t>密闭车间+</w:t>
            </w:r>
            <w:r>
              <w:rPr>
                <w:color w:val="auto"/>
                <w:sz w:val="24"/>
              </w:rPr>
              <w:t>集气罩</w:t>
            </w:r>
            <w:r>
              <w:rPr>
                <w:rFonts w:hint="eastAsia"/>
                <w:color w:val="auto"/>
                <w:sz w:val="24"/>
                <w:lang w:eastAsia="zh-CN"/>
              </w:rPr>
              <w:t>”</w:t>
            </w:r>
            <w:r>
              <w:rPr>
                <w:color w:val="auto"/>
                <w:sz w:val="24"/>
              </w:rPr>
              <w:t>收集后通过活性炭吸附</w:t>
            </w:r>
            <w:r>
              <w:rPr>
                <w:rFonts w:hint="eastAsia"/>
                <w:color w:val="auto"/>
                <w:sz w:val="24"/>
              </w:rPr>
              <w:t>装置</w:t>
            </w:r>
            <w:r>
              <w:rPr>
                <w:color w:val="auto"/>
                <w:sz w:val="24"/>
              </w:rPr>
              <w:t>处理</w:t>
            </w:r>
            <w:r>
              <w:rPr>
                <w:rFonts w:hint="eastAsia"/>
                <w:color w:val="auto"/>
                <w:sz w:val="24"/>
              </w:rPr>
              <w:t>，处理后不会对车间生产和周边环境产生不良影响。</w:t>
            </w: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ascii="Times New Roman" w:hAnsi="Times New Roman" w:eastAsia="宋体" w:cs="Times New Roman"/>
                <w:b/>
                <w:bCs/>
                <w:color w:val="auto"/>
                <w:kern w:val="2"/>
                <w:sz w:val="24"/>
              </w:rPr>
            </w:pPr>
            <w:r>
              <w:rPr>
                <w:rFonts w:ascii="Times New Roman" w:hAnsi="Times New Roman" w:eastAsia="宋体" w:cs="Times New Roman"/>
                <w:b/>
                <w:bCs/>
                <w:color w:val="auto"/>
                <w:kern w:val="2"/>
                <w:sz w:val="24"/>
              </w:rPr>
              <w:t>（</w:t>
            </w:r>
            <w:r>
              <w:rPr>
                <w:rFonts w:hint="eastAsia" w:ascii="Times New Roman" w:hAnsi="Times New Roman" w:eastAsia="宋体" w:cs="Times New Roman"/>
                <w:b/>
                <w:bCs/>
                <w:color w:val="auto"/>
                <w:kern w:val="2"/>
                <w:sz w:val="24"/>
                <w:lang w:val="en-US" w:eastAsia="zh-CN"/>
              </w:rPr>
              <w:t>2</w:t>
            </w:r>
            <w:r>
              <w:rPr>
                <w:rFonts w:ascii="Times New Roman" w:hAnsi="Times New Roman" w:eastAsia="宋体" w:cs="Times New Roman"/>
                <w:b/>
                <w:bCs/>
                <w:color w:val="auto"/>
                <w:kern w:val="2"/>
                <w:sz w:val="24"/>
              </w:rPr>
              <w:t>）非正常</w:t>
            </w:r>
            <w:r>
              <w:rPr>
                <w:rFonts w:hint="eastAsia" w:ascii="Times New Roman" w:hAnsi="Times New Roman" w:eastAsia="宋体" w:cs="Times New Roman"/>
                <w:b/>
                <w:bCs/>
                <w:color w:val="auto"/>
                <w:kern w:val="2"/>
                <w:sz w:val="24"/>
                <w:lang w:val="en-US" w:eastAsia="zh-CN"/>
              </w:rPr>
              <w:t>排放</w:t>
            </w:r>
            <w:r>
              <w:rPr>
                <w:rFonts w:ascii="Times New Roman" w:hAnsi="Times New Roman" w:eastAsia="宋体" w:cs="Times New Roman"/>
                <w:b/>
                <w:bCs/>
                <w:color w:val="auto"/>
                <w:kern w:val="2"/>
                <w:sz w:val="24"/>
              </w:rPr>
              <w:t>情况分析</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Times New Roman" w:hAnsi="Times New Roman" w:eastAsia="宋体" w:cs="Times New Roman"/>
                <w:color w:val="auto"/>
                <w:kern w:val="2"/>
                <w:sz w:val="24"/>
                <w:szCs w:val="28"/>
              </w:rPr>
            </w:pPr>
            <w:r>
              <w:rPr>
                <w:rFonts w:ascii="Times New Roman" w:hAnsi="Times New Roman" w:eastAsia="宋体" w:cs="Times New Roman"/>
                <w:color w:val="auto"/>
                <w:kern w:val="2"/>
                <w:sz w:val="24"/>
                <w:szCs w:val="28"/>
              </w:rPr>
              <w:t>非正常排放是指生产过程中生产设施开停机、设备检修、工艺设备运转异常等非正常情况下的污染物排放，以及污染物排放控制措施达不到应有效率等情况下的排放。企业废气非正常排放主要为以下两种情况：</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Times New Roman" w:hAnsi="Times New Roman" w:eastAsia="宋体" w:cs="Times New Roman"/>
                <w:color w:val="auto"/>
                <w:kern w:val="2"/>
                <w:sz w:val="24"/>
              </w:rPr>
            </w:pPr>
            <w:r>
              <w:rPr>
                <w:rFonts w:hint="eastAsia" w:ascii="宋体" w:hAnsi="宋体" w:eastAsia="宋体" w:cs="宋体"/>
                <w:color w:val="auto"/>
                <w:kern w:val="2"/>
                <w:sz w:val="24"/>
              </w:rPr>
              <w:t>①</w:t>
            </w:r>
            <w:r>
              <w:rPr>
                <w:rFonts w:ascii="Times New Roman" w:hAnsi="Times New Roman" w:eastAsia="宋体" w:cs="Times New Roman"/>
                <w:color w:val="auto"/>
                <w:kern w:val="2"/>
                <w:sz w:val="24"/>
              </w:rPr>
              <w:t>生产设施开停机或工艺设备运转异常情况：企业生产设施使用电能，运行工况稳定，开机时正常排污，停机则停止排污，因此不存在生产设施开停机的非正常排污情况；</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Times New Roman" w:hAnsi="Times New Roman" w:eastAsia="宋体" w:cs="Times New Roman"/>
                <w:color w:val="auto"/>
                <w:kern w:val="2"/>
                <w:sz w:val="24"/>
              </w:rPr>
            </w:pPr>
            <w:r>
              <w:rPr>
                <w:rFonts w:hint="eastAsia" w:ascii="宋体" w:hAnsi="宋体" w:eastAsia="宋体" w:cs="宋体"/>
                <w:color w:val="auto"/>
                <w:kern w:val="2"/>
                <w:sz w:val="24"/>
              </w:rPr>
              <w:t>②</w:t>
            </w:r>
            <w:r>
              <w:rPr>
                <w:rFonts w:ascii="Times New Roman" w:hAnsi="Times New Roman" w:eastAsia="宋体" w:cs="Times New Roman"/>
                <w:color w:val="auto"/>
                <w:kern w:val="2"/>
                <w:sz w:val="24"/>
              </w:rPr>
              <w:t>污染物排放控制措施达不到应有效率情况：废气处理设施出现故障，但还能运转，处理效率按0%计，会造成废气污染物未经处理直接排放。本技改项目非正常情况下污染物排放情况见下表。</w:t>
            </w:r>
          </w:p>
          <w:p>
            <w:pPr>
              <w:spacing w:before="120" w:beforeLines="50" w:line="360" w:lineRule="auto"/>
              <w:ind w:firstLine="0" w:firstLineChars="0"/>
              <w:jc w:val="center"/>
              <w:rPr>
                <w:rFonts w:ascii="Times New Roman" w:hAnsi="Times New Roman" w:eastAsia="宋体" w:cs="Times New Roman"/>
                <w:b/>
                <w:bCs/>
                <w:color w:val="auto"/>
                <w:kern w:val="2"/>
                <w:sz w:val="24"/>
                <w:szCs w:val="24"/>
              </w:rPr>
            </w:pPr>
            <w:r>
              <w:rPr>
                <w:rFonts w:ascii="Times New Roman" w:hAnsi="Times New Roman" w:eastAsia="宋体" w:cs="Times New Roman"/>
                <w:b/>
                <w:bCs/>
                <w:color w:val="auto"/>
                <w:kern w:val="2"/>
                <w:sz w:val="24"/>
                <w:szCs w:val="24"/>
              </w:rPr>
              <w:t>表4-</w:t>
            </w:r>
            <w:r>
              <w:rPr>
                <w:rFonts w:hint="eastAsia" w:cs="Times New Roman"/>
                <w:b/>
                <w:bCs/>
                <w:color w:val="auto"/>
                <w:kern w:val="2"/>
                <w:sz w:val="24"/>
                <w:szCs w:val="24"/>
                <w:lang w:val="en-US" w:eastAsia="zh-CN"/>
              </w:rPr>
              <w:t>2</w:t>
            </w:r>
            <w:r>
              <w:rPr>
                <w:rFonts w:ascii="Times New Roman" w:hAnsi="Times New Roman" w:eastAsia="宋体" w:cs="Times New Roman"/>
                <w:b/>
                <w:bCs/>
                <w:color w:val="auto"/>
                <w:kern w:val="2"/>
                <w:sz w:val="24"/>
                <w:szCs w:val="24"/>
              </w:rPr>
              <w:t xml:space="preserve"> 本技改项目污染源非正常情况下排放情况</w:t>
            </w:r>
          </w:p>
          <w:tbl>
            <w:tblPr>
              <w:tblStyle w:val="28"/>
              <w:tblW w:w="78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6"/>
              <w:gridCol w:w="972"/>
              <w:gridCol w:w="643"/>
              <w:gridCol w:w="940"/>
              <w:gridCol w:w="1272"/>
              <w:gridCol w:w="828"/>
              <w:gridCol w:w="826"/>
              <w:gridCol w:w="1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1166" w:type="dxa"/>
                  <w:vAlign w:val="center"/>
                </w:tcPr>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污染源</w:t>
                  </w:r>
                </w:p>
              </w:tc>
              <w:tc>
                <w:tcPr>
                  <w:tcW w:w="972" w:type="dxa"/>
                  <w:vAlign w:val="center"/>
                </w:tcPr>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非正常排放</w:t>
                  </w:r>
                </w:p>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原因</w:t>
                  </w:r>
                </w:p>
              </w:tc>
              <w:tc>
                <w:tcPr>
                  <w:tcW w:w="643" w:type="dxa"/>
                  <w:vAlign w:val="center"/>
                </w:tcPr>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污染物</w:t>
                  </w:r>
                </w:p>
              </w:tc>
              <w:tc>
                <w:tcPr>
                  <w:tcW w:w="940" w:type="dxa"/>
                  <w:vAlign w:val="center"/>
                </w:tcPr>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非正常排放浓度</w:t>
                  </w:r>
                </w:p>
              </w:tc>
              <w:tc>
                <w:tcPr>
                  <w:tcW w:w="1272" w:type="dxa"/>
                  <w:vAlign w:val="center"/>
                </w:tcPr>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非正常排放速率</w:t>
                  </w:r>
                </w:p>
              </w:tc>
              <w:tc>
                <w:tcPr>
                  <w:tcW w:w="828" w:type="dxa"/>
                  <w:vAlign w:val="center"/>
                </w:tcPr>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单次持续时间</w:t>
                  </w:r>
                </w:p>
              </w:tc>
              <w:tc>
                <w:tcPr>
                  <w:tcW w:w="826" w:type="dxa"/>
                  <w:vAlign w:val="center"/>
                </w:tcPr>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年发生频次</w:t>
                  </w:r>
                </w:p>
              </w:tc>
              <w:tc>
                <w:tcPr>
                  <w:tcW w:w="1241" w:type="dxa"/>
                  <w:vAlign w:val="center"/>
                </w:tcPr>
                <w:p>
                  <w:pPr>
                    <w:spacing w:before="0" w:beforeLines="0" w:line="240" w:lineRule="auto"/>
                    <w:ind w:firstLine="0" w:firstLineChars="0"/>
                    <w:jc w:val="center"/>
                    <w:rPr>
                      <w:rFonts w:ascii="Times New Roman" w:hAnsi="Times New Roman" w:eastAsia="宋体" w:cs="Times New Roman"/>
                      <w:b/>
                      <w:bCs/>
                      <w:color w:val="auto"/>
                      <w:kern w:val="0"/>
                      <w:sz w:val="21"/>
                      <w:szCs w:val="21"/>
                    </w:rPr>
                  </w:pPr>
                  <w:r>
                    <w:rPr>
                      <w:rFonts w:ascii="Times New Roman" w:hAnsi="Times New Roman" w:eastAsia="宋体" w:cs="Times New Roman"/>
                      <w:b/>
                      <w:bCs/>
                      <w:color w:val="auto"/>
                      <w:kern w:val="0"/>
                      <w:sz w:val="21"/>
                      <w:szCs w:val="21"/>
                    </w:rPr>
                    <w:t>应对措施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166" w:type="dxa"/>
                  <w:vAlign w:val="center"/>
                </w:tcPr>
                <w:p>
                  <w:pPr>
                    <w:spacing w:before="120" w:beforeLines="50" w:line="240" w:lineRule="auto"/>
                    <w:ind w:firstLine="0" w:firstLineChars="0"/>
                    <w:jc w:val="center"/>
                    <w:rPr>
                      <w:rFonts w:ascii="Times New Roman" w:hAnsi="Times New Roman" w:eastAsia="宋体" w:cs="Times New Roman"/>
                      <w:color w:val="auto"/>
                      <w:kern w:val="0"/>
                      <w:sz w:val="21"/>
                      <w:szCs w:val="21"/>
                    </w:rPr>
                  </w:pPr>
                  <w:r>
                    <w:rPr>
                      <w:rFonts w:hint="eastAsia" w:ascii="Times New Roman" w:hAnsi="Times New Roman" w:eastAsia="宋体" w:cs="Times New Roman"/>
                      <w:color w:val="auto"/>
                      <w:kern w:val="0"/>
                      <w:sz w:val="21"/>
                      <w:szCs w:val="21"/>
                    </w:rPr>
                    <w:t>排气筒</w:t>
                  </w:r>
                  <w:r>
                    <w:rPr>
                      <w:rFonts w:hint="eastAsia" w:ascii="Times New Roman" w:hAnsi="Times New Roman" w:eastAsia="宋体" w:cs="Times New Roman"/>
                      <w:color w:val="auto"/>
                      <w:kern w:val="0"/>
                      <w:sz w:val="21"/>
                      <w:szCs w:val="21"/>
                      <w:lang w:val="en-US" w:eastAsia="zh-CN"/>
                    </w:rPr>
                    <w:t>DA001</w:t>
                  </w:r>
                  <w:r>
                    <w:rPr>
                      <w:rFonts w:hint="eastAsia" w:ascii="Times New Roman" w:hAnsi="Times New Roman" w:eastAsia="宋体" w:cs="Times New Roman"/>
                      <w:color w:val="auto"/>
                      <w:kern w:val="0"/>
                      <w:sz w:val="21"/>
                      <w:szCs w:val="21"/>
                    </w:rPr>
                    <w:t>（注塑、挤出废气）</w:t>
                  </w:r>
                </w:p>
              </w:tc>
              <w:tc>
                <w:tcPr>
                  <w:tcW w:w="972" w:type="dxa"/>
                  <w:vAlign w:val="center"/>
                </w:tcPr>
                <w:p>
                  <w:pPr>
                    <w:spacing w:before="0" w:beforeLines="0" w:line="240" w:lineRule="auto"/>
                    <w:ind w:firstLine="0" w:firstLineChars="0"/>
                    <w:jc w:val="center"/>
                    <w:rPr>
                      <w:rFonts w:ascii="Times New Roman" w:hAnsi="Times New Roman" w:eastAsia="宋体" w:cs="Times New Roman"/>
                      <w:color w:val="auto"/>
                      <w:kern w:val="0"/>
                      <w:sz w:val="21"/>
                      <w:szCs w:val="21"/>
                    </w:rPr>
                  </w:pPr>
                  <w:r>
                    <w:rPr>
                      <w:rFonts w:ascii="Times New Roman" w:hAnsi="Times New Roman" w:eastAsia="宋体" w:cs="Times New Roman"/>
                      <w:color w:val="auto"/>
                      <w:kern w:val="0"/>
                      <w:sz w:val="21"/>
                      <w:szCs w:val="21"/>
                    </w:rPr>
                    <w:t>废气处理设施故障</w:t>
                  </w:r>
                </w:p>
              </w:tc>
              <w:tc>
                <w:tcPr>
                  <w:tcW w:w="643" w:type="dxa"/>
                  <w:vAlign w:val="center"/>
                </w:tcPr>
                <w:p>
                  <w:pPr>
                    <w:spacing w:before="0" w:beforeLines="0" w:line="240" w:lineRule="auto"/>
                    <w:ind w:firstLine="0" w:firstLineChars="0"/>
                    <w:jc w:val="center"/>
                    <w:rPr>
                      <w:rFonts w:ascii="Times New Roman" w:hAnsi="Times New Roman" w:eastAsia="宋体" w:cs="Times New Roman"/>
                      <w:color w:val="auto"/>
                      <w:kern w:val="0"/>
                      <w:sz w:val="21"/>
                      <w:szCs w:val="21"/>
                    </w:rPr>
                  </w:pPr>
                  <w:r>
                    <w:rPr>
                      <w:rFonts w:hint="eastAsia" w:ascii="Times New Roman" w:hAnsi="Times New Roman" w:eastAsia="宋体" w:cs="Times New Roman"/>
                      <w:color w:val="auto"/>
                      <w:kern w:val="0"/>
                      <w:sz w:val="21"/>
                      <w:szCs w:val="21"/>
                    </w:rPr>
                    <w:t>NMHC</w:t>
                  </w:r>
                </w:p>
              </w:tc>
              <w:tc>
                <w:tcPr>
                  <w:tcW w:w="940" w:type="dxa"/>
                  <w:vAlign w:val="center"/>
                </w:tcPr>
                <w:p>
                  <w:pPr>
                    <w:spacing w:before="0" w:beforeLines="0" w:line="240" w:lineRule="auto"/>
                    <w:ind w:firstLine="0" w:firstLineChars="0"/>
                    <w:jc w:val="center"/>
                    <w:rPr>
                      <w:rFonts w:hint="eastAsia" w:cs="Times New Roman"/>
                      <w:color w:val="auto"/>
                      <w:kern w:val="0"/>
                      <w:sz w:val="21"/>
                      <w:szCs w:val="21"/>
                      <w:lang w:val="en-US" w:eastAsia="zh-CN"/>
                    </w:rPr>
                  </w:pPr>
                  <w:r>
                    <w:rPr>
                      <w:rFonts w:hint="eastAsia" w:cs="Times New Roman"/>
                      <w:color w:val="auto"/>
                      <w:kern w:val="0"/>
                      <w:sz w:val="21"/>
                      <w:szCs w:val="21"/>
                      <w:lang w:val="en-US" w:eastAsia="zh-CN"/>
                    </w:rPr>
                    <w:t>5.25</w:t>
                  </w:r>
                </w:p>
                <w:p>
                  <w:pPr>
                    <w:spacing w:before="0" w:beforeLines="0" w:line="240" w:lineRule="auto"/>
                    <w:ind w:firstLine="0" w:firstLineChars="0"/>
                    <w:jc w:val="center"/>
                    <w:rPr>
                      <w:rFonts w:ascii="Times New Roman" w:hAnsi="Times New Roman" w:eastAsia="宋体" w:cs="Times New Roman"/>
                      <w:color w:val="auto"/>
                      <w:kern w:val="0"/>
                      <w:sz w:val="21"/>
                      <w:szCs w:val="21"/>
                    </w:rPr>
                  </w:pPr>
                  <w:r>
                    <w:rPr>
                      <w:rFonts w:ascii="Times New Roman" w:hAnsi="Times New Roman" w:eastAsia="宋体" w:cs="Times New Roman"/>
                      <w:color w:val="auto"/>
                      <w:kern w:val="0"/>
                      <w:sz w:val="21"/>
                      <w:szCs w:val="21"/>
                    </w:rPr>
                    <w:t>mg/m</w:t>
                  </w:r>
                  <w:r>
                    <w:rPr>
                      <w:rFonts w:ascii="Times New Roman" w:hAnsi="Times New Roman" w:eastAsia="宋体" w:cs="Times New Roman"/>
                      <w:color w:val="auto"/>
                      <w:kern w:val="0"/>
                      <w:sz w:val="21"/>
                      <w:szCs w:val="21"/>
                      <w:vertAlign w:val="superscript"/>
                    </w:rPr>
                    <w:t>3</w:t>
                  </w:r>
                </w:p>
              </w:tc>
              <w:tc>
                <w:tcPr>
                  <w:tcW w:w="1272" w:type="dxa"/>
                  <w:vAlign w:val="center"/>
                </w:tcPr>
                <w:p>
                  <w:pPr>
                    <w:spacing w:before="0" w:beforeLines="0" w:line="240" w:lineRule="auto"/>
                    <w:ind w:firstLine="0" w:firstLineChars="0"/>
                    <w:jc w:val="center"/>
                    <w:rPr>
                      <w:rFonts w:ascii="Times New Roman" w:hAnsi="Times New Roman" w:eastAsia="宋体" w:cs="Times New Roman"/>
                      <w:color w:val="auto"/>
                      <w:kern w:val="0"/>
                      <w:sz w:val="21"/>
                      <w:szCs w:val="21"/>
                    </w:rPr>
                  </w:pPr>
                  <w:r>
                    <w:rPr>
                      <w:rFonts w:hint="eastAsia" w:ascii="Times New Roman" w:hAnsi="Times New Roman" w:eastAsia="宋体" w:cs="Times New Roman"/>
                      <w:color w:val="auto"/>
                      <w:kern w:val="0"/>
                      <w:sz w:val="21"/>
                      <w:szCs w:val="21"/>
                      <w:lang w:val="en-US" w:eastAsia="zh-CN"/>
                    </w:rPr>
                    <w:t>0.</w:t>
                  </w:r>
                  <w:r>
                    <w:rPr>
                      <w:rFonts w:hint="eastAsia" w:cs="Times New Roman"/>
                      <w:color w:val="auto"/>
                      <w:kern w:val="0"/>
                      <w:sz w:val="21"/>
                      <w:szCs w:val="21"/>
                      <w:lang w:val="en-US" w:eastAsia="zh-CN"/>
                    </w:rPr>
                    <w:t>105</w:t>
                  </w:r>
                  <w:r>
                    <w:rPr>
                      <w:rFonts w:ascii="Times New Roman" w:hAnsi="Times New Roman" w:eastAsia="宋体" w:cs="Times New Roman"/>
                      <w:color w:val="auto"/>
                      <w:kern w:val="0"/>
                      <w:sz w:val="21"/>
                      <w:szCs w:val="21"/>
                    </w:rPr>
                    <w:t>kg/h</w:t>
                  </w:r>
                </w:p>
              </w:tc>
              <w:tc>
                <w:tcPr>
                  <w:tcW w:w="828" w:type="dxa"/>
                  <w:vAlign w:val="center"/>
                </w:tcPr>
                <w:p>
                  <w:pPr>
                    <w:spacing w:before="0" w:beforeLines="0" w:line="240" w:lineRule="auto"/>
                    <w:ind w:firstLine="0" w:firstLineChars="0"/>
                    <w:jc w:val="center"/>
                    <w:rPr>
                      <w:rFonts w:ascii="Times New Roman" w:hAnsi="Times New Roman" w:eastAsia="宋体" w:cs="Times New Roman"/>
                      <w:color w:val="auto"/>
                      <w:kern w:val="0"/>
                      <w:sz w:val="21"/>
                      <w:szCs w:val="21"/>
                    </w:rPr>
                  </w:pPr>
                  <w:r>
                    <w:rPr>
                      <w:rFonts w:ascii="Times New Roman" w:hAnsi="Times New Roman" w:eastAsia="宋体" w:cs="Times New Roman"/>
                      <w:color w:val="auto"/>
                      <w:kern w:val="0"/>
                      <w:sz w:val="21"/>
                      <w:szCs w:val="21"/>
                    </w:rPr>
                    <w:t>1h/次</w:t>
                  </w:r>
                </w:p>
              </w:tc>
              <w:tc>
                <w:tcPr>
                  <w:tcW w:w="826" w:type="dxa"/>
                  <w:vAlign w:val="center"/>
                </w:tcPr>
                <w:p>
                  <w:pPr>
                    <w:spacing w:before="0" w:beforeLines="0" w:line="240" w:lineRule="auto"/>
                    <w:ind w:firstLine="0" w:firstLineChars="0"/>
                    <w:jc w:val="center"/>
                    <w:rPr>
                      <w:rFonts w:ascii="Times New Roman" w:hAnsi="Times New Roman" w:eastAsia="宋体" w:cs="Times New Roman"/>
                      <w:color w:val="auto"/>
                      <w:kern w:val="0"/>
                      <w:sz w:val="21"/>
                      <w:szCs w:val="21"/>
                    </w:rPr>
                  </w:pPr>
                  <w:r>
                    <w:rPr>
                      <w:rFonts w:ascii="Times New Roman" w:hAnsi="Times New Roman" w:eastAsia="宋体" w:cs="Times New Roman"/>
                      <w:color w:val="auto"/>
                      <w:kern w:val="0"/>
                      <w:sz w:val="21"/>
                      <w:szCs w:val="21"/>
                    </w:rPr>
                    <w:t>1次/年</w:t>
                  </w:r>
                </w:p>
              </w:tc>
              <w:tc>
                <w:tcPr>
                  <w:tcW w:w="1241" w:type="dxa"/>
                  <w:vAlign w:val="center"/>
                </w:tcPr>
                <w:p>
                  <w:pPr>
                    <w:spacing w:before="0" w:beforeLines="0" w:line="240" w:lineRule="auto"/>
                    <w:ind w:firstLine="0" w:firstLineChars="0"/>
                    <w:jc w:val="center"/>
                    <w:rPr>
                      <w:rFonts w:ascii="Times New Roman" w:hAnsi="Times New Roman" w:eastAsia="宋体" w:cs="Times New Roman"/>
                      <w:color w:val="auto"/>
                      <w:kern w:val="0"/>
                      <w:sz w:val="21"/>
                      <w:szCs w:val="21"/>
                    </w:rPr>
                  </w:pPr>
                  <w:r>
                    <w:rPr>
                      <w:rFonts w:ascii="Times New Roman" w:hAnsi="Times New Roman" w:eastAsia="宋体" w:cs="Times New Roman"/>
                      <w:color w:val="auto"/>
                      <w:kern w:val="0"/>
                      <w:sz w:val="21"/>
                      <w:szCs w:val="21"/>
                    </w:rPr>
                    <w:t>立刻停止相关作业，杜绝废气继续产生</w:t>
                  </w:r>
                </w:p>
              </w:tc>
            </w:tr>
          </w:tbl>
          <w:p>
            <w:pPr>
              <w:spacing w:line="360" w:lineRule="auto"/>
              <w:ind w:firstLine="480" w:firstLineChars="200"/>
              <w:rPr>
                <w:rFonts w:hint="eastAsia"/>
                <w:color w:val="auto"/>
                <w:sz w:val="24"/>
              </w:rPr>
            </w:pPr>
            <w:r>
              <w:rPr>
                <w:rFonts w:ascii="Times New Roman" w:hAnsi="Times New Roman" w:eastAsia="宋体" w:cs="Times New Roman"/>
                <w:color w:val="auto"/>
                <w:kern w:val="2"/>
                <w:sz w:val="24"/>
              </w:rPr>
              <w:t>为防止生产废气非正常情况排放对大气环境造成影响，企业必须加强废气处理设施的管理，定期检修，确保废气处理设施正常运行，在废气处理设备停止运行或出现故障时，产生废气的各工序也必须相应停止生产。</w:t>
            </w:r>
          </w:p>
          <w:p>
            <w:pPr>
              <w:spacing w:line="360" w:lineRule="auto"/>
              <w:ind w:firstLine="482" w:firstLineChars="200"/>
              <w:rPr>
                <w:b/>
                <w:bCs/>
                <w:color w:val="auto"/>
                <w:sz w:val="24"/>
              </w:rPr>
            </w:pPr>
            <w:r>
              <w:rPr>
                <w:rFonts w:hint="eastAsia"/>
                <w:b/>
                <w:bCs/>
                <w:color w:val="auto"/>
                <w:sz w:val="24"/>
              </w:rPr>
              <w:t>（</w:t>
            </w:r>
            <w:r>
              <w:rPr>
                <w:rFonts w:hint="eastAsia"/>
                <w:b/>
                <w:bCs/>
                <w:color w:val="auto"/>
                <w:sz w:val="24"/>
                <w:lang w:val="en-US" w:eastAsia="zh-CN"/>
              </w:rPr>
              <w:t>3</w:t>
            </w:r>
            <w:r>
              <w:rPr>
                <w:rFonts w:hint="eastAsia"/>
                <w:b/>
                <w:bCs/>
                <w:color w:val="auto"/>
                <w:sz w:val="24"/>
              </w:rPr>
              <w:t>）</w:t>
            </w:r>
            <w:r>
              <w:rPr>
                <w:b/>
                <w:bCs/>
                <w:color w:val="auto"/>
                <w:sz w:val="24"/>
              </w:rPr>
              <w:t>废气污染治理设施可行性</w:t>
            </w:r>
          </w:p>
          <w:p>
            <w:pPr>
              <w:adjustRightInd w:val="0"/>
              <w:snapToGrid w:val="0"/>
              <w:spacing w:line="360" w:lineRule="auto"/>
              <w:ind w:firstLine="480" w:firstLineChars="200"/>
              <w:rPr>
                <w:bCs/>
                <w:color w:val="auto"/>
                <w:sz w:val="24"/>
              </w:rPr>
            </w:pPr>
            <w:r>
              <w:rPr>
                <w:rFonts w:hint="eastAsia"/>
                <w:bCs/>
                <w:color w:val="auto"/>
                <w:sz w:val="24"/>
              </w:rPr>
              <w:t>本项目注塑、挤出废气采用“二级活性炭吸附装置”处理达标后经15m高排气筒</w:t>
            </w:r>
            <w:r>
              <w:rPr>
                <w:rFonts w:hint="eastAsia"/>
                <w:bCs/>
                <w:color w:val="auto"/>
                <w:sz w:val="24"/>
                <w:lang w:val="en-US" w:eastAsia="zh-CN"/>
              </w:rPr>
              <w:t>DA00</w:t>
            </w:r>
            <w:r>
              <w:rPr>
                <w:rFonts w:hint="eastAsia"/>
                <w:bCs/>
                <w:color w:val="auto"/>
                <w:sz w:val="24"/>
              </w:rPr>
              <w:t>1排放。根据《排污许可证申请与核发技术规范 橡胶和塑料制品工业》（</w:t>
            </w:r>
            <w:r>
              <w:rPr>
                <w:bCs/>
                <w:color w:val="auto"/>
                <w:sz w:val="24"/>
              </w:rPr>
              <w:t>HJ1122</w:t>
            </w:r>
            <w:r>
              <w:rPr>
                <w:rFonts w:hint="eastAsia"/>
                <w:bCs/>
                <w:color w:val="auto"/>
                <w:sz w:val="24"/>
              </w:rPr>
              <w:t>—</w:t>
            </w:r>
            <w:r>
              <w:rPr>
                <w:bCs/>
                <w:color w:val="auto"/>
                <w:sz w:val="24"/>
              </w:rPr>
              <w:t>2020</w:t>
            </w:r>
            <w:r>
              <w:rPr>
                <w:rFonts w:hint="eastAsia"/>
                <w:bCs/>
                <w:color w:val="auto"/>
                <w:sz w:val="24"/>
              </w:rPr>
              <w:t>）附录</w:t>
            </w:r>
            <w:r>
              <w:rPr>
                <w:bCs/>
                <w:color w:val="auto"/>
                <w:sz w:val="24"/>
              </w:rPr>
              <w:t>A</w:t>
            </w:r>
            <w:r>
              <w:rPr>
                <w:rFonts w:hint="eastAsia"/>
                <w:bCs/>
                <w:color w:val="auto"/>
                <w:sz w:val="24"/>
              </w:rPr>
              <w:t>废气和废水污染防治可行技术参考表，非甲烷总烃废气处理可行技术包括：喷淋、吸附、吸附浓缩+热力燃烧/催化燃烧。本项目使用二级活性炭吸附装置处理生产过程产生的有机废气，属于可行技术。因此，本项目废气处理措施在技术上是可行的。</w:t>
            </w:r>
          </w:p>
          <w:p>
            <w:pPr>
              <w:adjustRightInd w:val="0"/>
              <w:snapToGrid w:val="0"/>
              <w:spacing w:line="360" w:lineRule="auto"/>
              <w:ind w:firstLine="482" w:firstLineChars="200"/>
              <w:rPr>
                <w:b/>
                <w:bCs/>
                <w:color w:val="auto"/>
                <w:sz w:val="24"/>
              </w:rPr>
            </w:pPr>
            <w:r>
              <w:rPr>
                <w:rFonts w:hint="eastAsia"/>
                <w:b/>
                <w:bCs/>
                <w:color w:val="auto"/>
                <w:sz w:val="24"/>
              </w:rPr>
              <w:t>（</w:t>
            </w:r>
            <w:r>
              <w:rPr>
                <w:rFonts w:hint="eastAsia"/>
                <w:b/>
                <w:bCs/>
                <w:color w:val="auto"/>
                <w:sz w:val="24"/>
                <w:lang w:val="en-US" w:eastAsia="zh-CN"/>
              </w:rPr>
              <w:t>4</w:t>
            </w:r>
            <w:r>
              <w:rPr>
                <w:rFonts w:hint="eastAsia"/>
                <w:b/>
                <w:bCs/>
                <w:color w:val="auto"/>
                <w:sz w:val="24"/>
              </w:rPr>
              <w:t>）</w:t>
            </w:r>
            <w:r>
              <w:rPr>
                <w:b/>
                <w:bCs/>
                <w:color w:val="auto"/>
                <w:sz w:val="24"/>
              </w:rPr>
              <w:t>废气环境影响分析</w:t>
            </w:r>
          </w:p>
          <w:p>
            <w:pPr>
              <w:spacing w:line="360" w:lineRule="auto"/>
              <w:ind w:firstLine="480" w:firstLineChars="200"/>
              <w:rPr>
                <w:color w:val="auto"/>
                <w:sz w:val="24"/>
              </w:rPr>
            </w:pPr>
            <w:r>
              <w:rPr>
                <w:rFonts w:hint="eastAsia"/>
                <w:color w:val="auto"/>
                <w:sz w:val="24"/>
              </w:rPr>
              <w:t>综上所述，本项目</w:t>
            </w:r>
            <w:r>
              <w:rPr>
                <w:rFonts w:hint="eastAsia"/>
                <w:bCs/>
                <w:color w:val="auto"/>
                <w:sz w:val="24"/>
              </w:rPr>
              <w:t>注塑、挤出废气采用二级活性炭吸附装置处理达标后</w:t>
            </w:r>
            <w:r>
              <w:rPr>
                <w:rFonts w:hint="eastAsia"/>
                <w:bCs/>
                <w:color w:val="auto"/>
                <w:sz w:val="24"/>
                <w:lang w:eastAsia="zh-CN"/>
              </w:rPr>
              <w:t>，</w:t>
            </w:r>
            <w:r>
              <w:rPr>
                <w:rFonts w:hint="eastAsia"/>
                <w:bCs/>
                <w:color w:val="auto"/>
                <w:sz w:val="24"/>
              </w:rPr>
              <w:t>非甲烷总烃排放可满足</w:t>
            </w:r>
            <w:r>
              <w:rPr>
                <w:rFonts w:hint="eastAsia" w:hAnsi="宋体"/>
                <w:color w:val="auto"/>
                <w:sz w:val="24"/>
              </w:rPr>
              <w:t>《合成树脂工业污染物排放标准》（GB 31572-2015）中表5大气污染物特别排放限值及</w:t>
            </w:r>
            <w:r>
              <w:rPr>
                <w:rFonts w:hint="eastAsia" w:hAnsi="宋体"/>
                <w:color w:val="auto"/>
                <w:sz w:val="24"/>
                <w:lang w:val="en-US" w:eastAsia="zh-CN"/>
              </w:rPr>
              <w:t>广东省</w:t>
            </w:r>
            <w:r>
              <w:rPr>
                <w:rFonts w:hint="eastAsia" w:hAnsi="宋体"/>
                <w:color w:val="auto"/>
                <w:sz w:val="24"/>
              </w:rPr>
              <w:t>《固定污染源挥发性有机物综合排放标准》（DB44/2367-2022）中表1挥发性有机物排放限值较严者要</w:t>
            </w:r>
            <w:r>
              <w:rPr>
                <w:rFonts w:hint="eastAsia"/>
                <w:color w:val="auto"/>
                <w:sz w:val="24"/>
              </w:rPr>
              <w:t>求，臭气浓度排放可满足</w:t>
            </w:r>
            <w:r>
              <w:rPr>
                <w:rFonts w:hint="eastAsia" w:hAnsi="宋体"/>
                <w:color w:val="auto"/>
                <w:sz w:val="24"/>
              </w:rPr>
              <w:t>《恶臭污染物排放标准》（GB 14554-93）表2恶臭污染物排放标准值要求</w:t>
            </w:r>
            <w:r>
              <w:rPr>
                <w:rFonts w:hint="eastAsia"/>
                <w:color w:val="auto"/>
                <w:sz w:val="24"/>
              </w:rPr>
              <w:t>。</w:t>
            </w:r>
          </w:p>
          <w:p>
            <w:pPr>
              <w:spacing w:line="360" w:lineRule="auto"/>
              <w:ind w:firstLine="480" w:firstLineChars="200"/>
              <w:rPr>
                <w:color w:val="auto"/>
                <w:sz w:val="24"/>
              </w:rPr>
            </w:pPr>
            <w:r>
              <w:rPr>
                <w:rFonts w:hint="eastAsia"/>
                <w:color w:val="auto"/>
                <w:sz w:val="24"/>
              </w:rPr>
              <w:t>根据同类型已建成运营且采取类似防治措施的项目实际运行经验，项目</w:t>
            </w:r>
            <w:r>
              <w:rPr>
                <w:rFonts w:hint="eastAsia" w:hAnsi="宋体"/>
                <w:color w:val="auto"/>
                <w:sz w:val="24"/>
              </w:rPr>
              <w:t>厂区内VOCs排放可达到</w:t>
            </w:r>
            <w:r>
              <w:rPr>
                <w:rFonts w:hint="eastAsia" w:hAnsi="宋体"/>
                <w:color w:val="auto"/>
                <w:sz w:val="24"/>
                <w:lang w:val="en-US" w:eastAsia="zh-CN"/>
              </w:rPr>
              <w:t>广东省</w:t>
            </w:r>
            <w:r>
              <w:rPr>
                <w:rFonts w:hint="eastAsia"/>
                <w:color w:val="auto"/>
                <w:sz w:val="24"/>
              </w:rPr>
              <w:t>《固定污染源挥发性有机物综合排放标准》（DB44/2367-2022）表3厂区内VOCs无组织排放限值；厂界颗粒物、VOCs无组织排放可达到</w:t>
            </w:r>
            <w:r>
              <w:rPr>
                <w:color w:val="auto"/>
                <w:sz w:val="24"/>
              </w:rPr>
              <w:t>《</w:t>
            </w:r>
            <w:r>
              <w:rPr>
                <w:rFonts w:hint="eastAsia"/>
                <w:color w:val="auto"/>
                <w:sz w:val="24"/>
              </w:rPr>
              <w:t>合成树脂工业污染物排放标准</w:t>
            </w:r>
            <w:r>
              <w:rPr>
                <w:color w:val="auto"/>
                <w:sz w:val="24"/>
              </w:rPr>
              <w:t>》（</w:t>
            </w:r>
            <w:r>
              <w:rPr>
                <w:rFonts w:hint="eastAsia"/>
                <w:color w:val="auto"/>
                <w:sz w:val="24"/>
              </w:rPr>
              <w:t>G</w:t>
            </w:r>
            <w:r>
              <w:rPr>
                <w:color w:val="auto"/>
                <w:sz w:val="24"/>
              </w:rPr>
              <w:t>B</w:t>
            </w:r>
            <w:r>
              <w:rPr>
                <w:rFonts w:hint="eastAsia"/>
                <w:color w:val="auto"/>
                <w:sz w:val="24"/>
              </w:rPr>
              <w:t xml:space="preserve"> 31572</w:t>
            </w:r>
            <w:r>
              <w:rPr>
                <w:color w:val="auto"/>
                <w:sz w:val="24"/>
              </w:rPr>
              <w:t>-20</w:t>
            </w:r>
            <w:r>
              <w:rPr>
                <w:rFonts w:hint="eastAsia"/>
                <w:color w:val="auto"/>
                <w:sz w:val="24"/>
              </w:rPr>
              <w:t>15</w:t>
            </w:r>
            <w:r>
              <w:rPr>
                <w:color w:val="auto"/>
                <w:sz w:val="24"/>
              </w:rPr>
              <w:t>）</w:t>
            </w:r>
            <w:r>
              <w:rPr>
                <w:rFonts w:hint="eastAsia"/>
                <w:color w:val="auto"/>
                <w:sz w:val="24"/>
              </w:rPr>
              <w:t>中表9企业边界大气污染物浓度限值要求，锡及其化合物无组织排放可达到广东省</w:t>
            </w:r>
            <w:r>
              <w:rPr>
                <w:rFonts w:ascii="宋体" w:hAnsi="宋体" w:cs="宋体"/>
                <w:color w:val="auto"/>
                <w:spacing w:val="5"/>
                <w:sz w:val="24"/>
              </w:rPr>
              <w:t>《大气污染物排放限</w:t>
            </w:r>
            <w:r>
              <w:rPr>
                <w:rFonts w:ascii="宋体" w:hAnsi="宋体" w:cs="宋体"/>
                <w:color w:val="auto"/>
                <w:spacing w:val="6"/>
                <w:sz w:val="24"/>
              </w:rPr>
              <w:t>值</w:t>
            </w:r>
            <w:r>
              <w:rPr>
                <w:rFonts w:ascii="宋体" w:hAnsi="宋体" w:cs="宋体"/>
                <w:color w:val="auto"/>
                <w:spacing w:val="3"/>
                <w:sz w:val="24"/>
              </w:rPr>
              <w:t>》(</w:t>
            </w:r>
            <w:r>
              <w:rPr>
                <w:rFonts w:eastAsia="Times New Roman"/>
                <w:color w:val="auto"/>
                <w:sz w:val="24"/>
              </w:rPr>
              <w:t>DB</w:t>
            </w:r>
            <w:r>
              <w:rPr>
                <w:rFonts w:eastAsia="Times New Roman"/>
                <w:color w:val="auto"/>
                <w:spacing w:val="3"/>
                <w:sz w:val="24"/>
              </w:rPr>
              <w:t>44/27-2001</w:t>
            </w:r>
            <w:r>
              <w:rPr>
                <w:rFonts w:ascii="宋体" w:hAnsi="宋体" w:cs="宋体"/>
                <w:color w:val="auto"/>
                <w:spacing w:val="3"/>
                <w:sz w:val="24"/>
              </w:rPr>
              <w:t>)</w:t>
            </w:r>
            <w:r>
              <w:rPr>
                <w:rFonts w:hint="eastAsia" w:ascii="宋体" w:hAnsi="宋体" w:cs="宋体"/>
                <w:color w:val="auto"/>
                <w:spacing w:val="3"/>
                <w:sz w:val="24"/>
              </w:rPr>
              <w:t>中</w:t>
            </w:r>
            <w:r>
              <w:rPr>
                <w:rFonts w:ascii="宋体" w:hAnsi="宋体" w:cs="宋体"/>
                <w:color w:val="auto"/>
                <w:spacing w:val="3"/>
                <w:sz w:val="24"/>
              </w:rPr>
              <w:t>第二时段无组织排放监控浓度限值</w:t>
            </w:r>
            <w:r>
              <w:rPr>
                <w:rFonts w:hint="eastAsia" w:ascii="宋体" w:hAnsi="宋体" w:cs="宋体"/>
                <w:color w:val="auto"/>
                <w:spacing w:val="3"/>
                <w:sz w:val="24"/>
              </w:rPr>
              <w:t>要求，臭气浓度可达到</w:t>
            </w:r>
            <w:r>
              <w:rPr>
                <w:rFonts w:hint="eastAsia" w:hAnsi="宋体"/>
                <w:color w:val="auto"/>
                <w:sz w:val="24"/>
              </w:rPr>
              <w:t>《恶臭污染物排放标准》（GB 14554-93）表1恶臭污染物厂界</w:t>
            </w:r>
            <w:r>
              <w:rPr>
                <w:rFonts w:hint="eastAsia" w:hAnsi="宋体"/>
                <w:color w:val="auto"/>
                <w:sz w:val="24"/>
                <w:lang w:val="en-US" w:eastAsia="zh-CN"/>
              </w:rPr>
              <w:t>二级</w:t>
            </w:r>
            <w:r>
              <w:rPr>
                <w:rFonts w:hint="eastAsia" w:hAnsi="宋体"/>
                <w:color w:val="auto"/>
                <w:sz w:val="24"/>
              </w:rPr>
              <w:t>标准值要求</w:t>
            </w:r>
            <w:r>
              <w:rPr>
                <w:rFonts w:hint="eastAsia"/>
                <w:color w:val="auto"/>
                <w:sz w:val="24"/>
              </w:rPr>
              <w:t>。</w:t>
            </w:r>
          </w:p>
          <w:p>
            <w:pPr>
              <w:adjustRightInd w:val="0"/>
              <w:snapToGrid w:val="0"/>
              <w:spacing w:line="360" w:lineRule="auto"/>
              <w:ind w:firstLine="480" w:firstLineChars="200"/>
              <w:rPr>
                <w:color w:val="auto"/>
                <w:sz w:val="24"/>
              </w:rPr>
            </w:pPr>
            <w:r>
              <w:rPr>
                <w:rFonts w:hint="eastAsia"/>
                <w:color w:val="auto"/>
                <w:sz w:val="24"/>
              </w:rPr>
              <w:t>乐昌市属达标区，本项目采用的废气治理措施成熟有效，切实可行，可保证废气达标排放，由于污染物最终排放量很小，因此本项目废气排放对周边大气环境影响在可接受范围内。</w:t>
            </w:r>
          </w:p>
        </w:tc>
      </w:tr>
    </w:tbl>
    <w:p>
      <w:pPr>
        <w:adjustRightInd w:val="0"/>
        <w:snapToGrid w:val="0"/>
        <w:spacing w:line="360" w:lineRule="auto"/>
        <w:rPr>
          <w:b/>
          <w:color w:val="auto"/>
          <w:kern w:val="0"/>
          <w:sz w:val="28"/>
          <w:szCs w:val="28"/>
        </w:rPr>
        <w:sectPr>
          <w:pgSz w:w="11907" w:h="16840"/>
          <w:pgMar w:top="1701" w:right="1531" w:bottom="2127" w:left="1531" w:header="851" w:footer="851" w:gutter="0"/>
          <w:pgNumType w:fmt="decimal"/>
          <w:cols w:space="720" w:num="1"/>
          <w:docGrid w:linePitch="312" w:charSpace="0"/>
        </w:sectPr>
      </w:pPr>
    </w:p>
    <w:p>
      <w:pPr>
        <w:pStyle w:val="13"/>
        <w:adjustRightInd w:val="0"/>
        <w:snapToGrid w:val="0"/>
        <w:spacing w:line="360" w:lineRule="auto"/>
        <w:jc w:val="center"/>
        <w:rPr>
          <w:rFonts w:ascii="Times New Roman" w:hAnsi="宋体" w:cs="Times New Roman"/>
          <w:b/>
          <w:color w:val="auto"/>
          <w:sz w:val="24"/>
          <w:szCs w:val="24"/>
        </w:rPr>
      </w:pPr>
      <w:r>
        <w:rPr>
          <w:rFonts w:hint="eastAsia" w:ascii="Times New Roman" w:hAnsi="宋体" w:cs="Times New Roman"/>
          <w:b/>
          <w:color w:val="auto"/>
          <w:sz w:val="24"/>
          <w:szCs w:val="24"/>
        </w:rPr>
        <w:t>表</w:t>
      </w:r>
      <w:r>
        <w:rPr>
          <w:rFonts w:hint="eastAsia" w:ascii="Times New Roman" w:hAnsi="宋体" w:cs="Times New Roman"/>
          <w:b/>
          <w:color w:val="auto"/>
          <w:sz w:val="24"/>
          <w:szCs w:val="24"/>
          <w:lang w:val="en-US" w:eastAsia="zh-CN"/>
        </w:rPr>
        <w:t>4-3</w:t>
      </w:r>
      <w:r>
        <w:rPr>
          <w:rFonts w:hint="eastAsia" w:ascii="Times New Roman" w:hAnsi="宋体" w:cs="Times New Roman"/>
          <w:b/>
          <w:color w:val="auto"/>
          <w:sz w:val="24"/>
          <w:szCs w:val="24"/>
        </w:rPr>
        <w:t xml:space="preserve"> </w:t>
      </w:r>
      <w:r>
        <w:rPr>
          <w:rFonts w:hint="eastAsia" w:hAnsi="宋体" w:cs="Times New Roman"/>
          <w:b/>
          <w:color w:val="auto"/>
          <w:sz w:val="24"/>
          <w:szCs w:val="24"/>
        </w:rPr>
        <w:t>项目废气污染物排放情况</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1"/>
        <w:gridCol w:w="1341"/>
        <w:gridCol w:w="1177"/>
        <w:gridCol w:w="956"/>
        <w:gridCol w:w="1167"/>
        <w:gridCol w:w="1226"/>
        <w:gridCol w:w="1001"/>
        <w:gridCol w:w="2032"/>
        <w:gridCol w:w="831"/>
        <w:gridCol w:w="1002"/>
        <w:gridCol w:w="983"/>
        <w:gridCol w:w="941"/>
        <w:gridCol w:w="1051"/>
        <w:gridCol w:w="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Merge w:val="restart"/>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序号</w:t>
            </w:r>
          </w:p>
        </w:tc>
        <w:tc>
          <w:tcPr>
            <w:tcW w:w="1341" w:type="dxa"/>
            <w:vMerge w:val="restart"/>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产排污环节</w:t>
            </w:r>
          </w:p>
        </w:tc>
        <w:tc>
          <w:tcPr>
            <w:tcW w:w="1177" w:type="dxa"/>
            <w:vMerge w:val="restart"/>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污染物种类</w:t>
            </w:r>
          </w:p>
        </w:tc>
        <w:tc>
          <w:tcPr>
            <w:tcW w:w="3349" w:type="dxa"/>
            <w:gridSpan w:val="3"/>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污染物产生情况</w:t>
            </w:r>
          </w:p>
        </w:tc>
        <w:tc>
          <w:tcPr>
            <w:tcW w:w="1001" w:type="dxa"/>
            <w:vMerge w:val="restart"/>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排放形式</w:t>
            </w:r>
          </w:p>
        </w:tc>
        <w:tc>
          <w:tcPr>
            <w:tcW w:w="4848" w:type="dxa"/>
            <w:gridSpan w:val="4"/>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治理设施</w:t>
            </w:r>
          </w:p>
        </w:tc>
        <w:tc>
          <w:tcPr>
            <w:tcW w:w="2829" w:type="dxa"/>
            <w:gridSpan w:val="3"/>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污染物排放情况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Merge w:val="continue"/>
            <w:vAlign w:val="center"/>
          </w:tcPr>
          <w:p>
            <w:pPr>
              <w:pStyle w:val="13"/>
              <w:jc w:val="center"/>
              <w:rPr>
                <w:rFonts w:ascii="Times New Roman" w:hAnsi="宋体" w:cs="Times New Roman"/>
                <w:b/>
                <w:bCs/>
                <w:color w:val="auto"/>
              </w:rPr>
            </w:pPr>
          </w:p>
        </w:tc>
        <w:tc>
          <w:tcPr>
            <w:tcW w:w="1341" w:type="dxa"/>
            <w:vMerge w:val="continue"/>
            <w:vAlign w:val="center"/>
          </w:tcPr>
          <w:p>
            <w:pPr>
              <w:pStyle w:val="13"/>
              <w:jc w:val="center"/>
              <w:rPr>
                <w:rFonts w:ascii="Times New Roman" w:hAnsi="宋体" w:cs="Times New Roman"/>
                <w:b/>
                <w:bCs/>
                <w:color w:val="auto"/>
              </w:rPr>
            </w:pPr>
          </w:p>
        </w:tc>
        <w:tc>
          <w:tcPr>
            <w:tcW w:w="1177" w:type="dxa"/>
            <w:vMerge w:val="continue"/>
            <w:vAlign w:val="center"/>
          </w:tcPr>
          <w:p>
            <w:pPr>
              <w:pStyle w:val="13"/>
              <w:jc w:val="center"/>
              <w:rPr>
                <w:rFonts w:ascii="Times New Roman" w:hAnsi="宋体" w:cs="Times New Roman"/>
                <w:b/>
                <w:bCs/>
                <w:color w:val="auto"/>
              </w:rPr>
            </w:pPr>
          </w:p>
        </w:tc>
        <w:tc>
          <w:tcPr>
            <w:tcW w:w="956"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废气量m</w:t>
            </w:r>
            <w:r>
              <w:rPr>
                <w:rFonts w:hint="eastAsia" w:ascii="Times New Roman" w:hAnsi="宋体" w:cs="Times New Roman"/>
                <w:b/>
                <w:bCs/>
                <w:color w:val="auto"/>
                <w:vertAlign w:val="superscript"/>
              </w:rPr>
              <w:t>3</w:t>
            </w:r>
            <w:r>
              <w:rPr>
                <w:rFonts w:hint="eastAsia" w:ascii="Times New Roman" w:hAnsi="宋体" w:cs="Times New Roman"/>
                <w:b/>
                <w:bCs/>
                <w:color w:val="auto"/>
              </w:rPr>
              <w:t>/h</w:t>
            </w:r>
          </w:p>
        </w:tc>
        <w:tc>
          <w:tcPr>
            <w:tcW w:w="1167"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产生量t/a</w:t>
            </w:r>
          </w:p>
        </w:tc>
        <w:tc>
          <w:tcPr>
            <w:tcW w:w="1226"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产生浓度mg/m</w:t>
            </w:r>
            <w:r>
              <w:rPr>
                <w:rFonts w:hint="eastAsia" w:ascii="Times New Roman" w:hAnsi="宋体" w:cs="Times New Roman"/>
                <w:b/>
                <w:bCs/>
                <w:color w:val="auto"/>
                <w:vertAlign w:val="superscript"/>
              </w:rPr>
              <w:t>3</w:t>
            </w:r>
          </w:p>
        </w:tc>
        <w:tc>
          <w:tcPr>
            <w:tcW w:w="1001" w:type="dxa"/>
            <w:vMerge w:val="continue"/>
            <w:tcBorders>
              <w:bottom w:val="single" w:color="auto" w:sz="4" w:space="0"/>
            </w:tcBorders>
            <w:vAlign w:val="center"/>
          </w:tcPr>
          <w:p>
            <w:pPr>
              <w:pStyle w:val="13"/>
              <w:jc w:val="center"/>
              <w:rPr>
                <w:rFonts w:ascii="Times New Roman" w:hAnsi="宋体" w:cs="Times New Roman"/>
                <w:b/>
                <w:bCs/>
                <w:color w:val="auto"/>
              </w:rPr>
            </w:pPr>
          </w:p>
        </w:tc>
        <w:tc>
          <w:tcPr>
            <w:tcW w:w="2032"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治理工艺</w:t>
            </w:r>
          </w:p>
        </w:tc>
        <w:tc>
          <w:tcPr>
            <w:tcW w:w="831"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收集效率%</w:t>
            </w:r>
          </w:p>
        </w:tc>
        <w:tc>
          <w:tcPr>
            <w:tcW w:w="1002"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治理工艺去除率%</w:t>
            </w:r>
          </w:p>
        </w:tc>
        <w:tc>
          <w:tcPr>
            <w:tcW w:w="983"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是否为可行技术</w:t>
            </w:r>
          </w:p>
        </w:tc>
        <w:tc>
          <w:tcPr>
            <w:tcW w:w="941"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排放量t/a</w:t>
            </w:r>
          </w:p>
        </w:tc>
        <w:tc>
          <w:tcPr>
            <w:tcW w:w="1051"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排放速率kg/h</w:t>
            </w:r>
          </w:p>
        </w:tc>
        <w:tc>
          <w:tcPr>
            <w:tcW w:w="837" w:type="dxa"/>
            <w:tcBorders>
              <w:bottom w:val="single" w:color="auto" w:sz="4" w:space="0"/>
            </w:tcBorders>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排放浓度mg/m</w:t>
            </w:r>
            <w:r>
              <w:rPr>
                <w:rFonts w:hint="eastAsia" w:ascii="Times New Roman" w:hAnsi="宋体" w:cs="Times New Roman"/>
                <w:b/>
                <w:bCs/>
                <w:color w:val="auto"/>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1</w:t>
            </w:r>
          </w:p>
        </w:tc>
        <w:tc>
          <w:tcPr>
            <w:tcW w:w="1341"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排气筒</w:t>
            </w:r>
            <w:r>
              <w:rPr>
                <w:rFonts w:hint="eastAsia" w:ascii="Times New Roman" w:hAnsi="宋体" w:cs="Times New Roman"/>
                <w:bCs/>
                <w:color w:val="auto"/>
                <w:lang w:val="en-US" w:eastAsia="zh-CN"/>
              </w:rPr>
              <w:t>DA00</w:t>
            </w:r>
            <w:r>
              <w:rPr>
                <w:rFonts w:hint="eastAsia" w:ascii="Times New Roman" w:hAnsi="宋体" w:cs="Times New Roman"/>
                <w:bCs/>
                <w:color w:val="auto"/>
              </w:rPr>
              <w:t>1（注塑、挤出废气）</w:t>
            </w:r>
          </w:p>
        </w:tc>
        <w:tc>
          <w:tcPr>
            <w:tcW w:w="1177" w:type="dxa"/>
            <w:tcBorders>
              <w:bottom w:val="single" w:color="000000" w:sz="4" w:space="0"/>
              <w:right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NMHC</w:t>
            </w:r>
          </w:p>
        </w:tc>
        <w:tc>
          <w:tcPr>
            <w:tcW w:w="956" w:type="dxa"/>
            <w:vMerge w:val="restart"/>
            <w:tcBorders>
              <w:top w:val="single" w:color="auto" w:sz="4" w:space="0"/>
              <w:left w:val="single" w:color="auto" w:sz="4" w:space="0"/>
              <w:right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lang w:val="en-US" w:eastAsia="zh-CN"/>
              </w:rPr>
              <w:t>20</w:t>
            </w:r>
            <w:r>
              <w:rPr>
                <w:rFonts w:hint="eastAsia" w:ascii="Times New Roman" w:hAnsi="宋体" w:cs="Times New Roman"/>
                <w:bCs/>
                <w:color w:val="auto"/>
              </w:rPr>
              <w:t>000</w:t>
            </w:r>
          </w:p>
        </w:tc>
        <w:tc>
          <w:tcPr>
            <w:tcW w:w="1167" w:type="dxa"/>
            <w:tcBorders>
              <w:top w:val="single" w:color="auto" w:sz="4" w:space="0"/>
              <w:left w:val="single" w:color="auto" w:sz="4" w:space="0"/>
              <w:bottom w:val="single" w:color="auto" w:sz="4" w:space="0"/>
              <w:right w:val="single" w:color="auto" w:sz="4" w:space="0"/>
            </w:tcBorders>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eastAsia="zh-CN"/>
              </w:rPr>
              <w:t>0.</w:t>
            </w:r>
            <w:r>
              <w:rPr>
                <w:rFonts w:hint="eastAsia" w:ascii="Times New Roman" w:hAnsi="宋体" w:cs="Times New Roman"/>
                <w:bCs/>
                <w:color w:val="auto"/>
                <w:lang w:val="en-US" w:eastAsia="zh-CN"/>
              </w:rPr>
              <w:t>252</w:t>
            </w:r>
          </w:p>
        </w:tc>
        <w:tc>
          <w:tcPr>
            <w:tcW w:w="1226" w:type="dxa"/>
            <w:tcBorders>
              <w:top w:val="single" w:color="auto" w:sz="4" w:space="0"/>
              <w:left w:val="single" w:color="auto" w:sz="4" w:space="0"/>
              <w:bottom w:val="single" w:color="auto" w:sz="4" w:space="0"/>
              <w:right w:val="single" w:color="auto" w:sz="4" w:space="0"/>
            </w:tcBorders>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2.25</w:t>
            </w:r>
          </w:p>
        </w:tc>
        <w:tc>
          <w:tcPr>
            <w:tcW w:w="1001" w:type="dxa"/>
            <w:vMerge w:val="restart"/>
            <w:tcBorders>
              <w:top w:val="single" w:color="auto" w:sz="4" w:space="0"/>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有组织</w:t>
            </w:r>
          </w:p>
        </w:tc>
        <w:tc>
          <w:tcPr>
            <w:tcW w:w="2032" w:type="dxa"/>
            <w:vMerge w:val="restart"/>
            <w:tcBorders>
              <w:top w:val="single" w:color="auto" w:sz="4" w:space="0"/>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“密闭车间+集气罩”收集+二级活性炭吸附</w:t>
            </w:r>
          </w:p>
        </w:tc>
        <w:tc>
          <w:tcPr>
            <w:tcW w:w="831" w:type="dxa"/>
            <w:tcBorders>
              <w:top w:val="single" w:color="auto" w:sz="4" w:space="0"/>
              <w:left w:val="single" w:color="auto" w:sz="4" w:space="0"/>
              <w:bottom w:val="single" w:color="auto" w:sz="4" w:space="0"/>
              <w:right w:val="single" w:color="auto" w:sz="4" w:space="0"/>
            </w:tcBorders>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50</w:t>
            </w:r>
          </w:p>
        </w:tc>
        <w:tc>
          <w:tcPr>
            <w:tcW w:w="1002" w:type="dxa"/>
            <w:tcBorders>
              <w:top w:val="single" w:color="auto" w:sz="4" w:space="0"/>
              <w:left w:val="single" w:color="auto" w:sz="4" w:space="0"/>
              <w:bottom w:val="single" w:color="auto" w:sz="4" w:space="0"/>
              <w:right w:val="single" w:color="auto" w:sz="4" w:space="0"/>
            </w:tcBorders>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rPr>
              <w:t>8</w:t>
            </w:r>
            <w:r>
              <w:rPr>
                <w:rFonts w:hint="eastAsia" w:ascii="Times New Roman" w:hAnsi="宋体" w:cs="Times New Roman"/>
                <w:bCs/>
                <w:color w:val="auto"/>
                <w:lang w:val="en-US" w:eastAsia="zh-CN"/>
              </w:rPr>
              <w:t>5</w:t>
            </w:r>
          </w:p>
        </w:tc>
        <w:tc>
          <w:tcPr>
            <w:tcW w:w="983" w:type="dxa"/>
            <w:tcBorders>
              <w:top w:val="single" w:color="auto" w:sz="4" w:space="0"/>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可行</w:t>
            </w:r>
          </w:p>
        </w:tc>
        <w:tc>
          <w:tcPr>
            <w:tcW w:w="941" w:type="dxa"/>
            <w:tcBorders>
              <w:top w:val="single" w:color="auto" w:sz="4" w:space="0"/>
              <w:left w:val="single" w:color="auto" w:sz="4" w:space="0"/>
              <w:bottom w:val="single" w:color="auto" w:sz="4" w:space="0"/>
              <w:right w:val="single" w:color="auto" w:sz="4" w:space="0"/>
            </w:tcBorders>
            <w:vAlign w:val="center"/>
          </w:tcPr>
          <w:p>
            <w:pPr>
              <w:pStyle w:val="13"/>
              <w:jc w:val="center"/>
              <w:rPr>
                <w:rFonts w:hint="default" w:hAnsi="宋体" w:eastAsia="宋体"/>
                <w:bCs/>
                <w:color w:val="auto"/>
                <w:lang w:val="en-US" w:eastAsia="zh-CN"/>
              </w:rPr>
            </w:pPr>
            <w:r>
              <w:rPr>
                <w:rFonts w:hint="eastAsia" w:ascii="Times New Roman" w:hAnsi="宋体" w:cs="Times New Roman"/>
                <w:bCs/>
                <w:color w:val="auto"/>
              </w:rPr>
              <w:t>0.</w:t>
            </w:r>
            <w:r>
              <w:rPr>
                <w:rFonts w:hint="eastAsia" w:ascii="Times New Roman" w:hAnsi="宋体" w:cs="Times New Roman"/>
                <w:bCs/>
                <w:color w:val="auto"/>
                <w:lang w:val="en-US" w:eastAsia="zh-CN"/>
              </w:rPr>
              <w:t>0378</w:t>
            </w:r>
          </w:p>
        </w:tc>
        <w:tc>
          <w:tcPr>
            <w:tcW w:w="1051" w:type="dxa"/>
            <w:tcBorders>
              <w:top w:val="single" w:color="auto" w:sz="4" w:space="0"/>
              <w:left w:val="single" w:color="auto" w:sz="4" w:space="0"/>
              <w:bottom w:val="single" w:color="auto" w:sz="4" w:space="0"/>
              <w:right w:val="single" w:color="auto" w:sz="4" w:space="0"/>
            </w:tcBorders>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lang w:eastAsia="zh-CN"/>
              </w:rPr>
              <w:t>0.0158</w:t>
            </w:r>
          </w:p>
        </w:tc>
        <w:tc>
          <w:tcPr>
            <w:tcW w:w="837" w:type="dxa"/>
            <w:tcBorders>
              <w:top w:val="single" w:color="auto" w:sz="4" w:space="0"/>
              <w:left w:val="single" w:color="auto" w:sz="4" w:space="0"/>
              <w:bottom w:val="single" w:color="auto" w:sz="4" w:space="0"/>
              <w:right w:val="single" w:color="auto" w:sz="4" w:space="0"/>
            </w:tcBorders>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lang w:eastAsia="zh-CN"/>
              </w:rPr>
              <w:t>0.79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Merge w:val="continue"/>
            <w:vAlign w:val="center"/>
          </w:tcPr>
          <w:p>
            <w:pPr>
              <w:pStyle w:val="13"/>
              <w:jc w:val="center"/>
              <w:rPr>
                <w:rFonts w:ascii="Times New Roman" w:hAnsi="宋体" w:cs="Times New Roman"/>
                <w:bCs/>
                <w:color w:val="auto"/>
              </w:rPr>
            </w:pPr>
          </w:p>
        </w:tc>
        <w:tc>
          <w:tcPr>
            <w:tcW w:w="1341" w:type="dxa"/>
            <w:vMerge w:val="continue"/>
            <w:vAlign w:val="center"/>
          </w:tcPr>
          <w:p>
            <w:pPr>
              <w:pStyle w:val="13"/>
              <w:jc w:val="center"/>
              <w:rPr>
                <w:rFonts w:ascii="Times New Roman" w:hAnsi="宋体" w:cs="Times New Roman"/>
                <w:bCs/>
                <w:color w:val="auto"/>
              </w:rPr>
            </w:pPr>
          </w:p>
        </w:tc>
        <w:tc>
          <w:tcPr>
            <w:tcW w:w="1177" w:type="dxa"/>
            <w:tcBorders>
              <w:top w:val="single" w:color="000000" w:sz="4" w:space="0"/>
              <w:right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臭气浓度</w:t>
            </w:r>
          </w:p>
        </w:tc>
        <w:tc>
          <w:tcPr>
            <w:tcW w:w="956" w:type="dxa"/>
            <w:vMerge w:val="continue"/>
            <w:tcBorders>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p>
        </w:tc>
        <w:tc>
          <w:tcPr>
            <w:tcW w:w="1167" w:type="dxa"/>
            <w:tcBorders>
              <w:top w:val="single" w:color="auto" w:sz="4" w:space="0"/>
              <w:left w:val="single" w:color="auto" w:sz="4" w:space="0"/>
              <w:bottom w:val="single" w:color="auto" w:sz="4" w:space="0"/>
              <w:right w:val="single" w:color="auto" w:sz="4" w:space="0"/>
            </w:tcBorders>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少量</w:t>
            </w:r>
          </w:p>
        </w:tc>
        <w:tc>
          <w:tcPr>
            <w:tcW w:w="1226" w:type="dxa"/>
            <w:tcBorders>
              <w:top w:val="single" w:color="auto" w:sz="4" w:space="0"/>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001" w:type="dxa"/>
            <w:vMerge w:val="continue"/>
            <w:tcBorders>
              <w:top w:val="single" w:color="auto" w:sz="4" w:space="0"/>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p>
        </w:tc>
        <w:tc>
          <w:tcPr>
            <w:tcW w:w="2032" w:type="dxa"/>
            <w:vMerge w:val="continue"/>
            <w:tcBorders>
              <w:top w:val="single" w:color="auto" w:sz="4" w:space="0"/>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p>
        </w:tc>
        <w:tc>
          <w:tcPr>
            <w:tcW w:w="831" w:type="dxa"/>
            <w:tcBorders>
              <w:top w:val="single" w:color="auto" w:sz="4" w:space="0"/>
              <w:left w:val="single" w:color="auto" w:sz="4" w:space="0"/>
              <w:bottom w:val="single" w:color="auto" w:sz="4" w:space="0"/>
              <w:right w:val="single" w:color="auto" w:sz="4" w:space="0"/>
            </w:tcBorders>
            <w:vAlign w:val="center"/>
          </w:tcPr>
          <w:p>
            <w:pPr>
              <w:jc w:val="center"/>
              <w:rPr>
                <w:rFonts w:hAnsi="宋体"/>
                <w:bCs/>
                <w:color w:val="auto"/>
              </w:rPr>
            </w:pPr>
            <w:r>
              <w:rPr>
                <w:rFonts w:hint="eastAsia" w:hAnsi="宋体"/>
                <w:bCs/>
                <w:color w:val="auto"/>
              </w:rPr>
              <w:t>—</w:t>
            </w: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Ansi="宋体"/>
                <w:bCs/>
                <w:color w:val="auto"/>
              </w:rPr>
            </w:pPr>
            <w:r>
              <w:rPr>
                <w:rFonts w:hint="eastAsia" w:hAnsi="宋体"/>
                <w:bCs/>
                <w:color w:val="auto"/>
              </w:rPr>
              <w:t>—</w:t>
            </w:r>
          </w:p>
        </w:tc>
        <w:tc>
          <w:tcPr>
            <w:tcW w:w="983" w:type="dxa"/>
            <w:tcBorders>
              <w:top w:val="single" w:color="auto" w:sz="4" w:space="0"/>
              <w:left w:val="single" w:color="auto" w:sz="4" w:space="0"/>
              <w:bottom w:val="single" w:color="auto" w:sz="4" w:space="0"/>
              <w:right w:val="single" w:color="auto" w:sz="4" w:space="0"/>
            </w:tcBorders>
            <w:vAlign w:val="center"/>
          </w:tcPr>
          <w:p>
            <w:pPr>
              <w:jc w:val="center"/>
              <w:rPr>
                <w:rFonts w:hAnsi="宋体"/>
                <w:bCs/>
                <w:color w:val="auto"/>
              </w:rPr>
            </w:pPr>
            <w:r>
              <w:rPr>
                <w:rFonts w:hint="eastAsia" w:hAnsi="宋体"/>
                <w:bCs/>
                <w:color w:val="auto"/>
              </w:rPr>
              <w:t>可行</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Ansi="宋体"/>
                <w:bCs/>
                <w:color w:val="auto"/>
              </w:rPr>
            </w:pPr>
            <w:r>
              <w:rPr>
                <w:rFonts w:hint="eastAsia" w:hAnsi="宋体"/>
                <w:bCs/>
                <w:color w:val="auto"/>
                <w:lang w:val="en-US" w:eastAsia="zh-CN"/>
              </w:rPr>
              <w:t>少量</w:t>
            </w:r>
          </w:p>
        </w:tc>
        <w:tc>
          <w:tcPr>
            <w:tcW w:w="1051" w:type="dxa"/>
            <w:tcBorders>
              <w:top w:val="single" w:color="auto" w:sz="4" w:space="0"/>
              <w:left w:val="single" w:color="auto" w:sz="4" w:space="0"/>
              <w:bottom w:val="single" w:color="auto" w:sz="4" w:space="0"/>
              <w:right w:val="single" w:color="auto" w:sz="4" w:space="0"/>
            </w:tcBorders>
            <w:vAlign w:val="center"/>
          </w:tcPr>
          <w:p>
            <w:pPr>
              <w:jc w:val="center"/>
              <w:rPr>
                <w:rFonts w:hAnsi="宋体"/>
                <w:bCs/>
                <w:color w:val="auto"/>
              </w:rPr>
            </w:pPr>
            <w:r>
              <w:rPr>
                <w:rFonts w:hint="eastAsia" w:hAnsi="宋体"/>
                <w:bCs/>
                <w:color w:val="auto"/>
              </w:rPr>
              <w:t>—</w:t>
            </w:r>
          </w:p>
        </w:tc>
        <w:tc>
          <w:tcPr>
            <w:tcW w:w="837" w:type="dxa"/>
            <w:tcBorders>
              <w:top w:val="single" w:color="auto" w:sz="4" w:space="0"/>
              <w:left w:val="single" w:color="auto" w:sz="4" w:space="0"/>
              <w:bottom w:val="single" w:color="auto" w:sz="4" w:space="0"/>
              <w:right w:val="single" w:color="auto" w:sz="4" w:space="0"/>
            </w:tcBorders>
            <w:vAlign w:val="center"/>
          </w:tcPr>
          <w:p>
            <w:pPr>
              <w:jc w:val="center"/>
              <w:rPr>
                <w:rFonts w:hAnsi="宋体"/>
                <w:bCs/>
                <w:color w:val="auto"/>
              </w:rPr>
            </w:pPr>
            <w:r>
              <w:rPr>
                <w:rFonts w:hint="eastAsia" w:hAnsi="宋体"/>
                <w:bCs/>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Align w:val="center"/>
          </w:tcPr>
          <w:p>
            <w:pPr>
              <w:pStyle w:val="13"/>
              <w:jc w:val="center"/>
              <w:rPr>
                <w:rFonts w:ascii="Times New Roman" w:hAnsi="宋体" w:eastAsia="宋体" w:cs="Times New Roman"/>
                <w:bCs/>
                <w:color w:val="auto"/>
                <w:kern w:val="2"/>
                <w:sz w:val="21"/>
                <w:szCs w:val="21"/>
                <w:lang w:val="en-US" w:eastAsia="zh-CN" w:bidi="ar-SA"/>
              </w:rPr>
            </w:pPr>
            <w:r>
              <w:rPr>
                <w:rFonts w:hint="eastAsia" w:ascii="Times New Roman" w:hAnsi="宋体" w:cs="Times New Roman"/>
                <w:bCs/>
                <w:color w:val="auto"/>
              </w:rPr>
              <w:t>2</w:t>
            </w:r>
          </w:p>
        </w:tc>
        <w:tc>
          <w:tcPr>
            <w:tcW w:w="1341" w:type="dxa"/>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rPr>
              <w:t>排气筒</w:t>
            </w:r>
            <w:r>
              <w:rPr>
                <w:rFonts w:hint="eastAsia" w:ascii="Times New Roman" w:hAnsi="宋体" w:cs="Times New Roman"/>
                <w:bCs/>
                <w:color w:val="auto"/>
                <w:lang w:val="en-US" w:eastAsia="zh-CN"/>
              </w:rPr>
              <w:t>DA002（</w:t>
            </w:r>
            <w:r>
              <w:rPr>
                <w:rFonts w:ascii="Times New Roman" w:hAnsi="宋体" w:cs="Times New Roman"/>
                <w:bCs/>
                <w:color w:val="auto"/>
              </w:rPr>
              <w:t>食堂</w:t>
            </w:r>
            <w:r>
              <w:rPr>
                <w:rFonts w:hint="eastAsia" w:ascii="Times New Roman" w:hAnsi="宋体" w:cs="Times New Roman"/>
                <w:bCs/>
                <w:color w:val="auto"/>
              </w:rPr>
              <w:t>油烟废气</w:t>
            </w:r>
            <w:r>
              <w:rPr>
                <w:rFonts w:hint="eastAsia" w:ascii="Times New Roman" w:hAnsi="宋体" w:cs="Times New Roman"/>
                <w:bCs/>
                <w:color w:val="auto"/>
                <w:lang w:eastAsia="zh-CN"/>
              </w:rPr>
              <w:t>）</w:t>
            </w:r>
          </w:p>
        </w:tc>
        <w:tc>
          <w:tcPr>
            <w:tcW w:w="1177" w:type="dxa"/>
            <w:tcBorders>
              <w:top w:val="single" w:color="000000" w:sz="4" w:space="0"/>
              <w:right w:val="single" w:color="auto" w:sz="4" w:space="0"/>
            </w:tcBorders>
            <w:vAlign w:val="center"/>
          </w:tcPr>
          <w:p>
            <w:pPr>
              <w:pStyle w:val="13"/>
              <w:jc w:val="center"/>
              <w:rPr>
                <w:rFonts w:hint="eastAsia" w:ascii="Times New Roman" w:hAnsi="宋体" w:cs="Times New Roman"/>
                <w:bCs/>
                <w:color w:val="auto"/>
              </w:rPr>
            </w:pPr>
            <w:r>
              <w:rPr>
                <w:rFonts w:hint="eastAsia" w:ascii="Times New Roman" w:hAnsi="宋体" w:cs="Times New Roman"/>
                <w:bCs/>
                <w:color w:val="auto"/>
              </w:rPr>
              <w:t>油烟</w:t>
            </w:r>
          </w:p>
        </w:tc>
        <w:tc>
          <w:tcPr>
            <w:tcW w:w="956" w:type="dxa"/>
            <w:tcBorders>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r>
              <w:rPr>
                <w:rFonts w:ascii="Times New Roman" w:hAnsi="宋体" w:cs="Times New Roman"/>
                <w:bCs/>
                <w:color w:val="auto"/>
              </w:rPr>
              <w:t>2000</w:t>
            </w:r>
          </w:p>
        </w:tc>
        <w:tc>
          <w:tcPr>
            <w:tcW w:w="1167" w:type="dxa"/>
            <w:tcBorders>
              <w:top w:val="single" w:color="auto" w:sz="4" w:space="0"/>
              <w:left w:val="single" w:color="auto" w:sz="4" w:space="0"/>
              <w:bottom w:val="single" w:color="auto" w:sz="4" w:space="0"/>
              <w:right w:val="single" w:color="auto" w:sz="4" w:space="0"/>
            </w:tcBorders>
            <w:vAlign w:val="center"/>
          </w:tcPr>
          <w:p>
            <w:pPr>
              <w:pStyle w:val="13"/>
              <w:jc w:val="center"/>
              <w:rPr>
                <w:rFonts w:hint="default" w:ascii="Times New Roman" w:hAnsi="宋体" w:cs="Times New Roman"/>
                <w:bCs/>
                <w:color w:val="auto"/>
                <w:lang w:val="en-US" w:eastAsia="zh-CN"/>
              </w:rPr>
            </w:pPr>
            <w:r>
              <w:rPr>
                <w:rFonts w:hint="eastAsia" w:ascii="Times New Roman" w:hAnsi="宋体" w:cs="Times New Roman"/>
                <w:bCs/>
                <w:color w:val="auto"/>
                <w:lang w:val="en-US" w:eastAsia="zh-CN"/>
              </w:rPr>
              <w:t>0.072</w:t>
            </w:r>
          </w:p>
        </w:tc>
        <w:tc>
          <w:tcPr>
            <w:tcW w:w="1226" w:type="dxa"/>
            <w:tcBorders>
              <w:top w:val="single" w:color="auto" w:sz="4" w:space="0"/>
              <w:left w:val="single" w:color="auto" w:sz="4" w:space="0"/>
              <w:bottom w:val="single" w:color="auto" w:sz="4" w:space="0"/>
              <w:right w:val="single" w:color="auto" w:sz="4" w:space="0"/>
            </w:tcBorders>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10</w:t>
            </w:r>
          </w:p>
        </w:tc>
        <w:tc>
          <w:tcPr>
            <w:tcW w:w="1001" w:type="dxa"/>
            <w:tcBorders>
              <w:top w:val="single" w:color="auto" w:sz="4" w:space="0"/>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有组织</w:t>
            </w:r>
          </w:p>
        </w:tc>
        <w:tc>
          <w:tcPr>
            <w:tcW w:w="2032" w:type="dxa"/>
            <w:tcBorders>
              <w:top w:val="single" w:color="auto" w:sz="4" w:space="0"/>
              <w:left w:val="single" w:color="auto" w:sz="4" w:space="0"/>
              <w:bottom w:val="single" w:color="auto" w:sz="4" w:space="0"/>
              <w:right w:val="single" w:color="auto" w:sz="4" w:space="0"/>
            </w:tcBorders>
            <w:vAlign w:val="center"/>
          </w:tcPr>
          <w:p>
            <w:pPr>
              <w:pStyle w:val="13"/>
              <w:jc w:val="center"/>
              <w:rPr>
                <w:rFonts w:ascii="Times New Roman" w:hAnsi="宋体" w:cs="Times New Roman"/>
                <w:bCs/>
                <w:color w:val="auto"/>
              </w:rPr>
            </w:pPr>
            <w:r>
              <w:rPr>
                <w:rFonts w:ascii="Times New Roman" w:hAnsi="宋体" w:cs="Times New Roman"/>
                <w:bCs/>
                <w:color w:val="auto"/>
              </w:rPr>
              <w:t>油烟净化器</w:t>
            </w:r>
          </w:p>
        </w:tc>
        <w:tc>
          <w:tcPr>
            <w:tcW w:w="831" w:type="dxa"/>
            <w:tcBorders>
              <w:top w:val="single" w:color="auto" w:sz="4" w:space="0"/>
              <w:left w:val="single" w:color="auto" w:sz="4" w:space="0"/>
              <w:bottom w:val="single" w:color="auto" w:sz="4" w:space="0"/>
              <w:right w:val="single" w:color="auto" w:sz="4" w:space="0"/>
            </w:tcBorders>
            <w:vAlign w:val="center"/>
          </w:tcPr>
          <w:p>
            <w:pPr>
              <w:jc w:val="center"/>
              <w:rPr>
                <w:rFonts w:hint="eastAsia" w:hAnsi="宋体" w:eastAsia="宋体"/>
                <w:bCs/>
                <w:color w:val="auto"/>
                <w:lang w:val="en-US" w:eastAsia="zh-CN"/>
              </w:rPr>
            </w:pPr>
            <w:r>
              <w:rPr>
                <w:rFonts w:hint="eastAsia" w:hAnsi="宋体" w:eastAsia="宋体"/>
                <w:bCs/>
                <w:color w:val="auto"/>
                <w:lang w:val="en-US" w:eastAsia="zh-CN"/>
              </w:rPr>
              <w:t>—</w:t>
            </w:r>
          </w:p>
        </w:tc>
        <w:tc>
          <w:tcPr>
            <w:tcW w:w="1002" w:type="dxa"/>
            <w:tcBorders>
              <w:top w:val="single" w:color="auto" w:sz="4" w:space="0"/>
              <w:left w:val="single" w:color="auto" w:sz="4" w:space="0"/>
              <w:bottom w:val="single" w:color="auto" w:sz="4" w:space="0"/>
              <w:right w:val="single" w:color="auto" w:sz="4" w:space="0"/>
            </w:tcBorders>
            <w:vAlign w:val="center"/>
          </w:tcPr>
          <w:p>
            <w:pPr>
              <w:jc w:val="center"/>
              <w:rPr>
                <w:rFonts w:hint="eastAsia" w:hAnsi="宋体"/>
                <w:bCs/>
                <w:color w:val="auto"/>
              </w:rPr>
            </w:pPr>
            <w:r>
              <w:rPr>
                <w:rFonts w:hint="eastAsia" w:hAnsi="宋体"/>
                <w:bCs/>
                <w:color w:val="auto"/>
              </w:rPr>
              <w:t>80%</w:t>
            </w:r>
          </w:p>
        </w:tc>
        <w:tc>
          <w:tcPr>
            <w:tcW w:w="983" w:type="dxa"/>
            <w:tcBorders>
              <w:top w:val="single" w:color="auto" w:sz="4" w:space="0"/>
              <w:left w:val="single" w:color="auto" w:sz="4" w:space="0"/>
              <w:bottom w:val="single" w:color="auto" w:sz="4" w:space="0"/>
              <w:right w:val="single" w:color="auto" w:sz="4" w:space="0"/>
            </w:tcBorders>
            <w:vAlign w:val="center"/>
          </w:tcPr>
          <w:p>
            <w:pPr>
              <w:jc w:val="center"/>
              <w:rPr>
                <w:rFonts w:hint="eastAsia" w:hAnsi="宋体"/>
                <w:bCs/>
                <w:color w:val="auto"/>
              </w:rPr>
            </w:pPr>
            <w:r>
              <w:rPr>
                <w:rFonts w:hint="eastAsia" w:hAnsi="宋体"/>
                <w:bCs/>
                <w:color w:val="auto"/>
              </w:rPr>
              <w:t>可行</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rFonts w:hint="default" w:hAnsi="宋体"/>
                <w:bCs/>
                <w:color w:val="auto"/>
                <w:lang w:val="en-US" w:eastAsia="zh-CN"/>
              </w:rPr>
            </w:pPr>
            <w:r>
              <w:rPr>
                <w:rFonts w:hint="eastAsia" w:hAnsi="宋体"/>
                <w:bCs/>
                <w:color w:val="auto"/>
                <w:lang w:val="en-US" w:eastAsia="zh-CN"/>
              </w:rPr>
              <w:t>0.0144</w:t>
            </w:r>
          </w:p>
        </w:tc>
        <w:tc>
          <w:tcPr>
            <w:tcW w:w="1051" w:type="dxa"/>
            <w:tcBorders>
              <w:top w:val="single" w:color="auto" w:sz="4" w:space="0"/>
              <w:left w:val="single" w:color="auto" w:sz="4" w:space="0"/>
              <w:bottom w:val="single" w:color="auto" w:sz="4" w:space="0"/>
              <w:right w:val="single" w:color="auto" w:sz="4" w:space="0"/>
            </w:tcBorders>
            <w:vAlign w:val="center"/>
          </w:tcPr>
          <w:p>
            <w:pPr>
              <w:jc w:val="center"/>
              <w:rPr>
                <w:rFonts w:hint="eastAsia" w:hAnsi="宋体"/>
                <w:bCs/>
                <w:color w:val="auto"/>
              </w:rPr>
            </w:pPr>
            <w:r>
              <w:rPr>
                <w:rFonts w:hint="eastAsia" w:hAnsi="宋体"/>
                <w:bCs/>
                <w:color w:val="auto"/>
              </w:rPr>
              <w:t>—</w:t>
            </w:r>
          </w:p>
        </w:tc>
        <w:tc>
          <w:tcPr>
            <w:tcW w:w="837" w:type="dxa"/>
            <w:tcBorders>
              <w:top w:val="single" w:color="auto" w:sz="4" w:space="0"/>
              <w:left w:val="single" w:color="auto" w:sz="4" w:space="0"/>
              <w:bottom w:val="single" w:color="auto" w:sz="4" w:space="0"/>
              <w:right w:val="single" w:color="auto" w:sz="4" w:space="0"/>
            </w:tcBorders>
            <w:vAlign w:val="center"/>
          </w:tcPr>
          <w:p>
            <w:pPr>
              <w:jc w:val="center"/>
              <w:rPr>
                <w:rFonts w:hint="eastAsia" w:hAnsi="宋体" w:eastAsia="宋体"/>
                <w:bCs/>
                <w:color w:val="auto"/>
                <w:lang w:val="en-US" w:eastAsia="zh-CN"/>
              </w:rPr>
            </w:pPr>
            <w:r>
              <w:rPr>
                <w:rFonts w:hint="eastAsia" w:hAnsi="宋体"/>
                <w:bCs/>
                <w:color w:val="auto"/>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Align w:val="center"/>
          </w:tcPr>
          <w:p>
            <w:pPr>
              <w:pStyle w:val="13"/>
              <w:jc w:val="center"/>
              <w:rPr>
                <w:rFonts w:ascii="Times New Roman" w:hAnsi="宋体" w:eastAsia="宋体" w:cs="Times New Roman"/>
                <w:bCs/>
                <w:color w:val="auto"/>
                <w:kern w:val="2"/>
                <w:sz w:val="21"/>
                <w:szCs w:val="21"/>
                <w:lang w:val="en-US" w:eastAsia="zh-CN" w:bidi="ar-SA"/>
              </w:rPr>
            </w:pPr>
            <w:r>
              <w:rPr>
                <w:rFonts w:hint="eastAsia" w:ascii="Times New Roman" w:hAnsi="宋体" w:cs="Times New Roman"/>
                <w:bCs/>
                <w:color w:val="auto"/>
              </w:rPr>
              <w:t>3</w:t>
            </w:r>
          </w:p>
        </w:tc>
        <w:tc>
          <w:tcPr>
            <w:tcW w:w="1341"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焊锡废气</w:t>
            </w:r>
          </w:p>
        </w:tc>
        <w:tc>
          <w:tcPr>
            <w:tcW w:w="1177"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锡及其化合物</w:t>
            </w:r>
          </w:p>
        </w:tc>
        <w:tc>
          <w:tcPr>
            <w:tcW w:w="956" w:type="dxa"/>
            <w:tcBorders>
              <w:top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167" w:type="dxa"/>
            <w:tcBorders>
              <w:top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0.00023</w:t>
            </w:r>
          </w:p>
        </w:tc>
        <w:tc>
          <w:tcPr>
            <w:tcW w:w="1226" w:type="dxa"/>
            <w:tcBorders>
              <w:top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001" w:type="dxa"/>
            <w:tcBorders>
              <w:top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无组织</w:t>
            </w:r>
          </w:p>
        </w:tc>
        <w:tc>
          <w:tcPr>
            <w:tcW w:w="2032" w:type="dxa"/>
            <w:tcBorders>
              <w:top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加强车间通风及厂区绿化</w:t>
            </w:r>
          </w:p>
        </w:tc>
        <w:tc>
          <w:tcPr>
            <w:tcW w:w="831" w:type="dxa"/>
            <w:tcBorders>
              <w:top w:val="single" w:color="auto" w:sz="4" w:space="0"/>
            </w:tcBorders>
            <w:vAlign w:val="center"/>
          </w:tcPr>
          <w:p>
            <w:pPr>
              <w:jc w:val="center"/>
              <w:rPr>
                <w:rFonts w:hAnsi="宋体"/>
                <w:bCs/>
                <w:color w:val="auto"/>
              </w:rPr>
            </w:pPr>
            <w:r>
              <w:rPr>
                <w:rFonts w:hint="eastAsia" w:hAnsi="宋体"/>
                <w:bCs/>
                <w:color w:val="auto"/>
              </w:rPr>
              <w:t>—</w:t>
            </w:r>
          </w:p>
        </w:tc>
        <w:tc>
          <w:tcPr>
            <w:tcW w:w="1002" w:type="dxa"/>
            <w:tcBorders>
              <w:top w:val="single" w:color="auto" w:sz="4" w:space="0"/>
            </w:tcBorders>
            <w:vAlign w:val="center"/>
          </w:tcPr>
          <w:p>
            <w:pPr>
              <w:jc w:val="center"/>
              <w:rPr>
                <w:rFonts w:hAnsi="宋体"/>
                <w:bCs/>
                <w:color w:val="auto"/>
              </w:rPr>
            </w:pPr>
            <w:r>
              <w:rPr>
                <w:rFonts w:hint="eastAsia" w:hAnsi="宋体"/>
                <w:bCs/>
                <w:color w:val="auto"/>
              </w:rPr>
              <w:t>—</w:t>
            </w:r>
          </w:p>
        </w:tc>
        <w:tc>
          <w:tcPr>
            <w:tcW w:w="983" w:type="dxa"/>
            <w:tcBorders>
              <w:top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可行</w:t>
            </w:r>
          </w:p>
        </w:tc>
        <w:tc>
          <w:tcPr>
            <w:tcW w:w="941" w:type="dxa"/>
            <w:tcBorders>
              <w:top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0.00023</w:t>
            </w:r>
          </w:p>
        </w:tc>
        <w:tc>
          <w:tcPr>
            <w:tcW w:w="1051" w:type="dxa"/>
            <w:tcBorders>
              <w:top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0.000096</w:t>
            </w:r>
          </w:p>
        </w:tc>
        <w:tc>
          <w:tcPr>
            <w:tcW w:w="837" w:type="dxa"/>
            <w:tcBorders>
              <w:top w:val="single" w:color="auto" w:sz="4" w:space="0"/>
            </w:tcBorders>
            <w:vAlign w:val="center"/>
          </w:tcPr>
          <w:p>
            <w:pPr>
              <w:jc w:val="center"/>
              <w:rPr>
                <w:rFonts w:hAnsi="宋体"/>
                <w:bCs/>
                <w:color w:val="auto"/>
              </w:rPr>
            </w:pPr>
            <w:r>
              <w:rPr>
                <w:rFonts w:hint="eastAsia" w:hAnsi="宋体"/>
                <w:bCs/>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Align w:val="center"/>
          </w:tcPr>
          <w:p>
            <w:pPr>
              <w:pStyle w:val="13"/>
              <w:jc w:val="center"/>
              <w:rPr>
                <w:rFonts w:ascii="Times New Roman" w:hAnsi="宋体" w:eastAsia="宋体" w:cs="Times New Roman"/>
                <w:bCs/>
                <w:color w:val="auto"/>
                <w:kern w:val="2"/>
                <w:sz w:val="21"/>
                <w:szCs w:val="21"/>
                <w:lang w:val="en-US" w:eastAsia="zh-CN" w:bidi="ar-SA"/>
              </w:rPr>
            </w:pPr>
            <w:r>
              <w:rPr>
                <w:rFonts w:hint="eastAsia" w:ascii="Times New Roman" w:hAnsi="宋体" w:cs="Times New Roman"/>
                <w:bCs/>
                <w:color w:val="auto"/>
              </w:rPr>
              <w:t>4</w:t>
            </w:r>
          </w:p>
        </w:tc>
        <w:tc>
          <w:tcPr>
            <w:tcW w:w="1341"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投料、破碎废气</w:t>
            </w:r>
          </w:p>
        </w:tc>
        <w:tc>
          <w:tcPr>
            <w:tcW w:w="1177"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颗粒物</w:t>
            </w:r>
          </w:p>
        </w:tc>
        <w:tc>
          <w:tcPr>
            <w:tcW w:w="956"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167"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0.04</w:t>
            </w:r>
          </w:p>
        </w:tc>
        <w:tc>
          <w:tcPr>
            <w:tcW w:w="1226"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001"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无组织</w:t>
            </w:r>
          </w:p>
        </w:tc>
        <w:tc>
          <w:tcPr>
            <w:tcW w:w="2032"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加强车间通风及厂区绿化</w:t>
            </w:r>
          </w:p>
        </w:tc>
        <w:tc>
          <w:tcPr>
            <w:tcW w:w="831" w:type="dxa"/>
            <w:vAlign w:val="center"/>
          </w:tcPr>
          <w:p>
            <w:pPr>
              <w:jc w:val="center"/>
              <w:rPr>
                <w:rFonts w:hAnsi="宋体"/>
                <w:bCs/>
                <w:color w:val="auto"/>
              </w:rPr>
            </w:pPr>
            <w:r>
              <w:rPr>
                <w:rFonts w:hint="eastAsia" w:hAnsi="宋体"/>
                <w:bCs/>
                <w:color w:val="auto"/>
              </w:rPr>
              <w:t>—</w:t>
            </w:r>
          </w:p>
        </w:tc>
        <w:tc>
          <w:tcPr>
            <w:tcW w:w="1002" w:type="dxa"/>
            <w:vAlign w:val="center"/>
          </w:tcPr>
          <w:p>
            <w:pPr>
              <w:jc w:val="center"/>
              <w:rPr>
                <w:rFonts w:hAnsi="宋体"/>
                <w:bCs/>
                <w:color w:val="auto"/>
              </w:rPr>
            </w:pPr>
            <w:r>
              <w:rPr>
                <w:rFonts w:hint="eastAsia" w:hAnsi="宋体"/>
                <w:bCs/>
                <w:color w:val="auto"/>
              </w:rPr>
              <w:t>—</w:t>
            </w:r>
          </w:p>
        </w:tc>
        <w:tc>
          <w:tcPr>
            <w:tcW w:w="983"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可行</w:t>
            </w:r>
          </w:p>
        </w:tc>
        <w:tc>
          <w:tcPr>
            <w:tcW w:w="941"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0.04</w:t>
            </w:r>
          </w:p>
        </w:tc>
        <w:tc>
          <w:tcPr>
            <w:tcW w:w="1051"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0.02</w:t>
            </w:r>
          </w:p>
        </w:tc>
        <w:tc>
          <w:tcPr>
            <w:tcW w:w="837" w:type="dxa"/>
            <w:vAlign w:val="center"/>
          </w:tcPr>
          <w:p>
            <w:pPr>
              <w:jc w:val="center"/>
              <w:rPr>
                <w:rFonts w:hAnsi="宋体"/>
                <w:bCs/>
                <w:color w:val="auto"/>
              </w:rPr>
            </w:pPr>
            <w:r>
              <w:rPr>
                <w:rFonts w:hint="eastAsia" w:hAnsi="宋体"/>
                <w:bCs/>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Merge w:val="restart"/>
            <w:vAlign w:val="center"/>
          </w:tcPr>
          <w:p>
            <w:pPr>
              <w:pStyle w:val="13"/>
              <w:jc w:val="center"/>
              <w:rPr>
                <w:rFonts w:hint="eastAsia" w:ascii="Times New Roman" w:hAnsi="宋体" w:eastAsia="宋体" w:cs="Times New Roman"/>
                <w:bCs/>
                <w:color w:val="auto"/>
                <w:lang w:val="en-US" w:eastAsia="zh-CN"/>
              </w:rPr>
            </w:pPr>
            <w:r>
              <w:rPr>
                <w:rFonts w:hint="eastAsia" w:ascii="Times New Roman" w:hAnsi="宋体" w:cs="Times New Roman"/>
                <w:bCs/>
                <w:color w:val="auto"/>
                <w:lang w:val="en-US" w:eastAsia="zh-CN"/>
              </w:rPr>
              <w:t>5</w:t>
            </w:r>
          </w:p>
        </w:tc>
        <w:tc>
          <w:tcPr>
            <w:tcW w:w="1341"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车间未收集到废气</w:t>
            </w:r>
          </w:p>
        </w:tc>
        <w:tc>
          <w:tcPr>
            <w:tcW w:w="1177"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NMHC</w:t>
            </w:r>
          </w:p>
        </w:tc>
        <w:tc>
          <w:tcPr>
            <w:tcW w:w="956"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167" w:type="dxa"/>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lang w:eastAsia="zh-CN"/>
              </w:rPr>
              <w:t>0.252</w:t>
            </w:r>
          </w:p>
        </w:tc>
        <w:tc>
          <w:tcPr>
            <w:tcW w:w="1226"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001"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无组织</w:t>
            </w:r>
          </w:p>
        </w:tc>
        <w:tc>
          <w:tcPr>
            <w:tcW w:w="2032"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加强车间通风及厂区绿化</w:t>
            </w:r>
          </w:p>
        </w:tc>
        <w:tc>
          <w:tcPr>
            <w:tcW w:w="831"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002"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983"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可行</w:t>
            </w:r>
          </w:p>
        </w:tc>
        <w:tc>
          <w:tcPr>
            <w:tcW w:w="941" w:type="dxa"/>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lang w:eastAsia="zh-CN"/>
              </w:rPr>
              <w:t>0.252</w:t>
            </w:r>
          </w:p>
        </w:tc>
        <w:tc>
          <w:tcPr>
            <w:tcW w:w="1051" w:type="dxa"/>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lang w:eastAsia="zh-CN"/>
              </w:rPr>
              <w:t>0.105</w:t>
            </w:r>
          </w:p>
        </w:tc>
        <w:tc>
          <w:tcPr>
            <w:tcW w:w="837"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1" w:type="dxa"/>
            <w:vMerge w:val="continue"/>
            <w:vAlign w:val="center"/>
          </w:tcPr>
          <w:p>
            <w:pPr>
              <w:pStyle w:val="13"/>
              <w:jc w:val="center"/>
              <w:rPr>
                <w:rFonts w:ascii="Times New Roman" w:hAnsi="宋体" w:cs="Times New Roman"/>
                <w:bCs/>
                <w:color w:val="auto"/>
              </w:rPr>
            </w:pPr>
          </w:p>
        </w:tc>
        <w:tc>
          <w:tcPr>
            <w:tcW w:w="1341" w:type="dxa"/>
            <w:vMerge w:val="continue"/>
            <w:vAlign w:val="center"/>
          </w:tcPr>
          <w:p>
            <w:pPr>
              <w:pStyle w:val="13"/>
              <w:jc w:val="center"/>
              <w:rPr>
                <w:rFonts w:ascii="Times New Roman" w:hAnsi="宋体" w:cs="Times New Roman"/>
                <w:bCs/>
                <w:color w:val="auto"/>
              </w:rPr>
            </w:pPr>
          </w:p>
        </w:tc>
        <w:tc>
          <w:tcPr>
            <w:tcW w:w="1177"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臭气浓度</w:t>
            </w:r>
          </w:p>
        </w:tc>
        <w:tc>
          <w:tcPr>
            <w:tcW w:w="956"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167" w:type="dxa"/>
            <w:vAlign w:val="center"/>
          </w:tcPr>
          <w:p>
            <w:pPr>
              <w:pStyle w:val="13"/>
              <w:jc w:val="center"/>
              <w:rPr>
                <w:rFonts w:ascii="Times New Roman" w:hAnsi="宋体" w:cs="Times New Roman"/>
                <w:bCs/>
                <w:color w:val="auto"/>
              </w:rPr>
            </w:pPr>
            <w:r>
              <w:rPr>
                <w:rFonts w:hint="eastAsia" w:ascii="Times New Roman" w:hAnsi="宋体" w:cs="Times New Roman"/>
                <w:bCs/>
                <w:color w:val="auto"/>
                <w:lang w:val="en-US" w:eastAsia="zh-CN"/>
              </w:rPr>
              <w:t>少量</w:t>
            </w:r>
          </w:p>
        </w:tc>
        <w:tc>
          <w:tcPr>
            <w:tcW w:w="1226"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001" w:type="dxa"/>
            <w:vMerge w:val="continue"/>
            <w:vAlign w:val="center"/>
          </w:tcPr>
          <w:p>
            <w:pPr>
              <w:pStyle w:val="13"/>
              <w:jc w:val="center"/>
              <w:rPr>
                <w:rFonts w:ascii="Times New Roman" w:hAnsi="宋体" w:cs="Times New Roman"/>
                <w:bCs/>
                <w:color w:val="auto"/>
              </w:rPr>
            </w:pPr>
          </w:p>
        </w:tc>
        <w:tc>
          <w:tcPr>
            <w:tcW w:w="2032" w:type="dxa"/>
            <w:vMerge w:val="continue"/>
            <w:vAlign w:val="center"/>
          </w:tcPr>
          <w:p>
            <w:pPr>
              <w:pStyle w:val="13"/>
              <w:jc w:val="center"/>
              <w:rPr>
                <w:rFonts w:ascii="Times New Roman" w:hAnsi="宋体" w:cs="Times New Roman"/>
                <w:bCs/>
                <w:color w:val="auto"/>
              </w:rPr>
            </w:pPr>
          </w:p>
        </w:tc>
        <w:tc>
          <w:tcPr>
            <w:tcW w:w="831"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002"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983"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可行</w:t>
            </w:r>
          </w:p>
        </w:tc>
        <w:tc>
          <w:tcPr>
            <w:tcW w:w="941" w:type="dxa"/>
            <w:vAlign w:val="center"/>
          </w:tcPr>
          <w:p>
            <w:pPr>
              <w:jc w:val="center"/>
              <w:rPr>
                <w:rFonts w:hAnsi="宋体"/>
                <w:bCs/>
                <w:color w:val="auto"/>
              </w:rPr>
            </w:pPr>
            <w:r>
              <w:rPr>
                <w:rFonts w:hint="eastAsia" w:hAnsi="宋体"/>
                <w:bCs/>
                <w:color w:val="auto"/>
                <w:lang w:val="en-US" w:eastAsia="zh-CN"/>
              </w:rPr>
              <w:t>少量</w:t>
            </w:r>
          </w:p>
        </w:tc>
        <w:tc>
          <w:tcPr>
            <w:tcW w:w="1051" w:type="dxa"/>
            <w:vAlign w:val="center"/>
          </w:tcPr>
          <w:p>
            <w:pPr>
              <w:jc w:val="center"/>
              <w:rPr>
                <w:rFonts w:hAnsi="宋体"/>
                <w:bCs/>
                <w:color w:val="auto"/>
              </w:rPr>
            </w:pPr>
            <w:r>
              <w:rPr>
                <w:rFonts w:hint="eastAsia" w:hAnsi="宋体"/>
                <w:bCs/>
                <w:color w:val="auto"/>
              </w:rPr>
              <w:t>—</w:t>
            </w:r>
          </w:p>
        </w:tc>
        <w:tc>
          <w:tcPr>
            <w:tcW w:w="837"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r>
    </w:tbl>
    <w:p>
      <w:pPr>
        <w:pStyle w:val="13"/>
        <w:adjustRightInd w:val="0"/>
        <w:snapToGrid w:val="0"/>
        <w:spacing w:line="360" w:lineRule="auto"/>
        <w:jc w:val="center"/>
        <w:rPr>
          <w:rFonts w:ascii="Times New Roman" w:hAnsi="宋体" w:cs="Times New Roman"/>
          <w:b/>
          <w:color w:val="auto"/>
          <w:sz w:val="24"/>
          <w:szCs w:val="24"/>
        </w:rPr>
      </w:pPr>
    </w:p>
    <w:p>
      <w:pPr>
        <w:pStyle w:val="13"/>
        <w:adjustRightInd w:val="0"/>
        <w:snapToGrid w:val="0"/>
        <w:spacing w:line="360" w:lineRule="auto"/>
        <w:jc w:val="center"/>
        <w:rPr>
          <w:rFonts w:ascii="Times New Roman" w:hAnsi="宋体" w:cs="Times New Roman"/>
          <w:b/>
          <w:color w:val="auto"/>
          <w:sz w:val="24"/>
          <w:szCs w:val="24"/>
        </w:rPr>
      </w:pPr>
      <w:r>
        <w:rPr>
          <w:rFonts w:hint="eastAsia" w:ascii="Times New Roman" w:hAnsi="宋体" w:cs="Times New Roman"/>
          <w:b/>
          <w:color w:val="auto"/>
          <w:sz w:val="24"/>
          <w:szCs w:val="24"/>
        </w:rPr>
        <w:t>表</w:t>
      </w:r>
      <w:r>
        <w:rPr>
          <w:rFonts w:hint="eastAsia" w:ascii="Times New Roman" w:hAnsi="宋体" w:cs="Times New Roman"/>
          <w:b/>
          <w:color w:val="auto"/>
          <w:sz w:val="24"/>
          <w:szCs w:val="24"/>
          <w:lang w:val="en-US" w:eastAsia="zh-CN"/>
        </w:rPr>
        <w:t>4-4</w:t>
      </w:r>
      <w:r>
        <w:rPr>
          <w:rFonts w:hint="eastAsia" w:ascii="Times New Roman" w:hAnsi="宋体" w:cs="Times New Roman"/>
          <w:b/>
          <w:color w:val="auto"/>
          <w:sz w:val="24"/>
          <w:szCs w:val="24"/>
        </w:rPr>
        <w:t xml:space="preserve"> </w:t>
      </w:r>
      <w:r>
        <w:rPr>
          <w:rFonts w:hint="eastAsia" w:hAnsi="宋体" w:cs="Times New Roman"/>
          <w:b/>
          <w:color w:val="auto"/>
          <w:sz w:val="24"/>
          <w:szCs w:val="24"/>
        </w:rPr>
        <w:t>废气排放口排放情况</w:t>
      </w:r>
    </w:p>
    <w:tbl>
      <w:tblPr>
        <w:tblStyle w:val="28"/>
        <w:tblW w:w="484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9"/>
        <w:gridCol w:w="1213"/>
        <w:gridCol w:w="658"/>
        <w:gridCol w:w="739"/>
        <w:gridCol w:w="840"/>
        <w:gridCol w:w="745"/>
        <w:gridCol w:w="745"/>
        <w:gridCol w:w="843"/>
        <w:gridCol w:w="1232"/>
        <w:gridCol w:w="1147"/>
        <w:gridCol w:w="988"/>
        <w:gridCol w:w="1078"/>
        <w:gridCol w:w="1192"/>
        <w:gridCol w:w="1252"/>
        <w:gridCol w:w="994"/>
        <w:gridCol w:w="10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restart"/>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序号</w:t>
            </w:r>
          </w:p>
        </w:tc>
        <w:tc>
          <w:tcPr>
            <w:tcW w:w="1213" w:type="dxa"/>
            <w:vMerge w:val="restart"/>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废气类别</w:t>
            </w:r>
          </w:p>
        </w:tc>
        <w:tc>
          <w:tcPr>
            <w:tcW w:w="4570" w:type="dxa"/>
            <w:gridSpan w:val="6"/>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排放口基本情况</w:t>
            </w:r>
          </w:p>
        </w:tc>
        <w:tc>
          <w:tcPr>
            <w:tcW w:w="2379" w:type="dxa"/>
            <w:gridSpan w:val="2"/>
            <w:vMerge w:val="restart"/>
            <w:vAlign w:val="center"/>
          </w:tcPr>
          <w:p>
            <w:pPr>
              <w:pStyle w:val="13"/>
              <w:jc w:val="center"/>
              <w:rPr>
                <w:color w:val="auto"/>
              </w:rPr>
            </w:pPr>
            <w:r>
              <w:rPr>
                <w:rFonts w:hint="eastAsia" w:ascii="Times New Roman" w:hAnsi="宋体" w:cs="Times New Roman"/>
                <w:b/>
                <w:bCs/>
                <w:color w:val="auto"/>
              </w:rPr>
              <w:t>地理坐标</w:t>
            </w:r>
          </w:p>
        </w:tc>
        <w:tc>
          <w:tcPr>
            <w:tcW w:w="3258" w:type="dxa"/>
            <w:gridSpan w:val="3"/>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排放标准</w:t>
            </w:r>
          </w:p>
        </w:tc>
        <w:tc>
          <w:tcPr>
            <w:tcW w:w="3248" w:type="dxa"/>
            <w:gridSpan w:val="3"/>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监测要求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continue"/>
            <w:vAlign w:val="center"/>
          </w:tcPr>
          <w:p>
            <w:pPr>
              <w:pStyle w:val="13"/>
              <w:jc w:val="center"/>
              <w:rPr>
                <w:rFonts w:ascii="Times New Roman" w:hAnsi="宋体" w:cs="Times New Roman"/>
                <w:b/>
                <w:bCs/>
                <w:color w:val="auto"/>
              </w:rPr>
            </w:pPr>
          </w:p>
        </w:tc>
        <w:tc>
          <w:tcPr>
            <w:tcW w:w="1213" w:type="dxa"/>
            <w:vMerge w:val="continue"/>
            <w:vAlign w:val="center"/>
          </w:tcPr>
          <w:p>
            <w:pPr>
              <w:pStyle w:val="13"/>
              <w:jc w:val="center"/>
              <w:rPr>
                <w:rFonts w:ascii="Times New Roman" w:hAnsi="宋体" w:cs="Times New Roman"/>
                <w:b/>
                <w:bCs/>
                <w:color w:val="auto"/>
              </w:rPr>
            </w:pPr>
          </w:p>
        </w:tc>
        <w:tc>
          <w:tcPr>
            <w:tcW w:w="658"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编号</w:t>
            </w:r>
          </w:p>
        </w:tc>
        <w:tc>
          <w:tcPr>
            <w:tcW w:w="739"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名称</w:t>
            </w:r>
          </w:p>
        </w:tc>
        <w:tc>
          <w:tcPr>
            <w:tcW w:w="840"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类型</w:t>
            </w:r>
          </w:p>
        </w:tc>
        <w:tc>
          <w:tcPr>
            <w:tcW w:w="745"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高度m</w:t>
            </w:r>
          </w:p>
        </w:tc>
        <w:tc>
          <w:tcPr>
            <w:tcW w:w="745"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内径m</w:t>
            </w:r>
          </w:p>
        </w:tc>
        <w:tc>
          <w:tcPr>
            <w:tcW w:w="843"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温度℃</w:t>
            </w:r>
          </w:p>
        </w:tc>
        <w:tc>
          <w:tcPr>
            <w:tcW w:w="2379" w:type="dxa"/>
            <w:gridSpan w:val="2"/>
            <w:vMerge w:val="continue"/>
            <w:vAlign w:val="center"/>
          </w:tcPr>
          <w:p>
            <w:pPr>
              <w:pStyle w:val="13"/>
              <w:jc w:val="center"/>
              <w:rPr>
                <w:rFonts w:ascii="Times New Roman" w:hAnsi="宋体" w:cs="Times New Roman"/>
                <w:b/>
                <w:bCs/>
                <w:color w:val="auto"/>
              </w:rPr>
            </w:pPr>
          </w:p>
        </w:tc>
        <w:tc>
          <w:tcPr>
            <w:tcW w:w="988"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名称</w:t>
            </w:r>
          </w:p>
        </w:tc>
        <w:tc>
          <w:tcPr>
            <w:tcW w:w="1078"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标准要求mg/m</w:t>
            </w:r>
            <w:r>
              <w:rPr>
                <w:rFonts w:hint="eastAsia" w:ascii="Times New Roman" w:hAnsi="宋体" w:cs="Times New Roman"/>
                <w:b/>
                <w:bCs/>
                <w:color w:val="auto"/>
                <w:vertAlign w:val="superscript"/>
              </w:rPr>
              <w:t>3</w:t>
            </w:r>
          </w:p>
        </w:tc>
        <w:tc>
          <w:tcPr>
            <w:tcW w:w="1192"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标准来源</w:t>
            </w:r>
          </w:p>
        </w:tc>
        <w:tc>
          <w:tcPr>
            <w:tcW w:w="1252"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监测点位</w:t>
            </w:r>
          </w:p>
        </w:tc>
        <w:tc>
          <w:tcPr>
            <w:tcW w:w="994"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监测因子</w:t>
            </w:r>
          </w:p>
        </w:tc>
        <w:tc>
          <w:tcPr>
            <w:tcW w:w="1002" w:type="dxa"/>
            <w:vAlign w:val="center"/>
          </w:tcPr>
          <w:p>
            <w:pPr>
              <w:pStyle w:val="13"/>
              <w:jc w:val="center"/>
              <w:rPr>
                <w:rFonts w:ascii="Times New Roman" w:hAnsi="宋体" w:cs="Times New Roman"/>
                <w:b/>
                <w:bCs/>
                <w:color w:val="auto"/>
              </w:rPr>
            </w:pPr>
            <w:r>
              <w:rPr>
                <w:rFonts w:hint="eastAsia" w:ascii="Times New Roman" w:hAnsi="宋体" w:cs="Times New Roman"/>
                <w:b/>
                <w:bCs/>
                <w:color w:val="auto"/>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1</w:t>
            </w:r>
          </w:p>
        </w:tc>
        <w:tc>
          <w:tcPr>
            <w:tcW w:w="1213"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注塑、挤出废气</w:t>
            </w:r>
          </w:p>
        </w:tc>
        <w:tc>
          <w:tcPr>
            <w:tcW w:w="658"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lang w:val="en-US" w:eastAsia="zh-CN"/>
              </w:rPr>
              <w:t>DA00</w:t>
            </w:r>
            <w:r>
              <w:rPr>
                <w:rFonts w:hint="eastAsia" w:ascii="Times New Roman" w:hAnsi="宋体" w:cs="Times New Roman"/>
                <w:bCs/>
                <w:color w:val="auto"/>
              </w:rPr>
              <w:t>1</w:t>
            </w:r>
          </w:p>
        </w:tc>
        <w:tc>
          <w:tcPr>
            <w:tcW w:w="739"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排气筒</w:t>
            </w:r>
          </w:p>
        </w:tc>
        <w:tc>
          <w:tcPr>
            <w:tcW w:w="840"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点源</w:t>
            </w:r>
          </w:p>
        </w:tc>
        <w:tc>
          <w:tcPr>
            <w:tcW w:w="745"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15</w:t>
            </w:r>
          </w:p>
        </w:tc>
        <w:tc>
          <w:tcPr>
            <w:tcW w:w="745"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0.5</w:t>
            </w:r>
          </w:p>
        </w:tc>
        <w:tc>
          <w:tcPr>
            <w:tcW w:w="843"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25</w:t>
            </w:r>
          </w:p>
        </w:tc>
        <w:tc>
          <w:tcPr>
            <w:tcW w:w="1232" w:type="dxa"/>
            <w:vMerge w:val="restart"/>
            <w:vAlign w:val="center"/>
          </w:tcPr>
          <w:p>
            <w:pPr>
              <w:pStyle w:val="23"/>
              <w:spacing w:before="0" w:beforeAutospacing="0" w:after="0" w:afterAutospacing="0"/>
              <w:jc w:val="center"/>
              <w:rPr>
                <w:rFonts w:ascii="Times New Roman" w:hAnsi="Times New Roman"/>
                <w:bCs/>
                <w:color w:val="auto"/>
                <w:sz w:val="21"/>
                <w:szCs w:val="21"/>
              </w:rPr>
            </w:pPr>
            <w:r>
              <w:rPr>
                <w:rFonts w:ascii="Times New Roman" w:hAnsi="Times New Roman"/>
                <w:color w:val="auto"/>
                <w:sz w:val="21"/>
                <w:szCs w:val="21"/>
              </w:rPr>
              <w:t>113.416623°E</w:t>
            </w:r>
          </w:p>
        </w:tc>
        <w:tc>
          <w:tcPr>
            <w:tcW w:w="1147" w:type="dxa"/>
            <w:vMerge w:val="restart"/>
            <w:vAlign w:val="center"/>
          </w:tcPr>
          <w:p>
            <w:pPr>
              <w:pStyle w:val="23"/>
              <w:spacing w:before="0" w:beforeAutospacing="0" w:after="0" w:afterAutospacing="0"/>
              <w:jc w:val="center"/>
              <w:rPr>
                <w:rFonts w:ascii="Times New Roman" w:hAnsi="Times New Roman"/>
                <w:bCs/>
                <w:color w:val="auto"/>
                <w:sz w:val="21"/>
                <w:szCs w:val="21"/>
              </w:rPr>
            </w:pPr>
            <w:r>
              <w:rPr>
                <w:rFonts w:ascii="Times New Roman" w:hAnsi="Times New Roman"/>
                <w:color w:val="auto"/>
                <w:sz w:val="21"/>
                <w:szCs w:val="21"/>
              </w:rPr>
              <w:t>25.123291°N</w:t>
            </w:r>
          </w:p>
        </w:tc>
        <w:tc>
          <w:tcPr>
            <w:tcW w:w="988"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非甲烷总烃</w:t>
            </w:r>
          </w:p>
        </w:tc>
        <w:tc>
          <w:tcPr>
            <w:tcW w:w="1078"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60</w:t>
            </w:r>
          </w:p>
        </w:tc>
        <w:tc>
          <w:tcPr>
            <w:tcW w:w="1192" w:type="dxa"/>
            <w:vAlign w:val="center"/>
          </w:tcPr>
          <w:p>
            <w:pPr>
              <w:jc w:val="center"/>
              <w:rPr>
                <w:color w:val="auto"/>
              </w:rPr>
            </w:pPr>
            <w:r>
              <w:rPr>
                <w:rFonts w:hint="eastAsia"/>
                <w:color w:val="auto"/>
              </w:rPr>
              <w:t>GB 31572-2015</w:t>
            </w:r>
          </w:p>
        </w:tc>
        <w:tc>
          <w:tcPr>
            <w:tcW w:w="1252"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排放口</w:t>
            </w:r>
          </w:p>
        </w:tc>
        <w:tc>
          <w:tcPr>
            <w:tcW w:w="994"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非甲烷总烃</w:t>
            </w:r>
          </w:p>
        </w:tc>
        <w:tc>
          <w:tcPr>
            <w:tcW w:w="1002" w:type="dxa"/>
            <w:vAlign w:val="center"/>
          </w:tcPr>
          <w:p>
            <w:pPr>
              <w:jc w:val="center"/>
              <w:rPr>
                <w:rFonts w:hAnsi="宋体"/>
                <w:bCs/>
                <w:color w:val="auto"/>
              </w:rPr>
            </w:pPr>
            <w:r>
              <w:rPr>
                <w:rFonts w:hint="eastAsia"/>
                <w:color w:val="auto"/>
                <w:kern w:val="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continue"/>
            <w:vAlign w:val="center"/>
          </w:tcPr>
          <w:p>
            <w:pPr>
              <w:pStyle w:val="13"/>
              <w:jc w:val="center"/>
              <w:rPr>
                <w:rFonts w:ascii="Times New Roman" w:hAnsi="宋体" w:cs="Times New Roman"/>
                <w:bCs/>
                <w:color w:val="auto"/>
              </w:rPr>
            </w:pPr>
          </w:p>
        </w:tc>
        <w:tc>
          <w:tcPr>
            <w:tcW w:w="1213" w:type="dxa"/>
            <w:vMerge w:val="continue"/>
            <w:vAlign w:val="center"/>
          </w:tcPr>
          <w:p>
            <w:pPr>
              <w:pStyle w:val="13"/>
              <w:jc w:val="center"/>
              <w:rPr>
                <w:rFonts w:ascii="Times New Roman" w:hAnsi="宋体" w:cs="Times New Roman"/>
                <w:bCs/>
                <w:color w:val="auto"/>
              </w:rPr>
            </w:pPr>
          </w:p>
        </w:tc>
        <w:tc>
          <w:tcPr>
            <w:tcW w:w="658" w:type="dxa"/>
            <w:vMerge w:val="continue"/>
            <w:vAlign w:val="center"/>
          </w:tcPr>
          <w:p>
            <w:pPr>
              <w:pStyle w:val="13"/>
              <w:jc w:val="center"/>
              <w:rPr>
                <w:rFonts w:ascii="Times New Roman" w:hAnsi="宋体" w:cs="Times New Roman"/>
                <w:bCs/>
                <w:color w:val="auto"/>
              </w:rPr>
            </w:pPr>
          </w:p>
        </w:tc>
        <w:tc>
          <w:tcPr>
            <w:tcW w:w="739" w:type="dxa"/>
            <w:vMerge w:val="continue"/>
            <w:vAlign w:val="center"/>
          </w:tcPr>
          <w:p>
            <w:pPr>
              <w:pStyle w:val="13"/>
              <w:jc w:val="center"/>
              <w:rPr>
                <w:rFonts w:ascii="Times New Roman" w:hAnsi="宋体" w:cs="Times New Roman"/>
                <w:bCs/>
                <w:color w:val="auto"/>
              </w:rPr>
            </w:pPr>
          </w:p>
        </w:tc>
        <w:tc>
          <w:tcPr>
            <w:tcW w:w="840"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843" w:type="dxa"/>
            <w:vMerge w:val="continue"/>
            <w:vAlign w:val="center"/>
          </w:tcPr>
          <w:p>
            <w:pPr>
              <w:pStyle w:val="13"/>
              <w:jc w:val="center"/>
              <w:rPr>
                <w:rFonts w:ascii="Times New Roman" w:hAnsi="宋体" w:cs="Times New Roman"/>
                <w:bCs/>
                <w:color w:val="auto"/>
              </w:rPr>
            </w:pPr>
          </w:p>
        </w:tc>
        <w:tc>
          <w:tcPr>
            <w:tcW w:w="1232" w:type="dxa"/>
            <w:vMerge w:val="continue"/>
            <w:vAlign w:val="center"/>
          </w:tcPr>
          <w:p>
            <w:pPr>
              <w:pStyle w:val="23"/>
              <w:spacing w:before="0" w:beforeAutospacing="0" w:after="0" w:afterAutospacing="0"/>
              <w:jc w:val="center"/>
              <w:rPr>
                <w:rFonts w:ascii="Times New Roman" w:hAnsi="Times New Roman"/>
                <w:color w:val="auto"/>
                <w:sz w:val="21"/>
                <w:szCs w:val="21"/>
              </w:rPr>
            </w:pPr>
          </w:p>
        </w:tc>
        <w:tc>
          <w:tcPr>
            <w:tcW w:w="1147" w:type="dxa"/>
            <w:vMerge w:val="continue"/>
            <w:vAlign w:val="center"/>
          </w:tcPr>
          <w:p>
            <w:pPr>
              <w:pStyle w:val="23"/>
              <w:spacing w:before="0" w:beforeAutospacing="0" w:after="0" w:afterAutospacing="0"/>
              <w:jc w:val="center"/>
              <w:rPr>
                <w:rFonts w:ascii="Times New Roman" w:hAnsi="Times New Roman"/>
                <w:color w:val="auto"/>
                <w:sz w:val="21"/>
                <w:szCs w:val="21"/>
              </w:rPr>
            </w:pPr>
          </w:p>
        </w:tc>
        <w:tc>
          <w:tcPr>
            <w:tcW w:w="988"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臭气浓度</w:t>
            </w:r>
          </w:p>
        </w:tc>
        <w:tc>
          <w:tcPr>
            <w:tcW w:w="1078"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2000（无量纲）</w:t>
            </w:r>
          </w:p>
        </w:tc>
        <w:tc>
          <w:tcPr>
            <w:tcW w:w="1192" w:type="dxa"/>
            <w:vAlign w:val="center"/>
          </w:tcPr>
          <w:p>
            <w:pPr>
              <w:jc w:val="center"/>
              <w:rPr>
                <w:color w:val="auto"/>
              </w:rPr>
            </w:pPr>
            <w:r>
              <w:rPr>
                <w:rFonts w:hint="eastAsia"/>
                <w:color w:val="auto"/>
                <w:szCs w:val="21"/>
              </w:rPr>
              <w:t>GB 14554-93</w:t>
            </w:r>
          </w:p>
        </w:tc>
        <w:tc>
          <w:tcPr>
            <w:tcW w:w="1252"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排放口</w:t>
            </w:r>
          </w:p>
        </w:tc>
        <w:tc>
          <w:tcPr>
            <w:tcW w:w="994"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臭气浓度</w:t>
            </w:r>
          </w:p>
        </w:tc>
        <w:tc>
          <w:tcPr>
            <w:tcW w:w="1002" w:type="dxa"/>
            <w:vAlign w:val="center"/>
          </w:tcPr>
          <w:p>
            <w:pPr>
              <w:jc w:val="center"/>
              <w:rPr>
                <w:rFonts w:hAnsi="宋体"/>
                <w:bCs/>
                <w:color w:val="auto"/>
              </w:rPr>
            </w:pPr>
            <w:r>
              <w:rPr>
                <w:rFonts w:hint="eastAsia"/>
                <w:color w:val="auto"/>
                <w:kern w:val="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Align w:val="center"/>
          </w:tcPr>
          <w:p>
            <w:pPr>
              <w:pStyle w:val="13"/>
              <w:jc w:val="center"/>
              <w:rPr>
                <w:rFonts w:hint="eastAsia" w:ascii="Times New Roman" w:hAnsi="宋体" w:eastAsia="宋体" w:cs="Times New Roman"/>
                <w:bCs/>
                <w:color w:val="auto"/>
                <w:lang w:val="en-US" w:eastAsia="zh-CN"/>
              </w:rPr>
            </w:pPr>
            <w:r>
              <w:rPr>
                <w:rFonts w:hint="eastAsia" w:ascii="Times New Roman" w:hAnsi="宋体" w:cs="Times New Roman"/>
                <w:bCs/>
                <w:color w:val="auto"/>
                <w:lang w:val="en-US" w:eastAsia="zh-CN"/>
              </w:rPr>
              <w:t>2</w:t>
            </w:r>
          </w:p>
        </w:tc>
        <w:tc>
          <w:tcPr>
            <w:tcW w:w="1213" w:type="dxa"/>
            <w:vAlign w:val="center"/>
          </w:tcPr>
          <w:p>
            <w:pPr>
              <w:pStyle w:val="13"/>
              <w:jc w:val="center"/>
              <w:rPr>
                <w:rFonts w:ascii="Times New Roman" w:hAnsi="宋体" w:cs="Times New Roman"/>
                <w:bCs/>
                <w:color w:val="auto"/>
              </w:rPr>
            </w:pPr>
            <w:r>
              <w:rPr>
                <w:rFonts w:ascii="Times New Roman" w:hAnsi="宋体" w:cs="Times New Roman"/>
                <w:bCs/>
                <w:color w:val="auto"/>
              </w:rPr>
              <w:t>食堂</w:t>
            </w:r>
            <w:r>
              <w:rPr>
                <w:rFonts w:hint="eastAsia" w:ascii="Times New Roman" w:hAnsi="宋体" w:cs="Times New Roman"/>
                <w:bCs/>
                <w:color w:val="auto"/>
              </w:rPr>
              <w:t>油烟废气</w:t>
            </w:r>
          </w:p>
        </w:tc>
        <w:tc>
          <w:tcPr>
            <w:tcW w:w="658" w:type="dxa"/>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lang w:val="en-US" w:eastAsia="zh-CN"/>
              </w:rPr>
              <w:t>DA002</w:t>
            </w:r>
          </w:p>
        </w:tc>
        <w:tc>
          <w:tcPr>
            <w:tcW w:w="739" w:type="dxa"/>
            <w:vAlign w:val="center"/>
          </w:tcPr>
          <w:p>
            <w:pPr>
              <w:pStyle w:val="13"/>
              <w:jc w:val="center"/>
              <w:rPr>
                <w:rFonts w:ascii="Times New Roman" w:hAnsi="宋体" w:eastAsia="宋体" w:cs="Times New Roman"/>
                <w:bCs/>
                <w:color w:val="auto"/>
                <w:kern w:val="2"/>
                <w:sz w:val="21"/>
                <w:szCs w:val="21"/>
                <w:lang w:val="en-US" w:eastAsia="zh-CN" w:bidi="ar-SA"/>
              </w:rPr>
            </w:pPr>
            <w:r>
              <w:rPr>
                <w:rFonts w:hint="eastAsia" w:ascii="Times New Roman" w:hAnsi="宋体" w:cs="Times New Roman"/>
                <w:bCs/>
                <w:color w:val="auto"/>
              </w:rPr>
              <w:t>排气筒</w:t>
            </w:r>
          </w:p>
        </w:tc>
        <w:tc>
          <w:tcPr>
            <w:tcW w:w="840" w:type="dxa"/>
            <w:vAlign w:val="center"/>
          </w:tcPr>
          <w:p>
            <w:pPr>
              <w:pStyle w:val="13"/>
              <w:jc w:val="center"/>
              <w:rPr>
                <w:rFonts w:ascii="Times New Roman" w:hAnsi="宋体" w:eastAsia="宋体" w:cs="Times New Roman"/>
                <w:bCs/>
                <w:color w:val="auto"/>
                <w:kern w:val="2"/>
                <w:sz w:val="21"/>
                <w:szCs w:val="21"/>
                <w:lang w:val="en-US" w:eastAsia="zh-CN" w:bidi="ar-SA"/>
              </w:rPr>
            </w:pPr>
            <w:r>
              <w:rPr>
                <w:rFonts w:hint="eastAsia" w:ascii="Times New Roman" w:hAnsi="宋体" w:cs="Times New Roman"/>
                <w:bCs/>
                <w:color w:val="auto"/>
              </w:rPr>
              <w:t>点源</w:t>
            </w:r>
          </w:p>
        </w:tc>
        <w:tc>
          <w:tcPr>
            <w:tcW w:w="745" w:type="dxa"/>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12</w:t>
            </w:r>
          </w:p>
        </w:tc>
        <w:tc>
          <w:tcPr>
            <w:tcW w:w="745" w:type="dxa"/>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0.2</w:t>
            </w:r>
          </w:p>
        </w:tc>
        <w:tc>
          <w:tcPr>
            <w:tcW w:w="843" w:type="dxa"/>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60</w:t>
            </w:r>
          </w:p>
        </w:tc>
        <w:tc>
          <w:tcPr>
            <w:tcW w:w="1232" w:type="dxa"/>
            <w:vAlign w:val="center"/>
          </w:tcPr>
          <w:p>
            <w:pPr>
              <w:pStyle w:val="23"/>
              <w:spacing w:before="0" w:beforeAutospacing="0" w:after="0" w:afterAutospacing="0"/>
              <w:jc w:val="center"/>
              <w:rPr>
                <w:rFonts w:ascii="Times New Roman" w:hAnsi="Times New Roman" w:eastAsia="宋体" w:cs="Times New Roman"/>
                <w:bCs/>
                <w:color w:val="auto"/>
                <w:kern w:val="0"/>
                <w:sz w:val="21"/>
                <w:szCs w:val="21"/>
                <w:lang w:val="en-US" w:eastAsia="zh-CN" w:bidi="ar-SA"/>
              </w:rPr>
            </w:pPr>
            <w:r>
              <w:rPr>
                <w:rFonts w:ascii="Times New Roman" w:hAnsi="Times New Roman"/>
                <w:color w:val="auto"/>
                <w:sz w:val="21"/>
                <w:szCs w:val="21"/>
              </w:rPr>
              <w:t>113.4</w:t>
            </w:r>
            <w:r>
              <w:rPr>
                <w:rFonts w:hint="eastAsia" w:ascii="Times New Roman" w:hAnsi="Times New Roman"/>
                <w:color w:val="auto"/>
                <w:sz w:val="21"/>
                <w:szCs w:val="21"/>
                <w:lang w:val="en-US" w:eastAsia="zh-CN"/>
              </w:rPr>
              <w:t>21824</w:t>
            </w:r>
            <w:r>
              <w:rPr>
                <w:rFonts w:ascii="Times New Roman" w:hAnsi="Times New Roman"/>
                <w:color w:val="auto"/>
                <w:sz w:val="21"/>
                <w:szCs w:val="21"/>
              </w:rPr>
              <w:t>°E</w:t>
            </w:r>
          </w:p>
        </w:tc>
        <w:tc>
          <w:tcPr>
            <w:tcW w:w="1147" w:type="dxa"/>
            <w:vAlign w:val="center"/>
          </w:tcPr>
          <w:p>
            <w:pPr>
              <w:pStyle w:val="23"/>
              <w:spacing w:before="0" w:beforeAutospacing="0" w:after="0" w:afterAutospacing="0"/>
              <w:jc w:val="center"/>
              <w:rPr>
                <w:rFonts w:ascii="Times New Roman" w:hAnsi="Times New Roman" w:eastAsia="宋体" w:cs="Times New Roman"/>
                <w:bCs/>
                <w:color w:val="auto"/>
                <w:kern w:val="0"/>
                <w:sz w:val="21"/>
                <w:szCs w:val="21"/>
                <w:lang w:val="en-US" w:eastAsia="zh-CN" w:bidi="ar-SA"/>
              </w:rPr>
            </w:pPr>
            <w:r>
              <w:rPr>
                <w:rFonts w:ascii="Times New Roman" w:hAnsi="Times New Roman"/>
                <w:color w:val="auto"/>
                <w:sz w:val="21"/>
                <w:szCs w:val="21"/>
              </w:rPr>
              <w:t>25.</w:t>
            </w:r>
            <w:r>
              <w:rPr>
                <w:rFonts w:hint="eastAsia" w:ascii="Times New Roman" w:hAnsi="Times New Roman"/>
                <w:color w:val="auto"/>
                <w:sz w:val="21"/>
                <w:szCs w:val="21"/>
                <w:lang w:val="en-US" w:eastAsia="zh-CN"/>
              </w:rPr>
              <w:t>214525</w:t>
            </w:r>
            <w:r>
              <w:rPr>
                <w:rFonts w:ascii="Times New Roman" w:hAnsi="Times New Roman"/>
                <w:color w:val="auto"/>
                <w:sz w:val="21"/>
                <w:szCs w:val="21"/>
              </w:rPr>
              <w:t>°N</w:t>
            </w:r>
          </w:p>
        </w:tc>
        <w:tc>
          <w:tcPr>
            <w:tcW w:w="988" w:type="dxa"/>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油烟</w:t>
            </w:r>
          </w:p>
        </w:tc>
        <w:tc>
          <w:tcPr>
            <w:tcW w:w="1078" w:type="dxa"/>
            <w:vAlign w:val="center"/>
          </w:tcPr>
          <w:p>
            <w:pPr>
              <w:pStyle w:val="13"/>
              <w:jc w:val="center"/>
              <w:rPr>
                <w:rFonts w:hint="default" w:ascii="Times New Roman" w:hAnsi="宋体" w:eastAsia="宋体" w:cs="Times New Roman"/>
                <w:bCs/>
                <w:color w:val="auto"/>
                <w:lang w:val="en-US" w:eastAsia="zh-CN"/>
              </w:rPr>
            </w:pPr>
            <w:r>
              <w:rPr>
                <w:rFonts w:hint="eastAsia" w:ascii="Times New Roman" w:hAnsi="宋体" w:cs="Times New Roman"/>
                <w:bCs/>
                <w:color w:val="auto"/>
                <w:lang w:val="en-US" w:eastAsia="zh-CN"/>
              </w:rPr>
              <w:t>2.0</w:t>
            </w:r>
          </w:p>
        </w:tc>
        <w:tc>
          <w:tcPr>
            <w:tcW w:w="1192" w:type="dxa"/>
            <w:vAlign w:val="center"/>
          </w:tcPr>
          <w:p>
            <w:pPr>
              <w:jc w:val="center"/>
              <w:rPr>
                <w:rFonts w:hint="eastAsia"/>
                <w:color w:val="auto"/>
                <w:szCs w:val="21"/>
              </w:rPr>
            </w:pPr>
            <w:r>
              <w:rPr>
                <w:rFonts w:hint="eastAsia"/>
                <w:color w:val="auto"/>
                <w:szCs w:val="21"/>
              </w:rPr>
              <w:t>GB18483-2001</w:t>
            </w:r>
          </w:p>
        </w:tc>
        <w:tc>
          <w:tcPr>
            <w:tcW w:w="1252" w:type="dxa"/>
            <w:vAlign w:val="center"/>
          </w:tcPr>
          <w:p>
            <w:pPr>
              <w:pStyle w:val="13"/>
              <w:jc w:val="center"/>
              <w:rPr>
                <w:rFonts w:hint="eastAsia" w:ascii="Times New Roman" w:hAnsi="宋体" w:cs="Times New Roman"/>
                <w:bCs/>
                <w:color w:val="auto"/>
              </w:rPr>
            </w:pPr>
            <w:r>
              <w:rPr>
                <w:rFonts w:hint="eastAsia" w:ascii="Times New Roman" w:hAnsi="宋体" w:cs="Times New Roman"/>
                <w:bCs/>
                <w:color w:val="auto"/>
              </w:rPr>
              <w:t>排放口</w:t>
            </w:r>
          </w:p>
        </w:tc>
        <w:tc>
          <w:tcPr>
            <w:tcW w:w="994" w:type="dxa"/>
            <w:vAlign w:val="center"/>
          </w:tcPr>
          <w:p>
            <w:pPr>
              <w:pStyle w:val="13"/>
              <w:jc w:val="center"/>
              <w:rPr>
                <w:rFonts w:hint="eastAsia" w:ascii="Times New Roman" w:hAnsi="宋体" w:cs="Times New Roman"/>
                <w:bCs/>
                <w:color w:val="auto"/>
              </w:rPr>
            </w:pPr>
            <w:r>
              <w:rPr>
                <w:rFonts w:hint="eastAsia" w:ascii="Times New Roman" w:hAnsi="宋体" w:cs="Times New Roman"/>
                <w:bCs/>
                <w:color w:val="auto"/>
                <w:lang w:val="en-US" w:eastAsia="zh-CN"/>
              </w:rPr>
              <w:t>油烟</w:t>
            </w:r>
          </w:p>
        </w:tc>
        <w:tc>
          <w:tcPr>
            <w:tcW w:w="1002" w:type="dxa"/>
            <w:vAlign w:val="center"/>
          </w:tcPr>
          <w:p>
            <w:pPr>
              <w:jc w:val="center"/>
              <w:rPr>
                <w:rFonts w:hint="eastAsia"/>
                <w:color w:val="auto"/>
                <w:kern w:val="0"/>
                <w:szCs w:val="21"/>
              </w:rPr>
            </w:pPr>
            <w:r>
              <w:rPr>
                <w:rFonts w:hint="eastAsia"/>
                <w:color w:val="auto"/>
                <w:kern w:val="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restart"/>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lang w:val="en-US" w:eastAsia="zh-CN"/>
              </w:rPr>
              <w:t>3</w:t>
            </w:r>
          </w:p>
        </w:tc>
        <w:tc>
          <w:tcPr>
            <w:tcW w:w="1213"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厂区内</w:t>
            </w:r>
          </w:p>
        </w:tc>
        <w:tc>
          <w:tcPr>
            <w:tcW w:w="658"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739"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840"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745"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745"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843"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232" w:type="dxa"/>
            <w:vMerge w:val="restart"/>
            <w:vAlign w:val="center"/>
          </w:tcPr>
          <w:p>
            <w:pPr>
              <w:pStyle w:val="13"/>
              <w:jc w:val="center"/>
              <w:rPr>
                <w:color w:val="auto"/>
              </w:rPr>
            </w:pPr>
            <w:r>
              <w:rPr>
                <w:rFonts w:hint="eastAsia" w:ascii="Times New Roman" w:hAnsi="宋体" w:cs="Times New Roman"/>
                <w:bCs/>
                <w:color w:val="auto"/>
              </w:rPr>
              <w:t>—</w:t>
            </w:r>
          </w:p>
        </w:tc>
        <w:tc>
          <w:tcPr>
            <w:tcW w:w="1147" w:type="dxa"/>
            <w:vMerge w:val="restart"/>
            <w:vAlign w:val="center"/>
          </w:tcPr>
          <w:p>
            <w:pPr>
              <w:pStyle w:val="13"/>
              <w:jc w:val="center"/>
              <w:rPr>
                <w:color w:val="auto"/>
              </w:rPr>
            </w:pPr>
            <w:r>
              <w:rPr>
                <w:rFonts w:hint="eastAsia" w:ascii="Times New Roman" w:hAnsi="宋体" w:cs="Times New Roman"/>
                <w:bCs/>
                <w:color w:val="auto"/>
              </w:rPr>
              <w:t>—</w:t>
            </w:r>
          </w:p>
        </w:tc>
        <w:tc>
          <w:tcPr>
            <w:tcW w:w="988"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非甲烷总烃</w:t>
            </w:r>
          </w:p>
        </w:tc>
        <w:tc>
          <w:tcPr>
            <w:tcW w:w="1078"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6</w:t>
            </w:r>
          </w:p>
        </w:tc>
        <w:tc>
          <w:tcPr>
            <w:tcW w:w="1192" w:type="dxa"/>
            <w:vMerge w:val="restart"/>
            <w:tcBorders>
              <w:top w:val="single" w:color="000000" w:sz="4" w:space="0"/>
            </w:tcBorders>
            <w:vAlign w:val="center"/>
          </w:tcPr>
          <w:p>
            <w:pPr>
              <w:jc w:val="center"/>
              <w:rPr>
                <w:color w:val="auto"/>
              </w:rPr>
            </w:pPr>
            <w:r>
              <w:rPr>
                <w:rFonts w:hint="eastAsia"/>
                <w:color w:val="auto"/>
                <w:szCs w:val="21"/>
              </w:rPr>
              <w:t>DB44/2367-2022</w:t>
            </w:r>
          </w:p>
        </w:tc>
        <w:tc>
          <w:tcPr>
            <w:tcW w:w="1252"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厂房外设置监控点</w:t>
            </w:r>
          </w:p>
        </w:tc>
        <w:tc>
          <w:tcPr>
            <w:tcW w:w="994"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非甲烷总烃</w:t>
            </w:r>
          </w:p>
        </w:tc>
        <w:tc>
          <w:tcPr>
            <w:tcW w:w="1002" w:type="dxa"/>
            <w:vMerge w:val="restart"/>
            <w:vAlign w:val="center"/>
          </w:tcPr>
          <w:p>
            <w:pPr>
              <w:jc w:val="center"/>
              <w:rPr>
                <w:color w:val="auto"/>
              </w:rPr>
            </w:pPr>
            <w:r>
              <w:rPr>
                <w:rFonts w:hint="eastAsia"/>
                <w:color w:val="auto"/>
                <w:kern w:val="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continue"/>
            <w:vAlign w:val="center"/>
          </w:tcPr>
          <w:p>
            <w:pPr>
              <w:pStyle w:val="13"/>
              <w:jc w:val="center"/>
              <w:rPr>
                <w:rFonts w:ascii="Times New Roman" w:hAnsi="宋体" w:cs="Times New Roman"/>
                <w:bCs/>
                <w:color w:val="auto"/>
              </w:rPr>
            </w:pPr>
          </w:p>
        </w:tc>
        <w:tc>
          <w:tcPr>
            <w:tcW w:w="1213" w:type="dxa"/>
            <w:vMerge w:val="continue"/>
            <w:vAlign w:val="center"/>
          </w:tcPr>
          <w:p>
            <w:pPr>
              <w:pStyle w:val="13"/>
              <w:jc w:val="center"/>
              <w:rPr>
                <w:rFonts w:ascii="Times New Roman" w:hAnsi="宋体" w:cs="Times New Roman"/>
                <w:bCs/>
                <w:color w:val="auto"/>
              </w:rPr>
            </w:pPr>
          </w:p>
        </w:tc>
        <w:tc>
          <w:tcPr>
            <w:tcW w:w="658" w:type="dxa"/>
            <w:vMerge w:val="continue"/>
            <w:vAlign w:val="center"/>
          </w:tcPr>
          <w:p>
            <w:pPr>
              <w:pStyle w:val="13"/>
              <w:jc w:val="center"/>
              <w:rPr>
                <w:rFonts w:ascii="Times New Roman" w:hAnsi="宋体" w:cs="Times New Roman"/>
                <w:bCs/>
                <w:color w:val="auto"/>
              </w:rPr>
            </w:pPr>
          </w:p>
        </w:tc>
        <w:tc>
          <w:tcPr>
            <w:tcW w:w="739" w:type="dxa"/>
            <w:vMerge w:val="continue"/>
            <w:vAlign w:val="center"/>
          </w:tcPr>
          <w:p>
            <w:pPr>
              <w:pStyle w:val="13"/>
              <w:jc w:val="center"/>
              <w:rPr>
                <w:rFonts w:ascii="Times New Roman" w:hAnsi="宋体" w:cs="Times New Roman"/>
                <w:bCs/>
                <w:color w:val="auto"/>
              </w:rPr>
            </w:pPr>
          </w:p>
        </w:tc>
        <w:tc>
          <w:tcPr>
            <w:tcW w:w="840"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843" w:type="dxa"/>
            <w:vMerge w:val="continue"/>
            <w:vAlign w:val="center"/>
          </w:tcPr>
          <w:p>
            <w:pPr>
              <w:pStyle w:val="13"/>
              <w:jc w:val="center"/>
              <w:rPr>
                <w:rFonts w:ascii="Times New Roman" w:hAnsi="宋体" w:cs="Times New Roman"/>
                <w:bCs/>
                <w:color w:val="auto"/>
              </w:rPr>
            </w:pPr>
          </w:p>
        </w:tc>
        <w:tc>
          <w:tcPr>
            <w:tcW w:w="1232" w:type="dxa"/>
            <w:vMerge w:val="continue"/>
            <w:vAlign w:val="center"/>
          </w:tcPr>
          <w:p>
            <w:pPr>
              <w:pStyle w:val="13"/>
              <w:jc w:val="center"/>
              <w:rPr>
                <w:rFonts w:ascii="Times New Roman" w:hAnsi="宋体" w:cs="Times New Roman"/>
                <w:bCs/>
                <w:color w:val="auto"/>
              </w:rPr>
            </w:pPr>
          </w:p>
        </w:tc>
        <w:tc>
          <w:tcPr>
            <w:tcW w:w="1147" w:type="dxa"/>
            <w:vMerge w:val="continue"/>
            <w:vAlign w:val="center"/>
          </w:tcPr>
          <w:p>
            <w:pPr>
              <w:pStyle w:val="13"/>
              <w:jc w:val="center"/>
              <w:rPr>
                <w:rFonts w:ascii="Times New Roman" w:hAnsi="宋体" w:cs="Times New Roman"/>
                <w:bCs/>
                <w:color w:val="auto"/>
              </w:rPr>
            </w:pPr>
          </w:p>
        </w:tc>
        <w:tc>
          <w:tcPr>
            <w:tcW w:w="988" w:type="dxa"/>
            <w:vMerge w:val="continue"/>
            <w:vAlign w:val="center"/>
          </w:tcPr>
          <w:p>
            <w:pPr>
              <w:pStyle w:val="13"/>
              <w:jc w:val="center"/>
              <w:rPr>
                <w:rFonts w:ascii="Times New Roman" w:hAnsi="宋体" w:cs="Times New Roman"/>
                <w:bCs/>
                <w:color w:val="auto"/>
              </w:rPr>
            </w:pPr>
          </w:p>
        </w:tc>
        <w:tc>
          <w:tcPr>
            <w:tcW w:w="1078" w:type="dxa"/>
            <w:vAlign w:val="center"/>
          </w:tcPr>
          <w:p>
            <w:pPr>
              <w:pStyle w:val="13"/>
              <w:jc w:val="center"/>
              <w:rPr>
                <w:rFonts w:ascii="Times New Roman" w:hAnsi="宋体" w:cs="Times New Roman"/>
                <w:bCs/>
                <w:color w:val="auto"/>
              </w:rPr>
            </w:pPr>
            <w:r>
              <w:rPr>
                <w:rFonts w:hint="eastAsia" w:ascii="Times New Roman" w:hAnsi="宋体" w:cs="Times New Roman"/>
                <w:bCs/>
                <w:color w:val="auto"/>
              </w:rPr>
              <w:t>20</w:t>
            </w:r>
          </w:p>
        </w:tc>
        <w:tc>
          <w:tcPr>
            <w:tcW w:w="1192" w:type="dxa"/>
            <w:vMerge w:val="continue"/>
            <w:vAlign w:val="center"/>
          </w:tcPr>
          <w:p>
            <w:pPr>
              <w:jc w:val="center"/>
              <w:rPr>
                <w:color w:val="auto"/>
              </w:rPr>
            </w:pPr>
          </w:p>
        </w:tc>
        <w:tc>
          <w:tcPr>
            <w:tcW w:w="1252" w:type="dxa"/>
            <w:vMerge w:val="continue"/>
            <w:vAlign w:val="center"/>
          </w:tcPr>
          <w:p>
            <w:pPr>
              <w:pStyle w:val="13"/>
              <w:jc w:val="center"/>
              <w:rPr>
                <w:rFonts w:ascii="Times New Roman" w:hAnsi="宋体" w:cs="Times New Roman"/>
                <w:bCs/>
                <w:color w:val="auto"/>
              </w:rPr>
            </w:pPr>
          </w:p>
        </w:tc>
        <w:tc>
          <w:tcPr>
            <w:tcW w:w="994" w:type="dxa"/>
            <w:vMerge w:val="continue"/>
            <w:vAlign w:val="center"/>
          </w:tcPr>
          <w:p>
            <w:pPr>
              <w:pStyle w:val="13"/>
              <w:jc w:val="center"/>
              <w:rPr>
                <w:rFonts w:ascii="Times New Roman" w:hAnsi="宋体" w:cs="Times New Roman"/>
                <w:bCs/>
                <w:color w:val="auto"/>
              </w:rPr>
            </w:pPr>
          </w:p>
        </w:tc>
        <w:tc>
          <w:tcPr>
            <w:tcW w:w="1002" w:type="dxa"/>
            <w:vMerge w:val="continue"/>
            <w:vAlign w:val="center"/>
          </w:tcPr>
          <w:p>
            <w:pPr>
              <w:pStyle w:val="13"/>
              <w:jc w:val="center"/>
              <w:rPr>
                <w:rFonts w:ascii="Times New Roman" w:hAnsi="宋体" w:cs="Times New Roman"/>
                <w:bCs/>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restart"/>
            <w:vAlign w:val="center"/>
          </w:tcPr>
          <w:p>
            <w:pPr>
              <w:pStyle w:val="13"/>
              <w:jc w:val="center"/>
              <w:rPr>
                <w:rFonts w:hint="eastAsia" w:ascii="Times New Roman" w:hAnsi="宋体" w:eastAsia="宋体" w:cs="Times New Roman"/>
                <w:bCs/>
                <w:color w:val="auto"/>
                <w:lang w:eastAsia="zh-CN"/>
              </w:rPr>
            </w:pPr>
            <w:r>
              <w:rPr>
                <w:rFonts w:hint="eastAsia" w:ascii="Times New Roman" w:hAnsi="宋体" w:cs="Times New Roman"/>
                <w:bCs/>
                <w:color w:val="auto"/>
                <w:lang w:val="en-US" w:eastAsia="zh-CN"/>
              </w:rPr>
              <w:t>4</w:t>
            </w:r>
          </w:p>
        </w:tc>
        <w:tc>
          <w:tcPr>
            <w:tcW w:w="1213"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企业边界（厂界）</w:t>
            </w:r>
          </w:p>
        </w:tc>
        <w:tc>
          <w:tcPr>
            <w:tcW w:w="658"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739"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840"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745"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745"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843"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232"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1147"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w:t>
            </w:r>
          </w:p>
        </w:tc>
        <w:tc>
          <w:tcPr>
            <w:tcW w:w="988" w:type="dxa"/>
            <w:tcBorders>
              <w:bottom w:val="single" w:color="000000"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颗粒物</w:t>
            </w:r>
          </w:p>
        </w:tc>
        <w:tc>
          <w:tcPr>
            <w:tcW w:w="1078" w:type="dxa"/>
            <w:tcBorders>
              <w:bottom w:val="single" w:color="000000"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1.0</w:t>
            </w:r>
          </w:p>
        </w:tc>
        <w:tc>
          <w:tcPr>
            <w:tcW w:w="1192" w:type="dxa"/>
            <w:vMerge w:val="restart"/>
            <w:vAlign w:val="center"/>
          </w:tcPr>
          <w:p>
            <w:pPr>
              <w:jc w:val="center"/>
              <w:rPr>
                <w:color w:val="auto"/>
              </w:rPr>
            </w:pPr>
            <w:r>
              <w:rPr>
                <w:rFonts w:hint="eastAsia"/>
                <w:color w:val="auto"/>
              </w:rPr>
              <w:t>GB 31572-2015</w:t>
            </w:r>
          </w:p>
        </w:tc>
        <w:tc>
          <w:tcPr>
            <w:tcW w:w="1252"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上风向1个，下风向3个</w:t>
            </w:r>
          </w:p>
        </w:tc>
        <w:tc>
          <w:tcPr>
            <w:tcW w:w="994" w:type="dxa"/>
            <w:vMerge w:val="restart"/>
            <w:vAlign w:val="center"/>
          </w:tcPr>
          <w:p>
            <w:pPr>
              <w:pStyle w:val="13"/>
              <w:jc w:val="center"/>
              <w:rPr>
                <w:rFonts w:ascii="Times New Roman" w:hAnsi="宋体" w:cs="Times New Roman"/>
                <w:bCs/>
                <w:color w:val="auto"/>
              </w:rPr>
            </w:pPr>
            <w:r>
              <w:rPr>
                <w:rFonts w:hint="eastAsia" w:ascii="Times New Roman" w:hAnsi="宋体" w:cs="Times New Roman"/>
                <w:bCs/>
                <w:color w:val="auto"/>
              </w:rPr>
              <w:t>颗粒物、非甲烷总烃</w:t>
            </w:r>
          </w:p>
        </w:tc>
        <w:tc>
          <w:tcPr>
            <w:tcW w:w="1002" w:type="dxa"/>
            <w:vMerge w:val="restart"/>
            <w:vAlign w:val="center"/>
          </w:tcPr>
          <w:p>
            <w:pPr>
              <w:jc w:val="center"/>
              <w:rPr>
                <w:rFonts w:hAnsi="宋体"/>
                <w:bCs/>
                <w:color w:val="auto"/>
              </w:rPr>
            </w:pPr>
            <w:r>
              <w:rPr>
                <w:rFonts w:hint="eastAsia"/>
                <w:color w:val="auto"/>
                <w:kern w:val="0"/>
                <w:szCs w:val="21"/>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continue"/>
            <w:vAlign w:val="center"/>
          </w:tcPr>
          <w:p>
            <w:pPr>
              <w:pStyle w:val="13"/>
              <w:jc w:val="center"/>
              <w:rPr>
                <w:rFonts w:ascii="Times New Roman" w:hAnsi="宋体" w:cs="Times New Roman"/>
                <w:bCs/>
                <w:color w:val="auto"/>
              </w:rPr>
            </w:pPr>
          </w:p>
        </w:tc>
        <w:tc>
          <w:tcPr>
            <w:tcW w:w="1213" w:type="dxa"/>
            <w:vMerge w:val="continue"/>
            <w:vAlign w:val="center"/>
          </w:tcPr>
          <w:p>
            <w:pPr>
              <w:pStyle w:val="13"/>
              <w:jc w:val="center"/>
              <w:rPr>
                <w:rFonts w:ascii="Times New Roman" w:hAnsi="宋体" w:cs="Times New Roman"/>
                <w:bCs/>
                <w:color w:val="auto"/>
              </w:rPr>
            </w:pPr>
          </w:p>
        </w:tc>
        <w:tc>
          <w:tcPr>
            <w:tcW w:w="658" w:type="dxa"/>
            <w:vMerge w:val="continue"/>
            <w:vAlign w:val="center"/>
          </w:tcPr>
          <w:p>
            <w:pPr>
              <w:pStyle w:val="13"/>
              <w:jc w:val="center"/>
              <w:rPr>
                <w:rFonts w:ascii="Times New Roman" w:hAnsi="宋体" w:cs="Times New Roman"/>
                <w:bCs/>
                <w:color w:val="auto"/>
              </w:rPr>
            </w:pPr>
          </w:p>
        </w:tc>
        <w:tc>
          <w:tcPr>
            <w:tcW w:w="739" w:type="dxa"/>
            <w:vMerge w:val="continue"/>
            <w:vAlign w:val="center"/>
          </w:tcPr>
          <w:p>
            <w:pPr>
              <w:pStyle w:val="13"/>
              <w:jc w:val="center"/>
              <w:rPr>
                <w:rFonts w:ascii="Times New Roman" w:hAnsi="宋体" w:cs="Times New Roman"/>
                <w:bCs/>
                <w:color w:val="auto"/>
              </w:rPr>
            </w:pPr>
          </w:p>
        </w:tc>
        <w:tc>
          <w:tcPr>
            <w:tcW w:w="840"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843" w:type="dxa"/>
            <w:vMerge w:val="continue"/>
            <w:vAlign w:val="center"/>
          </w:tcPr>
          <w:p>
            <w:pPr>
              <w:pStyle w:val="13"/>
              <w:jc w:val="center"/>
              <w:rPr>
                <w:rFonts w:ascii="Times New Roman" w:hAnsi="宋体" w:cs="Times New Roman"/>
                <w:bCs/>
                <w:color w:val="auto"/>
              </w:rPr>
            </w:pPr>
          </w:p>
        </w:tc>
        <w:tc>
          <w:tcPr>
            <w:tcW w:w="1232" w:type="dxa"/>
            <w:vMerge w:val="continue"/>
            <w:vAlign w:val="center"/>
          </w:tcPr>
          <w:p>
            <w:pPr>
              <w:pStyle w:val="13"/>
              <w:jc w:val="center"/>
              <w:rPr>
                <w:rFonts w:ascii="Times New Roman" w:hAnsi="宋体" w:cs="Times New Roman"/>
                <w:bCs/>
                <w:color w:val="auto"/>
              </w:rPr>
            </w:pPr>
          </w:p>
        </w:tc>
        <w:tc>
          <w:tcPr>
            <w:tcW w:w="1147" w:type="dxa"/>
            <w:vMerge w:val="continue"/>
            <w:vAlign w:val="center"/>
          </w:tcPr>
          <w:p>
            <w:pPr>
              <w:pStyle w:val="13"/>
              <w:jc w:val="center"/>
              <w:rPr>
                <w:rFonts w:ascii="Times New Roman" w:hAnsi="宋体" w:cs="Times New Roman"/>
                <w:bCs/>
                <w:color w:val="auto"/>
              </w:rPr>
            </w:pPr>
          </w:p>
        </w:tc>
        <w:tc>
          <w:tcPr>
            <w:tcW w:w="988" w:type="dxa"/>
            <w:tcBorders>
              <w:top w:val="single" w:color="000000" w:sz="4" w:space="0"/>
              <w:bottom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非甲烷总烃</w:t>
            </w:r>
          </w:p>
        </w:tc>
        <w:tc>
          <w:tcPr>
            <w:tcW w:w="1078" w:type="dxa"/>
            <w:tcBorders>
              <w:top w:val="single" w:color="000000" w:sz="4" w:space="0"/>
              <w:bottom w:val="single" w:color="auto"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4.0</w:t>
            </w:r>
          </w:p>
        </w:tc>
        <w:tc>
          <w:tcPr>
            <w:tcW w:w="1192" w:type="dxa"/>
            <w:vMerge w:val="continue"/>
            <w:vAlign w:val="center"/>
          </w:tcPr>
          <w:p>
            <w:pPr>
              <w:jc w:val="center"/>
              <w:rPr>
                <w:color w:val="auto"/>
              </w:rPr>
            </w:pPr>
          </w:p>
        </w:tc>
        <w:tc>
          <w:tcPr>
            <w:tcW w:w="1252" w:type="dxa"/>
            <w:vMerge w:val="continue"/>
            <w:vAlign w:val="center"/>
          </w:tcPr>
          <w:p>
            <w:pPr>
              <w:pStyle w:val="13"/>
              <w:jc w:val="center"/>
              <w:rPr>
                <w:rFonts w:ascii="Times New Roman" w:hAnsi="宋体" w:cs="Times New Roman"/>
                <w:bCs/>
                <w:color w:val="auto"/>
              </w:rPr>
            </w:pPr>
          </w:p>
        </w:tc>
        <w:tc>
          <w:tcPr>
            <w:tcW w:w="994" w:type="dxa"/>
            <w:vMerge w:val="continue"/>
            <w:vAlign w:val="center"/>
          </w:tcPr>
          <w:p>
            <w:pPr>
              <w:pStyle w:val="13"/>
              <w:jc w:val="center"/>
              <w:rPr>
                <w:rFonts w:ascii="Times New Roman" w:hAnsi="宋体" w:cs="Times New Roman"/>
                <w:bCs/>
                <w:color w:val="auto"/>
              </w:rPr>
            </w:pPr>
          </w:p>
        </w:tc>
        <w:tc>
          <w:tcPr>
            <w:tcW w:w="1002" w:type="dxa"/>
            <w:vMerge w:val="continue"/>
            <w:vAlign w:val="center"/>
          </w:tcPr>
          <w:p>
            <w:pPr>
              <w:pStyle w:val="13"/>
              <w:jc w:val="center"/>
              <w:rPr>
                <w:rFonts w:ascii="Times New Roman" w:hAnsi="宋体" w:cs="Times New Roman"/>
                <w:bCs/>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continue"/>
            <w:vAlign w:val="center"/>
          </w:tcPr>
          <w:p>
            <w:pPr>
              <w:pStyle w:val="13"/>
              <w:jc w:val="center"/>
              <w:rPr>
                <w:rFonts w:ascii="Times New Roman" w:hAnsi="宋体" w:cs="Times New Roman"/>
                <w:bCs/>
                <w:color w:val="auto"/>
              </w:rPr>
            </w:pPr>
          </w:p>
        </w:tc>
        <w:tc>
          <w:tcPr>
            <w:tcW w:w="1213" w:type="dxa"/>
            <w:vMerge w:val="continue"/>
            <w:vAlign w:val="center"/>
          </w:tcPr>
          <w:p>
            <w:pPr>
              <w:pStyle w:val="13"/>
              <w:jc w:val="center"/>
              <w:rPr>
                <w:rFonts w:ascii="Times New Roman" w:hAnsi="宋体" w:cs="Times New Roman"/>
                <w:bCs/>
                <w:color w:val="auto"/>
              </w:rPr>
            </w:pPr>
          </w:p>
        </w:tc>
        <w:tc>
          <w:tcPr>
            <w:tcW w:w="658" w:type="dxa"/>
            <w:vMerge w:val="continue"/>
            <w:vAlign w:val="center"/>
          </w:tcPr>
          <w:p>
            <w:pPr>
              <w:pStyle w:val="13"/>
              <w:jc w:val="center"/>
              <w:rPr>
                <w:rFonts w:ascii="Times New Roman" w:hAnsi="宋体" w:cs="Times New Roman"/>
                <w:bCs/>
                <w:color w:val="auto"/>
              </w:rPr>
            </w:pPr>
          </w:p>
        </w:tc>
        <w:tc>
          <w:tcPr>
            <w:tcW w:w="739" w:type="dxa"/>
            <w:vMerge w:val="continue"/>
            <w:vAlign w:val="center"/>
          </w:tcPr>
          <w:p>
            <w:pPr>
              <w:pStyle w:val="13"/>
              <w:jc w:val="center"/>
              <w:rPr>
                <w:rFonts w:ascii="Times New Roman" w:hAnsi="宋体" w:cs="Times New Roman"/>
                <w:bCs/>
                <w:color w:val="auto"/>
              </w:rPr>
            </w:pPr>
          </w:p>
        </w:tc>
        <w:tc>
          <w:tcPr>
            <w:tcW w:w="840"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843" w:type="dxa"/>
            <w:vMerge w:val="continue"/>
            <w:vAlign w:val="center"/>
          </w:tcPr>
          <w:p>
            <w:pPr>
              <w:pStyle w:val="13"/>
              <w:jc w:val="center"/>
              <w:rPr>
                <w:rFonts w:ascii="Times New Roman" w:hAnsi="宋体" w:cs="Times New Roman"/>
                <w:bCs/>
                <w:color w:val="auto"/>
              </w:rPr>
            </w:pPr>
          </w:p>
        </w:tc>
        <w:tc>
          <w:tcPr>
            <w:tcW w:w="1232" w:type="dxa"/>
            <w:vMerge w:val="continue"/>
            <w:vAlign w:val="center"/>
          </w:tcPr>
          <w:p>
            <w:pPr>
              <w:pStyle w:val="13"/>
              <w:jc w:val="center"/>
              <w:rPr>
                <w:rFonts w:ascii="Times New Roman" w:hAnsi="宋体" w:cs="Times New Roman"/>
                <w:bCs/>
                <w:color w:val="auto"/>
              </w:rPr>
            </w:pPr>
          </w:p>
        </w:tc>
        <w:tc>
          <w:tcPr>
            <w:tcW w:w="1147" w:type="dxa"/>
            <w:vMerge w:val="continue"/>
            <w:vAlign w:val="center"/>
          </w:tcPr>
          <w:p>
            <w:pPr>
              <w:pStyle w:val="13"/>
              <w:jc w:val="center"/>
              <w:rPr>
                <w:rFonts w:ascii="Times New Roman" w:hAnsi="宋体" w:cs="Times New Roman"/>
                <w:bCs/>
                <w:color w:val="auto"/>
              </w:rPr>
            </w:pPr>
          </w:p>
        </w:tc>
        <w:tc>
          <w:tcPr>
            <w:tcW w:w="988" w:type="dxa"/>
            <w:tcBorders>
              <w:top w:val="single" w:color="auto" w:sz="4" w:space="0"/>
              <w:bottom w:val="single" w:color="000000"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臭气浓度</w:t>
            </w:r>
          </w:p>
        </w:tc>
        <w:tc>
          <w:tcPr>
            <w:tcW w:w="1078" w:type="dxa"/>
            <w:tcBorders>
              <w:top w:val="single" w:color="auto" w:sz="4" w:space="0"/>
              <w:bottom w:val="single" w:color="000000"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20（无量纲）</w:t>
            </w:r>
          </w:p>
        </w:tc>
        <w:tc>
          <w:tcPr>
            <w:tcW w:w="1192" w:type="dxa"/>
            <w:tcBorders>
              <w:bottom w:val="single" w:color="000000" w:sz="4" w:space="0"/>
            </w:tcBorders>
            <w:vAlign w:val="center"/>
          </w:tcPr>
          <w:p>
            <w:pPr>
              <w:jc w:val="center"/>
              <w:rPr>
                <w:color w:val="auto"/>
              </w:rPr>
            </w:pPr>
            <w:r>
              <w:rPr>
                <w:rFonts w:hint="eastAsia"/>
                <w:color w:val="auto"/>
                <w:szCs w:val="21"/>
              </w:rPr>
              <w:t>GB 14554-93</w:t>
            </w:r>
          </w:p>
        </w:tc>
        <w:tc>
          <w:tcPr>
            <w:tcW w:w="1252" w:type="dxa"/>
            <w:vMerge w:val="continue"/>
            <w:vAlign w:val="center"/>
          </w:tcPr>
          <w:p>
            <w:pPr>
              <w:pStyle w:val="13"/>
              <w:jc w:val="center"/>
              <w:rPr>
                <w:rFonts w:ascii="Times New Roman" w:hAnsi="宋体" w:cs="Times New Roman"/>
                <w:bCs/>
                <w:color w:val="auto"/>
              </w:rPr>
            </w:pPr>
          </w:p>
        </w:tc>
        <w:tc>
          <w:tcPr>
            <w:tcW w:w="994" w:type="dxa"/>
            <w:tcBorders>
              <w:bottom w:val="single" w:color="000000"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臭气浓度</w:t>
            </w:r>
          </w:p>
        </w:tc>
        <w:tc>
          <w:tcPr>
            <w:tcW w:w="1002" w:type="dxa"/>
            <w:vMerge w:val="continue"/>
            <w:vAlign w:val="center"/>
          </w:tcPr>
          <w:p>
            <w:pPr>
              <w:pStyle w:val="13"/>
              <w:jc w:val="center"/>
              <w:rPr>
                <w:rFonts w:ascii="Times New Roman" w:hAnsi="宋体" w:cs="Times New Roman"/>
                <w:bCs/>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49" w:type="dxa"/>
            <w:vMerge w:val="continue"/>
            <w:vAlign w:val="center"/>
          </w:tcPr>
          <w:p>
            <w:pPr>
              <w:pStyle w:val="13"/>
              <w:jc w:val="center"/>
              <w:rPr>
                <w:rFonts w:ascii="Times New Roman" w:hAnsi="宋体" w:cs="Times New Roman"/>
                <w:bCs/>
                <w:color w:val="auto"/>
              </w:rPr>
            </w:pPr>
          </w:p>
        </w:tc>
        <w:tc>
          <w:tcPr>
            <w:tcW w:w="1213" w:type="dxa"/>
            <w:vMerge w:val="continue"/>
            <w:vAlign w:val="center"/>
          </w:tcPr>
          <w:p>
            <w:pPr>
              <w:pStyle w:val="13"/>
              <w:jc w:val="center"/>
              <w:rPr>
                <w:rFonts w:ascii="Times New Roman" w:hAnsi="宋体" w:cs="Times New Roman"/>
                <w:bCs/>
                <w:color w:val="auto"/>
              </w:rPr>
            </w:pPr>
          </w:p>
        </w:tc>
        <w:tc>
          <w:tcPr>
            <w:tcW w:w="658" w:type="dxa"/>
            <w:vMerge w:val="continue"/>
            <w:vAlign w:val="center"/>
          </w:tcPr>
          <w:p>
            <w:pPr>
              <w:pStyle w:val="13"/>
              <w:jc w:val="center"/>
              <w:rPr>
                <w:rFonts w:ascii="Times New Roman" w:hAnsi="宋体" w:cs="Times New Roman"/>
                <w:bCs/>
                <w:color w:val="auto"/>
              </w:rPr>
            </w:pPr>
          </w:p>
        </w:tc>
        <w:tc>
          <w:tcPr>
            <w:tcW w:w="739" w:type="dxa"/>
            <w:vMerge w:val="continue"/>
            <w:vAlign w:val="center"/>
          </w:tcPr>
          <w:p>
            <w:pPr>
              <w:pStyle w:val="13"/>
              <w:jc w:val="center"/>
              <w:rPr>
                <w:rFonts w:ascii="Times New Roman" w:hAnsi="宋体" w:cs="Times New Roman"/>
                <w:bCs/>
                <w:color w:val="auto"/>
              </w:rPr>
            </w:pPr>
          </w:p>
        </w:tc>
        <w:tc>
          <w:tcPr>
            <w:tcW w:w="840"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745" w:type="dxa"/>
            <w:vMerge w:val="continue"/>
            <w:vAlign w:val="center"/>
          </w:tcPr>
          <w:p>
            <w:pPr>
              <w:pStyle w:val="13"/>
              <w:jc w:val="center"/>
              <w:rPr>
                <w:rFonts w:ascii="Times New Roman" w:hAnsi="宋体" w:cs="Times New Roman"/>
                <w:bCs/>
                <w:color w:val="auto"/>
              </w:rPr>
            </w:pPr>
          </w:p>
        </w:tc>
        <w:tc>
          <w:tcPr>
            <w:tcW w:w="843" w:type="dxa"/>
            <w:vMerge w:val="continue"/>
            <w:vAlign w:val="center"/>
          </w:tcPr>
          <w:p>
            <w:pPr>
              <w:pStyle w:val="13"/>
              <w:jc w:val="center"/>
              <w:rPr>
                <w:rFonts w:ascii="Times New Roman" w:hAnsi="宋体" w:cs="Times New Roman"/>
                <w:bCs/>
                <w:color w:val="auto"/>
              </w:rPr>
            </w:pPr>
          </w:p>
        </w:tc>
        <w:tc>
          <w:tcPr>
            <w:tcW w:w="1232" w:type="dxa"/>
            <w:vMerge w:val="continue"/>
            <w:vAlign w:val="center"/>
          </w:tcPr>
          <w:p>
            <w:pPr>
              <w:pStyle w:val="13"/>
              <w:jc w:val="center"/>
              <w:rPr>
                <w:rFonts w:ascii="Times New Roman" w:hAnsi="宋体" w:cs="Times New Roman"/>
                <w:bCs/>
                <w:color w:val="auto"/>
              </w:rPr>
            </w:pPr>
          </w:p>
        </w:tc>
        <w:tc>
          <w:tcPr>
            <w:tcW w:w="1147" w:type="dxa"/>
            <w:vMerge w:val="continue"/>
            <w:vAlign w:val="center"/>
          </w:tcPr>
          <w:p>
            <w:pPr>
              <w:pStyle w:val="13"/>
              <w:jc w:val="center"/>
              <w:rPr>
                <w:rFonts w:ascii="Times New Roman" w:hAnsi="宋体" w:cs="Times New Roman"/>
                <w:bCs/>
                <w:color w:val="auto"/>
              </w:rPr>
            </w:pPr>
          </w:p>
        </w:tc>
        <w:tc>
          <w:tcPr>
            <w:tcW w:w="988" w:type="dxa"/>
            <w:tcBorders>
              <w:top w:val="single" w:color="000000"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锡及其化合物</w:t>
            </w:r>
          </w:p>
        </w:tc>
        <w:tc>
          <w:tcPr>
            <w:tcW w:w="1078" w:type="dxa"/>
            <w:tcBorders>
              <w:top w:val="single" w:color="000000"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0.24</w:t>
            </w:r>
          </w:p>
        </w:tc>
        <w:tc>
          <w:tcPr>
            <w:tcW w:w="1192" w:type="dxa"/>
            <w:tcBorders>
              <w:top w:val="single" w:color="000000" w:sz="4" w:space="0"/>
            </w:tcBorders>
            <w:vAlign w:val="center"/>
          </w:tcPr>
          <w:p>
            <w:pPr>
              <w:jc w:val="center"/>
              <w:rPr>
                <w:color w:val="auto"/>
                <w:szCs w:val="21"/>
              </w:rPr>
            </w:pPr>
            <w:r>
              <w:rPr>
                <w:rFonts w:eastAsia="Times New Roman"/>
                <w:color w:val="auto"/>
                <w:szCs w:val="21"/>
              </w:rPr>
              <w:t>DB</w:t>
            </w:r>
            <w:r>
              <w:rPr>
                <w:rFonts w:eastAsia="Times New Roman"/>
                <w:color w:val="auto"/>
                <w:spacing w:val="3"/>
                <w:szCs w:val="21"/>
              </w:rPr>
              <w:t>44/27-2001</w:t>
            </w:r>
          </w:p>
        </w:tc>
        <w:tc>
          <w:tcPr>
            <w:tcW w:w="1252" w:type="dxa"/>
            <w:vMerge w:val="continue"/>
            <w:vAlign w:val="center"/>
          </w:tcPr>
          <w:p>
            <w:pPr>
              <w:pStyle w:val="13"/>
              <w:jc w:val="center"/>
              <w:rPr>
                <w:rFonts w:ascii="Times New Roman" w:hAnsi="宋体" w:cs="Times New Roman"/>
                <w:bCs/>
                <w:color w:val="auto"/>
              </w:rPr>
            </w:pPr>
          </w:p>
        </w:tc>
        <w:tc>
          <w:tcPr>
            <w:tcW w:w="994" w:type="dxa"/>
            <w:tcBorders>
              <w:top w:val="single" w:color="000000" w:sz="4" w:space="0"/>
            </w:tcBorders>
            <w:vAlign w:val="center"/>
          </w:tcPr>
          <w:p>
            <w:pPr>
              <w:pStyle w:val="13"/>
              <w:jc w:val="center"/>
              <w:rPr>
                <w:rFonts w:ascii="Times New Roman" w:hAnsi="宋体" w:cs="Times New Roman"/>
                <w:bCs/>
                <w:color w:val="auto"/>
              </w:rPr>
            </w:pPr>
            <w:r>
              <w:rPr>
                <w:rFonts w:hint="eastAsia" w:ascii="Times New Roman" w:hAnsi="宋体" w:cs="Times New Roman"/>
                <w:bCs/>
                <w:color w:val="auto"/>
              </w:rPr>
              <w:t>锡及其化合物</w:t>
            </w:r>
          </w:p>
        </w:tc>
        <w:tc>
          <w:tcPr>
            <w:tcW w:w="1002" w:type="dxa"/>
            <w:vMerge w:val="continue"/>
            <w:vAlign w:val="center"/>
          </w:tcPr>
          <w:p>
            <w:pPr>
              <w:pStyle w:val="13"/>
              <w:jc w:val="center"/>
              <w:rPr>
                <w:rFonts w:ascii="Times New Roman" w:hAnsi="宋体" w:cs="Times New Roman"/>
                <w:bCs/>
                <w:color w:val="auto"/>
              </w:rPr>
            </w:pPr>
          </w:p>
        </w:tc>
      </w:tr>
    </w:tbl>
    <w:p>
      <w:pPr>
        <w:adjustRightInd w:val="0"/>
        <w:snapToGrid w:val="0"/>
        <w:spacing w:line="360" w:lineRule="auto"/>
        <w:rPr>
          <w:b/>
          <w:color w:val="auto"/>
          <w:kern w:val="0"/>
          <w:sz w:val="28"/>
          <w:szCs w:val="28"/>
        </w:rPr>
        <w:sectPr>
          <w:pgSz w:w="16840" w:h="11907" w:orient="landscape"/>
          <w:pgMar w:top="720" w:right="720" w:bottom="720" w:left="720" w:header="851" w:footer="851" w:gutter="0"/>
          <w:pgNumType w:fmt="decimal"/>
          <w:cols w:space="720" w:num="1"/>
          <w:docGrid w:linePitch="312" w:charSpace="0"/>
        </w:sectPr>
      </w:pPr>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81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10" w:hRule="atLeast"/>
          <w:jc w:val="center"/>
        </w:trPr>
        <w:tc>
          <w:tcPr>
            <w:tcW w:w="746" w:type="dxa"/>
            <w:tcMar>
              <w:left w:w="28" w:type="dxa"/>
              <w:right w:w="28" w:type="dxa"/>
            </w:tcMar>
            <w:vAlign w:val="center"/>
          </w:tcPr>
          <w:p>
            <w:pPr>
              <w:adjustRightInd w:val="0"/>
              <w:snapToGrid w:val="0"/>
              <w:jc w:val="center"/>
              <w:rPr>
                <w:bCs/>
                <w:color w:val="auto"/>
                <w:sz w:val="24"/>
              </w:rPr>
            </w:pPr>
            <w:r>
              <w:rPr>
                <w:bCs/>
                <w:color w:val="auto"/>
                <w:sz w:val="24"/>
              </w:rPr>
              <w:t>运营</w:t>
            </w:r>
          </w:p>
          <w:p>
            <w:pPr>
              <w:adjustRightInd w:val="0"/>
              <w:snapToGrid w:val="0"/>
              <w:jc w:val="center"/>
              <w:rPr>
                <w:bCs/>
                <w:color w:val="auto"/>
                <w:sz w:val="24"/>
              </w:rPr>
            </w:pPr>
            <w:r>
              <w:rPr>
                <w:bCs/>
                <w:color w:val="auto"/>
                <w:sz w:val="24"/>
              </w:rPr>
              <w:t>期环</w:t>
            </w:r>
          </w:p>
          <w:p>
            <w:pPr>
              <w:adjustRightInd w:val="0"/>
              <w:snapToGrid w:val="0"/>
              <w:jc w:val="center"/>
              <w:rPr>
                <w:bCs/>
                <w:color w:val="auto"/>
                <w:sz w:val="24"/>
              </w:rPr>
            </w:pPr>
            <w:r>
              <w:rPr>
                <w:bCs/>
                <w:color w:val="auto"/>
                <w:sz w:val="24"/>
              </w:rPr>
              <w:t>境影</w:t>
            </w:r>
          </w:p>
          <w:p>
            <w:pPr>
              <w:adjustRightInd w:val="0"/>
              <w:snapToGrid w:val="0"/>
              <w:jc w:val="center"/>
              <w:rPr>
                <w:bCs/>
                <w:color w:val="auto"/>
                <w:sz w:val="24"/>
              </w:rPr>
            </w:pPr>
            <w:r>
              <w:rPr>
                <w:bCs/>
                <w:color w:val="auto"/>
                <w:sz w:val="24"/>
              </w:rPr>
              <w:t>响和</w:t>
            </w:r>
          </w:p>
          <w:p>
            <w:pPr>
              <w:adjustRightInd w:val="0"/>
              <w:snapToGrid w:val="0"/>
              <w:jc w:val="center"/>
              <w:rPr>
                <w:bCs/>
                <w:color w:val="auto"/>
                <w:sz w:val="24"/>
              </w:rPr>
            </w:pPr>
            <w:r>
              <w:rPr>
                <w:bCs/>
                <w:color w:val="auto"/>
                <w:sz w:val="24"/>
              </w:rPr>
              <w:t>保护</w:t>
            </w:r>
          </w:p>
          <w:p>
            <w:pPr>
              <w:adjustRightInd w:val="0"/>
              <w:snapToGrid w:val="0"/>
              <w:jc w:val="center"/>
              <w:rPr>
                <w:bCs/>
                <w:color w:val="auto"/>
                <w:szCs w:val="21"/>
              </w:rPr>
            </w:pPr>
            <w:r>
              <w:rPr>
                <w:bCs/>
                <w:color w:val="auto"/>
                <w:sz w:val="24"/>
              </w:rPr>
              <w:t>措施</w:t>
            </w:r>
          </w:p>
        </w:tc>
        <w:tc>
          <w:tcPr>
            <w:tcW w:w="8162" w:type="dxa"/>
            <w:vAlign w:val="center"/>
          </w:tcPr>
          <w:p>
            <w:pPr>
              <w:pStyle w:val="15"/>
              <w:adjustRightInd w:val="0"/>
              <w:snapToGrid w:val="0"/>
              <w:spacing w:after="0" w:line="360" w:lineRule="auto"/>
              <w:rPr>
                <w:b/>
                <w:color w:val="auto"/>
                <w:sz w:val="24"/>
              </w:rPr>
            </w:pPr>
            <w:r>
              <w:rPr>
                <w:b/>
                <w:color w:val="auto"/>
                <w:sz w:val="24"/>
              </w:rPr>
              <w:t>2.废水</w:t>
            </w:r>
          </w:p>
          <w:p>
            <w:pPr>
              <w:adjustRightInd w:val="0"/>
              <w:snapToGrid w:val="0"/>
              <w:spacing w:line="360" w:lineRule="auto"/>
              <w:ind w:firstLine="480" w:firstLineChars="200"/>
              <w:rPr>
                <w:bCs/>
                <w:color w:val="auto"/>
                <w:sz w:val="24"/>
              </w:rPr>
            </w:pPr>
            <w:r>
              <w:rPr>
                <w:rFonts w:hint="eastAsia"/>
                <w:color w:val="auto"/>
                <w:sz w:val="24"/>
              </w:rPr>
              <w:t>本项目用水包括生活用水和冷却用水。冷却用水全部循环使用，只需定期补充新鲜水，因此产生的废水</w:t>
            </w:r>
            <w:r>
              <w:rPr>
                <w:rFonts w:hint="eastAsia"/>
                <w:bCs/>
                <w:color w:val="auto"/>
                <w:sz w:val="24"/>
              </w:rPr>
              <w:t>主要</w:t>
            </w:r>
            <w:r>
              <w:rPr>
                <w:rFonts w:hint="eastAsia"/>
                <w:bCs/>
                <w:color w:val="auto"/>
                <w:sz w:val="24"/>
                <w:lang w:val="en-US" w:eastAsia="zh-CN"/>
              </w:rPr>
              <w:t>为</w:t>
            </w:r>
            <w:r>
              <w:rPr>
                <w:rFonts w:hint="eastAsia"/>
                <w:bCs/>
                <w:color w:val="auto"/>
                <w:sz w:val="24"/>
              </w:rPr>
              <w:t>员工</w:t>
            </w:r>
            <w:r>
              <w:rPr>
                <w:bCs/>
                <w:color w:val="auto"/>
                <w:sz w:val="24"/>
              </w:rPr>
              <w:t>生活污水</w:t>
            </w:r>
            <w:r>
              <w:rPr>
                <w:rFonts w:hint="eastAsia"/>
                <w:bCs/>
                <w:color w:val="auto"/>
                <w:sz w:val="24"/>
              </w:rPr>
              <w:t>。</w:t>
            </w:r>
          </w:p>
          <w:p>
            <w:pPr>
              <w:pStyle w:val="126"/>
              <w:adjustRightInd w:val="0"/>
              <w:snapToGrid w:val="0"/>
              <w:spacing w:line="360" w:lineRule="auto"/>
              <w:ind w:firstLine="482"/>
              <w:rPr>
                <w:b/>
                <w:bCs/>
                <w:color w:val="auto"/>
                <w:sz w:val="24"/>
              </w:rPr>
            </w:pPr>
            <w:r>
              <w:rPr>
                <w:rFonts w:hint="eastAsia" w:ascii="宋体" w:hAnsi="宋体" w:cs="宋体"/>
                <w:b/>
                <w:bCs/>
                <w:color w:val="auto"/>
                <w:sz w:val="24"/>
              </w:rPr>
              <w:t>（1）废水产排污情况</w:t>
            </w:r>
          </w:p>
          <w:p>
            <w:pPr>
              <w:adjustRightInd w:val="0"/>
              <w:snapToGrid w:val="0"/>
              <w:spacing w:line="360" w:lineRule="auto"/>
              <w:ind w:firstLine="482" w:firstLineChars="200"/>
              <w:rPr>
                <w:color w:val="auto"/>
                <w:sz w:val="24"/>
              </w:rPr>
            </w:pPr>
            <w:r>
              <w:rPr>
                <w:rFonts w:hint="eastAsia"/>
                <w:b/>
                <w:bCs/>
                <w:color w:val="auto"/>
                <w:sz w:val="24"/>
              </w:rPr>
              <w:t>生活污水：</w:t>
            </w:r>
            <w:r>
              <w:rPr>
                <w:rFonts w:hint="eastAsia"/>
                <w:color w:val="auto"/>
                <w:sz w:val="24"/>
              </w:rPr>
              <w:t>本项目员工100人，年工作时间300天，均在厂区食宿，参考《用水定额 第3部分：生活》（DB44/T1461.3-2021）</w:t>
            </w:r>
            <w:r>
              <w:rPr>
                <w:rFonts w:hint="eastAsia" w:hAnsi="宋体"/>
                <w:color w:val="auto"/>
                <w:sz w:val="24"/>
              </w:rPr>
              <w:t>中城镇居民生活用水定额中的“中城镇”用水定额，为150L/人·d计算</w:t>
            </w:r>
            <w:r>
              <w:rPr>
                <w:rFonts w:hint="eastAsia"/>
                <w:color w:val="auto"/>
                <w:sz w:val="24"/>
              </w:rPr>
              <w:t>，则员工办公生活用水总量为4500m</w:t>
            </w:r>
            <w:r>
              <w:rPr>
                <w:rFonts w:hint="eastAsia"/>
                <w:color w:val="auto"/>
                <w:sz w:val="24"/>
                <w:vertAlign w:val="superscript"/>
              </w:rPr>
              <w:t>3</w:t>
            </w:r>
            <w:r>
              <w:rPr>
                <w:rFonts w:hint="eastAsia"/>
                <w:color w:val="auto"/>
                <w:sz w:val="24"/>
              </w:rPr>
              <w:t>/a，折合15m</w:t>
            </w:r>
            <w:r>
              <w:rPr>
                <w:rFonts w:hint="eastAsia"/>
                <w:color w:val="auto"/>
                <w:sz w:val="24"/>
                <w:vertAlign w:val="superscript"/>
              </w:rPr>
              <w:t>3</w:t>
            </w:r>
            <w:r>
              <w:rPr>
                <w:rFonts w:hint="eastAsia"/>
                <w:color w:val="auto"/>
                <w:sz w:val="24"/>
              </w:rPr>
              <w:t>/d。排污系数按90%计算，则办公生活污水产生总量为4050m</w:t>
            </w:r>
            <w:r>
              <w:rPr>
                <w:rFonts w:hint="eastAsia"/>
                <w:color w:val="auto"/>
                <w:sz w:val="24"/>
                <w:vertAlign w:val="superscript"/>
              </w:rPr>
              <w:t>3</w:t>
            </w:r>
            <w:r>
              <w:rPr>
                <w:rFonts w:hint="eastAsia"/>
                <w:color w:val="auto"/>
                <w:sz w:val="24"/>
              </w:rPr>
              <w:t>/a，折合13.5m</w:t>
            </w:r>
            <w:r>
              <w:rPr>
                <w:rFonts w:hint="eastAsia"/>
                <w:color w:val="auto"/>
                <w:sz w:val="24"/>
                <w:vertAlign w:val="superscript"/>
              </w:rPr>
              <w:t>3</w:t>
            </w:r>
            <w:r>
              <w:rPr>
                <w:rFonts w:hint="eastAsia"/>
                <w:color w:val="auto"/>
                <w:sz w:val="24"/>
              </w:rPr>
              <w:t>/d，其污染物主要为COD</w:t>
            </w:r>
            <w:r>
              <w:rPr>
                <w:rFonts w:hint="eastAsia"/>
                <w:color w:val="auto"/>
                <w:sz w:val="24"/>
                <w:vertAlign w:val="subscript"/>
              </w:rPr>
              <w:t>Cr</w:t>
            </w:r>
            <w:r>
              <w:rPr>
                <w:rFonts w:hint="eastAsia"/>
                <w:color w:val="auto"/>
                <w:sz w:val="24"/>
              </w:rPr>
              <w:t>：250mg/L、BOD</w:t>
            </w:r>
            <w:r>
              <w:rPr>
                <w:rFonts w:hint="eastAsia"/>
                <w:color w:val="auto"/>
                <w:sz w:val="24"/>
                <w:vertAlign w:val="subscript"/>
              </w:rPr>
              <w:t>5</w:t>
            </w:r>
            <w:r>
              <w:rPr>
                <w:rFonts w:hint="eastAsia"/>
                <w:color w:val="auto"/>
                <w:sz w:val="24"/>
              </w:rPr>
              <w:t>：150mg/L、SS：200mg/L</w:t>
            </w:r>
            <w:r>
              <w:rPr>
                <w:rFonts w:hint="eastAsia"/>
                <w:color w:val="auto"/>
                <w:sz w:val="24"/>
                <w:lang w:eastAsia="zh-CN"/>
              </w:rPr>
              <w:t>、</w:t>
            </w:r>
            <w:r>
              <w:rPr>
                <w:rFonts w:hint="eastAsia"/>
                <w:color w:val="auto"/>
                <w:sz w:val="24"/>
                <w:lang w:val="en-US" w:eastAsia="zh-CN"/>
              </w:rPr>
              <w:t>动植物油：45mg/L</w:t>
            </w:r>
            <w:r>
              <w:rPr>
                <w:rFonts w:hint="eastAsia"/>
                <w:color w:val="auto"/>
                <w:sz w:val="24"/>
              </w:rPr>
              <w:t>和NH</w:t>
            </w:r>
            <w:r>
              <w:rPr>
                <w:rFonts w:hint="eastAsia"/>
                <w:color w:val="auto"/>
                <w:sz w:val="24"/>
                <w:vertAlign w:val="subscript"/>
              </w:rPr>
              <w:t>3</w:t>
            </w:r>
            <w:r>
              <w:rPr>
                <w:rFonts w:hint="eastAsia"/>
                <w:color w:val="auto"/>
                <w:sz w:val="24"/>
              </w:rPr>
              <w:t>-N：25mg/L。</w:t>
            </w:r>
          </w:p>
          <w:p>
            <w:pPr>
              <w:pStyle w:val="15"/>
              <w:spacing w:after="0" w:line="360" w:lineRule="auto"/>
              <w:ind w:left="0" w:leftChars="0" w:firstLine="480" w:firstLineChars="200"/>
              <w:rPr>
                <w:color w:val="auto"/>
                <w:sz w:val="24"/>
              </w:rPr>
            </w:pPr>
            <w:r>
              <w:rPr>
                <w:rFonts w:hint="eastAsia"/>
                <w:color w:val="auto"/>
                <w:sz w:val="24"/>
              </w:rPr>
              <w:t>生活污水经三级化粪池预处理后，通过园区污水管网排入园区污水处理厂进行深度处理</w:t>
            </w:r>
            <w:r>
              <w:rPr>
                <w:rFonts w:hint="eastAsia"/>
                <w:color w:val="auto"/>
                <w:sz w:val="24"/>
                <w:lang w:eastAsia="zh-CN"/>
              </w:rPr>
              <w:t>，</w:t>
            </w:r>
            <w:r>
              <w:rPr>
                <w:rFonts w:hint="eastAsia"/>
                <w:color w:val="auto"/>
                <w:sz w:val="24"/>
                <w:lang w:val="en-US" w:eastAsia="zh-CN"/>
              </w:rPr>
              <w:t>尾水最终</w:t>
            </w:r>
            <w:r>
              <w:rPr>
                <w:rFonts w:hint="eastAsia"/>
                <w:color w:val="auto"/>
                <w:sz w:val="24"/>
              </w:rPr>
              <w:t>排入武江。本项目水污染物</w:t>
            </w:r>
            <w:r>
              <w:rPr>
                <w:color w:val="auto"/>
                <w:sz w:val="24"/>
              </w:rPr>
              <w:t>产排情况见表</w:t>
            </w:r>
            <w:r>
              <w:rPr>
                <w:rFonts w:hint="eastAsia"/>
                <w:color w:val="auto"/>
                <w:sz w:val="24"/>
                <w:lang w:val="en-US" w:eastAsia="zh-CN"/>
              </w:rPr>
              <w:t>4-5</w:t>
            </w:r>
            <w:r>
              <w:rPr>
                <w:color w:val="auto"/>
                <w:sz w:val="24"/>
              </w:rPr>
              <w:t>。</w:t>
            </w:r>
          </w:p>
          <w:p>
            <w:pPr>
              <w:pStyle w:val="26"/>
              <w:adjustRightInd w:val="0"/>
              <w:snapToGrid w:val="0"/>
              <w:spacing w:after="0" w:line="360" w:lineRule="auto"/>
              <w:ind w:firstLine="0" w:firstLineChars="0"/>
              <w:jc w:val="center"/>
              <w:rPr>
                <w:rFonts w:hint="eastAsia"/>
                <w:b/>
                <w:color w:val="auto"/>
                <w:sz w:val="24"/>
                <w:lang w:val="zh-CN"/>
              </w:rPr>
            </w:pPr>
            <w:r>
              <w:rPr>
                <w:b/>
                <w:color w:val="auto"/>
                <w:sz w:val="24"/>
                <w:lang w:val="zh-CN"/>
              </w:rPr>
              <w:t>表</w:t>
            </w:r>
            <w:r>
              <w:rPr>
                <w:rFonts w:hint="eastAsia"/>
                <w:b/>
                <w:color w:val="auto"/>
                <w:sz w:val="24"/>
                <w:lang w:val="en-US" w:eastAsia="zh-CN"/>
              </w:rPr>
              <w:t>4-5</w:t>
            </w:r>
            <w:r>
              <w:rPr>
                <w:b/>
                <w:color w:val="auto"/>
                <w:sz w:val="24"/>
              </w:rPr>
              <w:t xml:space="preserve"> </w:t>
            </w:r>
            <w:r>
              <w:rPr>
                <w:b/>
                <w:color w:val="auto"/>
                <w:sz w:val="24"/>
                <w:lang w:val="zh-CN"/>
              </w:rPr>
              <w:t>本项目</w:t>
            </w:r>
            <w:r>
              <w:rPr>
                <w:rFonts w:hint="eastAsia"/>
                <w:b/>
                <w:color w:val="auto"/>
                <w:sz w:val="24"/>
                <w:lang w:val="zh-CN"/>
              </w:rPr>
              <w:t>水污染物排放情况一览表</w:t>
            </w:r>
          </w:p>
          <w:tbl>
            <w:tblPr>
              <w:tblStyle w:val="28"/>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9"/>
              <w:gridCol w:w="1091"/>
              <w:gridCol w:w="896"/>
              <w:gridCol w:w="896"/>
              <w:gridCol w:w="896"/>
              <w:gridCol w:w="896"/>
              <w:gridCol w:w="906"/>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95" w:type="pct"/>
                  <w:gridSpan w:val="2"/>
                  <w:vAlign w:val="center"/>
                </w:tcPr>
                <w:p>
                  <w:pPr>
                    <w:pStyle w:val="26"/>
                    <w:adjustRightInd w:val="0"/>
                    <w:snapToGrid w:val="0"/>
                    <w:spacing w:after="0"/>
                    <w:ind w:firstLine="0" w:firstLineChars="0"/>
                    <w:jc w:val="center"/>
                    <w:rPr>
                      <w:b/>
                      <w:bCs/>
                      <w:color w:val="auto"/>
                      <w:szCs w:val="21"/>
                    </w:rPr>
                  </w:pPr>
                  <w:r>
                    <w:rPr>
                      <w:b/>
                      <w:bCs/>
                      <w:color w:val="auto"/>
                      <w:szCs w:val="21"/>
                    </w:rPr>
                    <w:t>污染物</w:t>
                  </w:r>
                </w:p>
              </w:tc>
              <w:tc>
                <w:tcPr>
                  <w:tcW w:w="565" w:type="pct"/>
                  <w:vAlign w:val="center"/>
                </w:tcPr>
                <w:p>
                  <w:pPr>
                    <w:pStyle w:val="26"/>
                    <w:adjustRightInd w:val="0"/>
                    <w:snapToGrid w:val="0"/>
                    <w:spacing w:after="0"/>
                    <w:ind w:firstLine="0" w:firstLineChars="0"/>
                    <w:jc w:val="center"/>
                    <w:rPr>
                      <w:b/>
                      <w:bCs/>
                      <w:color w:val="auto"/>
                      <w:szCs w:val="21"/>
                    </w:rPr>
                  </w:pPr>
                  <w:r>
                    <w:rPr>
                      <w:b/>
                      <w:bCs/>
                      <w:color w:val="auto"/>
                      <w:szCs w:val="21"/>
                    </w:rPr>
                    <w:t>pH（无量纲）</w:t>
                  </w:r>
                </w:p>
              </w:tc>
              <w:tc>
                <w:tcPr>
                  <w:tcW w:w="565" w:type="pct"/>
                  <w:vAlign w:val="center"/>
                </w:tcPr>
                <w:p>
                  <w:pPr>
                    <w:pStyle w:val="26"/>
                    <w:adjustRightInd w:val="0"/>
                    <w:snapToGrid w:val="0"/>
                    <w:spacing w:after="0"/>
                    <w:ind w:firstLine="0" w:firstLineChars="0"/>
                    <w:jc w:val="center"/>
                    <w:rPr>
                      <w:b/>
                      <w:bCs/>
                      <w:color w:val="auto"/>
                      <w:szCs w:val="21"/>
                    </w:rPr>
                  </w:pPr>
                  <w:r>
                    <w:rPr>
                      <w:b/>
                      <w:bCs/>
                      <w:color w:val="auto"/>
                      <w:szCs w:val="21"/>
                    </w:rPr>
                    <w:t>COD</w:t>
                  </w:r>
                </w:p>
              </w:tc>
              <w:tc>
                <w:tcPr>
                  <w:tcW w:w="565" w:type="pct"/>
                  <w:vAlign w:val="center"/>
                </w:tcPr>
                <w:p>
                  <w:pPr>
                    <w:pStyle w:val="26"/>
                    <w:adjustRightInd w:val="0"/>
                    <w:snapToGrid w:val="0"/>
                    <w:spacing w:after="0"/>
                    <w:ind w:firstLine="0" w:firstLineChars="0"/>
                    <w:jc w:val="center"/>
                    <w:rPr>
                      <w:b/>
                      <w:bCs/>
                      <w:color w:val="auto"/>
                      <w:szCs w:val="21"/>
                    </w:rPr>
                  </w:pPr>
                  <w:r>
                    <w:rPr>
                      <w:b/>
                      <w:bCs/>
                      <w:color w:val="auto"/>
                      <w:szCs w:val="21"/>
                    </w:rPr>
                    <w:t>BOD</w:t>
                  </w:r>
                  <w:r>
                    <w:rPr>
                      <w:b/>
                      <w:bCs/>
                      <w:color w:val="auto"/>
                      <w:szCs w:val="21"/>
                      <w:vertAlign w:val="subscript"/>
                    </w:rPr>
                    <w:t>5</w:t>
                  </w:r>
                </w:p>
              </w:tc>
              <w:tc>
                <w:tcPr>
                  <w:tcW w:w="565" w:type="pct"/>
                  <w:vAlign w:val="center"/>
                </w:tcPr>
                <w:p>
                  <w:pPr>
                    <w:pStyle w:val="26"/>
                    <w:adjustRightInd w:val="0"/>
                    <w:snapToGrid w:val="0"/>
                    <w:spacing w:after="0"/>
                    <w:ind w:firstLine="0" w:firstLineChars="0"/>
                    <w:jc w:val="center"/>
                    <w:rPr>
                      <w:b/>
                      <w:bCs/>
                      <w:color w:val="auto"/>
                      <w:szCs w:val="21"/>
                    </w:rPr>
                  </w:pPr>
                  <w:r>
                    <w:rPr>
                      <w:b/>
                      <w:bCs/>
                      <w:color w:val="auto"/>
                      <w:szCs w:val="21"/>
                    </w:rPr>
                    <w:t>SS</w:t>
                  </w:r>
                </w:p>
              </w:tc>
              <w:tc>
                <w:tcPr>
                  <w:tcW w:w="571" w:type="pct"/>
                  <w:vAlign w:val="center"/>
                </w:tcPr>
                <w:p>
                  <w:pPr>
                    <w:pStyle w:val="26"/>
                    <w:adjustRightInd w:val="0"/>
                    <w:snapToGrid w:val="0"/>
                    <w:spacing w:after="0"/>
                    <w:ind w:firstLine="0" w:firstLineChars="0"/>
                    <w:jc w:val="center"/>
                    <w:rPr>
                      <w:b/>
                      <w:bCs/>
                      <w:color w:val="auto"/>
                      <w:szCs w:val="21"/>
                    </w:rPr>
                  </w:pPr>
                  <w:r>
                    <w:rPr>
                      <w:b/>
                      <w:bCs/>
                      <w:color w:val="auto"/>
                      <w:szCs w:val="21"/>
                    </w:rPr>
                    <w:t>NH</w:t>
                  </w:r>
                  <w:r>
                    <w:rPr>
                      <w:b/>
                      <w:bCs/>
                      <w:color w:val="auto"/>
                      <w:szCs w:val="21"/>
                      <w:vertAlign w:val="subscript"/>
                    </w:rPr>
                    <w:t>3</w:t>
                  </w:r>
                  <w:r>
                    <w:rPr>
                      <w:b/>
                      <w:bCs/>
                      <w:color w:val="auto"/>
                      <w:szCs w:val="21"/>
                    </w:rPr>
                    <w:t>-N</w:t>
                  </w:r>
                </w:p>
              </w:tc>
              <w:tc>
                <w:tcPr>
                  <w:tcW w:w="570" w:type="pct"/>
                  <w:vAlign w:val="center"/>
                </w:tcPr>
                <w:p>
                  <w:pPr>
                    <w:pStyle w:val="26"/>
                    <w:adjustRightInd w:val="0"/>
                    <w:snapToGrid w:val="0"/>
                    <w:spacing w:after="0"/>
                    <w:ind w:firstLine="0" w:firstLineChars="0"/>
                    <w:jc w:val="center"/>
                    <w:rPr>
                      <w:b/>
                      <w:bCs/>
                      <w:color w:val="auto"/>
                      <w:szCs w:val="21"/>
                    </w:rPr>
                  </w:pPr>
                  <w:r>
                    <w:rPr>
                      <w:rFonts w:hint="eastAsia"/>
                      <w:b/>
                      <w:bCs/>
                      <w:color w:val="auto"/>
                      <w:szCs w:val="21"/>
                      <w:lang w:val="en-US" w:eastAsia="zh-CN"/>
                    </w:rPr>
                    <w:t>动植物油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7" w:type="pct"/>
                  <w:vMerge w:val="restart"/>
                  <w:vAlign w:val="center"/>
                </w:tcPr>
                <w:p>
                  <w:pPr>
                    <w:jc w:val="center"/>
                    <w:rPr>
                      <w:color w:val="auto"/>
                      <w:szCs w:val="21"/>
                    </w:rPr>
                  </w:pPr>
                  <w:r>
                    <w:rPr>
                      <w:color w:val="auto"/>
                      <w:szCs w:val="21"/>
                      <w:lang w:val="zh-CN"/>
                    </w:rPr>
                    <w:t>生活污水</w:t>
                  </w:r>
                </w:p>
                <w:p>
                  <w:pPr>
                    <w:pStyle w:val="26"/>
                    <w:adjustRightInd w:val="0"/>
                    <w:snapToGrid w:val="0"/>
                    <w:spacing w:after="0"/>
                    <w:ind w:firstLine="0" w:firstLineChars="0"/>
                    <w:jc w:val="center"/>
                    <w:rPr>
                      <w:rFonts w:hint="eastAsia" w:eastAsia="宋体"/>
                      <w:color w:val="auto"/>
                      <w:szCs w:val="21"/>
                      <w:lang w:eastAsia="zh-CN"/>
                    </w:rPr>
                  </w:pPr>
                  <w:r>
                    <w:rPr>
                      <w:color w:val="auto"/>
                      <w:szCs w:val="21"/>
                    </w:rPr>
                    <w:t>（</w:t>
                  </w:r>
                  <w:r>
                    <w:rPr>
                      <w:rFonts w:hint="eastAsia" w:eastAsiaTheme="minorEastAsia"/>
                      <w:color w:val="auto"/>
                      <w:szCs w:val="21"/>
                    </w:rPr>
                    <w:t>4050</w:t>
                  </w:r>
                  <w:r>
                    <w:rPr>
                      <w:color w:val="auto"/>
                      <w:szCs w:val="21"/>
                    </w:rPr>
                    <w:t>m</w:t>
                  </w:r>
                  <w:r>
                    <w:rPr>
                      <w:color w:val="auto"/>
                      <w:szCs w:val="21"/>
                      <w:vertAlign w:val="superscript"/>
                    </w:rPr>
                    <w:t>3</w:t>
                  </w:r>
                  <w:r>
                    <w:rPr>
                      <w:color w:val="auto"/>
                      <w:szCs w:val="21"/>
                    </w:rPr>
                    <w:t>/a</w:t>
                  </w:r>
                  <w:r>
                    <w:rPr>
                      <w:rFonts w:hint="eastAsia"/>
                      <w:color w:val="auto"/>
                      <w:szCs w:val="21"/>
                      <w:lang w:eastAsia="zh-CN"/>
                    </w:rPr>
                    <w:t>）</w:t>
                  </w:r>
                </w:p>
              </w:tc>
              <w:tc>
                <w:tcPr>
                  <w:tcW w:w="687" w:type="pct"/>
                  <w:vAlign w:val="center"/>
                </w:tcPr>
                <w:p>
                  <w:pPr>
                    <w:pStyle w:val="26"/>
                    <w:adjustRightInd w:val="0"/>
                    <w:snapToGrid w:val="0"/>
                    <w:spacing w:after="0"/>
                    <w:ind w:firstLine="0" w:firstLineChars="0"/>
                    <w:jc w:val="center"/>
                    <w:rPr>
                      <w:color w:val="auto"/>
                      <w:szCs w:val="21"/>
                    </w:rPr>
                  </w:pPr>
                  <w:r>
                    <w:rPr>
                      <w:color w:val="auto"/>
                      <w:szCs w:val="21"/>
                    </w:rPr>
                    <w:t>产生浓度（mg/L）</w:t>
                  </w:r>
                </w:p>
              </w:tc>
              <w:tc>
                <w:tcPr>
                  <w:tcW w:w="565" w:type="pct"/>
                  <w:vAlign w:val="center"/>
                </w:tcPr>
                <w:p>
                  <w:pPr>
                    <w:widowControl/>
                    <w:jc w:val="center"/>
                    <w:textAlignment w:val="center"/>
                    <w:rPr>
                      <w:color w:val="auto"/>
                      <w:szCs w:val="21"/>
                    </w:rPr>
                  </w:pPr>
                  <w:r>
                    <w:rPr>
                      <w:color w:val="auto"/>
                      <w:kern w:val="0"/>
                      <w:szCs w:val="21"/>
                      <w:lang w:bidi="ar"/>
                    </w:rPr>
                    <w:t>6~9</w:t>
                  </w:r>
                </w:p>
              </w:tc>
              <w:tc>
                <w:tcPr>
                  <w:tcW w:w="565" w:type="pct"/>
                  <w:vAlign w:val="center"/>
                </w:tcPr>
                <w:p>
                  <w:pPr>
                    <w:widowControl/>
                    <w:jc w:val="center"/>
                    <w:textAlignment w:val="center"/>
                    <w:rPr>
                      <w:color w:val="auto"/>
                      <w:szCs w:val="21"/>
                    </w:rPr>
                  </w:pPr>
                  <w:r>
                    <w:rPr>
                      <w:color w:val="auto"/>
                      <w:kern w:val="0"/>
                      <w:szCs w:val="21"/>
                      <w:lang w:bidi="ar"/>
                    </w:rPr>
                    <w:t>250</w:t>
                  </w:r>
                </w:p>
              </w:tc>
              <w:tc>
                <w:tcPr>
                  <w:tcW w:w="565" w:type="pct"/>
                  <w:vAlign w:val="center"/>
                </w:tcPr>
                <w:p>
                  <w:pPr>
                    <w:widowControl/>
                    <w:jc w:val="center"/>
                    <w:textAlignment w:val="center"/>
                    <w:rPr>
                      <w:color w:val="auto"/>
                      <w:szCs w:val="21"/>
                    </w:rPr>
                  </w:pPr>
                  <w:r>
                    <w:rPr>
                      <w:color w:val="auto"/>
                      <w:kern w:val="0"/>
                      <w:szCs w:val="21"/>
                      <w:lang w:bidi="ar"/>
                    </w:rPr>
                    <w:t>150</w:t>
                  </w:r>
                </w:p>
              </w:tc>
              <w:tc>
                <w:tcPr>
                  <w:tcW w:w="565" w:type="pct"/>
                  <w:vAlign w:val="center"/>
                </w:tcPr>
                <w:p>
                  <w:pPr>
                    <w:widowControl/>
                    <w:jc w:val="center"/>
                    <w:textAlignment w:val="center"/>
                    <w:rPr>
                      <w:color w:val="auto"/>
                      <w:szCs w:val="21"/>
                    </w:rPr>
                  </w:pPr>
                  <w:r>
                    <w:rPr>
                      <w:color w:val="auto"/>
                      <w:kern w:val="0"/>
                      <w:szCs w:val="21"/>
                      <w:lang w:bidi="ar"/>
                    </w:rPr>
                    <w:t>200</w:t>
                  </w:r>
                </w:p>
              </w:tc>
              <w:tc>
                <w:tcPr>
                  <w:tcW w:w="571" w:type="pct"/>
                  <w:vAlign w:val="center"/>
                </w:tcPr>
                <w:p>
                  <w:pPr>
                    <w:widowControl/>
                    <w:jc w:val="center"/>
                    <w:textAlignment w:val="center"/>
                    <w:rPr>
                      <w:color w:val="auto"/>
                      <w:szCs w:val="21"/>
                    </w:rPr>
                  </w:pPr>
                  <w:r>
                    <w:rPr>
                      <w:color w:val="auto"/>
                      <w:kern w:val="0"/>
                      <w:szCs w:val="21"/>
                      <w:lang w:bidi="ar"/>
                    </w:rPr>
                    <w:t>25</w:t>
                  </w:r>
                </w:p>
              </w:tc>
              <w:tc>
                <w:tcPr>
                  <w:tcW w:w="570" w:type="pct"/>
                  <w:vAlign w:val="center"/>
                </w:tcPr>
                <w:p>
                  <w:pPr>
                    <w:widowControl/>
                    <w:jc w:val="center"/>
                    <w:textAlignment w:val="center"/>
                    <w:rPr>
                      <w:rFonts w:hint="default" w:eastAsia="宋体"/>
                      <w:color w:val="auto"/>
                      <w:kern w:val="0"/>
                      <w:szCs w:val="21"/>
                      <w:lang w:val="en-US" w:eastAsia="zh-CN" w:bidi="ar"/>
                    </w:rPr>
                  </w:pPr>
                  <w:r>
                    <w:rPr>
                      <w:rFonts w:hint="eastAsia"/>
                      <w:color w:val="auto"/>
                      <w:kern w:val="0"/>
                      <w:szCs w:val="21"/>
                      <w:lang w:val="en-US" w:eastAsia="zh-CN" w:bidi="ar"/>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7" w:type="pct"/>
                  <w:vMerge w:val="continue"/>
                  <w:vAlign w:val="center"/>
                </w:tcPr>
                <w:p>
                  <w:pPr>
                    <w:pStyle w:val="26"/>
                    <w:adjustRightInd w:val="0"/>
                    <w:snapToGrid w:val="0"/>
                    <w:spacing w:after="0"/>
                    <w:ind w:firstLine="0" w:firstLineChars="0"/>
                    <w:jc w:val="center"/>
                    <w:rPr>
                      <w:color w:val="auto"/>
                      <w:szCs w:val="21"/>
                    </w:rPr>
                  </w:pPr>
                </w:p>
              </w:tc>
              <w:tc>
                <w:tcPr>
                  <w:tcW w:w="687" w:type="pct"/>
                  <w:vAlign w:val="center"/>
                </w:tcPr>
                <w:p>
                  <w:pPr>
                    <w:pStyle w:val="26"/>
                    <w:adjustRightInd w:val="0"/>
                    <w:snapToGrid w:val="0"/>
                    <w:spacing w:after="0"/>
                    <w:ind w:firstLine="0" w:firstLineChars="0"/>
                    <w:jc w:val="center"/>
                    <w:rPr>
                      <w:color w:val="auto"/>
                      <w:szCs w:val="21"/>
                    </w:rPr>
                  </w:pPr>
                  <w:r>
                    <w:rPr>
                      <w:color w:val="auto"/>
                      <w:szCs w:val="21"/>
                    </w:rPr>
                    <w:t>产生量（t/a）</w:t>
                  </w:r>
                </w:p>
              </w:tc>
              <w:tc>
                <w:tcPr>
                  <w:tcW w:w="565" w:type="pct"/>
                  <w:vAlign w:val="center"/>
                </w:tcPr>
                <w:p>
                  <w:pPr>
                    <w:widowControl/>
                    <w:jc w:val="center"/>
                    <w:textAlignment w:val="center"/>
                    <w:rPr>
                      <w:color w:val="auto"/>
                      <w:szCs w:val="21"/>
                    </w:rPr>
                  </w:pPr>
                  <w:r>
                    <w:rPr>
                      <w:color w:val="auto"/>
                      <w:kern w:val="0"/>
                      <w:szCs w:val="21"/>
                      <w:lang w:bidi="ar"/>
                    </w:rPr>
                    <w:t>/</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1.01 </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0.61 </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0.81 </w:t>
                  </w:r>
                </w:p>
              </w:tc>
              <w:tc>
                <w:tcPr>
                  <w:tcW w:w="571" w:type="pct"/>
                  <w:vAlign w:val="center"/>
                </w:tcPr>
                <w:p>
                  <w:pPr>
                    <w:widowControl/>
                    <w:jc w:val="center"/>
                    <w:textAlignment w:val="center"/>
                    <w:rPr>
                      <w:rFonts w:eastAsiaTheme="minorEastAsia"/>
                      <w:color w:val="auto"/>
                      <w:szCs w:val="21"/>
                    </w:rPr>
                  </w:pPr>
                  <w:r>
                    <w:rPr>
                      <w:color w:val="auto"/>
                      <w:kern w:val="0"/>
                      <w:szCs w:val="21"/>
                      <w:lang w:bidi="ar"/>
                    </w:rPr>
                    <w:t xml:space="preserve">0.10 </w:t>
                  </w:r>
                </w:p>
              </w:tc>
              <w:tc>
                <w:tcPr>
                  <w:tcW w:w="570" w:type="pct"/>
                  <w:vAlign w:val="center"/>
                </w:tcPr>
                <w:p>
                  <w:pPr>
                    <w:widowControl/>
                    <w:jc w:val="center"/>
                    <w:textAlignment w:val="center"/>
                    <w:rPr>
                      <w:rFonts w:hint="default" w:eastAsia="宋体"/>
                      <w:color w:val="auto"/>
                      <w:kern w:val="0"/>
                      <w:szCs w:val="21"/>
                      <w:lang w:val="en-US" w:eastAsia="zh-CN" w:bidi="ar"/>
                    </w:rPr>
                  </w:pPr>
                  <w:r>
                    <w:rPr>
                      <w:rFonts w:hint="eastAsia"/>
                      <w:color w:val="auto"/>
                      <w:kern w:val="0"/>
                      <w:szCs w:val="21"/>
                      <w:lang w:val="en-US" w:eastAsia="zh-CN" w:bidi="ar"/>
                    </w:rPr>
                    <w:t>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95" w:type="pct"/>
                  <w:gridSpan w:val="2"/>
                  <w:vAlign w:val="center"/>
                </w:tcPr>
                <w:p>
                  <w:pPr>
                    <w:pStyle w:val="26"/>
                    <w:adjustRightInd w:val="0"/>
                    <w:snapToGrid w:val="0"/>
                    <w:spacing w:after="0"/>
                    <w:ind w:firstLine="0" w:firstLineChars="0"/>
                    <w:jc w:val="center"/>
                    <w:rPr>
                      <w:color w:val="auto"/>
                      <w:szCs w:val="21"/>
                    </w:rPr>
                  </w:pPr>
                  <w:r>
                    <w:rPr>
                      <w:color w:val="auto"/>
                      <w:szCs w:val="21"/>
                    </w:rPr>
                    <w:t>处理措施</w:t>
                  </w:r>
                </w:p>
              </w:tc>
              <w:tc>
                <w:tcPr>
                  <w:tcW w:w="3404" w:type="pct"/>
                  <w:gridSpan w:val="6"/>
                  <w:vAlign w:val="center"/>
                </w:tcPr>
                <w:p>
                  <w:pPr>
                    <w:widowControl/>
                    <w:jc w:val="center"/>
                    <w:textAlignment w:val="center"/>
                    <w:rPr>
                      <w:rFonts w:hint="eastAsia" w:ascii="宋体" w:hAnsi="宋体" w:cs="宋体"/>
                      <w:color w:val="auto"/>
                      <w:kern w:val="0"/>
                      <w:szCs w:val="21"/>
                      <w:lang w:bidi="ar"/>
                    </w:rPr>
                  </w:pPr>
                  <w:r>
                    <w:rPr>
                      <w:rFonts w:hint="eastAsia" w:ascii="宋体" w:hAnsi="宋体" w:cs="宋体"/>
                      <w:color w:val="auto"/>
                      <w:kern w:val="0"/>
                      <w:szCs w:val="21"/>
                      <w:lang w:bidi="ar"/>
                    </w:rPr>
                    <w:t>经三级化粪池预处理后排入园区污水处理厂处理，达到广东省地方标准《水污染物排放限值》（</w:t>
                  </w:r>
                  <w:r>
                    <w:rPr>
                      <w:color w:val="auto"/>
                      <w:kern w:val="0"/>
                      <w:szCs w:val="21"/>
                      <w:lang w:bidi="ar"/>
                    </w:rPr>
                    <w:t>DB44/26-2001</w:t>
                  </w:r>
                  <w:r>
                    <w:rPr>
                      <w:rFonts w:hint="eastAsia" w:ascii="宋体" w:hAnsi="宋体" w:cs="宋体"/>
                      <w:color w:val="auto"/>
                      <w:kern w:val="0"/>
                      <w:szCs w:val="21"/>
                      <w:lang w:bidi="ar"/>
                    </w:rPr>
                    <w:t>）第二时段一级标准及《城镇污水处理厂污染物排放标准》（</w:t>
                  </w:r>
                  <w:r>
                    <w:rPr>
                      <w:color w:val="auto"/>
                      <w:kern w:val="0"/>
                      <w:szCs w:val="21"/>
                      <w:lang w:bidi="ar"/>
                    </w:rPr>
                    <w:t>GB18918-2002</w:t>
                  </w:r>
                  <w:r>
                    <w:rPr>
                      <w:rFonts w:hint="eastAsia" w:ascii="宋体" w:hAnsi="宋体" w:cs="宋体"/>
                      <w:color w:val="auto"/>
                      <w:kern w:val="0"/>
                      <w:szCs w:val="21"/>
                      <w:lang w:bidi="ar"/>
                    </w:rPr>
                    <w:t>）一级</w:t>
                  </w:r>
                  <w:r>
                    <w:rPr>
                      <w:color w:val="auto"/>
                      <w:kern w:val="0"/>
                      <w:szCs w:val="21"/>
                      <w:lang w:bidi="ar"/>
                    </w:rPr>
                    <w:t>B</w:t>
                  </w:r>
                  <w:r>
                    <w:rPr>
                      <w:rFonts w:hint="eastAsia" w:ascii="宋体" w:hAnsi="宋体" w:cs="宋体"/>
                      <w:color w:val="auto"/>
                      <w:kern w:val="0"/>
                      <w:szCs w:val="21"/>
                      <w:lang w:bidi="ar"/>
                    </w:rPr>
                    <w:t>标准中的严者后排放。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95" w:type="pct"/>
                  <w:gridSpan w:val="2"/>
                  <w:vAlign w:val="center"/>
                </w:tcPr>
                <w:p>
                  <w:pPr>
                    <w:pStyle w:val="26"/>
                    <w:adjustRightInd w:val="0"/>
                    <w:snapToGrid w:val="0"/>
                    <w:spacing w:after="0"/>
                    <w:ind w:firstLine="0" w:firstLineChars="0"/>
                    <w:jc w:val="center"/>
                    <w:rPr>
                      <w:color w:val="auto"/>
                      <w:szCs w:val="21"/>
                    </w:rPr>
                  </w:pPr>
                  <w:r>
                    <w:rPr>
                      <w:color w:val="auto"/>
                      <w:szCs w:val="21"/>
                    </w:rPr>
                    <w:t>厂区排放浓度</w:t>
                  </w:r>
                  <w:r>
                    <w:rPr>
                      <w:color w:val="auto"/>
                      <w:szCs w:val="21"/>
                      <w:lang w:val="zh-CN"/>
                    </w:rPr>
                    <w:t>（</w:t>
                  </w:r>
                  <w:r>
                    <w:rPr>
                      <w:color w:val="auto"/>
                      <w:szCs w:val="21"/>
                    </w:rPr>
                    <w:t>mg/L</w:t>
                  </w:r>
                  <w:r>
                    <w:rPr>
                      <w:color w:val="auto"/>
                      <w:szCs w:val="21"/>
                      <w:lang w:val="zh-CN"/>
                    </w:rPr>
                    <w:t>）</w:t>
                  </w:r>
                </w:p>
              </w:tc>
              <w:tc>
                <w:tcPr>
                  <w:tcW w:w="565" w:type="pct"/>
                  <w:vAlign w:val="center"/>
                </w:tcPr>
                <w:p>
                  <w:pPr>
                    <w:widowControl/>
                    <w:jc w:val="center"/>
                    <w:textAlignment w:val="center"/>
                    <w:rPr>
                      <w:color w:val="auto"/>
                      <w:szCs w:val="21"/>
                    </w:rPr>
                  </w:pPr>
                  <w:r>
                    <w:rPr>
                      <w:color w:val="auto"/>
                      <w:kern w:val="0"/>
                      <w:szCs w:val="21"/>
                      <w:lang w:bidi="ar"/>
                    </w:rPr>
                    <w:t>6~9</w:t>
                  </w:r>
                </w:p>
              </w:tc>
              <w:tc>
                <w:tcPr>
                  <w:tcW w:w="565" w:type="pct"/>
                  <w:vAlign w:val="center"/>
                </w:tcPr>
                <w:p>
                  <w:pPr>
                    <w:widowControl/>
                    <w:jc w:val="center"/>
                    <w:textAlignment w:val="center"/>
                    <w:rPr>
                      <w:color w:val="auto"/>
                      <w:szCs w:val="21"/>
                    </w:rPr>
                  </w:pPr>
                  <w:r>
                    <w:rPr>
                      <w:color w:val="auto"/>
                      <w:kern w:val="0"/>
                      <w:szCs w:val="21"/>
                      <w:lang w:bidi="ar"/>
                    </w:rPr>
                    <w:t>210</w:t>
                  </w:r>
                </w:p>
              </w:tc>
              <w:tc>
                <w:tcPr>
                  <w:tcW w:w="565" w:type="pct"/>
                  <w:vAlign w:val="center"/>
                </w:tcPr>
                <w:p>
                  <w:pPr>
                    <w:widowControl/>
                    <w:jc w:val="center"/>
                    <w:textAlignment w:val="center"/>
                    <w:rPr>
                      <w:color w:val="auto"/>
                      <w:szCs w:val="21"/>
                    </w:rPr>
                  </w:pPr>
                  <w:r>
                    <w:rPr>
                      <w:color w:val="auto"/>
                      <w:kern w:val="0"/>
                      <w:szCs w:val="21"/>
                      <w:lang w:bidi="ar"/>
                    </w:rPr>
                    <w:t>105</w:t>
                  </w:r>
                </w:p>
              </w:tc>
              <w:tc>
                <w:tcPr>
                  <w:tcW w:w="565" w:type="pct"/>
                  <w:vAlign w:val="center"/>
                </w:tcPr>
                <w:p>
                  <w:pPr>
                    <w:widowControl/>
                    <w:jc w:val="center"/>
                    <w:textAlignment w:val="center"/>
                    <w:rPr>
                      <w:color w:val="auto"/>
                      <w:szCs w:val="21"/>
                    </w:rPr>
                  </w:pPr>
                  <w:r>
                    <w:rPr>
                      <w:rFonts w:hint="eastAsia"/>
                      <w:color w:val="auto"/>
                      <w:kern w:val="0"/>
                      <w:szCs w:val="21"/>
                      <w:lang w:bidi="ar"/>
                    </w:rPr>
                    <w:t>105</w:t>
                  </w:r>
                </w:p>
              </w:tc>
              <w:tc>
                <w:tcPr>
                  <w:tcW w:w="571" w:type="pct"/>
                  <w:vAlign w:val="center"/>
                </w:tcPr>
                <w:p>
                  <w:pPr>
                    <w:widowControl/>
                    <w:jc w:val="center"/>
                    <w:textAlignment w:val="center"/>
                    <w:rPr>
                      <w:color w:val="auto"/>
                      <w:szCs w:val="21"/>
                    </w:rPr>
                  </w:pPr>
                  <w:r>
                    <w:rPr>
                      <w:rFonts w:hint="eastAsia"/>
                      <w:color w:val="auto"/>
                      <w:kern w:val="0"/>
                      <w:szCs w:val="21"/>
                      <w:lang w:bidi="ar"/>
                    </w:rPr>
                    <w:t>24.5</w:t>
                  </w:r>
                </w:p>
              </w:tc>
              <w:tc>
                <w:tcPr>
                  <w:tcW w:w="570" w:type="pct"/>
                  <w:vAlign w:val="center"/>
                </w:tcPr>
                <w:p>
                  <w:pPr>
                    <w:widowControl/>
                    <w:jc w:val="center"/>
                    <w:textAlignment w:val="center"/>
                    <w:rPr>
                      <w:rFonts w:hint="default"/>
                      <w:color w:val="auto"/>
                      <w:kern w:val="0"/>
                      <w:szCs w:val="21"/>
                      <w:lang w:val="en-US" w:eastAsia="zh-CN" w:bidi="ar"/>
                    </w:rPr>
                  </w:pPr>
                  <w:r>
                    <w:rPr>
                      <w:rFonts w:hint="eastAsia"/>
                      <w:color w:val="auto"/>
                      <w:kern w:val="0"/>
                      <w:szCs w:val="21"/>
                      <w:lang w:val="en-US" w:eastAsia="zh-CN" w:bidi="ar"/>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95" w:type="pct"/>
                  <w:gridSpan w:val="2"/>
                  <w:vAlign w:val="center"/>
                </w:tcPr>
                <w:p>
                  <w:pPr>
                    <w:pStyle w:val="26"/>
                    <w:adjustRightInd w:val="0"/>
                    <w:snapToGrid w:val="0"/>
                    <w:spacing w:after="0"/>
                    <w:ind w:firstLine="0" w:firstLineChars="0"/>
                    <w:jc w:val="center"/>
                    <w:rPr>
                      <w:color w:val="auto"/>
                      <w:szCs w:val="21"/>
                    </w:rPr>
                  </w:pPr>
                  <w:r>
                    <w:rPr>
                      <w:color w:val="auto"/>
                      <w:szCs w:val="21"/>
                    </w:rPr>
                    <w:t>厂区排放量（t/a）</w:t>
                  </w:r>
                </w:p>
                <w:p>
                  <w:pPr>
                    <w:pStyle w:val="26"/>
                    <w:adjustRightInd w:val="0"/>
                    <w:snapToGrid w:val="0"/>
                    <w:spacing w:after="0"/>
                    <w:ind w:firstLine="0" w:firstLineChars="0"/>
                    <w:jc w:val="center"/>
                    <w:rPr>
                      <w:color w:val="auto"/>
                      <w:szCs w:val="21"/>
                    </w:rPr>
                  </w:pPr>
                  <w:r>
                    <w:rPr>
                      <w:rFonts w:hint="eastAsia"/>
                      <w:color w:val="auto"/>
                      <w:szCs w:val="21"/>
                    </w:rPr>
                    <w:t>（废水量4050m</w:t>
                  </w:r>
                  <w:r>
                    <w:rPr>
                      <w:color w:val="auto"/>
                      <w:szCs w:val="21"/>
                      <w:vertAlign w:val="superscript"/>
                    </w:rPr>
                    <w:t>3</w:t>
                  </w:r>
                  <w:r>
                    <w:rPr>
                      <w:color w:val="auto"/>
                      <w:szCs w:val="21"/>
                    </w:rPr>
                    <w:t>/</w:t>
                  </w:r>
                  <w:r>
                    <w:rPr>
                      <w:rFonts w:hint="eastAsia"/>
                      <w:color w:val="auto"/>
                      <w:szCs w:val="21"/>
                    </w:rPr>
                    <w:t>a）</w:t>
                  </w:r>
                </w:p>
              </w:tc>
              <w:tc>
                <w:tcPr>
                  <w:tcW w:w="565" w:type="pct"/>
                  <w:vAlign w:val="center"/>
                </w:tcPr>
                <w:p>
                  <w:pPr>
                    <w:widowControl/>
                    <w:jc w:val="center"/>
                    <w:textAlignment w:val="center"/>
                    <w:rPr>
                      <w:color w:val="auto"/>
                      <w:szCs w:val="21"/>
                    </w:rPr>
                  </w:pPr>
                  <w:r>
                    <w:rPr>
                      <w:color w:val="auto"/>
                      <w:kern w:val="0"/>
                      <w:szCs w:val="21"/>
                      <w:lang w:bidi="ar"/>
                    </w:rPr>
                    <w:t>/</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0.85 </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0.43 </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0.43 </w:t>
                  </w:r>
                </w:p>
              </w:tc>
              <w:tc>
                <w:tcPr>
                  <w:tcW w:w="571" w:type="pct"/>
                  <w:vAlign w:val="center"/>
                </w:tcPr>
                <w:p>
                  <w:pPr>
                    <w:widowControl/>
                    <w:jc w:val="center"/>
                    <w:textAlignment w:val="center"/>
                    <w:rPr>
                      <w:rFonts w:eastAsiaTheme="minorEastAsia"/>
                      <w:color w:val="auto"/>
                      <w:szCs w:val="21"/>
                    </w:rPr>
                  </w:pPr>
                  <w:r>
                    <w:rPr>
                      <w:color w:val="auto"/>
                      <w:kern w:val="0"/>
                      <w:szCs w:val="21"/>
                      <w:lang w:bidi="ar"/>
                    </w:rPr>
                    <w:t xml:space="preserve">0.10 </w:t>
                  </w:r>
                </w:p>
              </w:tc>
              <w:tc>
                <w:tcPr>
                  <w:tcW w:w="570" w:type="pct"/>
                  <w:vAlign w:val="center"/>
                </w:tcPr>
                <w:p>
                  <w:pPr>
                    <w:widowControl/>
                    <w:jc w:val="center"/>
                    <w:textAlignment w:val="center"/>
                    <w:rPr>
                      <w:rFonts w:hint="default"/>
                      <w:color w:val="auto"/>
                      <w:kern w:val="0"/>
                      <w:szCs w:val="21"/>
                      <w:lang w:val="en-US" w:eastAsia="zh-CN" w:bidi="ar"/>
                    </w:rPr>
                  </w:pPr>
                  <w:r>
                    <w:rPr>
                      <w:rFonts w:hint="eastAsia"/>
                      <w:color w:val="auto"/>
                      <w:kern w:val="0"/>
                      <w:szCs w:val="21"/>
                      <w:lang w:val="en-US" w:eastAsia="zh-CN" w:bidi="ar"/>
                    </w:rPr>
                    <w:t>0.081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95" w:type="pct"/>
                  <w:gridSpan w:val="2"/>
                  <w:vAlign w:val="center"/>
                </w:tcPr>
                <w:p>
                  <w:pPr>
                    <w:pStyle w:val="26"/>
                    <w:adjustRightInd w:val="0"/>
                    <w:snapToGrid w:val="0"/>
                    <w:spacing w:after="0"/>
                    <w:ind w:firstLine="0" w:firstLineChars="0"/>
                    <w:jc w:val="center"/>
                    <w:rPr>
                      <w:color w:val="auto"/>
                      <w:szCs w:val="21"/>
                    </w:rPr>
                  </w:pPr>
                  <w:r>
                    <w:rPr>
                      <w:color w:val="auto"/>
                      <w:szCs w:val="21"/>
                    </w:rPr>
                    <w:t>污水处理厂最终排放浓度</w:t>
                  </w:r>
                  <w:r>
                    <w:rPr>
                      <w:color w:val="auto"/>
                      <w:szCs w:val="21"/>
                      <w:lang w:val="zh-CN"/>
                    </w:rPr>
                    <w:t>（</w:t>
                  </w:r>
                  <w:r>
                    <w:rPr>
                      <w:color w:val="auto"/>
                      <w:szCs w:val="21"/>
                    </w:rPr>
                    <w:t>mg/L</w:t>
                  </w:r>
                  <w:r>
                    <w:rPr>
                      <w:color w:val="auto"/>
                      <w:szCs w:val="21"/>
                      <w:lang w:val="zh-CN"/>
                    </w:rPr>
                    <w:t>）</w:t>
                  </w:r>
                </w:p>
              </w:tc>
              <w:tc>
                <w:tcPr>
                  <w:tcW w:w="565" w:type="pct"/>
                  <w:vAlign w:val="center"/>
                </w:tcPr>
                <w:p>
                  <w:pPr>
                    <w:widowControl/>
                    <w:jc w:val="center"/>
                    <w:textAlignment w:val="center"/>
                    <w:rPr>
                      <w:color w:val="auto"/>
                      <w:szCs w:val="21"/>
                    </w:rPr>
                  </w:pPr>
                  <w:r>
                    <w:rPr>
                      <w:color w:val="auto"/>
                      <w:kern w:val="0"/>
                      <w:szCs w:val="21"/>
                      <w:lang w:bidi="ar"/>
                    </w:rPr>
                    <w:t>6~9</w:t>
                  </w:r>
                </w:p>
              </w:tc>
              <w:tc>
                <w:tcPr>
                  <w:tcW w:w="565" w:type="pct"/>
                  <w:vAlign w:val="center"/>
                </w:tcPr>
                <w:p>
                  <w:pPr>
                    <w:widowControl/>
                    <w:jc w:val="center"/>
                    <w:textAlignment w:val="center"/>
                    <w:rPr>
                      <w:color w:val="auto"/>
                      <w:szCs w:val="21"/>
                    </w:rPr>
                  </w:pPr>
                  <w:r>
                    <w:rPr>
                      <w:color w:val="auto"/>
                      <w:kern w:val="0"/>
                      <w:szCs w:val="21"/>
                      <w:lang w:bidi="ar"/>
                    </w:rPr>
                    <w:t>40</w:t>
                  </w:r>
                </w:p>
              </w:tc>
              <w:tc>
                <w:tcPr>
                  <w:tcW w:w="565" w:type="pct"/>
                  <w:vAlign w:val="center"/>
                </w:tcPr>
                <w:p>
                  <w:pPr>
                    <w:widowControl/>
                    <w:jc w:val="center"/>
                    <w:textAlignment w:val="center"/>
                    <w:rPr>
                      <w:color w:val="auto"/>
                      <w:szCs w:val="21"/>
                    </w:rPr>
                  </w:pPr>
                  <w:r>
                    <w:rPr>
                      <w:color w:val="auto"/>
                      <w:kern w:val="0"/>
                      <w:szCs w:val="21"/>
                      <w:lang w:bidi="ar"/>
                    </w:rPr>
                    <w:t>20</w:t>
                  </w:r>
                </w:p>
              </w:tc>
              <w:tc>
                <w:tcPr>
                  <w:tcW w:w="565" w:type="pct"/>
                  <w:vAlign w:val="center"/>
                </w:tcPr>
                <w:p>
                  <w:pPr>
                    <w:widowControl/>
                    <w:jc w:val="center"/>
                    <w:textAlignment w:val="center"/>
                    <w:rPr>
                      <w:color w:val="auto"/>
                      <w:szCs w:val="21"/>
                    </w:rPr>
                  </w:pPr>
                  <w:r>
                    <w:rPr>
                      <w:color w:val="auto"/>
                      <w:kern w:val="0"/>
                      <w:szCs w:val="21"/>
                      <w:lang w:bidi="ar"/>
                    </w:rPr>
                    <w:t>20</w:t>
                  </w:r>
                </w:p>
              </w:tc>
              <w:tc>
                <w:tcPr>
                  <w:tcW w:w="571" w:type="pct"/>
                  <w:vAlign w:val="center"/>
                </w:tcPr>
                <w:p>
                  <w:pPr>
                    <w:widowControl/>
                    <w:jc w:val="center"/>
                    <w:textAlignment w:val="center"/>
                    <w:rPr>
                      <w:color w:val="auto"/>
                      <w:szCs w:val="21"/>
                    </w:rPr>
                  </w:pPr>
                  <w:r>
                    <w:rPr>
                      <w:color w:val="auto"/>
                      <w:kern w:val="0"/>
                      <w:szCs w:val="21"/>
                      <w:lang w:bidi="ar"/>
                    </w:rPr>
                    <w:t>8</w:t>
                  </w:r>
                </w:p>
              </w:tc>
              <w:tc>
                <w:tcPr>
                  <w:tcW w:w="570" w:type="pct"/>
                  <w:vAlign w:val="center"/>
                </w:tcPr>
                <w:p>
                  <w:pPr>
                    <w:widowControl/>
                    <w:jc w:val="center"/>
                    <w:textAlignment w:val="center"/>
                    <w:rPr>
                      <w:rFonts w:hint="default"/>
                      <w:color w:val="auto"/>
                      <w:kern w:val="0"/>
                      <w:szCs w:val="21"/>
                      <w:lang w:val="en-US" w:eastAsia="zh-CN" w:bidi="ar"/>
                    </w:rPr>
                  </w:pPr>
                  <w:r>
                    <w:rPr>
                      <w:rFonts w:hint="eastAsia"/>
                      <w:color w:val="auto"/>
                      <w:kern w:val="0"/>
                      <w:szCs w:val="21"/>
                      <w:lang w:val="en-US" w:eastAsia="zh-CN" w:bidi="ar"/>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95" w:type="pct"/>
                  <w:gridSpan w:val="2"/>
                  <w:vAlign w:val="center"/>
                </w:tcPr>
                <w:p>
                  <w:pPr>
                    <w:pStyle w:val="26"/>
                    <w:adjustRightInd w:val="0"/>
                    <w:snapToGrid w:val="0"/>
                    <w:spacing w:after="0"/>
                    <w:ind w:firstLine="0" w:firstLineChars="0"/>
                    <w:jc w:val="center"/>
                    <w:rPr>
                      <w:rFonts w:eastAsiaTheme="minorEastAsia"/>
                      <w:color w:val="auto"/>
                      <w:szCs w:val="21"/>
                    </w:rPr>
                  </w:pPr>
                  <w:r>
                    <w:rPr>
                      <w:color w:val="auto"/>
                      <w:szCs w:val="21"/>
                    </w:rPr>
                    <w:t>污水处理厂最终排放量（</w:t>
                  </w:r>
                  <w:r>
                    <w:rPr>
                      <w:rFonts w:hint="eastAsia"/>
                      <w:color w:val="auto"/>
                      <w:szCs w:val="21"/>
                    </w:rPr>
                    <w:t>t/</w:t>
                  </w:r>
                  <w:r>
                    <w:rPr>
                      <w:color w:val="auto"/>
                      <w:szCs w:val="21"/>
                    </w:rPr>
                    <w:t>a</w:t>
                  </w:r>
                  <w:r>
                    <w:rPr>
                      <w:rFonts w:hint="eastAsia"/>
                      <w:color w:val="auto"/>
                      <w:szCs w:val="21"/>
                    </w:rPr>
                    <w:t>，废水量4050</w:t>
                  </w:r>
                  <w:r>
                    <w:rPr>
                      <w:color w:val="auto"/>
                      <w:szCs w:val="21"/>
                    </w:rPr>
                    <w:t>m</w:t>
                  </w:r>
                  <w:r>
                    <w:rPr>
                      <w:color w:val="auto"/>
                      <w:szCs w:val="21"/>
                      <w:vertAlign w:val="superscript"/>
                    </w:rPr>
                    <w:t>3</w:t>
                  </w:r>
                  <w:r>
                    <w:rPr>
                      <w:color w:val="auto"/>
                      <w:szCs w:val="21"/>
                    </w:rPr>
                    <w:t>/a）</w:t>
                  </w:r>
                </w:p>
              </w:tc>
              <w:tc>
                <w:tcPr>
                  <w:tcW w:w="565" w:type="pct"/>
                  <w:vAlign w:val="center"/>
                </w:tcPr>
                <w:p>
                  <w:pPr>
                    <w:widowControl/>
                    <w:jc w:val="center"/>
                    <w:textAlignment w:val="center"/>
                    <w:rPr>
                      <w:color w:val="auto"/>
                      <w:szCs w:val="21"/>
                    </w:rPr>
                  </w:pPr>
                  <w:r>
                    <w:rPr>
                      <w:color w:val="auto"/>
                      <w:kern w:val="0"/>
                      <w:szCs w:val="21"/>
                      <w:lang w:bidi="ar"/>
                    </w:rPr>
                    <w:t>/</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0.16 </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0.08 </w:t>
                  </w:r>
                </w:p>
              </w:tc>
              <w:tc>
                <w:tcPr>
                  <w:tcW w:w="565" w:type="pct"/>
                  <w:vAlign w:val="center"/>
                </w:tcPr>
                <w:p>
                  <w:pPr>
                    <w:widowControl/>
                    <w:jc w:val="center"/>
                    <w:textAlignment w:val="center"/>
                    <w:rPr>
                      <w:rFonts w:eastAsiaTheme="minorEastAsia"/>
                      <w:color w:val="auto"/>
                      <w:szCs w:val="21"/>
                    </w:rPr>
                  </w:pPr>
                  <w:r>
                    <w:rPr>
                      <w:color w:val="auto"/>
                      <w:kern w:val="0"/>
                      <w:szCs w:val="21"/>
                      <w:lang w:bidi="ar"/>
                    </w:rPr>
                    <w:t xml:space="preserve">0.08 </w:t>
                  </w:r>
                </w:p>
              </w:tc>
              <w:tc>
                <w:tcPr>
                  <w:tcW w:w="571" w:type="pct"/>
                  <w:vAlign w:val="center"/>
                </w:tcPr>
                <w:p>
                  <w:pPr>
                    <w:widowControl/>
                    <w:jc w:val="center"/>
                    <w:textAlignment w:val="center"/>
                    <w:rPr>
                      <w:rFonts w:eastAsiaTheme="minorEastAsia"/>
                      <w:color w:val="auto"/>
                      <w:szCs w:val="21"/>
                    </w:rPr>
                  </w:pPr>
                  <w:r>
                    <w:rPr>
                      <w:color w:val="auto"/>
                      <w:kern w:val="0"/>
                      <w:szCs w:val="21"/>
                      <w:lang w:bidi="ar"/>
                    </w:rPr>
                    <w:t xml:space="preserve">0.03 </w:t>
                  </w:r>
                </w:p>
              </w:tc>
              <w:tc>
                <w:tcPr>
                  <w:tcW w:w="570" w:type="pct"/>
                  <w:vAlign w:val="center"/>
                </w:tcPr>
                <w:p>
                  <w:pPr>
                    <w:widowControl/>
                    <w:jc w:val="center"/>
                    <w:textAlignment w:val="center"/>
                    <w:rPr>
                      <w:rFonts w:hint="default"/>
                      <w:color w:val="auto"/>
                      <w:kern w:val="0"/>
                      <w:szCs w:val="21"/>
                      <w:lang w:val="en-US" w:eastAsia="zh-CN" w:bidi="ar"/>
                    </w:rPr>
                  </w:pPr>
                  <w:r>
                    <w:rPr>
                      <w:rFonts w:hint="eastAsia"/>
                      <w:color w:val="auto"/>
                      <w:kern w:val="0"/>
                      <w:szCs w:val="21"/>
                      <w:lang w:val="en-US" w:eastAsia="zh-CN" w:bidi="ar"/>
                    </w:rPr>
                    <w:t>0.041</w:t>
                  </w:r>
                </w:p>
              </w:tc>
            </w:tr>
          </w:tbl>
          <w:p>
            <w:pPr>
              <w:pStyle w:val="126"/>
              <w:spacing w:before="120" w:beforeLines="50" w:line="360" w:lineRule="auto"/>
              <w:ind w:left="482" w:firstLine="0" w:firstLineChars="0"/>
              <w:rPr>
                <w:b/>
                <w:color w:val="auto"/>
                <w:sz w:val="24"/>
              </w:rPr>
            </w:pPr>
            <w:r>
              <w:rPr>
                <w:rFonts w:hint="eastAsia"/>
                <w:b/>
                <w:bCs/>
                <w:color w:val="auto"/>
                <w:sz w:val="24"/>
              </w:rPr>
              <w:t>（2）</w:t>
            </w:r>
            <w:r>
              <w:rPr>
                <w:b/>
                <w:bCs/>
                <w:color w:val="auto"/>
                <w:sz w:val="24"/>
              </w:rPr>
              <w:t>水污染控制和水污染影响减缓措施有效性评价</w:t>
            </w:r>
          </w:p>
          <w:p>
            <w:pPr>
              <w:spacing w:line="360" w:lineRule="auto"/>
              <w:ind w:firstLine="480" w:firstLineChars="200"/>
              <w:rPr>
                <w:color w:val="auto"/>
                <w:sz w:val="24"/>
              </w:rPr>
            </w:pPr>
            <w:r>
              <w:rPr>
                <w:color w:val="auto"/>
                <w:sz w:val="24"/>
              </w:rPr>
              <w:t>本项目新增废水总量为</w:t>
            </w:r>
            <w:r>
              <w:rPr>
                <w:rFonts w:hint="eastAsia"/>
                <w:color w:val="auto"/>
                <w:sz w:val="24"/>
              </w:rPr>
              <w:t>13.5m</w:t>
            </w:r>
            <w:r>
              <w:rPr>
                <w:color w:val="auto"/>
                <w:sz w:val="24"/>
                <w:vertAlign w:val="superscript"/>
              </w:rPr>
              <w:t>3</w:t>
            </w:r>
            <w:r>
              <w:rPr>
                <w:color w:val="auto"/>
                <w:sz w:val="24"/>
              </w:rPr>
              <w:t>/d（共</w:t>
            </w:r>
            <w:r>
              <w:rPr>
                <w:rFonts w:hint="eastAsia"/>
                <w:color w:val="auto"/>
                <w:sz w:val="24"/>
              </w:rPr>
              <w:t>4050</w:t>
            </w:r>
            <w:r>
              <w:rPr>
                <w:color w:val="auto"/>
                <w:sz w:val="24"/>
              </w:rPr>
              <w:t>m</w:t>
            </w:r>
            <w:r>
              <w:rPr>
                <w:color w:val="auto"/>
                <w:sz w:val="24"/>
                <w:vertAlign w:val="superscript"/>
              </w:rPr>
              <w:t>3</w:t>
            </w:r>
            <w:r>
              <w:rPr>
                <w:color w:val="auto"/>
                <w:sz w:val="24"/>
              </w:rPr>
              <w:t>/a），</w:t>
            </w:r>
            <w:r>
              <w:rPr>
                <w:rFonts w:hint="eastAsia"/>
                <w:color w:val="auto"/>
                <w:sz w:val="24"/>
              </w:rPr>
              <w:t>主要为生活污水，污染物种类简单且易生化，经化粪池预处理后</w:t>
            </w:r>
            <w:r>
              <w:rPr>
                <w:color w:val="auto"/>
                <w:sz w:val="24"/>
              </w:rPr>
              <w:t>能满足园区污水处理厂的设计进水水质要求</w:t>
            </w:r>
            <w:r>
              <w:rPr>
                <w:rFonts w:hint="eastAsia"/>
                <w:color w:val="auto"/>
                <w:sz w:val="24"/>
              </w:rPr>
              <w:t>，不会对园区污水处理厂水质造成大的负荷。</w:t>
            </w:r>
          </w:p>
          <w:p>
            <w:pPr>
              <w:pStyle w:val="126"/>
              <w:spacing w:line="360" w:lineRule="auto"/>
              <w:ind w:left="482" w:firstLine="0" w:firstLineChars="0"/>
              <w:rPr>
                <w:b/>
                <w:color w:val="auto"/>
                <w:sz w:val="24"/>
              </w:rPr>
            </w:pPr>
            <w:r>
              <w:rPr>
                <w:rFonts w:hint="eastAsia"/>
                <w:b/>
                <w:color w:val="auto"/>
                <w:sz w:val="24"/>
              </w:rPr>
              <w:t>（3）</w:t>
            </w:r>
            <w:r>
              <w:rPr>
                <w:b/>
                <w:color w:val="auto"/>
                <w:sz w:val="24"/>
              </w:rPr>
              <w:t>依托污水处理设施的环境可行性评价</w:t>
            </w:r>
          </w:p>
          <w:p>
            <w:pPr>
              <w:snapToGrid w:val="0"/>
              <w:spacing w:line="360" w:lineRule="auto"/>
              <w:ind w:firstLine="480" w:firstLineChars="200"/>
              <w:rPr>
                <w:bCs/>
                <w:color w:val="auto"/>
                <w:sz w:val="24"/>
              </w:rPr>
            </w:pPr>
            <w:r>
              <w:rPr>
                <w:rFonts w:hint="eastAsia"/>
                <w:bCs/>
                <w:color w:val="auto"/>
                <w:sz w:val="24"/>
              </w:rPr>
              <w:t>根据《东莞东坑（乐昌）产业转移工业园污水处理厂及配套管网工程建设项目环境影响报告表》，园区收集废水经循环式活性污泥法（CASS）处理后，达到《城镇污水处理厂污染物排放标准》（GB18918-2002）一级B标准和广东省《水污染物排放限标准值》（DB44/26 -2001）第二时段一级标准中的较严者后通过污水管网外排至武江河段。园区污水处理厂占地面积15400m</w:t>
            </w:r>
            <w:r>
              <w:rPr>
                <w:rFonts w:hint="eastAsia"/>
                <w:bCs/>
                <w:color w:val="auto"/>
                <w:sz w:val="24"/>
                <w:vertAlign w:val="superscript"/>
              </w:rPr>
              <w:t>2</w:t>
            </w:r>
            <w:r>
              <w:rPr>
                <w:rFonts w:hint="eastAsia"/>
                <w:bCs/>
                <w:color w:val="auto"/>
                <w:sz w:val="24"/>
              </w:rPr>
              <w:t>，设计处理能力为10000m</w:t>
            </w:r>
            <w:r>
              <w:rPr>
                <w:rFonts w:hint="eastAsia"/>
                <w:bCs/>
                <w:color w:val="auto"/>
                <w:sz w:val="24"/>
                <w:vertAlign w:val="superscript"/>
              </w:rPr>
              <w:t>3</w:t>
            </w:r>
            <w:r>
              <w:rPr>
                <w:rFonts w:hint="eastAsia"/>
                <w:bCs/>
                <w:color w:val="auto"/>
                <w:sz w:val="24"/>
              </w:rPr>
              <w:t>/d，分两期建设，一期处理能力5000m</w:t>
            </w:r>
            <w:r>
              <w:rPr>
                <w:rFonts w:hint="eastAsia"/>
                <w:bCs/>
                <w:color w:val="auto"/>
                <w:sz w:val="24"/>
                <w:vertAlign w:val="superscript"/>
              </w:rPr>
              <w:t>3</w:t>
            </w:r>
            <w:r>
              <w:rPr>
                <w:rFonts w:hint="eastAsia"/>
                <w:bCs/>
                <w:color w:val="auto"/>
                <w:sz w:val="24"/>
              </w:rPr>
              <w:t>/d，二期处理能力5000m</w:t>
            </w:r>
            <w:r>
              <w:rPr>
                <w:rFonts w:hint="eastAsia"/>
                <w:bCs/>
                <w:color w:val="auto"/>
                <w:sz w:val="24"/>
                <w:vertAlign w:val="superscript"/>
              </w:rPr>
              <w:t>3</w:t>
            </w:r>
            <w:r>
              <w:rPr>
                <w:rFonts w:hint="eastAsia"/>
                <w:bCs/>
                <w:color w:val="auto"/>
                <w:sz w:val="24"/>
              </w:rPr>
              <w:t>/d，现状首期5000m</w:t>
            </w:r>
            <w:r>
              <w:rPr>
                <w:rFonts w:hint="eastAsia"/>
                <w:bCs/>
                <w:color w:val="auto"/>
                <w:sz w:val="24"/>
                <w:vertAlign w:val="superscript"/>
              </w:rPr>
              <w:t>3</w:t>
            </w:r>
            <w:r>
              <w:rPr>
                <w:rFonts w:hint="eastAsia"/>
                <w:bCs/>
                <w:color w:val="auto"/>
                <w:sz w:val="24"/>
              </w:rPr>
              <w:t>/d已经建成运行。</w:t>
            </w:r>
          </w:p>
          <w:p>
            <w:pPr>
              <w:snapToGrid w:val="0"/>
              <w:spacing w:line="360" w:lineRule="auto"/>
              <w:ind w:firstLine="480" w:firstLineChars="200"/>
              <w:rPr>
                <w:color w:val="auto"/>
                <w:sz w:val="24"/>
              </w:rPr>
            </w:pPr>
            <w:r>
              <w:rPr>
                <w:rFonts w:hint="eastAsia"/>
                <w:bCs/>
                <w:color w:val="auto"/>
                <w:sz w:val="24"/>
              </w:rPr>
              <w:t>本项目位于东莞东坑（乐昌）产业转移工业园范围内，属于园区污水处理厂纳污服务范围，项目污水可以较好地进入污水处理厂处理；且本项目外排废水总量为13.5m</w:t>
            </w:r>
            <w:r>
              <w:rPr>
                <w:rFonts w:hint="eastAsia"/>
                <w:bCs/>
                <w:color w:val="auto"/>
                <w:sz w:val="24"/>
                <w:vertAlign w:val="superscript"/>
              </w:rPr>
              <w:t>3</w:t>
            </w:r>
            <w:r>
              <w:rPr>
                <w:rFonts w:hint="eastAsia"/>
                <w:bCs/>
                <w:color w:val="auto"/>
                <w:sz w:val="24"/>
              </w:rPr>
              <w:t>/d，仅占园区污水处理厂首期处理能力的</w:t>
            </w:r>
            <w:r>
              <w:rPr>
                <w:bCs/>
                <w:color w:val="auto"/>
                <w:sz w:val="24"/>
              </w:rPr>
              <w:t>0.</w:t>
            </w:r>
            <w:r>
              <w:rPr>
                <w:rFonts w:hint="eastAsia"/>
                <w:bCs/>
                <w:color w:val="auto"/>
                <w:sz w:val="24"/>
              </w:rPr>
              <w:t>27%，外排废水浓度符合园区污水处理厂进水水质要求。根据前文统计，园区污水处理厂目前处理水量为</w:t>
            </w:r>
            <w:r>
              <w:rPr>
                <w:bCs/>
                <w:color w:val="auto"/>
                <w:sz w:val="24"/>
              </w:rPr>
              <w:t>3431.35</w:t>
            </w:r>
            <w:r>
              <w:rPr>
                <w:rFonts w:hint="eastAsia"/>
                <w:bCs/>
                <w:color w:val="auto"/>
                <w:sz w:val="24"/>
              </w:rPr>
              <w:t>m</w:t>
            </w:r>
            <w:r>
              <w:rPr>
                <w:rFonts w:hint="eastAsia"/>
                <w:bCs/>
                <w:color w:val="auto"/>
                <w:sz w:val="24"/>
                <w:vertAlign w:val="superscript"/>
              </w:rPr>
              <w:t>3</w:t>
            </w:r>
            <w:r>
              <w:rPr>
                <w:rFonts w:hint="eastAsia"/>
                <w:bCs/>
                <w:color w:val="auto"/>
                <w:sz w:val="24"/>
              </w:rPr>
              <w:t>/d，剩余处理能力为</w:t>
            </w:r>
            <w:r>
              <w:rPr>
                <w:bCs/>
                <w:color w:val="auto"/>
                <w:sz w:val="24"/>
              </w:rPr>
              <w:t>1568.65</w:t>
            </w:r>
            <w:r>
              <w:rPr>
                <w:rFonts w:hint="eastAsia"/>
                <w:bCs/>
                <w:color w:val="auto"/>
                <w:sz w:val="24"/>
              </w:rPr>
              <w:t>m</w:t>
            </w:r>
            <w:r>
              <w:rPr>
                <w:rFonts w:hint="eastAsia"/>
                <w:bCs/>
                <w:color w:val="auto"/>
                <w:sz w:val="24"/>
                <w:vertAlign w:val="superscript"/>
              </w:rPr>
              <w:t>3</w:t>
            </w:r>
            <w:r>
              <w:rPr>
                <w:rFonts w:hint="eastAsia"/>
                <w:bCs/>
                <w:color w:val="auto"/>
                <w:sz w:val="24"/>
              </w:rPr>
              <w:t>/d，本项目废水量占园区污水处理厂剩余处理能力的</w:t>
            </w:r>
            <w:r>
              <w:rPr>
                <w:bCs/>
                <w:color w:val="auto"/>
                <w:sz w:val="24"/>
              </w:rPr>
              <w:t>0.</w:t>
            </w:r>
            <w:r>
              <w:rPr>
                <w:rFonts w:hint="eastAsia"/>
                <w:bCs/>
                <w:color w:val="auto"/>
                <w:sz w:val="24"/>
              </w:rPr>
              <w:t>86%，污水处理厂有足够的容量满足本项目的实施，不会对污水处理厂造成水量和水质的冲击负荷。项目废水排入污水处理厂后，污水处理厂废水排放能实现稳定达标排放，不会对周围水体造成太大的影响。可见本项目废水依托东莞东坑（乐昌）产业转移工业园污水处理厂处理是可行的。</w:t>
            </w:r>
          </w:p>
          <w:p>
            <w:pPr>
              <w:spacing w:line="360" w:lineRule="auto"/>
              <w:ind w:firstLine="482" w:firstLineChars="200"/>
              <w:rPr>
                <w:b/>
                <w:color w:val="auto"/>
                <w:sz w:val="24"/>
              </w:rPr>
            </w:pPr>
            <w:r>
              <w:rPr>
                <w:rFonts w:hint="eastAsia"/>
                <w:b/>
                <w:color w:val="auto"/>
                <w:sz w:val="24"/>
              </w:rPr>
              <w:t>（4）</w:t>
            </w:r>
            <w:r>
              <w:rPr>
                <w:b/>
                <w:color w:val="auto"/>
                <w:sz w:val="24"/>
              </w:rPr>
              <w:t>废水环境影响分析结论</w:t>
            </w:r>
          </w:p>
          <w:p>
            <w:pPr>
              <w:spacing w:line="360" w:lineRule="auto"/>
              <w:ind w:firstLine="480" w:firstLineChars="200"/>
              <w:rPr>
                <w:bCs/>
                <w:color w:val="auto"/>
                <w:sz w:val="24"/>
              </w:rPr>
            </w:pPr>
            <w:r>
              <w:rPr>
                <w:bCs/>
                <w:color w:val="auto"/>
                <w:sz w:val="24"/>
              </w:rPr>
              <w:t>根据</w:t>
            </w:r>
            <w:r>
              <w:rPr>
                <w:rFonts w:hint="eastAsia"/>
                <w:bCs/>
                <w:color w:val="auto"/>
                <w:sz w:val="24"/>
              </w:rPr>
              <w:t>《韶关市生态环境状况公报（2021年）》</w:t>
            </w:r>
            <w:r>
              <w:rPr>
                <w:rFonts w:hint="eastAsia"/>
                <w:bCs/>
                <w:color w:val="auto"/>
                <w:sz w:val="24"/>
                <w:lang w:eastAsia="zh-CN"/>
              </w:rPr>
              <w:t>，</w:t>
            </w:r>
            <w:r>
              <w:rPr>
                <w:rFonts w:hint="eastAsia"/>
                <w:bCs/>
                <w:color w:val="auto"/>
                <w:sz w:val="24"/>
              </w:rPr>
              <w:t>武江“乐昌城～犁市”河段监测数据满足《地表水环境质量标准》（GB3838-2002）中的Ⅲ类标准要求</w:t>
            </w:r>
            <w:r>
              <w:rPr>
                <w:bCs/>
                <w:color w:val="auto"/>
                <w:sz w:val="24"/>
              </w:rPr>
              <w:t>，水环境质量现状良好。</w:t>
            </w:r>
            <w:r>
              <w:rPr>
                <w:color w:val="auto"/>
                <w:sz w:val="24"/>
              </w:rPr>
              <w:t>本项目</w:t>
            </w:r>
            <w:r>
              <w:rPr>
                <w:rFonts w:hint="eastAsia"/>
                <w:color w:val="auto"/>
                <w:sz w:val="24"/>
              </w:rPr>
              <w:t>外排废水</w:t>
            </w:r>
            <w:r>
              <w:rPr>
                <w:rFonts w:hint="eastAsia"/>
                <w:color w:val="auto"/>
                <w:sz w:val="24"/>
                <w:lang w:val="en-US" w:eastAsia="zh-CN"/>
              </w:rPr>
              <w:t>仅</w:t>
            </w:r>
            <w:r>
              <w:rPr>
                <w:rFonts w:hint="eastAsia"/>
                <w:color w:val="auto"/>
                <w:sz w:val="24"/>
              </w:rPr>
              <w:t>为生活污水，可</w:t>
            </w:r>
            <w:r>
              <w:rPr>
                <w:color w:val="auto"/>
                <w:sz w:val="24"/>
              </w:rPr>
              <w:t>依托</w:t>
            </w:r>
            <w:r>
              <w:rPr>
                <w:rFonts w:hint="eastAsia"/>
                <w:color w:val="auto"/>
                <w:sz w:val="24"/>
              </w:rPr>
              <w:t>园区</w:t>
            </w:r>
            <w:r>
              <w:rPr>
                <w:color w:val="auto"/>
                <w:sz w:val="24"/>
              </w:rPr>
              <w:t>污水处理</w:t>
            </w:r>
            <w:r>
              <w:rPr>
                <w:rFonts w:hint="eastAsia"/>
                <w:color w:val="auto"/>
                <w:sz w:val="24"/>
              </w:rPr>
              <w:t>厂处理</w:t>
            </w:r>
            <w:r>
              <w:rPr>
                <w:color w:val="auto"/>
                <w:sz w:val="24"/>
              </w:rPr>
              <w:t>，水污染控制和水污染影响减缓措施有效，</w:t>
            </w:r>
            <w:r>
              <w:rPr>
                <w:rFonts w:hint="eastAsia"/>
                <w:color w:val="auto"/>
                <w:sz w:val="24"/>
              </w:rPr>
              <w:t>外排废水指标</w:t>
            </w:r>
            <w:r>
              <w:rPr>
                <w:color w:val="auto"/>
                <w:sz w:val="24"/>
              </w:rPr>
              <w:t>均能满足相应排放标准要求，</w:t>
            </w:r>
            <w:r>
              <w:rPr>
                <w:rFonts w:hint="eastAsia"/>
                <w:color w:val="auto"/>
                <w:sz w:val="24"/>
              </w:rPr>
              <w:t>污染物最终排放量不大，其</w:t>
            </w:r>
            <w:r>
              <w:rPr>
                <w:color w:val="auto"/>
                <w:sz w:val="24"/>
              </w:rPr>
              <w:t>对地表水环境影响在可接受范围内。</w:t>
            </w:r>
          </w:p>
          <w:p>
            <w:pPr>
              <w:adjustRightInd w:val="0"/>
              <w:snapToGrid w:val="0"/>
              <w:spacing w:line="360" w:lineRule="auto"/>
              <w:ind w:firstLine="480" w:firstLineChars="200"/>
              <w:rPr>
                <w:bCs/>
                <w:color w:val="auto"/>
                <w:sz w:val="24"/>
              </w:rPr>
            </w:pPr>
            <w:r>
              <w:rPr>
                <w:bCs/>
                <w:color w:val="auto"/>
                <w:sz w:val="24"/>
              </w:rPr>
              <w:t>综上所述，本项目废水排放信息如</w:t>
            </w:r>
            <w:r>
              <w:rPr>
                <w:rFonts w:hint="eastAsia"/>
                <w:bCs/>
                <w:color w:val="auto"/>
                <w:sz w:val="24"/>
                <w:lang w:val="en-US" w:eastAsia="zh-CN"/>
              </w:rPr>
              <w:t>下</w:t>
            </w:r>
            <w:r>
              <w:rPr>
                <w:bCs/>
                <w:color w:val="auto"/>
                <w:sz w:val="24"/>
              </w:rPr>
              <w:t>表</w:t>
            </w:r>
            <w:r>
              <w:rPr>
                <w:rFonts w:hint="eastAsia"/>
                <w:bCs/>
                <w:color w:val="auto"/>
                <w:sz w:val="24"/>
                <w:lang w:val="en-US" w:eastAsia="zh-CN"/>
              </w:rPr>
              <w:t>4-6~9</w:t>
            </w:r>
            <w:r>
              <w:rPr>
                <w:bCs/>
                <w:color w:val="auto"/>
                <w:sz w:val="24"/>
              </w:rPr>
              <w:t>所示。</w:t>
            </w:r>
          </w:p>
          <w:p>
            <w:pPr>
              <w:adjustRightInd w:val="0"/>
              <w:snapToGrid w:val="0"/>
              <w:spacing w:line="276" w:lineRule="auto"/>
              <w:rPr>
                <w:bCs/>
                <w:color w:val="auto"/>
                <w:sz w:val="24"/>
              </w:rPr>
            </w:pPr>
          </w:p>
          <w:p>
            <w:pPr>
              <w:adjustRightInd w:val="0"/>
              <w:snapToGrid w:val="0"/>
              <w:spacing w:line="360" w:lineRule="auto"/>
              <w:rPr>
                <w:bCs/>
                <w:color w:val="auto"/>
                <w:szCs w:val="21"/>
              </w:rPr>
            </w:pPr>
          </w:p>
        </w:tc>
      </w:tr>
    </w:tbl>
    <w:p>
      <w:pPr>
        <w:adjustRightInd w:val="0"/>
        <w:snapToGrid w:val="0"/>
        <w:spacing w:line="360" w:lineRule="auto"/>
        <w:rPr>
          <w:b/>
          <w:color w:val="auto"/>
          <w:kern w:val="0"/>
          <w:sz w:val="28"/>
          <w:szCs w:val="28"/>
        </w:rPr>
        <w:sectPr>
          <w:pgSz w:w="11907" w:h="16840"/>
          <w:pgMar w:top="1701" w:right="1531" w:bottom="2127" w:left="1531" w:header="851" w:footer="851" w:gutter="0"/>
          <w:pgNumType w:fmt="decimal"/>
          <w:cols w:space="720" w:num="1"/>
          <w:docGrid w:linePitch="312" w:charSpace="0"/>
        </w:sectPr>
      </w:pPr>
    </w:p>
    <w:p>
      <w:pPr>
        <w:spacing w:line="360" w:lineRule="auto"/>
        <w:ind w:firstLine="482"/>
        <w:jc w:val="center"/>
        <w:rPr>
          <w:b/>
          <w:bCs/>
          <w:color w:val="auto"/>
          <w:sz w:val="24"/>
        </w:rPr>
      </w:pPr>
      <w:r>
        <w:rPr>
          <w:rFonts w:hint="eastAsia" w:ascii="宋体" w:hAnsi="宋体"/>
          <w:b/>
          <w:bCs/>
          <w:color w:val="auto"/>
          <w:sz w:val="24"/>
        </w:rPr>
        <w:t>表</w:t>
      </w:r>
      <w:r>
        <w:rPr>
          <w:rFonts w:hint="eastAsia"/>
          <w:b/>
          <w:bCs/>
          <w:color w:val="auto"/>
          <w:sz w:val="24"/>
          <w:lang w:val="en-US" w:eastAsia="zh-CN"/>
        </w:rPr>
        <w:t>4-6</w:t>
      </w:r>
      <w:r>
        <w:rPr>
          <w:rFonts w:hint="eastAsia"/>
          <w:b/>
          <w:bCs/>
          <w:color w:val="auto"/>
          <w:sz w:val="24"/>
        </w:rPr>
        <w:t xml:space="preserve"> </w:t>
      </w:r>
      <w:r>
        <w:rPr>
          <w:rFonts w:hint="eastAsia" w:ascii="宋体" w:hAnsi="宋体"/>
          <w:b/>
          <w:bCs/>
          <w:color w:val="auto"/>
          <w:sz w:val="24"/>
        </w:rPr>
        <w:t>废水类别、污染物及治理设施信息表</w:t>
      </w:r>
    </w:p>
    <w:tbl>
      <w:tblPr>
        <w:tblStyle w:val="28"/>
        <w:tblW w:w="15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4"/>
        <w:gridCol w:w="1159"/>
        <w:gridCol w:w="2770"/>
        <w:gridCol w:w="1141"/>
        <w:gridCol w:w="1391"/>
        <w:gridCol w:w="1270"/>
        <w:gridCol w:w="1312"/>
        <w:gridCol w:w="1272"/>
        <w:gridCol w:w="920"/>
        <w:gridCol w:w="1638"/>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14"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序号</w:t>
            </w:r>
          </w:p>
        </w:tc>
        <w:tc>
          <w:tcPr>
            <w:tcW w:w="1159"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废水</w:t>
            </w:r>
          </w:p>
          <w:p>
            <w:pPr>
              <w:pStyle w:val="112"/>
              <w:ind w:left="-2"/>
              <w:rPr>
                <w:rFonts w:ascii="Times New Roman" w:hAnsi="Times New Roman"/>
                <w:b/>
                <w:bCs/>
                <w:color w:val="auto"/>
              </w:rPr>
            </w:pPr>
            <w:r>
              <w:rPr>
                <w:rFonts w:ascii="Times New Roman" w:hAnsi="Times New Roman" w:eastAsia="Times New Roman"/>
                <w:b/>
                <w:bCs/>
                <w:color w:val="auto"/>
              </w:rPr>
              <w:t>类别</w:t>
            </w:r>
          </w:p>
        </w:tc>
        <w:tc>
          <w:tcPr>
            <w:tcW w:w="2770"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污染物</w:t>
            </w:r>
          </w:p>
          <w:p>
            <w:pPr>
              <w:pStyle w:val="112"/>
              <w:ind w:left="-2"/>
              <w:rPr>
                <w:rFonts w:ascii="Times New Roman" w:hAnsi="Times New Roman"/>
                <w:b/>
                <w:bCs/>
                <w:color w:val="auto"/>
              </w:rPr>
            </w:pPr>
            <w:r>
              <w:rPr>
                <w:rFonts w:ascii="Times New Roman" w:hAnsi="Times New Roman" w:eastAsia="Times New Roman"/>
                <w:b/>
                <w:bCs/>
                <w:color w:val="auto"/>
              </w:rPr>
              <w:t>种类</w:t>
            </w:r>
          </w:p>
        </w:tc>
        <w:tc>
          <w:tcPr>
            <w:tcW w:w="1141" w:type="dxa"/>
            <w:vMerge w:val="restart"/>
            <w:vAlign w:val="center"/>
          </w:tcPr>
          <w:p>
            <w:pPr>
              <w:pStyle w:val="112"/>
              <w:ind w:left="-2"/>
              <w:rPr>
                <w:rFonts w:ascii="Times New Roman" w:hAnsi="Times New Roman"/>
                <w:b/>
                <w:bCs/>
                <w:color w:val="auto"/>
              </w:rPr>
            </w:pPr>
            <w:r>
              <w:rPr>
                <w:rFonts w:ascii="Times New Roman" w:hAnsi="Times New Roman" w:eastAsia="Times New Roman"/>
                <w:b/>
                <w:bCs/>
                <w:color w:val="auto"/>
              </w:rPr>
              <w:t>排放去向</w:t>
            </w:r>
          </w:p>
        </w:tc>
        <w:tc>
          <w:tcPr>
            <w:tcW w:w="1391" w:type="dxa"/>
            <w:vMerge w:val="restart"/>
            <w:vAlign w:val="center"/>
          </w:tcPr>
          <w:p>
            <w:pPr>
              <w:pStyle w:val="112"/>
              <w:ind w:left="-2"/>
              <w:rPr>
                <w:rFonts w:ascii="Times New Roman" w:hAnsi="Times New Roman"/>
                <w:b/>
                <w:bCs/>
                <w:color w:val="auto"/>
              </w:rPr>
            </w:pPr>
            <w:r>
              <w:rPr>
                <w:rFonts w:ascii="Times New Roman" w:hAnsi="Times New Roman" w:eastAsia="Times New Roman"/>
                <w:b/>
                <w:bCs/>
                <w:color w:val="auto"/>
              </w:rPr>
              <w:t>排放规律</w:t>
            </w:r>
          </w:p>
        </w:tc>
        <w:tc>
          <w:tcPr>
            <w:tcW w:w="3854" w:type="dxa"/>
            <w:gridSpan w:val="3"/>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污染治理设施</w:t>
            </w:r>
          </w:p>
        </w:tc>
        <w:tc>
          <w:tcPr>
            <w:tcW w:w="920" w:type="dxa"/>
            <w:vMerge w:val="restart"/>
            <w:vAlign w:val="center"/>
          </w:tcPr>
          <w:p>
            <w:pPr>
              <w:pStyle w:val="112"/>
              <w:ind w:left="-2"/>
              <w:rPr>
                <w:rFonts w:ascii="Times New Roman" w:hAnsi="Times New Roman"/>
                <w:b/>
                <w:bCs/>
                <w:color w:val="auto"/>
              </w:rPr>
            </w:pPr>
            <w:r>
              <w:rPr>
                <w:rFonts w:ascii="Times New Roman" w:hAnsi="Times New Roman" w:eastAsia="Times New Roman"/>
                <w:b/>
                <w:bCs/>
                <w:color w:val="auto"/>
              </w:rPr>
              <w:t>排放口编号</w:t>
            </w:r>
          </w:p>
        </w:tc>
        <w:tc>
          <w:tcPr>
            <w:tcW w:w="1638" w:type="dxa"/>
            <w:vMerge w:val="restart"/>
            <w:vAlign w:val="center"/>
          </w:tcPr>
          <w:p>
            <w:pPr>
              <w:pStyle w:val="112"/>
              <w:ind w:left="-2"/>
              <w:rPr>
                <w:rFonts w:ascii="Times New Roman" w:hAnsi="Times New Roman"/>
                <w:b/>
                <w:bCs/>
                <w:color w:val="auto"/>
              </w:rPr>
            </w:pPr>
            <w:r>
              <w:rPr>
                <w:rFonts w:ascii="Times New Roman" w:hAnsi="Times New Roman" w:eastAsia="Times New Roman"/>
                <w:b/>
                <w:bCs/>
                <w:color w:val="auto"/>
              </w:rPr>
              <w:t>排放口设置是否符合要求</w:t>
            </w:r>
          </w:p>
        </w:tc>
        <w:tc>
          <w:tcPr>
            <w:tcW w:w="1890"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排放口类型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14" w:type="dxa"/>
            <w:vMerge w:val="continue"/>
            <w:vAlign w:val="center"/>
          </w:tcPr>
          <w:p>
            <w:pPr>
              <w:widowControl/>
              <w:jc w:val="left"/>
              <w:rPr>
                <w:rFonts w:eastAsia="Times New Roman"/>
                <w:color w:val="auto"/>
                <w:kern w:val="0"/>
                <w:szCs w:val="21"/>
              </w:rPr>
            </w:pPr>
          </w:p>
        </w:tc>
        <w:tc>
          <w:tcPr>
            <w:tcW w:w="1159" w:type="dxa"/>
            <w:vMerge w:val="continue"/>
            <w:vAlign w:val="center"/>
          </w:tcPr>
          <w:p>
            <w:pPr>
              <w:widowControl/>
              <w:jc w:val="left"/>
              <w:rPr>
                <w:rFonts w:eastAsia="Times New Roman"/>
                <w:color w:val="auto"/>
                <w:kern w:val="0"/>
                <w:szCs w:val="21"/>
              </w:rPr>
            </w:pPr>
          </w:p>
        </w:tc>
        <w:tc>
          <w:tcPr>
            <w:tcW w:w="2770" w:type="dxa"/>
            <w:vMerge w:val="continue"/>
            <w:vAlign w:val="center"/>
          </w:tcPr>
          <w:p>
            <w:pPr>
              <w:widowControl/>
              <w:jc w:val="left"/>
              <w:rPr>
                <w:rFonts w:eastAsia="Times New Roman"/>
                <w:color w:val="auto"/>
                <w:kern w:val="0"/>
                <w:szCs w:val="21"/>
              </w:rPr>
            </w:pPr>
          </w:p>
        </w:tc>
        <w:tc>
          <w:tcPr>
            <w:tcW w:w="1141" w:type="dxa"/>
            <w:vMerge w:val="continue"/>
            <w:vAlign w:val="center"/>
          </w:tcPr>
          <w:p>
            <w:pPr>
              <w:widowControl/>
              <w:jc w:val="left"/>
              <w:rPr>
                <w:rFonts w:eastAsia="Times New Roman"/>
                <w:color w:val="auto"/>
                <w:kern w:val="0"/>
                <w:szCs w:val="21"/>
              </w:rPr>
            </w:pPr>
          </w:p>
        </w:tc>
        <w:tc>
          <w:tcPr>
            <w:tcW w:w="1391" w:type="dxa"/>
            <w:vMerge w:val="continue"/>
            <w:vAlign w:val="center"/>
          </w:tcPr>
          <w:p>
            <w:pPr>
              <w:widowControl/>
              <w:jc w:val="left"/>
              <w:rPr>
                <w:rFonts w:eastAsia="Times New Roman"/>
                <w:color w:val="auto"/>
                <w:kern w:val="0"/>
                <w:szCs w:val="21"/>
              </w:rPr>
            </w:pPr>
          </w:p>
        </w:tc>
        <w:tc>
          <w:tcPr>
            <w:tcW w:w="1270" w:type="dxa"/>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污染治理设施编号</w:t>
            </w:r>
          </w:p>
        </w:tc>
        <w:tc>
          <w:tcPr>
            <w:tcW w:w="1312" w:type="dxa"/>
            <w:vAlign w:val="center"/>
          </w:tcPr>
          <w:p>
            <w:pPr>
              <w:pStyle w:val="112"/>
              <w:ind w:left="-2"/>
              <w:rPr>
                <w:rFonts w:ascii="Times New Roman" w:hAnsi="Times New Roman"/>
                <w:b/>
                <w:bCs/>
                <w:color w:val="auto"/>
              </w:rPr>
            </w:pPr>
            <w:r>
              <w:rPr>
                <w:rFonts w:ascii="Times New Roman" w:hAnsi="Times New Roman" w:eastAsia="Times New Roman"/>
                <w:b/>
                <w:bCs/>
                <w:color w:val="auto"/>
              </w:rPr>
              <w:t>污染治理设施名称</w:t>
            </w:r>
          </w:p>
        </w:tc>
        <w:tc>
          <w:tcPr>
            <w:tcW w:w="1272" w:type="dxa"/>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污染治理设施工艺</w:t>
            </w:r>
          </w:p>
        </w:tc>
        <w:tc>
          <w:tcPr>
            <w:tcW w:w="920" w:type="dxa"/>
            <w:vMerge w:val="continue"/>
            <w:vAlign w:val="center"/>
          </w:tcPr>
          <w:p>
            <w:pPr>
              <w:widowControl/>
              <w:jc w:val="left"/>
              <w:rPr>
                <w:rFonts w:eastAsia="Times New Roman"/>
                <w:color w:val="auto"/>
                <w:kern w:val="0"/>
                <w:szCs w:val="21"/>
              </w:rPr>
            </w:pPr>
          </w:p>
        </w:tc>
        <w:tc>
          <w:tcPr>
            <w:tcW w:w="1638" w:type="dxa"/>
            <w:vMerge w:val="continue"/>
            <w:vAlign w:val="center"/>
          </w:tcPr>
          <w:p>
            <w:pPr>
              <w:widowControl/>
              <w:jc w:val="left"/>
              <w:rPr>
                <w:rFonts w:eastAsia="Times New Roman"/>
                <w:color w:val="auto"/>
                <w:kern w:val="0"/>
                <w:szCs w:val="21"/>
              </w:rPr>
            </w:pPr>
          </w:p>
        </w:tc>
        <w:tc>
          <w:tcPr>
            <w:tcW w:w="1890" w:type="dxa"/>
            <w:vMerge w:val="continue"/>
            <w:vAlign w:val="center"/>
          </w:tcPr>
          <w:p>
            <w:pPr>
              <w:widowControl/>
              <w:jc w:val="left"/>
              <w:rPr>
                <w:rFonts w:eastAsia="Times New Roman"/>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14" w:type="dxa"/>
            <w:vAlign w:val="center"/>
          </w:tcPr>
          <w:p>
            <w:pPr>
              <w:pStyle w:val="112"/>
              <w:ind w:left="-2"/>
              <w:rPr>
                <w:rFonts w:ascii="Times New Roman" w:hAnsi="Times New Roman" w:eastAsia="Times New Roman"/>
                <w:color w:val="auto"/>
              </w:rPr>
            </w:pPr>
            <w:r>
              <w:rPr>
                <w:rFonts w:ascii="Times New Roman" w:hAnsi="Times New Roman" w:eastAsia="Times New Roman"/>
                <w:color w:val="auto"/>
              </w:rPr>
              <w:t>1</w:t>
            </w:r>
          </w:p>
        </w:tc>
        <w:tc>
          <w:tcPr>
            <w:tcW w:w="1159" w:type="dxa"/>
            <w:vAlign w:val="center"/>
          </w:tcPr>
          <w:p>
            <w:pPr>
              <w:pStyle w:val="112"/>
              <w:ind w:left="-2"/>
              <w:rPr>
                <w:rFonts w:ascii="Times New Roman" w:hAnsi="Times New Roman"/>
                <w:color w:val="auto"/>
              </w:rPr>
            </w:pPr>
            <w:r>
              <w:rPr>
                <w:rFonts w:ascii="Times New Roman" w:hAnsi="Times New Roman"/>
                <w:color w:val="auto"/>
              </w:rPr>
              <w:t>生活污水</w:t>
            </w:r>
          </w:p>
        </w:tc>
        <w:tc>
          <w:tcPr>
            <w:tcW w:w="2770" w:type="dxa"/>
            <w:vAlign w:val="center"/>
          </w:tcPr>
          <w:p>
            <w:pPr>
              <w:pStyle w:val="112"/>
              <w:ind w:left="-2"/>
              <w:rPr>
                <w:rFonts w:ascii="Times New Roman" w:hAnsi="Times New Roman"/>
                <w:color w:val="auto"/>
              </w:rPr>
            </w:pPr>
            <w:r>
              <w:rPr>
                <w:rFonts w:ascii="Times New Roman" w:hAnsi="Times New Roman" w:eastAsia="Times New Roman"/>
                <w:color w:val="auto"/>
              </w:rPr>
              <w:t>化学需氧量、氨氮、</w:t>
            </w:r>
            <w:r>
              <w:rPr>
                <w:rFonts w:ascii="Times New Roman" w:hAnsi="Times New Roman" w:eastAsia="TimesNewRomanPSMT"/>
                <w:color w:val="auto"/>
              </w:rPr>
              <w:t>pH</w:t>
            </w:r>
            <w:r>
              <w:rPr>
                <w:rFonts w:ascii="Times New Roman" w:hAnsi="Times New Roman" w:eastAsia="Times New Roman"/>
                <w:color w:val="auto"/>
              </w:rPr>
              <w:t>值、悬浮物、五日生化需氧量</w:t>
            </w:r>
            <w:r>
              <w:rPr>
                <w:rFonts w:hint="eastAsia" w:ascii="Times New Roman" w:hAnsi="Times New Roman" w:eastAsia="宋体"/>
                <w:color w:val="auto"/>
                <w:lang w:eastAsia="zh-CN"/>
              </w:rPr>
              <w:t>、</w:t>
            </w:r>
            <w:r>
              <w:rPr>
                <w:rFonts w:hint="eastAsia" w:ascii="Times New Roman" w:hAnsi="Times New Roman" w:eastAsia="Times New Roman"/>
                <w:color w:val="auto"/>
                <w:lang w:eastAsia="zh-CN"/>
              </w:rPr>
              <w:t>动植物油</w:t>
            </w:r>
          </w:p>
        </w:tc>
        <w:tc>
          <w:tcPr>
            <w:tcW w:w="1141" w:type="dxa"/>
            <w:vAlign w:val="center"/>
          </w:tcPr>
          <w:p>
            <w:pPr>
              <w:pStyle w:val="112"/>
              <w:ind w:left="-2"/>
              <w:rPr>
                <w:rFonts w:ascii="Times New Roman" w:hAnsi="Times New Roman" w:eastAsia="Times New Roman"/>
                <w:color w:val="auto"/>
              </w:rPr>
            </w:pPr>
            <w:r>
              <w:rPr>
                <w:rFonts w:ascii="Times New Roman" w:hAnsi="Times New Roman"/>
                <w:color w:val="auto"/>
              </w:rPr>
              <w:t>集中式工业污水处理厂</w:t>
            </w:r>
          </w:p>
        </w:tc>
        <w:tc>
          <w:tcPr>
            <w:tcW w:w="1391" w:type="dxa"/>
            <w:vAlign w:val="center"/>
          </w:tcPr>
          <w:p>
            <w:pPr>
              <w:pStyle w:val="112"/>
              <w:ind w:left="-2"/>
              <w:jc w:val="both"/>
              <w:rPr>
                <w:rFonts w:ascii="Times New Roman" w:hAnsi="Times New Roman" w:eastAsia="Times New Roman"/>
                <w:color w:val="auto"/>
              </w:rPr>
            </w:pPr>
            <w:r>
              <w:rPr>
                <w:rFonts w:ascii="Times New Roman" w:hAnsi="Times New Roman" w:eastAsia="Times New Roman"/>
                <w:color w:val="auto"/>
              </w:rPr>
              <w:t>间歇排放，流量不稳定，但不属于冲击型排放</w:t>
            </w:r>
          </w:p>
        </w:tc>
        <w:tc>
          <w:tcPr>
            <w:tcW w:w="1270" w:type="dxa"/>
            <w:vAlign w:val="center"/>
          </w:tcPr>
          <w:p>
            <w:pPr>
              <w:pStyle w:val="112"/>
              <w:ind w:left="-2"/>
              <w:rPr>
                <w:rFonts w:ascii="Times New Roman" w:hAnsi="Times New Roman"/>
                <w:color w:val="auto"/>
              </w:rPr>
            </w:pPr>
            <w:r>
              <w:rPr>
                <w:rFonts w:ascii="Times New Roman" w:hAnsi="Times New Roman" w:eastAsia="Times New Roman"/>
                <w:color w:val="auto"/>
              </w:rPr>
              <w:t>TW00</w:t>
            </w:r>
            <w:r>
              <w:rPr>
                <w:rFonts w:ascii="Times New Roman" w:hAnsi="Times New Roman"/>
                <w:color w:val="auto"/>
              </w:rPr>
              <w:t>1</w:t>
            </w:r>
          </w:p>
        </w:tc>
        <w:tc>
          <w:tcPr>
            <w:tcW w:w="1312" w:type="dxa"/>
            <w:vAlign w:val="center"/>
          </w:tcPr>
          <w:p>
            <w:pPr>
              <w:pStyle w:val="112"/>
              <w:ind w:left="-2"/>
              <w:rPr>
                <w:rFonts w:ascii="Times New Roman" w:hAnsi="Times New Roman"/>
                <w:color w:val="auto"/>
              </w:rPr>
            </w:pPr>
            <w:r>
              <w:rPr>
                <w:rFonts w:ascii="Times New Roman" w:hAnsi="Times New Roman" w:eastAsia="Times New Roman"/>
                <w:color w:val="auto"/>
              </w:rPr>
              <w:t>化粪池</w:t>
            </w:r>
          </w:p>
        </w:tc>
        <w:tc>
          <w:tcPr>
            <w:tcW w:w="1272" w:type="dxa"/>
            <w:vAlign w:val="center"/>
          </w:tcPr>
          <w:p>
            <w:pPr>
              <w:pStyle w:val="112"/>
              <w:ind w:left="-2"/>
              <w:rPr>
                <w:rFonts w:ascii="Times New Roman" w:hAnsi="Times New Roman"/>
                <w:color w:val="auto"/>
              </w:rPr>
            </w:pPr>
            <w:r>
              <w:rPr>
                <w:rFonts w:ascii="Times New Roman" w:hAnsi="Times New Roman" w:eastAsia="Times New Roman"/>
                <w:color w:val="auto"/>
              </w:rPr>
              <w:t>三级化粪池</w:t>
            </w:r>
          </w:p>
        </w:tc>
        <w:tc>
          <w:tcPr>
            <w:tcW w:w="920" w:type="dxa"/>
            <w:vAlign w:val="center"/>
          </w:tcPr>
          <w:p>
            <w:pPr>
              <w:pStyle w:val="112"/>
              <w:ind w:left="-2"/>
              <w:rPr>
                <w:rFonts w:ascii="Times New Roman" w:hAnsi="Times New Roman" w:eastAsia="Times New Roman"/>
                <w:color w:val="auto"/>
              </w:rPr>
            </w:pPr>
            <w:r>
              <w:rPr>
                <w:rFonts w:ascii="Times New Roman" w:hAnsi="Times New Roman" w:eastAsia="Times New Roman"/>
                <w:color w:val="auto"/>
              </w:rPr>
              <w:t>D</w:t>
            </w:r>
            <w:r>
              <w:rPr>
                <w:rFonts w:ascii="Times New Roman" w:hAnsi="Times New Roman"/>
                <w:color w:val="auto"/>
              </w:rPr>
              <w:t>W</w:t>
            </w:r>
            <w:r>
              <w:rPr>
                <w:rFonts w:ascii="Times New Roman" w:hAnsi="Times New Roman" w:eastAsia="Times New Roman"/>
                <w:color w:val="auto"/>
              </w:rPr>
              <w:t>001</w:t>
            </w:r>
          </w:p>
        </w:tc>
        <w:tc>
          <w:tcPr>
            <w:tcW w:w="1638" w:type="dxa"/>
            <w:vAlign w:val="center"/>
          </w:tcPr>
          <w:p>
            <w:pPr>
              <w:pStyle w:val="112"/>
              <w:ind w:left="-2"/>
              <w:rPr>
                <w:rFonts w:ascii="Times New Roman" w:hAnsi="Times New Roman" w:eastAsia="Times New Roman"/>
                <w:color w:val="auto"/>
              </w:rPr>
            </w:pPr>
            <w:r>
              <w:rPr>
                <w:rFonts w:ascii="Times New Roman" w:hAnsi="Times New Roman" w:eastAsia="Times New Roman"/>
                <w:color w:val="auto"/>
              </w:rPr>
              <w:sym w:font="Wingdings 2" w:char="0052"/>
            </w:r>
            <w:r>
              <w:rPr>
                <w:rFonts w:ascii="Times New Roman" w:hAnsi="Times New Roman" w:eastAsia="Times New Roman"/>
                <w:color w:val="auto"/>
              </w:rPr>
              <w:t>是</w:t>
            </w:r>
          </w:p>
          <w:p>
            <w:pPr>
              <w:pStyle w:val="112"/>
              <w:ind w:left="-2"/>
              <w:rPr>
                <w:rFonts w:ascii="Times New Roman" w:hAnsi="Times New Roman" w:eastAsia="Times New Roman"/>
                <w:color w:val="auto"/>
              </w:rPr>
            </w:pPr>
            <w:r>
              <w:rPr>
                <w:rFonts w:ascii="Times New Roman" w:hAnsi="Times New Roman" w:eastAsia="Times New Roman"/>
                <w:color w:val="auto"/>
              </w:rPr>
              <w:sym w:font="Wingdings 2" w:char="00A3"/>
            </w:r>
            <w:r>
              <w:rPr>
                <w:rFonts w:ascii="Times New Roman" w:hAnsi="Times New Roman" w:eastAsia="Times New Roman"/>
                <w:color w:val="auto"/>
              </w:rPr>
              <w:t>否</w:t>
            </w:r>
          </w:p>
        </w:tc>
        <w:tc>
          <w:tcPr>
            <w:tcW w:w="1890" w:type="dxa"/>
            <w:vAlign w:val="center"/>
          </w:tcPr>
          <w:p>
            <w:pPr>
              <w:pStyle w:val="112"/>
              <w:ind w:left="-2"/>
              <w:rPr>
                <w:rFonts w:ascii="Times New Roman" w:hAnsi="Times New Roman" w:eastAsia="Times New Roman"/>
                <w:color w:val="auto"/>
              </w:rPr>
            </w:pPr>
            <w:r>
              <w:rPr>
                <w:rFonts w:ascii="Times New Roman" w:hAnsi="Times New Roman" w:eastAsia="Times New Roman"/>
                <w:color w:val="auto"/>
              </w:rPr>
              <w:sym w:font="Wingdings 2" w:char="0052"/>
            </w:r>
            <w:r>
              <w:rPr>
                <w:rFonts w:ascii="Times New Roman" w:hAnsi="Times New Roman" w:eastAsia="Times New Roman"/>
                <w:color w:val="auto"/>
              </w:rPr>
              <w:t>企业总排口</w:t>
            </w:r>
          </w:p>
          <w:p>
            <w:pPr>
              <w:pStyle w:val="112"/>
              <w:ind w:left="-2"/>
              <w:rPr>
                <w:rFonts w:ascii="Times New Roman" w:hAnsi="Times New Roman" w:eastAsia="Times New Roman"/>
                <w:color w:val="auto"/>
              </w:rPr>
            </w:pPr>
            <w:r>
              <w:rPr>
                <w:rFonts w:ascii="Times New Roman" w:hAnsi="Times New Roman" w:eastAsia="Times New Roman"/>
                <w:color w:val="auto"/>
              </w:rPr>
              <w:sym w:font="Wingdings 2" w:char="00A3"/>
            </w:r>
            <w:r>
              <w:rPr>
                <w:rFonts w:ascii="Times New Roman" w:hAnsi="Times New Roman" w:eastAsia="Times New Roman"/>
                <w:color w:val="auto"/>
              </w:rPr>
              <w:t>雨水排放</w:t>
            </w:r>
          </w:p>
          <w:p>
            <w:pPr>
              <w:pStyle w:val="112"/>
              <w:ind w:left="-2"/>
              <w:rPr>
                <w:rFonts w:ascii="Times New Roman" w:hAnsi="Times New Roman" w:eastAsia="Times New Roman"/>
                <w:color w:val="auto"/>
              </w:rPr>
            </w:pPr>
            <w:r>
              <w:rPr>
                <w:rFonts w:ascii="Times New Roman" w:hAnsi="Times New Roman" w:eastAsia="Times New Roman"/>
                <w:color w:val="auto"/>
              </w:rPr>
              <w:sym w:font="Wingdings 2" w:char="00A3"/>
            </w:r>
            <w:r>
              <w:rPr>
                <w:rFonts w:ascii="Times New Roman" w:hAnsi="Times New Roman" w:eastAsia="Times New Roman"/>
                <w:color w:val="auto"/>
              </w:rPr>
              <w:t>清净下水排放</w:t>
            </w:r>
          </w:p>
          <w:p>
            <w:pPr>
              <w:pStyle w:val="112"/>
              <w:ind w:left="-2"/>
              <w:rPr>
                <w:rFonts w:ascii="Times New Roman" w:hAnsi="Times New Roman" w:eastAsia="Times New Roman"/>
                <w:color w:val="auto"/>
              </w:rPr>
            </w:pPr>
            <w:r>
              <w:rPr>
                <w:rFonts w:ascii="Times New Roman" w:hAnsi="Times New Roman" w:eastAsia="Times New Roman"/>
                <w:color w:val="auto"/>
              </w:rPr>
              <w:sym w:font="Wingdings 2" w:char="00A3"/>
            </w:r>
            <w:r>
              <w:rPr>
                <w:rFonts w:ascii="Times New Roman" w:hAnsi="Times New Roman" w:eastAsia="Times New Roman"/>
                <w:color w:val="auto"/>
              </w:rPr>
              <w:t>温排水排放</w:t>
            </w:r>
          </w:p>
          <w:p>
            <w:pPr>
              <w:pStyle w:val="112"/>
              <w:ind w:left="-2"/>
              <w:rPr>
                <w:rFonts w:ascii="Times New Roman" w:hAnsi="Times New Roman" w:eastAsia="Times New Roman"/>
                <w:color w:val="auto"/>
              </w:rPr>
            </w:pPr>
            <w:r>
              <w:rPr>
                <w:rFonts w:ascii="Times New Roman" w:hAnsi="Times New Roman" w:eastAsia="Times New Roman"/>
                <w:color w:val="auto"/>
              </w:rPr>
              <w:sym w:font="Wingdings 2" w:char="00A3"/>
            </w:r>
            <w:r>
              <w:rPr>
                <w:rFonts w:ascii="Times New Roman" w:hAnsi="Times New Roman" w:eastAsia="Times New Roman"/>
                <w:color w:val="auto"/>
              </w:rPr>
              <w:t>车间或车间处理设施排放口</w:t>
            </w:r>
          </w:p>
        </w:tc>
      </w:tr>
    </w:tbl>
    <w:p>
      <w:pPr>
        <w:spacing w:before="120" w:beforeLines="50" w:line="360" w:lineRule="auto"/>
        <w:ind w:firstLine="482"/>
        <w:jc w:val="center"/>
        <w:rPr>
          <w:b/>
          <w:bCs/>
          <w:color w:val="auto"/>
          <w:sz w:val="24"/>
        </w:rPr>
      </w:pPr>
      <w:r>
        <w:rPr>
          <w:b/>
          <w:bCs/>
          <w:color w:val="auto"/>
          <w:sz w:val="24"/>
        </w:rPr>
        <w:t>表</w:t>
      </w:r>
      <w:r>
        <w:rPr>
          <w:rFonts w:hint="eastAsia"/>
          <w:b/>
          <w:bCs/>
          <w:color w:val="auto"/>
          <w:sz w:val="24"/>
          <w:lang w:val="en-US" w:eastAsia="zh-CN"/>
        </w:rPr>
        <w:t>4-7</w:t>
      </w:r>
      <w:r>
        <w:rPr>
          <w:b/>
          <w:bCs/>
          <w:color w:val="auto"/>
          <w:sz w:val="24"/>
        </w:rPr>
        <w:t xml:space="preserve"> 废水间接排放口基本情况表</w:t>
      </w:r>
    </w:p>
    <w:tbl>
      <w:tblPr>
        <w:tblStyle w:val="28"/>
        <w:tblW w:w="152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967"/>
        <w:gridCol w:w="1404"/>
        <w:gridCol w:w="1405"/>
        <w:gridCol w:w="1112"/>
        <w:gridCol w:w="945"/>
        <w:gridCol w:w="1853"/>
        <w:gridCol w:w="1310"/>
        <w:gridCol w:w="2221"/>
        <w:gridCol w:w="1405"/>
        <w:gridCol w:w="20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578"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序号</w:t>
            </w:r>
          </w:p>
        </w:tc>
        <w:tc>
          <w:tcPr>
            <w:tcW w:w="967"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排放口编号</w:t>
            </w:r>
          </w:p>
        </w:tc>
        <w:tc>
          <w:tcPr>
            <w:tcW w:w="2809" w:type="dxa"/>
            <w:gridSpan w:val="2"/>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排放口地理坐标</w:t>
            </w:r>
            <w:r>
              <w:rPr>
                <w:rFonts w:ascii="Times New Roman" w:hAnsi="Times New Roman" w:eastAsia="Times New Roman"/>
                <w:b/>
                <w:bCs/>
                <w:color w:val="auto"/>
                <w:vertAlign w:val="superscript"/>
              </w:rPr>
              <w:t>a</w:t>
            </w:r>
          </w:p>
        </w:tc>
        <w:tc>
          <w:tcPr>
            <w:tcW w:w="1112"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废水排放量/(万t/a)</w:t>
            </w:r>
          </w:p>
        </w:tc>
        <w:tc>
          <w:tcPr>
            <w:tcW w:w="945"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排放去向</w:t>
            </w:r>
          </w:p>
        </w:tc>
        <w:tc>
          <w:tcPr>
            <w:tcW w:w="1853"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排放规律</w:t>
            </w:r>
          </w:p>
        </w:tc>
        <w:tc>
          <w:tcPr>
            <w:tcW w:w="1310" w:type="dxa"/>
            <w:vMerge w:val="restart"/>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间歇排放时段</w:t>
            </w:r>
          </w:p>
        </w:tc>
        <w:tc>
          <w:tcPr>
            <w:tcW w:w="5682" w:type="dxa"/>
            <w:gridSpan w:val="3"/>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受纳污水厂信息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578" w:type="dxa"/>
            <w:vMerge w:val="continue"/>
            <w:vAlign w:val="center"/>
          </w:tcPr>
          <w:p>
            <w:pPr>
              <w:widowControl/>
              <w:jc w:val="left"/>
              <w:rPr>
                <w:rFonts w:eastAsia="Times New Roman"/>
                <w:b/>
                <w:bCs/>
                <w:color w:val="auto"/>
                <w:kern w:val="0"/>
                <w:szCs w:val="21"/>
              </w:rPr>
            </w:pPr>
          </w:p>
        </w:tc>
        <w:tc>
          <w:tcPr>
            <w:tcW w:w="967" w:type="dxa"/>
            <w:vMerge w:val="continue"/>
            <w:vAlign w:val="center"/>
          </w:tcPr>
          <w:p>
            <w:pPr>
              <w:widowControl/>
              <w:jc w:val="left"/>
              <w:rPr>
                <w:rFonts w:eastAsia="Times New Roman"/>
                <w:b/>
                <w:bCs/>
                <w:color w:val="auto"/>
                <w:kern w:val="0"/>
                <w:szCs w:val="21"/>
              </w:rPr>
            </w:pPr>
          </w:p>
        </w:tc>
        <w:tc>
          <w:tcPr>
            <w:tcW w:w="1404" w:type="dxa"/>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经度</w:t>
            </w:r>
          </w:p>
        </w:tc>
        <w:tc>
          <w:tcPr>
            <w:tcW w:w="1405" w:type="dxa"/>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纬度</w:t>
            </w:r>
          </w:p>
        </w:tc>
        <w:tc>
          <w:tcPr>
            <w:tcW w:w="1112" w:type="dxa"/>
            <w:vMerge w:val="continue"/>
            <w:vAlign w:val="center"/>
          </w:tcPr>
          <w:p>
            <w:pPr>
              <w:widowControl/>
              <w:jc w:val="left"/>
              <w:rPr>
                <w:rFonts w:eastAsia="Times New Roman"/>
                <w:b/>
                <w:bCs/>
                <w:color w:val="auto"/>
                <w:kern w:val="0"/>
                <w:szCs w:val="21"/>
              </w:rPr>
            </w:pPr>
          </w:p>
        </w:tc>
        <w:tc>
          <w:tcPr>
            <w:tcW w:w="945" w:type="dxa"/>
            <w:vMerge w:val="continue"/>
            <w:vAlign w:val="center"/>
          </w:tcPr>
          <w:p>
            <w:pPr>
              <w:widowControl/>
              <w:jc w:val="left"/>
              <w:rPr>
                <w:rFonts w:eastAsia="Times New Roman"/>
                <w:b/>
                <w:bCs/>
                <w:color w:val="auto"/>
                <w:kern w:val="0"/>
                <w:szCs w:val="21"/>
              </w:rPr>
            </w:pPr>
          </w:p>
        </w:tc>
        <w:tc>
          <w:tcPr>
            <w:tcW w:w="1853" w:type="dxa"/>
            <w:vMerge w:val="continue"/>
            <w:vAlign w:val="center"/>
          </w:tcPr>
          <w:p>
            <w:pPr>
              <w:widowControl/>
              <w:jc w:val="left"/>
              <w:rPr>
                <w:rFonts w:eastAsia="Times New Roman"/>
                <w:b/>
                <w:bCs/>
                <w:color w:val="auto"/>
                <w:kern w:val="0"/>
                <w:szCs w:val="21"/>
              </w:rPr>
            </w:pPr>
          </w:p>
        </w:tc>
        <w:tc>
          <w:tcPr>
            <w:tcW w:w="1310" w:type="dxa"/>
            <w:vMerge w:val="continue"/>
            <w:vAlign w:val="center"/>
          </w:tcPr>
          <w:p>
            <w:pPr>
              <w:widowControl/>
              <w:jc w:val="left"/>
              <w:rPr>
                <w:rFonts w:eastAsia="Times New Roman"/>
                <w:b/>
                <w:bCs/>
                <w:color w:val="auto"/>
                <w:kern w:val="0"/>
                <w:szCs w:val="21"/>
              </w:rPr>
            </w:pPr>
          </w:p>
        </w:tc>
        <w:tc>
          <w:tcPr>
            <w:tcW w:w="2221" w:type="dxa"/>
            <w:vAlign w:val="center"/>
          </w:tcPr>
          <w:p>
            <w:pPr>
              <w:pStyle w:val="112"/>
              <w:ind w:left="-2"/>
              <w:rPr>
                <w:rFonts w:ascii="Times New Roman" w:hAnsi="Times New Roman"/>
                <w:b/>
                <w:bCs/>
                <w:color w:val="auto"/>
              </w:rPr>
            </w:pPr>
            <w:r>
              <w:rPr>
                <w:rFonts w:ascii="Times New Roman" w:hAnsi="Times New Roman" w:eastAsia="Times New Roman"/>
                <w:b/>
                <w:bCs/>
                <w:color w:val="auto"/>
              </w:rPr>
              <w:t>名称</w:t>
            </w:r>
          </w:p>
        </w:tc>
        <w:tc>
          <w:tcPr>
            <w:tcW w:w="1405" w:type="dxa"/>
            <w:vAlign w:val="center"/>
          </w:tcPr>
          <w:p>
            <w:pPr>
              <w:pStyle w:val="112"/>
              <w:ind w:left="-2"/>
              <w:rPr>
                <w:rFonts w:ascii="Times New Roman" w:hAnsi="Times New Roman"/>
                <w:b/>
                <w:bCs/>
                <w:color w:val="auto"/>
              </w:rPr>
            </w:pPr>
            <w:r>
              <w:rPr>
                <w:rFonts w:ascii="Times New Roman" w:hAnsi="Times New Roman" w:eastAsia="Times New Roman"/>
                <w:b/>
                <w:bCs/>
                <w:color w:val="auto"/>
              </w:rPr>
              <w:t>污染物种类</w:t>
            </w:r>
          </w:p>
        </w:tc>
        <w:tc>
          <w:tcPr>
            <w:tcW w:w="2056" w:type="dxa"/>
            <w:vAlign w:val="center"/>
          </w:tcPr>
          <w:p>
            <w:pPr>
              <w:pStyle w:val="112"/>
              <w:ind w:left="-2"/>
              <w:rPr>
                <w:rFonts w:ascii="Times New Roman" w:hAnsi="Times New Roman" w:eastAsia="Times New Roman"/>
                <w:b/>
                <w:bCs/>
                <w:color w:val="auto"/>
              </w:rPr>
            </w:pPr>
            <w:r>
              <w:rPr>
                <w:rFonts w:ascii="Times New Roman" w:hAnsi="Times New Roman" w:eastAsia="Times New Roman"/>
                <w:b/>
                <w:bCs/>
                <w:color w:val="auto"/>
              </w:rPr>
              <w:t>国家或地方污染物排放标准浓度限值/（mg/L）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578" w:type="dxa"/>
            <w:vMerge w:val="restart"/>
            <w:vAlign w:val="center"/>
          </w:tcPr>
          <w:p>
            <w:pPr>
              <w:pStyle w:val="112"/>
              <w:ind w:left="-2"/>
              <w:rPr>
                <w:rFonts w:ascii="Times New Roman" w:hAnsi="Times New Roman" w:eastAsia="Times New Roman"/>
                <w:color w:val="auto"/>
              </w:rPr>
            </w:pPr>
            <w:r>
              <w:rPr>
                <w:rFonts w:ascii="Times New Roman" w:hAnsi="Times New Roman" w:eastAsia="Times New Roman"/>
                <w:color w:val="auto"/>
              </w:rPr>
              <w:t>1</w:t>
            </w:r>
          </w:p>
        </w:tc>
        <w:tc>
          <w:tcPr>
            <w:tcW w:w="967" w:type="dxa"/>
            <w:vMerge w:val="restart"/>
            <w:vAlign w:val="center"/>
          </w:tcPr>
          <w:p>
            <w:pPr>
              <w:pStyle w:val="112"/>
              <w:ind w:left="-2"/>
              <w:rPr>
                <w:rFonts w:ascii="Times New Roman" w:hAnsi="Times New Roman"/>
                <w:color w:val="auto"/>
              </w:rPr>
            </w:pPr>
            <w:r>
              <w:rPr>
                <w:rFonts w:ascii="Times New Roman" w:hAnsi="Times New Roman"/>
                <w:color w:val="auto"/>
              </w:rPr>
              <w:t>DW001</w:t>
            </w:r>
          </w:p>
        </w:tc>
        <w:tc>
          <w:tcPr>
            <w:tcW w:w="1404" w:type="dxa"/>
            <w:vMerge w:val="restart"/>
            <w:vAlign w:val="center"/>
          </w:tcPr>
          <w:p>
            <w:pPr>
              <w:pStyle w:val="23"/>
              <w:spacing w:before="0" w:beforeAutospacing="0" w:after="0" w:afterAutospacing="0"/>
              <w:jc w:val="center"/>
              <w:rPr>
                <w:rFonts w:ascii="Times New Roman" w:hAnsi="Times New Roman" w:eastAsia="Times New Roman"/>
                <w:color w:val="auto"/>
                <w:sz w:val="21"/>
                <w:szCs w:val="21"/>
                <w:highlight w:val="yellow"/>
              </w:rPr>
            </w:pPr>
            <w:r>
              <w:rPr>
                <w:rFonts w:ascii="Times New Roman" w:hAnsi="Times New Roman"/>
                <w:color w:val="auto"/>
                <w:sz w:val="21"/>
                <w:szCs w:val="21"/>
              </w:rPr>
              <w:t>113.41603875</w:t>
            </w:r>
            <w:r>
              <w:rPr>
                <w:rFonts w:ascii="Times New Roman" w:hAnsi="Times New Roman" w:eastAsia="Times New Roman"/>
                <w:color w:val="auto"/>
                <w:sz w:val="21"/>
                <w:szCs w:val="21"/>
              </w:rPr>
              <w:t>°E</w:t>
            </w:r>
          </w:p>
        </w:tc>
        <w:tc>
          <w:tcPr>
            <w:tcW w:w="1405" w:type="dxa"/>
            <w:vMerge w:val="restart"/>
            <w:vAlign w:val="center"/>
          </w:tcPr>
          <w:p>
            <w:pPr>
              <w:pStyle w:val="23"/>
              <w:spacing w:before="0" w:beforeAutospacing="0" w:after="0" w:afterAutospacing="0"/>
              <w:jc w:val="center"/>
              <w:rPr>
                <w:rFonts w:ascii="Times New Roman" w:hAnsi="Times New Roman" w:eastAsia="Times New Roman"/>
                <w:color w:val="auto"/>
                <w:sz w:val="21"/>
                <w:szCs w:val="21"/>
                <w:highlight w:val="yellow"/>
              </w:rPr>
            </w:pPr>
            <w:r>
              <w:rPr>
                <w:rFonts w:ascii="Times New Roman" w:hAnsi="Times New Roman"/>
                <w:color w:val="auto"/>
                <w:sz w:val="21"/>
                <w:szCs w:val="21"/>
              </w:rPr>
              <w:t>25.12373686</w:t>
            </w:r>
            <w:r>
              <w:rPr>
                <w:rFonts w:ascii="Times New Roman" w:hAnsi="Times New Roman" w:eastAsia="Times New Roman"/>
                <w:color w:val="auto"/>
                <w:sz w:val="21"/>
                <w:szCs w:val="21"/>
              </w:rPr>
              <w:t>°N</w:t>
            </w:r>
          </w:p>
        </w:tc>
        <w:tc>
          <w:tcPr>
            <w:tcW w:w="1112" w:type="dxa"/>
            <w:vMerge w:val="restart"/>
            <w:vAlign w:val="center"/>
          </w:tcPr>
          <w:p>
            <w:pPr>
              <w:pStyle w:val="112"/>
              <w:ind w:left="-2"/>
              <w:rPr>
                <w:rFonts w:ascii="Times New Roman" w:hAnsi="Times New Roman"/>
                <w:color w:val="auto"/>
              </w:rPr>
            </w:pPr>
            <w:r>
              <w:rPr>
                <w:rFonts w:hint="eastAsia" w:ascii="Times New Roman" w:hAnsi="Times New Roman"/>
                <w:color w:val="auto"/>
              </w:rPr>
              <w:t>0.405</w:t>
            </w:r>
          </w:p>
        </w:tc>
        <w:tc>
          <w:tcPr>
            <w:tcW w:w="945" w:type="dxa"/>
            <w:vMerge w:val="restart"/>
            <w:vAlign w:val="center"/>
          </w:tcPr>
          <w:p>
            <w:pPr>
              <w:pStyle w:val="112"/>
              <w:ind w:left="-2"/>
              <w:rPr>
                <w:rFonts w:ascii="Times New Roman" w:hAnsi="Times New Roman" w:eastAsia="Times New Roman"/>
                <w:color w:val="auto"/>
              </w:rPr>
            </w:pPr>
            <w:r>
              <w:rPr>
                <w:rFonts w:ascii="Times New Roman" w:hAnsi="Times New Roman"/>
                <w:color w:val="auto"/>
              </w:rPr>
              <w:t>集中式工业污水处理厂</w:t>
            </w:r>
          </w:p>
        </w:tc>
        <w:tc>
          <w:tcPr>
            <w:tcW w:w="1853" w:type="dxa"/>
            <w:vMerge w:val="restart"/>
            <w:vAlign w:val="center"/>
          </w:tcPr>
          <w:p>
            <w:pPr>
              <w:pStyle w:val="112"/>
              <w:ind w:left="-2"/>
              <w:rPr>
                <w:rFonts w:ascii="Times New Roman" w:hAnsi="Times New Roman" w:eastAsia="Times New Roman"/>
                <w:color w:val="auto"/>
              </w:rPr>
            </w:pPr>
            <w:r>
              <w:rPr>
                <w:rFonts w:ascii="Times New Roman" w:hAnsi="Times New Roman" w:eastAsia="Times New Roman"/>
                <w:color w:val="auto"/>
              </w:rPr>
              <w:t>间歇排放，流量不稳定，但不属于冲击型排放</w:t>
            </w:r>
          </w:p>
        </w:tc>
        <w:tc>
          <w:tcPr>
            <w:tcW w:w="1310" w:type="dxa"/>
            <w:vMerge w:val="restart"/>
            <w:vAlign w:val="center"/>
          </w:tcPr>
          <w:p>
            <w:pPr>
              <w:pStyle w:val="112"/>
              <w:ind w:left="-2"/>
              <w:rPr>
                <w:rFonts w:ascii="Times New Roman" w:hAnsi="Times New Roman" w:eastAsia="Times New Roman"/>
                <w:color w:val="auto"/>
              </w:rPr>
            </w:pPr>
            <w:r>
              <w:rPr>
                <w:rFonts w:ascii="Times New Roman" w:hAnsi="Times New Roman" w:eastAsia="Times New Roman"/>
                <w:color w:val="auto"/>
              </w:rPr>
              <w:t>/</w:t>
            </w:r>
          </w:p>
        </w:tc>
        <w:tc>
          <w:tcPr>
            <w:tcW w:w="2221" w:type="dxa"/>
            <w:vMerge w:val="restart"/>
            <w:vAlign w:val="center"/>
          </w:tcPr>
          <w:p>
            <w:pPr>
              <w:pStyle w:val="112"/>
              <w:ind w:left="-2"/>
              <w:rPr>
                <w:rFonts w:ascii="Times New Roman" w:hAnsi="Times New Roman" w:eastAsia="Times New Roman"/>
                <w:color w:val="auto"/>
              </w:rPr>
            </w:pPr>
            <w:r>
              <w:rPr>
                <w:rFonts w:ascii="Times New Roman" w:hAnsi="Times New Roman" w:eastAsia="Times New Roman"/>
                <w:color w:val="auto"/>
              </w:rPr>
              <w:t>东莞东坑（乐昌）产业转移园污水处理厂</w:t>
            </w:r>
          </w:p>
        </w:tc>
        <w:tc>
          <w:tcPr>
            <w:tcW w:w="1405" w:type="dxa"/>
            <w:vAlign w:val="center"/>
          </w:tcPr>
          <w:p>
            <w:pPr>
              <w:pStyle w:val="112"/>
              <w:ind w:left="-2"/>
              <w:rPr>
                <w:rFonts w:ascii="Times New Roman" w:hAnsi="Times New Roman" w:eastAsia="Times New Roman"/>
                <w:color w:val="auto"/>
              </w:rPr>
            </w:pPr>
            <w:r>
              <w:rPr>
                <w:rFonts w:ascii="Times New Roman" w:hAnsi="Times New Roman" w:eastAsia="Times New Roman"/>
                <w:color w:val="auto"/>
              </w:rPr>
              <w:t>pH</w:t>
            </w:r>
          </w:p>
        </w:tc>
        <w:tc>
          <w:tcPr>
            <w:tcW w:w="2056" w:type="dxa"/>
            <w:vAlign w:val="center"/>
          </w:tcPr>
          <w:p>
            <w:pPr>
              <w:pStyle w:val="112"/>
              <w:ind w:left="-2"/>
              <w:rPr>
                <w:rFonts w:ascii="Times New Roman" w:hAnsi="Times New Roman" w:eastAsia="Times New Roman"/>
                <w:color w:val="auto"/>
              </w:rPr>
            </w:pPr>
            <w:r>
              <w:rPr>
                <w:rFonts w:ascii="Times New Roman" w:hAnsi="Times New Roman" w:eastAsia="Times New Roman"/>
                <w:color w:val="auto"/>
              </w:rPr>
              <w:t>6~9（无量纲）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578" w:type="dxa"/>
            <w:vMerge w:val="continue"/>
            <w:vAlign w:val="center"/>
          </w:tcPr>
          <w:p>
            <w:pPr>
              <w:pStyle w:val="112"/>
              <w:ind w:left="-2"/>
              <w:rPr>
                <w:rFonts w:ascii="Times New Roman" w:hAnsi="Times New Roman" w:eastAsia="Times New Roman"/>
                <w:color w:val="auto"/>
              </w:rPr>
            </w:pPr>
          </w:p>
        </w:tc>
        <w:tc>
          <w:tcPr>
            <w:tcW w:w="967" w:type="dxa"/>
            <w:vMerge w:val="continue"/>
            <w:vAlign w:val="center"/>
          </w:tcPr>
          <w:p>
            <w:pPr>
              <w:pStyle w:val="112"/>
              <w:ind w:left="-2"/>
              <w:rPr>
                <w:rFonts w:ascii="Times New Roman" w:hAnsi="Times New Roman" w:eastAsia="Times New Roman"/>
                <w:color w:val="auto"/>
              </w:rPr>
            </w:pPr>
          </w:p>
        </w:tc>
        <w:tc>
          <w:tcPr>
            <w:tcW w:w="1404" w:type="dxa"/>
            <w:vMerge w:val="continue"/>
            <w:vAlign w:val="center"/>
          </w:tcPr>
          <w:p>
            <w:pPr>
              <w:pStyle w:val="112"/>
              <w:ind w:left="-2"/>
              <w:rPr>
                <w:rFonts w:ascii="Times New Roman" w:hAnsi="Times New Roman" w:eastAsia="Times New Roman"/>
                <w:color w:val="auto"/>
              </w:rPr>
            </w:pPr>
          </w:p>
        </w:tc>
        <w:tc>
          <w:tcPr>
            <w:tcW w:w="1405" w:type="dxa"/>
            <w:vMerge w:val="continue"/>
            <w:vAlign w:val="center"/>
          </w:tcPr>
          <w:p>
            <w:pPr>
              <w:pStyle w:val="112"/>
              <w:ind w:left="-2"/>
              <w:rPr>
                <w:rFonts w:ascii="Times New Roman" w:hAnsi="Times New Roman" w:eastAsia="Times New Roman"/>
                <w:color w:val="auto"/>
              </w:rPr>
            </w:pPr>
          </w:p>
        </w:tc>
        <w:tc>
          <w:tcPr>
            <w:tcW w:w="1112" w:type="dxa"/>
            <w:vMerge w:val="continue"/>
            <w:vAlign w:val="center"/>
          </w:tcPr>
          <w:p>
            <w:pPr>
              <w:pStyle w:val="112"/>
              <w:ind w:left="-2"/>
              <w:rPr>
                <w:rFonts w:ascii="Times New Roman" w:hAnsi="Times New Roman" w:eastAsia="Times New Roman"/>
                <w:color w:val="auto"/>
              </w:rPr>
            </w:pPr>
          </w:p>
        </w:tc>
        <w:tc>
          <w:tcPr>
            <w:tcW w:w="945" w:type="dxa"/>
            <w:vMerge w:val="continue"/>
            <w:vAlign w:val="center"/>
          </w:tcPr>
          <w:p>
            <w:pPr>
              <w:pStyle w:val="112"/>
              <w:ind w:left="-2"/>
              <w:rPr>
                <w:rFonts w:ascii="Times New Roman" w:hAnsi="Times New Roman" w:eastAsia="Times New Roman"/>
                <w:color w:val="auto"/>
              </w:rPr>
            </w:pPr>
          </w:p>
        </w:tc>
        <w:tc>
          <w:tcPr>
            <w:tcW w:w="1853" w:type="dxa"/>
            <w:vMerge w:val="continue"/>
            <w:vAlign w:val="center"/>
          </w:tcPr>
          <w:p>
            <w:pPr>
              <w:pStyle w:val="112"/>
              <w:ind w:left="-2"/>
              <w:rPr>
                <w:rFonts w:ascii="Times New Roman" w:hAnsi="Times New Roman" w:eastAsia="Times New Roman"/>
                <w:color w:val="auto"/>
              </w:rPr>
            </w:pPr>
          </w:p>
        </w:tc>
        <w:tc>
          <w:tcPr>
            <w:tcW w:w="1310" w:type="dxa"/>
            <w:vMerge w:val="continue"/>
            <w:vAlign w:val="center"/>
          </w:tcPr>
          <w:p>
            <w:pPr>
              <w:pStyle w:val="112"/>
              <w:ind w:left="-2"/>
              <w:rPr>
                <w:rFonts w:ascii="Times New Roman" w:hAnsi="Times New Roman" w:eastAsia="Times New Roman"/>
                <w:color w:val="auto"/>
              </w:rPr>
            </w:pPr>
          </w:p>
        </w:tc>
        <w:tc>
          <w:tcPr>
            <w:tcW w:w="2221" w:type="dxa"/>
            <w:vMerge w:val="continue"/>
            <w:vAlign w:val="center"/>
          </w:tcPr>
          <w:p>
            <w:pPr>
              <w:pStyle w:val="112"/>
              <w:ind w:left="-2"/>
              <w:rPr>
                <w:rFonts w:ascii="Times New Roman" w:hAnsi="Times New Roman" w:eastAsia="Times New Roman"/>
                <w:color w:val="auto"/>
              </w:rPr>
            </w:pPr>
          </w:p>
        </w:tc>
        <w:tc>
          <w:tcPr>
            <w:tcW w:w="1405" w:type="dxa"/>
            <w:vAlign w:val="center"/>
          </w:tcPr>
          <w:p>
            <w:pPr>
              <w:pStyle w:val="112"/>
              <w:ind w:left="-2"/>
              <w:rPr>
                <w:rFonts w:ascii="Times New Roman" w:hAnsi="Times New Roman"/>
                <w:color w:val="auto"/>
              </w:rPr>
            </w:pPr>
            <w:r>
              <w:rPr>
                <w:rFonts w:ascii="Times New Roman" w:hAnsi="Times New Roman"/>
                <w:color w:val="auto"/>
              </w:rPr>
              <w:t>化学需氧量</w:t>
            </w:r>
          </w:p>
        </w:tc>
        <w:tc>
          <w:tcPr>
            <w:tcW w:w="2056" w:type="dxa"/>
            <w:vAlign w:val="center"/>
          </w:tcPr>
          <w:p>
            <w:pPr>
              <w:pStyle w:val="112"/>
              <w:ind w:left="-2"/>
              <w:rPr>
                <w:rFonts w:ascii="Times New Roman" w:hAnsi="Times New Roman" w:eastAsia="Times New Roman"/>
                <w:color w:val="auto"/>
              </w:rPr>
            </w:pPr>
            <w:r>
              <w:rPr>
                <w:rFonts w:ascii="Times New Roman" w:hAnsi="Times New Roman" w:eastAsia="Times New Roman"/>
                <w:color w:val="auto"/>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78" w:type="dxa"/>
            <w:vMerge w:val="continue"/>
            <w:vAlign w:val="center"/>
          </w:tcPr>
          <w:p>
            <w:pPr>
              <w:pStyle w:val="112"/>
              <w:ind w:left="-2"/>
              <w:rPr>
                <w:rFonts w:ascii="Times New Roman" w:hAnsi="Times New Roman" w:eastAsia="Times New Roman"/>
                <w:color w:val="auto"/>
              </w:rPr>
            </w:pPr>
          </w:p>
        </w:tc>
        <w:tc>
          <w:tcPr>
            <w:tcW w:w="967" w:type="dxa"/>
            <w:vMerge w:val="continue"/>
            <w:vAlign w:val="center"/>
          </w:tcPr>
          <w:p>
            <w:pPr>
              <w:pStyle w:val="112"/>
              <w:ind w:left="-2"/>
              <w:rPr>
                <w:rFonts w:ascii="Times New Roman" w:hAnsi="Times New Roman" w:eastAsia="Times New Roman"/>
                <w:color w:val="auto"/>
              </w:rPr>
            </w:pPr>
          </w:p>
        </w:tc>
        <w:tc>
          <w:tcPr>
            <w:tcW w:w="1404" w:type="dxa"/>
            <w:vMerge w:val="continue"/>
            <w:vAlign w:val="center"/>
          </w:tcPr>
          <w:p>
            <w:pPr>
              <w:pStyle w:val="112"/>
              <w:ind w:left="-2"/>
              <w:rPr>
                <w:rFonts w:ascii="Times New Roman" w:hAnsi="Times New Roman" w:eastAsia="Times New Roman"/>
                <w:color w:val="auto"/>
              </w:rPr>
            </w:pPr>
          </w:p>
        </w:tc>
        <w:tc>
          <w:tcPr>
            <w:tcW w:w="1405" w:type="dxa"/>
            <w:vMerge w:val="continue"/>
            <w:vAlign w:val="center"/>
          </w:tcPr>
          <w:p>
            <w:pPr>
              <w:pStyle w:val="112"/>
              <w:ind w:left="-2"/>
              <w:rPr>
                <w:rFonts w:ascii="Times New Roman" w:hAnsi="Times New Roman" w:eastAsia="Times New Roman"/>
                <w:color w:val="auto"/>
              </w:rPr>
            </w:pPr>
          </w:p>
        </w:tc>
        <w:tc>
          <w:tcPr>
            <w:tcW w:w="1112" w:type="dxa"/>
            <w:vMerge w:val="continue"/>
            <w:vAlign w:val="center"/>
          </w:tcPr>
          <w:p>
            <w:pPr>
              <w:pStyle w:val="112"/>
              <w:ind w:left="-2"/>
              <w:rPr>
                <w:rFonts w:ascii="Times New Roman" w:hAnsi="Times New Roman" w:eastAsia="Times New Roman"/>
                <w:color w:val="auto"/>
              </w:rPr>
            </w:pPr>
          </w:p>
        </w:tc>
        <w:tc>
          <w:tcPr>
            <w:tcW w:w="945" w:type="dxa"/>
            <w:vMerge w:val="continue"/>
            <w:vAlign w:val="center"/>
          </w:tcPr>
          <w:p>
            <w:pPr>
              <w:pStyle w:val="112"/>
              <w:ind w:left="-2"/>
              <w:rPr>
                <w:rFonts w:ascii="Times New Roman" w:hAnsi="Times New Roman" w:eastAsia="Times New Roman"/>
                <w:color w:val="auto"/>
              </w:rPr>
            </w:pPr>
          </w:p>
        </w:tc>
        <w:tc>
          <w:tcPr>
            <w:tcW w:w="1853" w:type="dxa"/>
            <w:vMerge w:val="continue"/>
            <w:vAlign w:val="center"/>
          </w:tcPr>
          <w:p>
            <w:pPr>
              <w:pStyle w:val="112"/>
              <w:ind w:left="-2"/>
              <w:rPr>
                <w:rFonts w:ascii="Times New Roman" w:hAnsi="Times New Roman" w:eastAsia="Times New Roman"/>
                <w:color w:val="auto"/>
              </w:rPr>
            </w:pPr>
          </w:p>
        </w:tc>
        <w:tc>
          <w:tcPr>
            <w:tcW w:w="1310" w:type="dxa"/>
            <w:vMerge w:val="continue"/>
            <w:vAlign w:val="center"/>
          </w:tcPr>
          <w:p>
            <w:pPr>
              <w:pStyle w:val="112"/>
              <w:ind w:left="-2"/>
              <w:rPr>
                <w:rFonts w:ascii="Times New Roman" w:hAnsi="Times New Roman" w:eastAsia="Times New Roman"/>
                <w:color w:val="auto"/>
              </w:rPr>
            </w:pPr>
          </w:p>
        </w:tc>
        <w:tc>
          <w:tcPr>
            <w:tcW w:w="2221" w:type="dxa"/>
            <w:vMerge w:val="continue"/>
            <w:vAlign w:val="center"/>
          </w:tcPr>
          <w:p>
            <w:pPr>
              <w:pStyle w:val="112"/>
              <w:ind w:left="-2"/>
              <w:rPr>
                <w:rFonts w:ascii="Times New Roman" w:hAnsi="Times New Roman" w:eastAsia="Times New Roman"/>
                <w:color w:val="auto"/>
              </w:rPr>
            </w:pPr>
          </w:p>
        </w:tc>
        <w:tc>
          <w:tcPr>
            <w:tcW w:w="1405" w:type="dxa"/>
            <w:vAlign w:val="center"/>
          </w:tcPr>
          <w:p>
            <w:pPr>
              <w:pStyle w:val="112"/>
              <w:ind w:left="-2"/>
              <w:rPr>
                <w:rFonts w:ascii="Times New Roman" w:hAnsi="Times New Roman" w:eastAsia="Times New Roman"/>
                <w:color w:val="auto"/>
              </w:rPr>
            </w:pPr>
            <w:r>
              <w:rPr>
                <w:rFonts w:ascii="Times New Roman" w:hAnsi="Times New Roman"/>
                <w:color w:val="auto"/>
              </w:rPr>
              <w:t>五日生化需氧量</w:t>
            </w:r>
          </w:p>
        </w:tc>
        <w:tc>
          <w:tcPr>
            <w:tcW w:w="2056" w:type="dxa"/>
            <w:vAlign w:val="center"/>
          </w:tcPr>
          <w:p>
            <w:pPr>
              <w:pStyle w:val="112"/>
              <w:ind w:left="-2"/>
              <w:rPr>
                <w:rFonts w:ascii="Times New Roman" w:hAnsi="Times New Roman"/>
                <w:color w:val="auto"/>
              </w:rPr>
            </w:pPr>
            <w:r>
              <w:rPr>
                <w:rFonts w:ascii="Times New Roman" w:hAnsi="Times New Roman"/>
                <w:color w:val="auto"/>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578" w:type="dxa"/>
            <w:vMerge w:val="continue"/>
            <w:vAlign w:val="center"/>
          </w:tcPr>
          <w:p>
            <w:pPr>
              <w:pStyle w:val="112"/>
              <w:ind w:left="-2"/>
              <w:rPr>
                <w:rFonts w:ascii="Times New Roman" w:hAnsi="Times New Roman" w:eastAsia="Times New Roman"/>
                <w:color w:val="auto"/>
              </w:rPr>
            </w:pPr>
          </w:p>
        </w:tc>
        <w:tc>
          <w:tcPr>
            <w:tcW w:w="967" w:type="dxa"/>
            <w:vMerge w:val="continue"/>
            <w:vAlign w:val="center"/>
          </w:tcPr>
          <w:p>
            <w:pPr>
              <w:pStyle w:val="112"/>
              <w:ind w:left="-2"/>
              <w:rPr>
                <w:rFonts w:ascii="Times New Roman" w:hAnsi="Times New Roman" w:eastAsia="Times New Roman"/>
                <w:color w:val="auto"/>
              </w:rPr>
            </w:pPr>
          </w:p>
        </w:tc>
        <w:tc>
          <w:tcPr>
            <w:tcW w:w="1404" w:type="dxa"/>
            <w:vMerge w:val="continue"/>
            <w:vAlign w:val="center"/>
          </w:tcPr>
          <w:p>
            <w:pPr>
              <w:pStyle w:val="112"/>
              <w:ind w:left="-2"/>
              <w:rPr>
                <w:rFonts w:ascii="Times New Roman" w:hAnsi="Times New Roman" w:eastAsia="Times New Roman"/>
                <w:color w:val="auto"/>
              </w:rPr>
            </w:pPr>
          </w:p>
        </w:tc>
        <w:tc>
          <w:tcPr>
            <w:tcW w:w="1405" w:type="dxa"/>
            <w:vMerge w:val="continue"/>
            <w:vAlign w:val="center"/>
          </w:tcPr>
          <w:p>
            <w:pPr>
              <w:pStyle w:val="112"/>
              <w:ind w:left="-2"/>
              <w:rPr>
                <w:rFonts w:ascii="Times New Roman" w:hAnsi="Times New Roman" w:eastAsia="Times New Roman"/>
                <w:color w:val="auto"/>
              </w:rPr>
            </w:pPr>
          </w:p>
        </w:tc>
        <w:tc>
          <w:tcPr>
            <w:tcW w:w="1112" w:type="dxa"/>
            <w:vMerge w:val="continue"/>
            <w:vAlign w:val="center"/>
          </w:tcPr>
          <w:p>
            <w:pPr>
              <w:pStyle w:val="112"/>
              <w:ind w:left="-2"/>
              <w:rPr>
                <w:rFonts w:ascii="Times New Roman" w:hAnsi="Times New Roman" w:eastAsia="Times New Roman"/>
                <w:color w:val="auto"/>
              </w:rPr>
            </w:pPr>
          </w:p>
        </w:tc>
        <w:tc>
          <w:tcPr>
            <w:tcW w:w="945" w:type="dxa"/>
            <w:vMerge w:val="continue"/>
            <w:vAlign w:val="center"/>
          </w:tcPr>
          <w:p>
            <w:pPr>
              <w:pStyle w:val="112"/>
              <w:ind w:left="-2"/>
              <w:rPr>
                <w:rFonts w:ascii="Times New Roman" w:hAnsi="Times New Roman" w:eastAsia="Times New Roman"/>
                <w:color w:val="auto"/>
              </w:rPr>
            </w:pPr>
          </w:p>
        </w:tc>
        <w:tc>
          <w:tcPr>
            <w:tcW w:w="1853" w:type="dxa"/>
            <w:vMerge w:val="continue"/>
            <w:vAlign w:val="center"/>
          </w:tcPr>
          <w:p>
            <w:pPr>
              <w:pStyle w:val="112"/>
              <w:ind w:left="-2"/>
              <w:rPr>
                <w:rFonts w:ascii="Times New Roman" w:hAnsi="Times New Roman" w:eastAsia="Times New Roman"/>
                <w:color w:val="auto"/>
              </w:rPr>
            </w:pPr>
          </w:p>
        </w:tc>
        <w:tc>
          <w:tcPr>
            <w:tcW w:w="1310" w:type="dxa"/>
            <w:vMerge w:val="continue"/>
            <w:vAlign w:val="center"/>
          </w:tcPr>
          <w:p>
            <w:pPr>
              <w:pStyle w:val="112"/>
              <w:ind w:left="-2"/>
              <w:rPr>
                <w:rFonts w:ascii="Times New Roman" w:hAnsi="Times New Roman" w:eastAsia="Times New Roman"/>
                <w:color w:val="auto"/>
              </w:rPr>
            </w:pPr>
          </w:p>
        </w:tc>
        <w:tc>
          <w:tcPr>
            <w:tcW w:w="2221" w:type="dxa"/>
            <w:vMerge w:val="continue"/>
            <w:vAlign w:val="center"/>
          </w:tcPr>
          <w:p>
            <w:pPr>
              <w:pStyle w:val="112"/>
              <w:ind w:left="-2"/>
              <w:rPr>
                <w:rFonts w:ascii="Times New Roman" w:hAnsi="Times New Roman" w:eastAsia="Times New Roman"/>
                <w:color w:val="auto"/>
              </w:rPr>
            </w:pPr>
          </w:p>
        </w:tc>
        <w:tc>
          <w:tcPr>
            <w:tcW w:w="1405" w:type="dxa"/>
            <w:vAlign w:val="center"/>
          </w:tcPr>
          <w:p>
            <w:pPr>
              <w:pStyle w:val="112"/>
              <w:ind w:left="-2"/>
              <w:rPr>
                <w:rFonts w:ascii="Times New Roman" w:hAnsi="Times New Roman" w:eastAsia="Times New Roman"/>
                <w:color w:val="auto"/>
              </w:rPr>
            </w:pPr>
            <w:r>
              <w:rPr>
                <w:rFonts w:ascii="Times New Roman" w:hAnsi="Times New Roman"/>
                <w:color w:val="auto"/>
              </w:rPr>
              <w:t>悬浮物</w:t>
            </w:r>
          </w:p>
        </w:tc>
        <w:tc>
          <w:tcPr>
            <w:tcW w:w="2056" w:type="dxa"/>
            <w:vAlign w:val="center"/>
          </w:tcPr>
          <w:p>
            <w:pPr>
              <w:pStyle w:val="112"/>
              <w:ind w:left="-2"/>
              <w:rPr>
                <w:rFonts w:ascii="Times New Roman" w:hAnsi="Times New Roman"/>
                <w:color w:val="auto"/>
              </w:rPr>
            </w:pPr>
            <w:r>
              <w:rPr>
                <w:rFonts w:ascii="Times New Roman" w:hAnsi="Times New Roman"/>
                <w:color w:val="auto"/>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78" w:type="dxa"/>
            <w:vMerge w:val="continue"/>
            <w:vAlign w:val="center"/>
          </w:tcPr>
          <w:p>
            <w:pPr>
              <w:pStyle w:val="112"/>
              <w:ind w:left="-2"/>
              <w:rPr>
                <w:rFonts w:ascii="Times New Roman" w:hAnsi="Times New Roman" w:eastAsia="Times New Roman"/>
                <w:color w:val="auto"/>
              </w:rPr>
            </w:pPr>
          </w:p>
        </w:tc>
        <w:tc>
          <w:tcPr>
            <w:tcW w:w="967" w:type="dxa"/>
            <w:vMerge w:val="continue"/>
            <w:vAlign w:val="center"/>
          </w:tcPr>
          <w:p>
            <w:pPr>
              <w:pStyle w:val="112"/>
              <w:ind w:left="-2"/>
              <w:rPr>
                <w:rFonts w:ascii="Times New Roman" w:hAnsi="Times New Roman" w:eastAsia="Times New Roman"/>
                <w:color w:val="auto"/>
              </w:rPr>
            </w:pPr>
          </w:p>
        </w:tc>
        <w:tc>
          <w:tcPr>
            <w:tcW w:w="1404" w:type="dxa"/>
            <w:vMerge w:val="continue"/>
            <w:vAlign w:val="center"/>
          </w:tcPr>
          <w:p>
            <w:pPr>
              <w:pStyle w:val="112"/>
              <w:ind w:left="-2"/>
              <w:rPr>
                <w:rFonts w:ascii="Times New Roman" w:hAnsi="Times New Roman" w:eastAsia="Times New Roman"/>
                <w:color w:val="auto"/>
              </w:rPr>
            </w:pPr>
          </w:p>
        </w:tc>
        <w:tc>
          <w:tcPr>
            <w:tcW w:w="1405" w:type="dxa"/>
            <w:vMerge w:val="continue"/>
            <w:vAlign w:val="center"/>
          </w:tcPr>
          <w:p>
            <w:pPr>
              <w:pStyle w:val="112"/>
              <w:ind w:left="-2"/>
              <w:rPr>
                <w:rFonts w:ascii="Times New Roman" w:hAnsi="Times New Roman" w:eastAsia="Times New Roman"/>
                <w:color w:val="auto"/>
              </w:rPr>
            </w:pPr>
          </w:p>
        </w:tc>
        <w:tc>
          <w:tcPr>
            <w:tcW w:w="1112" w:type="dxa"/>
            <w:vMerge w:val="continue"/>
            <w:vAlign w:val="center"/>
          </w:tcPr>
          <w:p>
            <w:pPr>
              <w:pStyle w:val="112"/>
              <w:ind w:left="-2"/>
              <w:rPr>
                <w:rFonts w:ascii="Times New Roman" w:hAnsi="Times New Roman" w:eastAsia="Times New Roman"/>
                <w:color w:val="auto"/>
              </w:rPr>
            </w:pPr>
          </w:p>
        </w:tc>
        <w:tc>
          <w:tcPr>
            <w:tcW w:w="945" w:type="dxa"/>
            <w:vMerge w:val="continue"/>
            <w:vAlign w:val="center"/>
          </w:tcPr>
          <w:p>
            <w:pPr>
              <w:pStyle w:val="112"/>
              <w:ind w:left="-2"/>
              <w:rPr>
                <w:rFonts w:ascii="Times New Roman" w:hAnsi="Times New Roman" w:eastAsia="Times New Roman"/>
                <w:color w:val="auto"/>
              </w:rPr>
            </w:pPr>
          </w:p>
        </w:tc>
        <w:tc>
          <w:tcPr>
            <w:tcW w:w="1853" w:type="dxa"/>
            <w:vMerge w:val="continue"/>
            <w:vAlign w:val="center"/>
          </w:tcPr>
          <w:p>
            <w:pPr>
              <w:pStyle w:val="112"/>
              <w:ind w:left="-2"/>
              <w:rPr>
                <w:rFonts w:ascii="Times New Roman" w:hAnsi="Times New Roman" w:eastAsia="Times New Roman"/>
                <w:color w:val="auto"/>
              </w:rPr>
            </w:pPr>
          </w:p>
        </w:tc>
        <w:tc>
          <w:tcPr>
            <w:tcW w:w="1310" w:type="dxa"/>
            <w:vMerge w:val="continue"/>
            <w:vAlign w:val="center"/>
          </w:tcPr>
          <w:p>
            <w:pPr>
              <w:pStyle w:val="112"/>
              <w:ind w:left="-2"/>
              <w:rPr>
                <w:rFonts w:ascii="Times New Roman" w:hAnsi="Times New Roman" w:eastAsia="Times New Roman"/>
                <w:color w:val="auto"/>
              </w:rPr>
            </w:pPr>
          </w:p>
        </w:tc>
        <w:tc>
          <w:tcPr>
            <w:tcW w:w="2221" w:type="dxa"/>
            <w:vMerge w:val="continue"/>
            <w:vAlign w:val="center"/>
          </w:tcPr>
          <w:p>
            <w:pPr>
              <w:pStyle w:val="112"/>
              <w:ind w:left="-2"/>
              <w:rPr>
                <w:rFonts w:ascii="Times New Roman" w:hAnsi="Times New Roman" w:eastAsia="Times New Roman"/>
                <w:color w:val="auto"/>
              </w:rPr>
            </w:pPr>
          </w:p>
        </w:tc>
        <w:tc>
          <w:tcPr>
            <w:tcW w:w="1405" w:type="dxa"/>
            <w:vAlign w:val="center"/>
          </w:tcPr>
          <w:p>
            <w:pPr>
              <w:pStyle w:val="112"/>
              <w:ind w:left="-2"/>
              <w:rPr>
                <w:rFonts w:ascii="Times New Roman" w:hAnsi="Times New Roman"/>
                <w:color w:val="auto"/>
              </w:rPr>
            </w:pPr>
            <w:r>
              <w:rPr>
                <w:rFonts w:ascii="Times New Roman" w:hAnsi="Times New Roman" w:eastAsia="Times New Roman"/>
                <w:color w:val="auto"/>
              </w:rPr>
              <w:t>氨氮</w:t>
            </w:r>
          </w:p>
        </w:tc>
        <w:tc>
          <w:tcPr>
            <w:tcW w:w="2056" w:type="dxa"/>
            <w:vAlign w:val="center"/>
          </w:tcPr>
          <w:p>
            <w:pPr>
              <w:pStyle w:val="112"/>
              <w:ind w:left="-2"/>
              <w:rPr>
                <w:rFonts w:ascii="Times New Roman" w:hAnsi="Times New Roman"/>
                <w:color w:val="auto"/>
              </w:rPr>
            </w:pPr>
            <w:r>
              <w:rPr>
                <w:rFonts w:ascii="Times New Roman" w:hAnsi="Times New Roman"/>
                <w:color w:val="auto"/>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78" w:type="dxa"/>
            <w:vMerge w:val="continue"/>
            <w:vAlign w:val="center"/>
          </w:tcPr>
          <w:p>
            <w:pPr>
              <w:pStyle w:val="112"/>
              <w:ind w:left="-2"/>
              <w:rPr>
                <w:rFonts w:ascii="Times New Roman" w:hAnsi="Times New Roman" w:eastAsia="Times New Roman"/>
                <w:color w:val="auto"/>
              </w:rPr>
            </w:pPr>
          </w:p>
        </w:tc>
        <w:tc>
          <w:tcPr>
            <w:tcW w:w="967" w:type="dxa"/>
            <w:vMerge w:val="continue"/>
            <w:vAlign w:val="center"/>
          </w:tcPr>
          <w:p>
            <w:pPr>
              <w:pStyle w:val="112"/>
              <w:ind w:left="-2"/>
              <w:rPr>
                <w:rFonts w:ascii="Times New Roman" w:hAnsi="Times New Roman" w:eastAsia="Times New Roman"/>
                <w:color w:val="auto"/>
              </w:rPr>
            </w:pPr>
          </w:p>
        </w:tc>
        <w:tc>
          <w:tcPr>
            <w:tcW w:w="1404" w:type="dxa"/>
            <w:vMerge w:val="continue"/>
            <w:vAlign w:val="center"/>
          </w:tcPr>
          <w:p>
            <w:pPr>
              <w:pStyle w:val="112"/>
              <w:ind w:left="-2"/>
              <w:rPr>
                <w:rFonts w:ascii="Times New Roman" w:hAnsi="Times New Roman" w:eastAsia="Times New Roman"/>
                <w:color w:val="auto"/>
              </w:rPr>
            </w:pPr>
          </w:p>
        </w:tc>
        <w:tc>
          <w:tcPr>
            <w:tcW w:w="1405" w:type="dxa"/>
            <w:vMerge w:val="continue"/>
            <w:vAlign w:val="center"/>
          </w:tcPr>
          <w:p>
            <w:pPr>
              <w:pStyle w:val="112"/>
              <w:ind w:left="-2"/>
              <w:rPr>
                <w:rFonts w:ascii="Times New Roman" w:hAnsi="Times New Roman" w:eastAsia="Times New Roman"/>
                <w:color w:val="auto"/>
              </w:rPr>
            </w:pPr>
          </w:p>
        </w:tc>
        <w:tc>
          <w:tcPr>
            <w:tcW w:w="1112" w:type="dxa"/>
            <w:vMerge w:val="continue"/>
            <w:vAlign w:val="center"/>
          </w:tcPr>
          <w:p>
            <w:pPr>
              <w:pStyle w:val="112"/>
              <w:ind w:left="-2"/>
              <w:rPr>
                <w:rFonts w:ascii="Times New Roman" w:hAnsi="Times New Roman" w:eastAsia="Times New Roman"/>
                <w:color w:val="auto"/>
              </w:rPr>
            </w:pPr>
          </w:p>
        </w:tc>
        <w:tc>
          <w:tcPr>
            <w:tcW w:w="945" w:type="dxa"/>
            <w:vMerge w:val="continue"/>
            <w:vAlign w:val="center"/>
          </w:tcPr>
          <w:p>
            <w:pPr>
              <w:pStyle w:val="112"/>
              <w:ind w:left="-2"/>
              <w:rPr>
                <w:rFonts w:ascii="Times New Roman" w:hAnsi="Times New Roman" w:eastAsia="Times New Roman"/>
                <w:color w:val="auto"/>
              </w:rPr>
            </w:pPr>
          </w:p>
        </w:tc>
        <w:tc>
          <w:tcPr>
            <w:tcW w:w="1853" w:type="dxa"/>
            <w:vMerge w:val="continue"/>
            <w:vAlign w:val="center"/>
          </w:tcPr>
          <w:p>
            <w:pPr>
              <w:pStyle w:val="112"/>
              <w:ind w:left="-2"/>
              <w:rPr>
                <w:rFonts w:ascii="Times New Roman" w:hAnsi="Times New Roman" w:eastAsia="Times New Roman"/>
                <w:color w:val="auto"/>
              </w:rPr>
            </w:pPr>
          </w:p>
        </w:tc>
        <w:tc>
          <w:tcPr>
            <w:tcW w:w="1310" w:type="dxa"/>
            <w:vMerge w:val="continue"/>
            <w:vAlign w:val="center"/>
          </w:tcPr>
          <w:p>
            <w:pPr>
              <w:pStyle w:val="112"/>
              <w:ind w:left="-2"/>
              <w:rPr>
                <w:rFonts w:ascii="Times New Roman" w:hAnsi="Times New Roman" w:eastAsia="Times New Roman"/>
                <w:color w:val="auto"/>
              </w:rPr>
            </w:pPr>
          </w:p>
        </w:tc>
        <w:tc>
          <w:tcPr>
            <w:tcW w:w="2221" w:type="dxa"/>
            <w:vMerge w:val="continue"/>
            <w:vAlign w:val="center"/>
          </w:tcPr>
          <w:p>
            <w:pPr>
              <w:pStyle w:val="112"/>
              <w:ind w:left="-2"/>
              <w:rPr>
                <w:rFonts w:ascii="Times New Roman" w:hAnsi="Times New Roman" w:eastAsia="Times New Roman"/>
                <w:color w:val="auto"/>
              </w:rPr>
            </w:pPr>
          </w:p>
        </w:tc>
        <w:tc>
          <w:tcPr>
            <w:tcW w:w="1405" w:type="dxa"/>
            <w:vAlign w:val="center"/>
          </w:tcPr>
          <w:p>
            <w:pPr>
              <w:pStyle w:val="112"/>
              <w:ind w:left="-2"/>
              <w:rPr>
                <w:rFonts w:ascii="Times New Roman" w:hAnsi="Times New Roman" w:eastAsia="Times New Roman"/>
                <w:color w:val="auto"/>
              </w:rPr>
            </w:pPr>
            <w:r>
              <w:rPr>
                <w:rFonts w:hint="eastAsia" w:ascii="Times New Roman" w:hAnsi="Times New Roman" w:eastAsia="Times New Roman"/>
                <w:color w:val="auto"/>
                <w:lang w:val="en-US" w:eastAsia="zh-CN"/>
              </w:rPr>
              <w:t>动植物油</w:t>
            </w:r>
          </w:p>
        </w:tc>
        <w:tc>
          <w:tcPr>
            <w:tcW w:w="2056" w:type="dxa"/>
            <w:vAlign w:val="center"/>
          </w:tcPr>
          <w:p>
            <w:pPr>
              <w:pStyle w:val="112"/>
              <w:ind w:left="-2"/>
              <w:rPr>
                <w:rFonts w:hint="default" w:ascii="Times New Roman" w:hAnsi="Times New Roman" w:eastAsia="宋体"/>
                <w:color w:val="auto"/>
                <w:lang w:val="en-US" w:eastAsia="zh-CN"/>
              </w:rPr>
            </w:pPr>
            <w:r>
              <w:rPr>
                <w:rFonts w:hint="eastAsia" w:ascii="Times New Roman" w:hAnsi="Times New Roman"/>
                <w:color w:val="auto"/>
                <w:lang w:val="en-US" w:eastAsia="zh-CN"/>
              </w:rPr>
              <w:t>10</w:t>
            </w:r>
          </w:p>
        </w:tc>
      </w:tr>
    </w:tbl>
    <w:p>
      <w:pPr>
        <w:spacing w:before="120" w:beforeLines="50" w:line="360" w:lineRule="auto"/>
        <w:ind w:firstLine="482"/>
        <w:jc w:val="center"/>
        <w:rPr>
          <w:b/>
          <w:bCs/>
          <w:color w:val="auto"/>
          <w:kern w:val="0"/>
          <w:sz w:val="24"/>
        </w:rPr>
        <w:sectPr>
          <w:pgSz w:w="16840" w:h="11907" w:orient="landscape"/>
          <w:pgMar w:top="720" w:right="720" w:bottom="720" w:left="720" w:header="567" w:footer="1134" w:gutter="0"/>
          <w:pgNumType w:fmt="decimal"/>
          <w:cols w:space="720" w:num="1"/>
          <w:docGrid w:linePitch="312" w:charSpace="0"/>
        </w:sectPr>
      </w:pPr>
    </w:p>
    <w:p>
      <w:pPr>
        <w:spacing w:before="120" w:beforeLines="50" w:line="360" w:lineRule="auto"/>
        <w:ind w:firstLine="482"/>
        <w:jc w:val="center"/>
        <w:rPr>
          <w:b/>
          <w:bCs/>
          <w:color w:val="auto"/>
          <w:kern w:val="0"/>
          <w:sz w:val="24"/>
        </w:rPr>
      </w:pPr>
      <w:r>
        <w:rPr>
          <w:b/>
          <w:bCs/>
          <w:color w:val="auto"/>
          <w:kern w:val="0"/>
          <w:sz w:val="24"/>
        </w:rPr>
        <w:t>表</w:t>
      </w:r>
      <w:r>
        <w:rPr>
          <w:rFonts w:hint="eastAsia"/>
          <w:b/>
          <w:bCs/>
          <w:color w:val="auto"/>
          <w:kern w:val="0"/>
          <w:sz w:val="24"/>
          <w:lang w:val="en-US" w:eastAsia="zh-CN"/>
        </w:rPr>
        <w:t>4-8</w:t>
      </w:r>
      <w:r>
        <w:rPr>
          <w:b/>
          <w:bCs/>
          <w:color w:val="auto"/>
          <w:kern w:val="0"/>
          <w:sz w:val="24"/>
        </w:rPr>
        <w:t xml:space="preserve"> 废水污染物排放标准</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3"/>
        <w:gridCol w:w="1956"/>
        <w:gridCol w:w="3336"/>
        <w:gridCol w:w="5376"/>
        <w:gridCol w:w="3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3" w:type="dxa"/>
            <w:vMerge w:val="restart"/>
            <w:vAlign w:val="center"/>
          </w:tcPr>
          <w:p>
            <w:pPr>
              <w:jc w:val="center"/>
              <w:rPr>
                <w:rFonts w:eastAsia="Times New Roman"/>
                <w:b/>
                <w:bCs/>
                <w:color w:val="auto"/>
                <w:kern w:val="0"/>
                <w:szCs w:val="21"/>
              </w:rPr>
            </w:pPr>
            <w:r>
              <w:rPr>
                <w:rFonts w:eastAsia="Times New Roman"/>
                <w:b/>
                <w:bCs/>
                <w:color w:val="auto"/>
                <w:kern w:val="0"/>
                <w:szCs w:val="21"/>
              </w:rPr>
              <w:t>序号</w:t>
            </w:r>
          </w:p>
        </w:tc>
        <w:tc>
          <w:tcPr>
            <w:tcW w:w="1956" w:type="dxa"/>
            <w:vMerge w:val="restart"/>
            <w:vAlign w:val="center"/>
          </w:tcPr>
          <w:p>
            <w:pPr>
              <w:jc w:val="center"/>
              <w:rPr>
                <w:rFonts w:eastAsia="Times New Roman"/>
                <w:b/>
                <w:bCs/>
                <w:color w:val="auto"/>
                <w:kern w:val="0"/>
                <w:szCs w:val="21"/>
              </w:rPr>
            </w:pPr>
            <w:r>
              <w:rPr>
                <w:rFonts w:eastAsia="Times New Roman"/>
                <w:b/>
                <w:bCs/>
                <w:color w:val="auto"/>
                <w:kern w:val="0"/>
                <w:szCs w:val="21"/>
              </w:rPr>
              <w:t>排放口编号</w:t>
            </w:r>
          </w:p>
        </w:tc>
        <w:tc>
          <w:tcPr>
            <w:tcW w:w="3336" w:type="dxa"/>
            <w:vMerge w:val="restart"/>
            <w:vAlign w:val="center"/>
          </w:tcPr>
          <w:p>
            <w:pPr>
              <w:jc w:val="center"/>
              <w:rPr>
                <w:rFonts w:eastAsia="Times New Roman"/>
                <w:b/>
                <w:bCs/>
                <w:color w:val="auto"/>
                <w:kern w:val="0"/>
                <w:szCs w:val="21"/>
              </w:rPr>
            </w:pPr>
            <w:r>
              <w:rPr>
                <w:rFonts w:eastAsia="Times New Roman"/>
                <w:b/>
                <w:bCs/>
                <w:color w:val="auto"/>
                <w:kern w:val="0"/>
                <w:szCs w:val="21"/>
              </w:rPr>
              <w:t>污染物种类</w:t>
            </w:r>
          </w:p>
        </w:tc>
        <w:tc>
          <w:tcPr>
            <w:tcW w:w="8623" w:type="dxa"/>
            <w:gridSpan w:val="2"/>
            <w:vAlign w:val="center"/>
          </w:tcPr>
          <w:p>
            <w:pPr>
              <w:jc w:val="center"/>
              <w:rPr>
                <w:rFonts w:eastAsia="Times New Roman"/>
                <w:b/>
                <w:bCs/>
                <w:color w:val="auto"/>
                <w:kern w:val="0"/>
                <w:szCs w:val="21"/>
              </w:rPr>
            </w:pPr>
            <w:r>
              <w:rPr>
                <w:rFonts w:eastAsia="Times New Roman"/>
                <w:b/>
                <w:bCs/>
                <w:color w:val="auto"/>
                <w:kern w:val="0"/>
                <w:szCs w:val="21"/>
              </w:rPr>
              <w:t>国家或地方污染物排放标准及其他按规定商定的排放协议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3" w:type="dxa"/>
            <w:vMerge w:val="continue"/>
            <w:vAlign w:val="center"/>
          </w:tcPr>
          <w:p>
            <w:pPr>
              <w:jc w:val="center"/>
              <w:rPr>
                <w:rFonts w:eastAsia="Times New Roman"/>
                <w:b/>
                <w:bCs/>
                <w:color w:val="auto"/>
                <w:kern w:val="0"/>
                <w:szCs w:val="21"/>
              </w:rPr>
            </w:pPr>
          </w:p>
        </w:tc>
        <w:tc>
          <w:tcPr>
            <w:tcW w:w="1956" w:type="dxa"/>
            <w:vMerge w:val="continue"/>
            <w:vAlign w:val="center"/>
          </w:tcPr>
          <w:p>
            <w:pPr>
              <w:jc w:val="center"/>
              <w:rPr>
                <w:rFonts w:eastAsia="Times New Roman"/>
                <w:b/>
                <w:bCs/>
                <w:color w:val="auto"/>
                <w:kern w:val="0"/>
                <w:szCs w:val="21"/>
              </w:rPr>
            </w:pPr>
          </w:p>
        </w:tc>
        <w:tc>
          <w:tcPr>
            <w:tcW w:w="3336" w:type="dxa"/>
            <w:vMerge w:val="continue"/>
            <w:vAlign w:val="center"/>
          </w:tcPr>
          <w:p>
            <w:pPr>
              <w:jc w:val="center"/>
              <w:rPr>
                <w:rFonts w:eastAsia="Times New Roman"/>
                <w:b/>
                <w:bCs/>
                <w:color w:val="auto"/>
                <w:kern w:val="0"/>
                <w:szCs w:val="21"/>
              </w:rPr>
            </w:pPr>
          </w:p>
        </w:tc>
        <w:tc>
          <w:tcPr>
            <w:tcW w:w="5376" w:type="dxa"/>
            <w:vAlign w:val="center"/>
          </w:tcPr>
          <w:p>
            <w:pPr>
              <w:jc w:val="center"/>
              <w:rPr>
                <w:rFonts w:eastAsia="Times New Roman"/>
                <w:b/>
                <w:bCs/>
                <w:color w:val="auto"/>
                <w:kern w:val="0"/>
                <w:szCs w:val="21"/>
              </w:rPr>
            </w:pPr>
            <w:r>
              <w:rPr>
                <w:rFonts w:eastAsia="Times New Roman"/>
                <w:b/>
                <w:bCs/>
                <w:color w:val="auto"/>
                <w:kern w:val="0"/>
                <w:szCs w:val="21"/>
              </w:rPr>
              <w:t>名称</w:t>
            </w:r>
          </w:p>
        </w:tc>
        <w:tc>
          <w:tcPr>
            <w:tcW w:w="3247" w:type="dxa"/>
            <w:vAlign w:val="center"/>
          </w:tcPr>
          <w:p>
            <w:pPr>
              <w:jc w:val="center"/>
              <w:rPr>
                <w:rFonts w:eastAsia="Times New Roman"/>
                <w:b/>
                <w:bCs/>
                <w:color w:val="auto"/>
                <w:kern w:val="0"/>
                <w:szCs w:val="21"/>
              </w:rPr>
            </w:pPr>
            <w:r>
              <w:rPr>
                <w:rFonts w:eastAsia="Times New Roman"/>
                <w:b/>
                <w:bCs/>
                <w:color w:val="auto"/>
                <w:kern w:val="0"/>
                <w:szCs w:val="21"/>
              </w:rPr>
              <w:t>浓度限值/（mg/L）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3" w:type="dxa"/>
            <w:vAlign w:val="center"/>
          </w:tcPr>
          <w:p>
            <w:pPr>
              <w:jc w:val="center"/>
              <w:rPr>
                <w:rFonts w:eastAsia="Times New Roman"/>
                <w:color w:val="auto"/>
                <w:kern w:val="0"/>
                <w:szCs w:val="21"/>
              </w:rPr>
            </w:pPr>
            <w:r>
              <w:rPr>
                <w:rFonts w:eastAsia="Times New Roman"/>
                <w:color w:val="auto"/>
                <w:kern w:val="0"/>
                <w:szCs w:val="21"/>
              </w:rPr>
              <w:t>1</w:t>
            </w:r>
          </w:p>
        </w:tc>
        <w:tc>
          <w:tcPr>
            <w:tcW w:w="1956" w:type="dxa"/>
            <w:vMerge w:val="restart"/>
            <w:vAlign w:val="center"/>
          </w:tcPr>
          <w:p>
            <w:pPr>
              <w:jc w:val="center"/>
              <w:rPr>
                <w:color w:val="auto"/>
                <w:kern w:val="0"/>
                <w:szCs w:val="21"/>
              </w:rPr>
            </w:pPr>
            <w:r>
              <w:rPr>
                <w:color w:val="auto"/>
                <w:kern w:val="0"/>
                <w:szCs w:val="21"/>
              </w:rPr>
              <w:t>DW001</w:t>
            </w:r>
          </w:p>
        </w:tc>
        <w:tc>
          <w:tcPr>
            <w:tcW w:w="3336" w:type="dxa"/>
            <w:vAlign w:val="center"/>
          </w:tcPr>
          <w:p>
            <w:pPr>
              <w:pStyle w:val="112"/>
              <w:ind w:left="-2"/>
              <w:rPr>
                <w:rFonts w:ascii="Times New Roman" w:hAnsi="Times New Roman" w:eastAsia="Times New Roman"/>
                <w:color w:val="auto"/>
              </w:rPr>
            </w:pPr>
            <w:r>
              <w:rPr>
                <w:rFonts w:ascii="Times New Roman" w:hAnsi="Times New Roman" w:eastAsia="Times New Roman"/>
                <w:color w:val="auto"/>
              </w:rPr>
              <w:t>pH</w:t>
            </w:r>
          </w:p>
        </w:tc>
        <w:tc>
          <w:tcPr>
            <w:tcW w:w="5376" w:type="dxa"/>
            <w:vMerge w:val="restart"/>
            <w:vAlign w:val="center"/>
          </w:tcPr>
          <w:p>
            <w:pPr>
              <w:jc w:val="center"/>
              <w:rPr>
                <w:rFonts w:eastAsia="Times New Roman"/>
                <w:color w:val="auto"/>
                <w:kern w:val="0"/>
                <w:szCs w:val="21"/>
              </w:rPr>
            </w:pPr>
            <w:r>
              <w:rPr>
                <w:rFonts w:eastAsia="Times New Roman"/>
                <w:color w:val="auto"/>
              </w:rPr>
              <w:t>东莞东坑（乐昌）产业转移园污水处理厂</w:t>
            </w:r>
            <w:r>
              <w:rPr>
                <w:color w:val="auto"/>
              </w:rPr>
              <w:t>进水水质</w:t>
            </w:r>
            <w:r>
              <w:rPr>
                <w:rFonts w:eastAsia="Times New Roman"/>
                <w:color w:val="auto"/>
                <w:kern w:val="0"/>
                <w:szCs w:val="21"/>
              </w:rPr>
              <w:t>要求</w:t>
            </w:r>
          </w:p>
        </w:tc>
        <w:tc>
          <w:tcPr>
            <w:tcW w:w="3247" w:type="dxa"/>
            <w:vAlign w:val="center"/>
          </w:tcPr>
          <w:p>
            <w:pPr>
              <w:jc w:val="center"/>
              <w:rPr>
                <w:color w:val="auto"/>
                <w:kern w:val="0"/>
                <w:szCs w:val="21"/>
              </w:rPr>
            </w:pPr>
            <w:r>
              <w:rPr>
                <w:color w:val="auto"/>
                <w:kern w:val="0"/>
                <w:szCs w:val="21"/>
              </w:rPr>
              <w:t>6~9（无量纲）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3" w:type="dxa"/>
            <w:vAlign w:val="center"/>
          </w:tcPr>
          <w:p>
            <w:pPr>
              <w:jc w:val="center"/>
              <w:rPr>
                <w:rFonts w:eastAsia="Times New Roman"/>
                <w:color w:val="auto"/>
                <w:kern w:val="0"/>
                <w:szCs w:val="21"/>
              </w:rPr>
            </w:pPr>
            <w:r>
              <w:rPr>
                <w:rFonts w:eastAsia="Times New Roman"/>
                <w:color w:val="auto"/>
                <w:kern w:val="0"/>
                <w:szCs w:val="21"/>
              </w:rPr>
              <w:t>2</w:t>
            </w:r>
          </w:p>
        </w:tc>
        <w:tc>
          <w:tcPr>
            <w:tcW w:w="1956" w:type="dxa"/>
            <w:vMerge w:val="continue"/>
            <w:vAlign w:val="center"/>
          </w:tcPr>
          <w:p>
            <w:pPr>
              <w:jc w:val="center"/>
              <w:rPr>
                <w:rFonts w:eastAsia="Times New Roman"/>
                <w:color w:val="auto"/>
                <w:kern w:val="0"/>
                <w:szCs w:val="21"/>
              </w:rPr>
            </w:pPr>
          </w:p>
        </w:tc>
        <w:tc>
          <w:tcPr>
            <w:tcW w:w="3336" w:type="dxa"/>
            <w:vAlign w:val="center"/>
          </w:tcPr>
          <w:p>
            <w:pPr>
              <w:pStyle w:val="112"/>
              <w:ind w:left="-2"/>
              <w:rPr>
                <w:rFonts w:ascii="Times New Roman" w:hAnsi="Times New Roman"/>
                <w:color w:val="auto"/>
              </w:rPr>
            </w:pPr>
            <w:r>
              <w:rPr>
                <w:rFonts w:ascii="Times New Roman" w:hAnsi="Times New Roman"/>
                <w:color w:val="auto"/>
              </w:rPr>
              <w:t>化学需氧量</w:t>
            </w:r>
          </w:p>
        </w:tc>
        <w:tc>
          <w:tcPr>
            <w:tcW w:w="5376" w:type="dxa"/>
            <w:vMerge w:val="continue"/>
            <w:vAlign w:val="center"/>
          </w:tcPr>
          <w:p>
            <w:pPr>
              <w:jc w:val="center"/>
              <w:rPr>
                <w:rFonts w:eastAsia="Times New Roman"/>
                <w:color w:val="auto"/>
                <w:kern w:val="0"/>
                <w:szCs w:val="21"/>
              </w:rPr>
            </w:pPr>
          </w:p>
        </w:tc>
        <w:tc>
          <w:tcPr>
            <w:tcW w:w="3247" w:type="dxa"/>
            <w:vAlign w:val="center"/>
          </w:tcPr>
          <w:p>
            <w:pPr>
              <w:jc w:val="center"/>
              <w:rPr>
                <w:color w:val="auto"/>
                <w:kern w:val="0"/>
                <w:szCs w:val="21"/>
              </w:rPr>
            </w:pPr>
            <w:r>
              <w:rPr>
                <w:color w:val="auto"/>
                <w:kern w:val="0"/>
                <w:szCs w:val="21"/>
              </w:rPr>
              <w:t>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3" w:type="dxa"/>
            <w:vAlign w:val="center"/>
          </w:tcPr>
          <w:p>
            <w:pPr>
              <w:jc w:val="center"/>
              <w:rPr>
                <w:rFonts w:eastAsia="Times New Roman"/>
                <w:color w:val="auto"/>
                <w:kern w:val="0"/>
                <w:szCs w:val="21"/>
              </w:rPr>
            </w:pPr>
            <w:r>
              <w:rPr>
                <w:rFonts w:eastAsia="Times New Roman"/>
                <w:color w:val="auto"/>
                <w:kern w:val="0"/>
                <w:szCs w:val="21"/>
              </w:rPr>
              <w:t>3</w:t>
            </w:r>
          </w:p>
        </w:tc>
        <w:tc>
          <w:tcPr>
            <w:tcW w:w="1956" w:type="dxa"/>
            <w:vMerge w:val="continue"/>
            <w:vAlign w:val="center"/>
          </w:tcPr>
          <w:p>
            <w:pPr>
              <w:jc w:val="center"/>
              <w:rPr>
                <w:rFonts w:eastAsia="Times New Roman"/>
                <w:color w:val="auto"/>
                <w:kern w:val="0"/>
                <w:szCs w:val="21"/>
              </w:rPr>
            </w:pPr>
          </w:p>
        </w:tc>
        <w:tc>
          <w:tcPr>
            <w:tcW w:w="3336" w:type="dxa"/>
            <w:vAlign w:val="center"/>
          </w:tcPr>
          <w:p>
            <w:pPr>
              <w:pStyle w:val="112"/>
              <w:ind w:left="-2"/>
              <w:rPr>
                <w:rFonts w:ascii="Times New Roman" w:hAnsi="Times New Roman" w:eastAsia="Times New Roman"/>
                <w:color w:val="auto"/>
              </w:rPr>
            </w:pPr>
            <w:r>
              <w:rPr>
                <w:rFonts w:ascii="Times New Roman" w:hAnsi="Times New Roman"/>
                <w:color w:val="auto"/>
              </w:rPr>
              <w:t>五日生化需氧量</w:t>
            </w:r>
          </w:p>
        </w:tc>
        <w:tc>
          <w:tcPr>
            <w:tcW w:w="5376" w:type="dxa"/>
            <w:vMerge w:val="continue"/>
            <w:vAlign w:val="center"/>
          </w:tcPr>
          <w:p>
            <w:pPr>
              <w:jc w:val="center"/>
              <w:rPr>
                <w:rFonts w:eastAsia="Times New Roman"/>
                <w:color w:val="auto"/>
                <w:kern w:val="0"/>
                <w:szCs w:val="21"/>
              </w:rPr>
            </w:pPr>
          </w:p>
        </w:tc>
        <w:tc>
          <w:tcPr>
            <w:tcW w:w="3247" w:type="dxa"/>
            <w:vAlign w:val="center"/>
          </w:tcPr>
          <w:p>
            <w:pPr>
              <w:jc w:val="center"/>
              <w:rPr>
                <w:color w:val="auto"/>
                <w:kern w:val="0"/>
                <w:szCs w:val="21"/>
              </w:rPr>
            </w:pPr>
            <w:r>
              <w:rPr>
                <w:color w:val="auto"/>
                <w:kern w:val="0"/>
                <w:szCs w:val="21"/>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3" w:type="dxa"/>
            <w:vAlign w:val="center"/>
          </w:tcPr>
          <w:p>
            <w:pPr>
              <w:jc w:val="center"/>
              <w:rPr>
                <w:rFonts w:eastAsia="Times New Roman"/>
                <w:color w:val="auto"/>
                <w:kern w:val="0"/>
                <w:szCs w:val="21"/>
              </w:rPr>
            </w:pPr>
            <w:r>
              <w:rPr>
                <w:rFonts w:eastAsia="Times New Roman"/>
                <w:color w:val="auto"/>
                <w:kern w:val="0"/>
                <w:szCs w:val="21"/>
              </w:rPr>
              <w:t>4</w:t>
            </w:r>
          </w:p>
        </w:tc>
        <w:tc>
          <w:tcPr>
            <w:tcW w:w="1956" w:type="dxa"/>
            <w:vMerge w:val="continue"/>
            <w:vAlign w:val="center"/>
          </w:tcPr>
          <w:p>
            <w:pPr>
              <w:jc w:val="center"/>
              <w:rPr>
                <w:rFonts w:eastAsia="Times New Roman"/>
                <w:color w:val="auto"/>
                <w:kern w:val="0"/>
                <w:szCs w:val="21"/>
              </w:rPr>
            </w:pPr>
          </w:p>
        </w:tc>
        <w:tc>
          <w:tcPr>
            <w:tcW w:w="3336" w:type="dxa"/>
            <w:vAlign w:val="center"/>
          </w:tcPr>
          <w:p>
            <w:pPr>
              <w:pStyle w:val="112"/>
              <w:ind w:left="-2"/>
              <w:rPr>
                <w:rFonts w:ascii="Times New Roman" w:hAnsi="Times New Roman" w:eastAsia="Times New Roman"/>
                <w:color w:val="auto"/>
              </w:rPr>
            </w:pPr>
            <w:r>
              <w:rPr>
                <w:rFonts w:ascii="Times New Roman" w:hAnsi="Times New Roman"/>
                <w:color w:val="auto"/>
              </w:rPr>
              <w:t>悬浮物</w:t>
            </w:r>
          </w:p>
        </w:tc>
        <w:tc>
          <w:tcPr>
            <w:tcW w:w="5376" w:type="dxa"/>
            <w:vMerge w:val="continue"/>
            <w:vAlign w:val="center"/>
          </w:tcPr>
          <w:p>
            <w:pPr>
              <w:jc w:val="center"/>
              <w:rPr>
                <w:rFonts w:eastAsia="Times New Roman"/>
                <w:color w:val="auto"/>
                <w:kern w:val="0"/>
                <w:szCs w:val="21"/>
              </w:rPr>
            </w:pPr>
          </w:p>
        </w:tc>
        <w:tc>
          <w:tcPr>
            <w:tcW w:w="3247" w:type="dxa"/>
            <w:vAlign w:val="center"/>
          </w:tcPr>
          <w:p>
            <w:pPr>
              <w:jc w:val="center"/>
              <w:rPr>
                <w:color w:val="auto"/>
                <w:kern w:val="0"/>
                <w:szCs w:val="21"/>
              </w:rPr>
            </w:pPr>
            <w:r>
              <w:rPr>
                <w:color w:val="auto"/>
                <w:kern w:val="0"/>
                <w:szCs w:val="21"/>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3" w:type="dxa"/>
            <w:vAlign w:val="center"/>
          </w:tcPr>
          <w:p>
            <w:pPr>
              <w:jc w:val="center"/>
              <w:rPr>
                <w:rFonts w:eastAsia="Times New Roman"/>
                <w:color w:val="auto"/>
                <w:kern w:val="0"/>
                <w:szCs w:val="21"/>
              </w:rPr>
            </w:pPr>
            <w:r>
              <w:rPr>
                <w:rFonts w:eastAsia="Times New Roman"/>
                <w:color w:val="auto"/>
                <w:kern w:val="0"/>
                <w:szCs w:val="21"/>
              </w:rPr>
              <w:t>5</w:t>
            </w:r>
          </w:p>
        </w:tc>
        <w:tc>
          <w:tcPr>
            <w:tcW w:w="1956" w:type="dxa"/>
            <w:vMerge w:val="continue"/>
            <w:vAlign w:val="center"/>
          </w:tcPr>
          <w:p>
            <w:pPr>
              <w:jc w:val="center"/>
              <w:rPr>
                <w:rFonts w:eastAsia="Times New Roman"/>
                <w:color w:val="auto"/>
                <w:kern w:val="0"/>
                <w:szCs w:val="21"/>
              </w:rPr>
            </w:pPr>
          </w:p>
        </w:tc>
        <w:tc>
          <w:tcPr>
            <w:tcW w:w="3336" w:type="dxa"/>
            <w:vAlign w:val="center"/>
          </w:tcPr>
          <w:p>
            <w:pPr>
              <w:pStyle w:val="112"/>
              <w:ind w:left="-2"/>
              <w:rPr>
                <w:rFonts w:ascii="Times New Roman" w:hAnsi="Times New Roman"/>
                <w:color w:val="auto"/>
              </w:rPr>
            </w:pPr>
            <w:r>
              <w:rPr>
                <w:rFonts w:ascii="Times New Roman" w:hAnsi="Times New Roman" w:eastAsia="Times New Roman"/>
                <w:color w:val="auto"/>
              </w:rPr>
              <w:t>氨氮</w:t>
            </w:r>
          </w:p>
        </w:tc>
        <w:tc>
          <w:tcPr>
            <w:tcW w:w="5376" w:type="dxa"/>
            <w:vMerge w:val="continue"/>
            <w:vAlign w:val="center"/>
          </w:tcPr>
          <w:p>
            <w:pPr>
              <w:jc w:val="center"/>
              <w:rPr>
                <w:rFonts w:eastAsia="Times New Roman"/>
                <w:color w:val="auto"/>
                <w:kern w:val="0"/>
                <w:szCs w:val="21"/>
              </w:rPr>
            </w:pPr>
          </w:p>
        </w:tc>
        <w:tc>
          <w:tcPr>
            <w:tcW w:w="3247" w:type="dxa"/>
            <w:vAlign w:val="center"/>
          </w:tcPr>
          <w:p>
            <w:pPr>
              <w:jc w:val="center"/>
              <w:rPr>
                <w:color w:val="auto"/>
                <w:kern w:val="0"/>
                <w:szCs w:val="21"/>
              </w:rPr>
            </w:pPr>
            <w:r>
              <w:rPr>
                <w:color w:val="auto"/>
                <w:kern w:val="0"/>
                <w:szCs w:val="2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3" w:type="dxa"/>
            <w:vAlign w:val="center"/>
          </w:tcPr>
          <w:p>
            <w:pPr>
              <w:jc w:val="center"/>
              <w:rPr>
                <w:rFonts w:hint="eastAsia" w:eastAsia="宋体"/>
                <w:color w:val="auto"/>
                <w:kern w:val="0"/>
                <w:szCs w:val="21"/>
                <w:lang w:val="en-US" w:eastAsia="zh-CN"/>
              </w:rPr>
            </w:pPr>
            <w:r>
              <w:rPr>
                <w:rFonts w:hint="eastAsia" w:eastAsia="宋体"/>
                <w:color w:val="auto"/>
                <w:kern w:val="0"/>
                <w:szCs w:val="21"/>
                <w:lang w:val="en-US" w:eastAsia="zh-CN"/>
              </w:rPr>
              <w:t>6</w:t>
            </w:r>
          </w:p>
        </w:tc>
        <w:tc>
          <w:tcPr>
            <w:tcW w:w="1956" w:type="dxa"/>
            <w:vMerge w:val="continue"/>
            <w:vAlign w:val="center"/>
          </w:tcPr>
          <w:p>
            <w:pPr>
              <w:jc w:val="center"/>
              <w:rPr>
                <w:rFonts w:eastAsia="Times New Roman"/>
                <w:color w:val="auto"/>
                <w:kern w:val="0"/>
                <w:szCs w:val="21"/>
              </w:rPr>
            </w:pPr>
          </w:p>
        </w:tc>
        <w:tc>
          <w:tcPr>
            <w:tcW w:w="3336" w:type="dxa"/>
            <w:vAlign w:val="center"/>
          </w:tcPr>
          <w:p>
            <w:pPr>
              <w:pStyle w:val="112"/>
              <w:ind w:left="-2"/>
              <w:rPr>
                <w:rFonts w:ascii="Times New Roman" w:hAnsi="Times New Roman" w:eastAsia="Times New Roman"/>
                <w:color w:val="auto"/>
              </w:rPr>
            </w:pPr>
            <w:r>
              <w:rPr>
                <w:rFonts w:hint="eastAsia" w:ascii="Times New Roman" w:hAnsi="Times New Roman" w:eastAsia="Times New Roman"/>
                <w:color w:val="auto"/>
                <w:lang w:val="en-US" w:eastAsia="zh-CN"/>
              </w:rPr>
              <w:t>动植物油</w:t>
            </w:r>
          </w:p>
        </w:tc>
        <w:tc>
          <w:tcPr>
            <w:tcW w:w="5376" w:type="dxa"/>
            <w:vMerge w:val="continue"/>
            <w:vAlign w:val="center"/>
          </w:tcPr>
          <w:p>
            <w:pPr>
              <w:jc w:val="center"/>
              <w:rPr>
                <w:rFonts w:eastAsia="Times New Roman"/>
                <w:color w:val="auto"/>
                <w:kern w:val="0"/>
                <w:szCs w:val="21"/>
              </w:rPr>
            </w:pPr>
          </w:p>
        </w:tc>
        <w:tc>
          <w:tcPr>
            <w:tcW w:w="3247" w:type="dxa"/>
            <w:vAlign w:val="center"/>
          </w:tcPr>
          <w:p>
            <w:pPr>
              <w:jc w:val="center"/>
              <w:rPr>
                <w:rFonts w:hint="default" w:eastAsia="宋体"/>
                <w:color w:val="auto"/>
                <w:kern w:val="0"/>
                <w:szCs w:val="21"/>
                <w:lang w:val="en-US" w:eastAsia="zh-CN"/>
              </w:rPr>
            </w:pPr>
            <w:r>
              <w:rPr>
                <w:rFonts w:hint="eastAsia"/>
                <w:color w:val="auto"/>
                <w:kern w:val="0"/>
                <w:szCs w:val="21"/>
                <w:lang w:val="en-US" w:eastAsia="zh-CN"/>
              </w:rPr>
              <w:t>30</w:t>
            </w:r>
          </w:p>
        </w:tc>
      </w:tr>
    </w:tbl>
    <w:p>
      <w:pPr>
        <w:spacing w:line="360" w:lineRule="auto"/>
        <w:ind w:firstLine="482"/>
        <w:jc w:val="center"/>
        <w:rPr>
          <w:b/>
          <w:color w:val="auto"/>
          <w:sz w:val="24"/>
        </w:rPr>
      </w:pPr>
    </w:p>
    <w:p>
      <w:pPr>
        <w:spacing w:line="360" w:lineRule="auto"/>
        <w:ind w:firstLine="482"/>
        <w:jc w:val="center"/>
        <w:rPr>
          <w:b/>
          <w:color w:val="auto"/>
          <w:sz w:val="24"/>
        </w:rPr>
      </w:pPr>
      <w:r>
        <w:rPr>
          <w:b/>
          <w:color w:val="auto"/>
          <w:sz w:val="24"/>
        </w:rPr>
        <w:t>表</w:t>
      </w:r>
      <w:r>
        <w:rPr>
          <w:rFonts w:hint="eastAsia"/>
          <w:b/>
          <w:color w:val="auto"/>
          <w:sz w:val="24"/>
          <w:lang w:val="en-US" w:eastAsia="zh-CN"/>
        </w:rPr>
        <w:t>4-9</w:t>
      </w:r>
      <w:r>
        <w:rPr>
          <w:b/>
          <w:color w:val="auto"/>
          <w:sz w:val="24"/>
        </w:rPr>
        <w:t xml:space="preserve"> 废水污染物排放信息表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6"/>
        <w:gridCol w:w="2016"/>
        <w:gridCol w:w="2018"/>
        <w:gridCol w:w="2946"/>
        <w:gridCol w:w="3110"/>
        <w:gridCol w:w="3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16" w:type="dxa"/>
            <w:vAlign w:val="center"/>
          </w:tcPr>
          <w:p>
            <w:pPr>
              <w:jc w:val="center"/>
              <w:rPr>
                <w:rFonts w:eastAsia="Times New Roman"/>
                <w:b/>
                <w:bCs/>
                <w:color w:val="auto"/>
              </w:rPr>
            </w:pPr>
            <w:r>
              <w:rPr>
                <w:b/>
                <w:bCs/>
                <w:color w:val="auto"/>
              </w:rPr>
              <w:t>序号</w:t>
            </w:r>
          </w:p>
        </w:tc>
        <w:tc>
          <w:tcPr>
            <w:tcW w:w="2016" w:type="dxa"/>
            <w:vAlign w:val="center"/>
          </w:tcPr>
          <w:p>
            <w:pPr>
              <w:jc w:val="center"/>
              <w:rPr>
                <w:rFonts w:eastAsia="Times New Roman"/>
                <w:b/>
                <w:bCs/>
                <w:color w:val="auto"/>
              </w:rPr>
            </w:pPr>
            <w:r>
              <w:rPr>
                <w:b/>
                <w:bCs/>
                <w:color w:val="auto"/>
              </w:rPr>
              <w:t>排放口编号</w:t>
            </w:r>
          </w:p>
        </w:tc>
        <w:tc>
          <w:tcPr>
            <w:tcW w:w="2018" w:type="dxa"/>
            <w:vAlign w:val="center"/>
          </w:tcPr>
          <w:p>
            <w:pPr>
              <w:jc w:val="center"/>
              <w:rPr>
                <w:rFonts w:eastAsia="Times New Roman"/>
                <w:b/>
                <w:bCs/>
                <w:color w:val="auto"/>
              </w:rPr>
            </w:pPr>
            <w:r>
              <w:rPr>
                <w:b/>
                <w:bCs/>
                <w:color w:val="auto"/>
              </w:rPr>
              <w:t>污染物种类</w:t>
            </w:r>
          </w:p>
        </w:tc>
        <w:tc>
          <w:tcPr>
            <w:tcW w:w="2946" w:type="dxa"/>
            <w:vAlign w:val="center"/>
          </w:tcPr>
          <w:p>
            <w:pPr>
              <w:jc w:val="center"/>
              <w:rPr>
                <w:rFonts w:eastAsia="Times New Roman"/>
                <w:b/>
                <w:bCs/>
                <w:color w:val="auto"/>
              </w:rPr>
            </w:pPr>
            <w:r>
              <w:rPr>
                <w:b/>
                <w:bCs/>
                <w:color w:val="auto"/>
              </w:rPr>
              <w:t>排放浓度</w:t>
            </w:r>
            <w:r>
              <w:rPr>
                <w:rFonts w:eastAsia="Times New Roman"/>
                <w:b/>
                <w:bCs/>
                <w:color w:val="auto"/>
              </w:rPr>
              <w:t>/</w:t>
            </w:r>
            <w:r>
              <w:rPr>
                <w:b/>
                <w:bCs/>
                <w:color w:val="auto"/>
              </w:rPr>
              <w:t>（</w:t>
            </w:r>
            <w:r>
              <w:rPr>
                <w:rFonts w:eastAsia="Times New Roman"/>
                <w:b/>
                <w:bCs/>
                <w:color w:val="auto"/>
              </w:rPr>
              <w:t>mg/L</w:t>
            </w:r>
            <w:r>
              <w:rPr>
                <w:b/>
                <w:bCs/>
                <w:color w:val="auto"/>
              </w:rPr>
              <w:t>）</w:t>
            </w:r>
          </w:p>
        </w:tc>
        <w:tc>
          <w:tcPr>
            <w:tcW w:w="3110" w:type="dxa"/>
            <w:vAlign w:val="center"/>
          </w:tcPr>
          <w:p>
            <w:pPr>
              <w:jc w:val="center"/>
              <w:rPr>
                <w:b/>
                <w:bCs/>
                <w:color w:val="auto"/>
              </w:rPr>
            </w:pPr>
            <w:r>
              <w:rPr>
                <w:b/>
                <w:bCs/>
                <w:color w:val="auto"/>
              </w:rPr>
              <w:t>日排放量（t/d）</w:t>
            </w:r>
          </w:p>
        </w:tc>
        <w:tc>
          <w:tcPr>
            <w:tcW w:w="3211" w:type="dxa"/>
            <w:vAlign w:val="center"/>
          </w:tcPr>
          <w:p>
            <w:pPr>
              <w:jc w:val="center"/>
              <w:rPr>
                <w:b/>
                <w:bCs/>
                <w:color w:val="auto"/>
              </w:rPr>
            </w:pPr>
            <w:r>
              <w:rPr>
                <w:b/>
                <w:bCs/>
                <w:color w:val="auto"/>
              </w:rPr>
              <w:t>年排放量（t/a）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16" w:type="dxa"/>
            <w:vMerge w:val="restart"/>
            <w:vAlign w:val="center"/>
          </w:tcPr>
          <w:p>
            <w:pPr>
              <w:jc w:val="center"/>
              <w:rPr>
                <w:color w:val="auto"/>
              </w:rPr>
            </w:pPr>
            <w:r>
              <w:rPr>
                <w:color w:val="auto"/>
              </w:rPr>
              <w:t>1</w:t>
            </w:r>
          </w:p>
        </w:tc>
        <w:tc>
          <w:tcPr>
            <w:tcW w:w="2016" w:type="dxa"/>
            <w:vMerge w:val="restart"/>
            <w:vAlign w:val="center"/>
          </w:tcPr>
          <w:p>
            <w:pPr>
              <w:jc w:val="center"/>
              <w:rPr>
                <w:color w:val="auto"/>
              </w:rPr>
            </w:pPr>
            <w:r>
              <w:rPr>
                <w:color w:val="auto"/>
              </w:rPr>
              <w:t>DW001</w:t>
            </w:r>
          </w:p>
        </w:tc>
        <w:tc>
          <w:tcPr>
            <w:tcW w:w="2018" w:type="dxa"/>
            <w:vAlign w:val="center"/>
          </w:tcPr>
          <w:p>
            <w:pPr>
              <w:jc w:val="center"/>
              <w:rPr>
                <w:color w:val="auto"/>
              </w:rPr>
            </w:pPr>
            <w:r>
              <w:rPr>
                <w:rFonts w:eastAsia="Times New Roman"/>
                <w:color w:val="auto"/>
              </w:rPr>
              <w:t>COD</w:t>
            </w:r>
            <w:r>
              <w:rPr>
                <w:rFonts w:eastAsia="Times New Roman"/>
                <w:color w:val="auto"/>
                <w:vertAlign w:val="subscript"/>
              </w:rPr>
              <w:t>Cr</w:t>
            </w:r>
          </w:p>
        </w:tc>
        <w:tc>
          <w:tcPr>
            <w:tcW w:w="2946" w:type="dxa"/>
            <w:vAlign w:val="center"/>
          </w:tcPr>
          <w:p>
            <w:pPr>
              <w:jc w:val="center"/>
              <w:rPr>
                <w:color w:val="auto"/>
              </w:rPr>
            </w:pPr>
            <w:r>
              <w:rPr>
                <w:color w:val="auto"/>
              </w:rPr>
              <w:t>210</w:t>
            </w:r>
          </w:p>
        </w:tc>
        <w:tc>
          <w:tcPr>
            <w:tcW w:w="3110" w:type="dxa"/>
            <w:vAlign w:val="center"/>
          </w:tcPr>
          <w:p>
            <w:pPr>
              <w:jc w:val="center"/>
              <w:rPr>
                <w:color w:val="auto"/>
                <w:kern w:val="0"/>
                <w:szCs w:val="21"/>
                <w:lang w:bidi="ar"/>
              </w:rPr>
            </w:pPr>
            <w:r>
              <w:rPr>
                <w:color w:val="auto"/>
                <w:kern w:val="0"/>
                <w:szCs w:val="21"/>
                <w:lang w:bidi="ar"/>
              </w:rPr>
              <w:t>0.00</w:t>
            </w:r>
            <w:r>
              <w:rPr>
                <w:rFonts w:hint="eastAsia"/>
                <w:color w:val="auto"/>
                <w:kern w:val="0"/>
                <w:szCs w:val="21"/>
                <w:lang w:bidi="ar"/>
              </w:rPr>
              <w:t>28</w:t>
            </w:r>
          </w:p>
        </w:tc>
        <w:tc>
          <w:tcPr>
            <w:tcW w:w="3211" w:type="dxa"/>
            <w:vAlign w:val="center"/>
          </w:tcPr>
          <w:p>
            <w:pPr>
              <w:jc w:val="center"/>
              <w:rPr>
                <w:color w:val="auto"/>
              </w:rPr>
            </w:pPr>
            <w:r>
              <w:rPr>
                <w:rFonts w:hint="eastAsia"/>
                <w:color w:val="auto"/>
              </w:rPr>
              <w:t>0.85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16" w:type="dxa"/>
            <w:vMerge w:val="continue"/>
            <w:vAlign w:val="center"/>
          </w:tcPr>
          <w:p>
            <w:pPr>
              <w:jc w:val="center"/>
              <w:rPr>
                <w:color w:val="auto"/>
              </w:rPr>
            </w:pPr>
          </w:p>
        </w:tc>
        <w:tc>
          <w:tcPr>
            <w:tcW w:w="2016" w:type="dxa"/>
            <w:vMerge w:val="continue"/>
            <w:vAlign w:val="center"/>
          </w:tcPr>
          <w:p>
            <w:pPr>
              <w:jc w:val="center"/>
              <w:rPr>
                <w:color w:val="auto"/>
              </w:rPr>
            </w:pPr>
          </w:p>
        </w:tc>
        <w:tc>
          <w:tcPr>
            <w:tcW w:w="2018" w:type="dxa"/>
            <w:vAlign w:val="center"/>
          </w:tcPr>
          <w:p>
            <w:pPr>
              <w:jc w:val="center"/>
              <w:rPr>
                <w:color w:val="auto"/>
              </w:rPr>
            </w:pPr>
            <w:r>
              <w:rPr>
                <w:color w:val="auto"/>
              </w:rPr>
              <w:t>BOD</w:t>
            </w:r>
            <w:r>
              <w:rPr>
                <w:color w:val="auto"/>
                <w:vertAlign w:val="subscript"/>
              </w:rPr>
              <w:t>5</w:t>
            </w:r>
          </w:p>
        </w:tc>
        <w:tc>
          <w:tcPr>
            <w:tcW w:w="2946" w:type="dxa"/>
            <w:vAlign w:val="center"/>
          </w:tcPr>
          <w:p>
            <w:pPr>
              <w:jc w:val="center"/>
              <w:rPr>
                <w:color w:val="auto"/>
              </w:rPr>
            </w:pPr>
            <w:r>
              <w:rPr>
                <w:color w:val="auto"/>
              </w:rPr>
              <w:t>105</w:t>
            </w:r>
          </w:p>
        </w:tc>
        <w:tc>
          <w:tcPr>
            <w:tcW w:w="3110" w:type="dxa"/>
            <w:vAlign w:val="center"/>
          </w:tcPr>
          <w:p>
            <w:pPr>
              <w:jc w:val="center"/>
              <w:rPr>
                <w:color w:val="auto"/>
                <w:kern w:val="0"/>
                <w:szCs w:val="21"/>
                <w:lang w:bidi="ar"/>
              </w:rPr>
            </w:pPr>
            <w:r>
              <w:rPr>
                <w:color w:val="auto"/>
                <w:kern w:val="0"/>
                <w:szCs w:val="21"/>
                <w:lang w:bidi="ar"/>
              </w:rPr>
              <w:t>0.001</w:t>
            </w:r>
            <w:r>
              <w:rPr>
                <w:rFonts w:hint="eastAsia"/>
                <w:color w:val="auto"/>
                <w:kern w:val="0"/>
                <w:szCs w:val="21"/>
                <w:lang w:bidi="ar"/>
              </w:rPr>
              <w:t>4</w:t>
            </w:r>
          </w:p>
        </w:tc>
        <w:tc>
          <w:tcPr>
            <w:tcW w:w="3211" w:type="dxa"/>
            <w:vAlign w:val="center"/>
          </w:tcPr>
          <w:p>
            <w:pPr>
              <w:jc w:val="center"/>
              <w:rPr>
                <w:color w:val="auto"/>
              </w:rPr>
            </w:pPr>
            <w:r>
              <w:rPr>
                <w:rFonts w:hint="eastAsia"/>
                <w:color w:val="auto"/>
              </w:rPr>
              <w:t>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16" w:type="dxa"/>
            <w:vMerge w:val="continue"/>
            <w:vAlign w:val="center"/>
          </w:tcPr>
          <w:p>
            <w:pPr>
              <w:jc w:val="center"/>
              <w:rPr>
                <w:color w:val="auto"/>
              </w:rPr>
            </w:pPr>
          </w:p>
        </w:tc>
        <w:tc>
          <w:tcPr>
            <w:tcW w:w="2016" w:type="dxa"/>
            <w:vMerge w:val="continue"/>
            <w:vAlign w:val="center"/>
          </w:tcPr>
          <w:p>
            <w:pPr>
              <w:jc w:val="center"/>
              <w:rPr>
                <w:color w:val="auto"/>
              </w:rPr>
            </w:pPr>
          </w:p>
        </w:tc>
        <w:tc>
          <w:tcPr>
            <w:tcW w:w="2018" w:type="dxa"/>
            <w:vAlign w:val="center"/>
          </w:tcPr>
          <w:p>
            <w:pPr>
              <w:jc w:val="center"/>
              <w:rPr>
                <w:color w:val="auto"/>
              </w:rPr>
            </w:pPr>
            <w:r>
              <w:rPr>
                <w:color w:val="auto"/>
              </w:rPr>
              <w:t>SS</w:t>
            </w:r>
          </w:p>
        </w:tc>
        <w:tc>
          <w:tcPr>
            <w:tcW w:w="2946" w:type="dxa"/>
            <w:vAlign w:val="center"/>
          </w:tcPr>
          <w:p>
            <w:pPr>
              <w:jc w:val="center"/>
              <w:rPr>
                <w:color w:val="auto"/>
              </w:rPr>
            </w:pPr>
            <w:r>
              <w:rPr>
                <w:color w:val="auto"/>
              </w:rPr>
              <w:t>105</w:t>
            </w:r>
          </w:p>
        </w:tc>
        <w:tc>
          <w:tcPr>
            <w:tcW w:w="3110" w:type="dxa"/>
            <w:vAlign w:val="center"/>
          </w:tcPr>
          <w:p>
            <w:pPr>
              <w:jc w:val="center"/>
              <w:rPr>
                <w:color w:val="auto"/>
                <w:kern w:val="0"/>
                <w:szCs w:val="21"/>
                <w:lang w:bidi="ar"/>
              </w:rPr>
            </w:pPr>
            <w:r>
              <w:rPr>
                <w:color w:val="auto"/>
                <w:kern w:val="0"/>
                <w:szCs w:val="21"/>
                <w:lang w:bidi="ar"/>
              </w:rPr>
              <w:t>0.001</w:t>
            </w:r>
            <w:r>
              <w:rPr>
                <w:rFonts w:hint="eastAsia"/>
                <w:color w:val="auto"/>
                <w:kern w:val="0"/>
                <w:szCs w:val="21"/>
                <w:lang w:bidi="ar"/>
              </w:rPr>
              <w:t>4</w:t>
            </w:r>
          </w:p>
        </w:tc>
        <w:tc>
          <w:tcPr>
            <w:tcW w:w="3211" w:type="dxa"/>
            <w:vAlign w:val="center"/>
          </w:tcPr>
          <w:p>
            <w:pPr>
              <w:jc w:val="center"/>
              <w:rPr>
                <w:color w:val="auto"/>
              </w:rPr>
            </w:pPr>
            <w:r>
              <w:rPr>
                <w:rFonts w:hint="eastAsia"/>
                <w:color w:val="auto"/>
              </w:rPr>
              <w:t>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16" w:type="dxa"/>
            <w:vMerge w:val="continue"/>
            <w:vAlign w:val="center"/>
          </w:tcPr>
          <w:p>
            <w:pPr>
              <w:jc w:val="center"/>
              <w:rPr>
                <w:color w:val="auto"/>
              </w:rPr>
            </w:pPr>
          </w:p>
        </w:tc>
        <w:tc>
          <w:tcPr>
            <w:tcW w:w="2016" w:type="dxa"/>
            <w:vMerge w:val="continue"/>
            <w:vAlign w:val="center"/>
          </w:tcPr>
          <w:p>
            <w:pPr>
              <w:jc w:val="center"/>
              <w:rPr>
                <w:color w:val="auto"/>
              </w:rPr>
            </w:pPr>
          </w:p>
        </w:tc>
        <w:tc>
          <w:tcPr>
            <w:tcW w:w="2018" w:type="dxa"/>
            <w:vAlign w:val="center"/>
          </w:tcPr>
          <w:p>
            <w:pPr>
              <w:jc w:val="center"/>
              <w:rPr>
                <w:rFonts w:ascii="Times New Roman" w:hAnsi="Times New Roman" w:eastAsia="宋体" w:cs="Times New Roman"/>
                <w:color w:val="auto"/>
                <w:kern w:val="2"/>
                <w:sz w:val="21"/>
                <w:szCs w:val="24"/>
                <w:lang w:val="en-US" w:eastAsia="zh-CN" w:bidi="ar-SA"/>
              </w:rPr>
            </w:pPr>
            <w:r>
              <w:rPr>
                <w:rFonts w:eastAsia="Times New Roman"/>
                <w:color w:val="auto"/>
              </w:rPr>
              <w:t>NH</w:t>
            </w:r>
            <w:r>
              <w:rPr>
                <w:rFonts w:eastAsia="Times New Roman"/>
                <w:color w:val="auto"/>
                <w:vertAlign w:val="subscript"/>
              </w:rPr>
              <w:t>3</w:t>
            </w:r>
            <w:r>
              <w:rPr>
                <w:rFonts w:eastAsia="Times New Roman"/>
                <w:color w:val="auto"/>
              </w:rPr>
              <w:t>-N</w:t>
            </w:r>
          </w:p>
        </w:tc>
        <w:tc>
          <w:tcPr>
            <w:tcW w:w="2946" w:type="dxa"/>
            <w:vAlign w:val="center"/>
          </w:tcPr>
          <w:p>
            <w:pPr>
              <w:jc w:val="center"/>
              <w:rPr>
                <w:rFonts w:ascii="Times New Roman" w:hAnsi="Times New Roman" w:eastAsia="宋体" w:cs="Times New Roman"/>
                <w:color w:val="auto"/>
                <w:kern w:val="2"/>
                <w:sz w:val="21"/>
                <w:szCs w:val="24"/>
                <w:lang w:val="en-US" w:eastAsia="zh-CN" w:bidi="ar-SA"/>
              </w:rPr>
            </w:pPr>
            <w:r>
              <w:rPr>
                <w:color w:val="auto"/>
              </w:rPr>
              <w:t>24.5</w:t>
            </w:r>
          </w:p>
        </w:tc>
        <w:tc>
          <w:tcPr>
            <w:tcW w:w="3110" w:type="dxa"/>
            <w:vAlign w:val="center"/>
          </w:tcPr>
          <w:p>
            <w:pPr>
              <w:jc w:val="center"/>
              <w:rPr>
                <w:rFonts w:ascii="Times New Roman" w:hAnsi="Times New Roman" w:eastAsia="宋体" w:cs="Times New Roman"/>
                <w:color w:val="auto"/>
                <w:kern w:val="0"/>
                <w:sz w:val="21"/>
                <w:szCs w:val="21"/>
                <w:lang w:val="en-US" w:eastAsia="zh-CN" w:bidi="ar"/>
              </w:rPr>
            </w:pPr>
            <w:r>
              <w:rPr>
                <w:color w:val="auto"/>
                <w:kern w:val="0"/>
                <w:szCs w:val="21"/>
                <w:lang w:bidi="ar"/>
              </w:rPr>
              <w:t>0.000</w:t>
            </w:r>
            <w:r>
              <w:rPr>
                <w:rFonts w:hint="eastAsia"/>
                <w:color w:val="auto"/>
                <w:kern w:val="0"/>
                <w:szCs w:val="21"/>
                <w:lang w:bidi="ar"/>
              </w:rPr>
              <w:t>3</w:t>
            </w:r>
          </w:p>
        </w:tc>
        <w:tc>
          <w:tcPr>
            <w:tcW w:w="3211" w:type="dxa"/>
            <w:vAlign w:val="center"/>
          </w:tcPr>
          <w:p>
            <w:pPr>
              <w:jc w:val="center"/>
              <w:rPr>
                <w:rFonts w:hint="eastAsia" w:ascii="Times New Roman" w:hAnsi="Times New Roman" w:eastAsia="宋体" w:cs="Times New Roman"/>
                <w:color w:val="auto"/>
                <w:kern w:val="2"/>
                <w:sz w:val="21"/>
                <w:szCs w:val="24"/>
                <w:lang w:val="en-US" w:eastAsia="zh-CN" w:bidi="ar-SA"/>
              </w:rPr>
            </w:pPr>
            <w:r>
              <w:rPr>
                <w:rFonts w:hint="eastAsia"/>
                <w:color w:val="auto"/>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16" w:type="dxa"/>
            <w:vMerge w:val="continue"/>
            <w:vAlign w:val="center"/>
          </w:tcPr>
          <w:p>
            <w:pPr>
              <w:jc w:val="center"/>
              <w:rPr>
                <w:color w:val="auto"/>
              </w:rPr>
            </w:pPr>
          </w:p>
        </w:tc>
        <w:tc>
          <w:tcPr>
            <w:tcW w:w="2016" w:type="dxa"/>
            <w:vMerge w:val="continue"/>
            <w:vAlign w:val="center"/>
          </w:tcPr>
          <w:p>
            <w:pPr>
              <w:jc w:val="center"/>
              <w:rPr>
                <w:color w:val="auto"/>
              </w:rPr>
            </w:pPr>
          </w:p>
        </w:tc>
        <w:tc>
          <w:tcPr>
            <w:tcW w:w="2018" w:type="dxa"/>
            <w:vAlign w:val="center"/>
          </w:tcPr>
          <w:p>
            <w:pPr>
              <w:jc w:val="center"/>
              <w:rPr>
                <w:color w:val="auto"/>
              </w:rPr>
            </w:pPr>
            <w:r>
              <w:rPr>
                <w:rFonts w:hint="eastAsia"/>
                <w:color w:val="auto"/>
                <w:lang w:val="en-US" w:eastAsia="zh-CN"/>
              </w:rPr>
              <w:t>动植物油</w:t>
            </w:r>
          </w:p>
        </w:tc>
        <w:tc>
          <w:tcPr>
            <w:tcW w:w="2946" w:type="dxa"/>
            <w:vAlign w:val="center"/>
          </w:tcPr>
          <w:p>
            <w:pPr>
              <w:jc w:val="center"/>
              <w:rPr>
                <w:rFonts w:hint="default" w:eastAsia="宋体"/>
                <w:color w:val="auto"/>
                <w:lang w:val="en-US" w:eastAsia="zh-CN"/>
              </w:rPr>
            </w:pPr>
            <w:r>
              <w:rPr>
                <w:rFonts w:hint="eastAsia"/>
                <w:color w:val="auto"/>
                <w:lang w:val="en-US" w:eastAsia="zh-CN"/>
              </w:rPr>
              <w:t>20</w:t>
            </w:r>
          </w:p>
        </w:tc>
        <w:tc>
          <w:tcPr>
            <w:tcW w:w="3110" w:type="dxa"/>
            <w:vAlign w:val="center"/>
          </w:tcPr>
          <w:p>
            <w:pPr>
              <w:jc w:val="center"/>
              <w:rPr>
                <w:rFonts w:hint="default" w:eastAsia="宋体"/>
                <w:color w:val="auto"/>
                <w:kern w:val="0"/>
                <w:szCs w:val="21"/>
                <w:lang w:val="en-US" w:eastAsia="zh-CN" w:bidi="ar"/>
              </w:rPr>
            </w:pPr>
            <w:r>
              <w:rPr>
                <w:rFonts w:hint="eastAsia"/>
                <w:color w:val="auto"/>
                <w:kern w:val="0"/>
                <w:szCs w:val="21"/>
                <w:lang w:val="en-US" w:eastAsia="zh-CN" w:bidi="ar"/>
              </w:rPr>
              <w:t>0.0003</w:t>
            </w:r>
          </w:p>
        </w:tc>
        <w:tc>
          <w:tcPr>
            <w:tcW w:w="3211" w:type="dxa"/>
            <w:vAlign w:val="center"/>
          </w:tcPr>
          <w:p>
            <w:pPr>
              <w:jc w:val="center"/>
              <w:rPr>
                <w:rFonts w:hint="default"/>
                <w:color w:val="auto"/>
                <w:lang w:val="en-US"/>
              </w:rPr>
            </w:pPr>
            <w:r>
              <w:rPr>
                <w:rFonts w:hint="eastAsia"/>
                <w:color w:val="auto"/>
                <w:lang w:val="en-US" w:eastAsia="zh-CN"/>
              </w:rPr>
              <w:t>0.081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2" w:type="dxa"/>
            <w:gridSpan w:val="2"/>
            <w:vMerge w:val="restart"/>
            <w:vAlign w:val="center"/>
          </w:tcPr>
          <w:p>
            <w:pPr>
              <w:jc w:val="center"/>
              <w:rPr>
                <w:rFonts w:eastAsia="Times New Roman"/>
                <w:color w:val="auto"/>
              </w:rPr>
            </w:pPr>
            <w:r>
              <w:rPr>
                <w:color w:val="auto"/>
              </w:rPr>
              <w:t>全厂排放口合计</w:t>
            </w:r>
          </w:p>
        </w:tc>
        <w:tc>
          <w:tcPr>
            <w:tcW w:w="8074" w:type="dxa"/>
            <w:gridSpan w:val="3"/>
            <w:vAlign w:val="center"/>
          </w:tcPr>
          <w:p>
            <w:pPr>
              <w:jc w:val="center"/>
              <w:rPr>
                <w:color w:val="auto"/>
              </w:rPr>
            </w:pPr>
            <w:r>
              <w:rPr>
                <w:rFonts w:eastAsia="Times New Roman"/>
                <w:color w:val="auto"/>
              </w:rPr>
              <w:t>COD</w:t>
            </w:r>
            <w:r>
              <w:rPr>
                <w:rFonts w:eastAsia="Times New Roman"/>
                <w:color w:val="auto"/>
                <w:vertAlign w:val="subscript"/>
              </w:rPr>
              <w:t>Cr</w:t>
            </w:r>
          </w:p>
        </w:tc>
        <w:tc>
          <w:tcPr>
            <w:tcW w:w="3211" w:type="dxa"/>
            <w:vAlign w:val="center"/>
          </w:tcPr>
          <w:p>
            <w:pPr>
              <w:jc w:val="center"/>
              <w:rPr>
                <w:color w:val="auto"/>
              </w:rPr>
            </w:pPr>
            <w:r>
              <w:rPr>
                <w:rFonts w:hint="eastAsia"/>
                <w:color w:val="auto"/>
              </w:rPr>
              <w:t>0.85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2" w:type="dxa"/>
            <w:gridSpan w:val="2"/>
            <w:vMerge w:val="continue"/>
            <w:vAlign w:val="center"/>
          </w:tcPr>
          <w:p>
            <w:pPr>
              <w:jc w:val="center"/>
              <w:rPr>
                <w:rFonts w:eastAsia="Times New Roman"/>
                <w:color w:val="auto"/>
              </w:rPr>
            </w:pPr>
          </w:p>
        </w:tc>
        <w:tc>
          <w:tcPr>
            <w:tcW w:w="8074" w:type="dxa"/>
            <w:gridSpan w:val="3"/>
            <w:vAlign w:val="center"/>
          </w:tcPr>
          <w:p>
            <w:pPr>
              <w:jc w:val="center"/>
              <w:rPr>
                <w:rFonts w:eastAsia="Times New Roman"/>
                <w:color w:val="auto"/>
              </w:rPr>
            </w:pPr>
            <w:r>
              <w:rPr>
                <w:color w:val="auto"/>
              </w:rPr>
              <w:t>BOD</w:t>
            </w:r>
            <w:r>
              <w:rPr>
                <w:color w:val="auto"/>
                <w:vertAlign w:val="subscript"/>
              </w:rPr>
              <w:t>5</w:t>
            </w:r>
          </w:p>
        </w:tc>
        <w:tc>
          <w:tcPr>
            <w:tcW w:w="3211" w:type="dxa"/>
            <w:vAlign w:val="center"/>
          </w:tcPr>
          <w:p>
            <w:pPr>
              <w:jc w:val="center"/>
              <w:rPr>
                <w:color w:val="auto"/>
              </w:rPr>
            </w:pPr>
            <w:r>
              <w:rPr>
                <w:rFonts w:hint="eastAsia"/>
                <w:color w:val="auto"/>
              </w:rPr>
              <w:t>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2" w:type="dxa"/>
            <w:gridSpan w:val="2"/>
            <w:vMerge w:val="continue"/>
            <w:vAlign w:val="center"/>
          </w:tcPr>
          <w:p>
            <w:pPr>
              <w:jc w:val="center"/>
              <w:rPr>
                <w:rFonts w:eastAsia="Times New Roman"/>
                <w:color w:val="auto"/>
              </w:rPr>
            </w:pPr>
          </w:p>
        </w:tc>
        <w:tc>
          <w:tcPr>
            <w:tcW w:w="8074" w:type="dxa"/>
            <w:gridSpan w:val="3"/>
            <w:vAlign w:val="center"/>
          </w:tcPr>
          <w:p>
            <w:pPr>
              <w:jc w:val="center"/>
              <w:rPr>
                <w:rFonts w:eastAsia="Times New Roman"/>
                <w:color w:val="auto"/>
              </w:rPr>
            </w:pPr>
            <w:r>
              <w:rPr>
                <w:color w:val="auto"/>
              </w:rPr>
              <w:t>SS</w:t>
            </w:r>
          </w:p>
        </w:tc>
        <w:tc>
          <w:tcPr>
            <w:tcW w:w="3211" w:type="dxa"/>
            <w:vAlign w:val="center"/>
          </w:tcPr>
          <w:p>
            <w:pPr>
              <w:jc w:val="center"/>
              <w:rPr>
                <w:color w:val="auto"/>
              </w:rPr>
            </w:pPr>
            <w:r>
              <w:rPr>
                <w:rFonts w:hint="eastAsia"/>
                <w:color w:val="auto"/>
              </w:rPr>
              <w:t>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2" w:type="dxa"/>
            <w:gridSpan w:val="2"/>
            <w:vMerge w:val="continue"/>
            <w:vAlign w:val="center"/>
          </w:tcPr>
          <w:p>
            <w:pPr>
              <w:jc w:val="center"/>
              <w:rPr>
                <w:rFonts w:eastAsia="Times New Roman"/>
                <w:color w:val="auto"/>
              </w:rPr>
            </w:pPr>
          </w:p>
        </w:tc>
        <w:tc>
          <w:tcPr>
            <w:tcW w:w="8074" w:type="dxa"/>
            <w:gridSpan w:val="3"/>
            <w:vAlign w:val="center"/>
          </w:tcPr>
          <w:p>
            <w:pPr>
              <w:jc w:val="center"/>
              <w:rPr>
                <w:rFonts w:ascii="Times New Roman" w:hAnsi="Times New Roman" w:eastAsia="宋体" w:cs="Times New Roman"/>
                <w:color w:val="auto"/>
                <w:kern w:val="2"/>
                <w:sz w:val="21"/>
                <w:szCs w:val="24"/>
                <w:lang w:val="en-US" w:eastAsia="zh-CN" w:bidi="ar-SA"/>
              </w:rPr>
            </w:pPr>
            <w:r>
              <w:rPr>
                <w:rFonts w:eastAsia="Times New Roman"/>
                <w:color w:val="auto"/>
              </w:rPr>
              <w:t>NH</w:t>
            </w:r>
            <w:r>
              <w:rPr>
                <w:rFonts w:eastAsia="Times New Roman"/>
                <w:color w:val="auto"/>
                <w:vertAlign w:val="subscript"/>
              </w:rPr>
              <w:t>3</w:t>
            </w:r>
            <w:r>
              <w:rPr>
                <w:rFonts w:eastAsia="Times New Roman"/>
                <w:color w:val="auto"/>
              </w:rPr>
              <w:t>-N</w:t>
            </w:r>
          </w:p>
        </w:tc>
        <w:tc>
          <w:tcPr>
            <w:tcW w:w="3211" w:type="dxa"/>
            <w:vAlign w:val="center"/>
          </w:tcPr>
          <w:p>
            <w:pPr>
              <w:jc w:val="center"/>
              <w:rPr>
                <w:rFonts w:hint="eastAsia" w:ascii="Times New Roman" w:hAnsi="Times New Roman" w:eastAsia="宋体" w:cs="Times New Roman"/>
                <w:color w:val="auto"/>
                <w:kern w:val="2"/>
                <w:sz w:val="21"/>
                <w:szCs w:val="24"/>
                <w:lang w:val="en-US" w:eastAsia="zh-CN" w:bidi="ar-SA"/>
              </w:rPr>
            </w:pPr>
            <w:r>
              <w:rPr>
                <w:rFonts w:hint="eastAsia"/>
                <w:color w:val="auto"/>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032" w:type="dxa"/>
            <w:gridSpan w:val="2"/>
            <w:vMerge w:val="continue"/>
            <w:vAlign w:val="center"/>
          </w:tcPr>
          <w:p>
            <w:pPr>
              <w:jc w:val="center"/>
              <w:rPr>
                <w:rFonts w:eastAsia="Times New Roman"/>
                <w:color w:val="auto"/>
              </w:rPr>
            </w:pPr>
          </w:p>
        </w:tc>
        <w:tc>
          <w:tcPr>
            <w:tcW w:w="8074" w:type="dxa"/>
            <w:gridSpan w:val="3"/>
            <w:vAlign w:val="center"/>
          </w:tcPr>
          <w:p>
            <w:pPr>
              <w:jc w:val="center"/>
              <w:rPr>
                <w:color w:val="auto"/>
              </w:rPr>
            </w:pPr>
            <w:r>
              <w:rPr>
                <w:rFonts w:hint="eastAsia"/>
                <w:color w:val="auto"/>
                <w:lang w:val="en-US" w:eastAsia="zh-CN"/>
              </w:rPr>
              <w:t>动植物油</w:t>
            </w:r>
          </w:p>
        </w:tc>
        <w:tc>
          <w:tcPr>
            <w:tcW w:w="3211" w:type="dxa"/>
            <w:vAlign w:val="center"/>
          </w:tcPr>
          <w:p>
            <w:pPr>
              <w:jc w:val="center"/>
              <w:rPr>
                <w:rFonts w:hint="default" w:eastAsia="宋体"/>
                <w:color w:val="auto"/>
                <w:lang w:val="en-US" w:eastAsia="zh-CN"/>
              </w:rPr>
            </w:pPr>
            <w:r>
              <w:rPr>
                <w:rFonts w:hint="eastAsia"/>
                <w:color w:val="auto"/>
                <w:lang w:val="en-US" w:eastAsia="zh-CN"/>
              </w:rPr>
              <w:t>0.081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317" w:type="dxa"/>
            <w:gridSpan w:val="6"/>
            <w:vAlign w:val="center"/>
          </w:tcPr>
          <w:p>
            <w:pPr>
              <w:rPr>
                <w:color w:val="auto"/>
              </w:rPr>
            </w:pPr>
            <w:r>
              <w:rPr>
                <w:color w:val="auto"/>
              </w:rPr>
              <w:t>注：表中排放浓度、排放量指经厂区污水排放口处的水污染物排放浓度、排放量。</w:t>
            </w:r>
          </w:p>
        </w:tc>
      </w:tr>
    </w:tbl>
    <w:p>
      <w:pPr>
        <w:adjustRightInd w:val="0"/>
        <w:snapToGrid w:val="0"/>
        <w:spacing w:line="360" w:lineRule="auto"/>
        <w:rPr>
          <w:b/>
          <w:color w:val="auto"/>
          <w:kern w:val="0"/>
          <w:sz w:val="2"/>
          <w:szCs w:val="2"/>
        </w:rPr>
      </w:pPr>
    </w:p>
    <w:p>
      <w:pPr>
        <w:pStyle w:val="43"/>
        <w:ind w:firstLine="560"/>
        <w:rPr>
          <w:rFonts w:cs="Times New Roman"/>
          <w:color w:val="auto"/>
        </w:rPr>
      </w:pPr>
    </w:p>
    <w:p>
      <w:pPr>
        <w:rPr>
          <w:color w:val="auto"/>
          <w:sz w:val="28"/>
          <w:szCs w:val="28"/>
        </w:rPr>
        <w:sectPr>
          <w:pgSz w:w="16840" w:h="11907" w:orient="landscape"/>
          <w:pgMar w:top="720" w:right="720" w:bottom="720" w:left="720" w:header="567" w:footer="1134" w:gutter="0"/>
          <w:pgNumType w:fmt="decimal"/>
          <w:cols w:space="720" w:num="1"/>
          <w:docGrid w:linePitch="312" w:charSpace="0"/>
        </w:sectPr>
      </w:pPr>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1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10" w:hRule="atLeast"/>
          <w:jc w:val="center"/>
        </w:trPr>
        <w:tc>
          <w:tcPr>
            <w:tcW w:w="746" w:type="dxa"/>
            <w:tcMar>
              <w:left w:w="28" w:type="dxa"/>
              <w:right w:w="28" w:type="dxa"/>
            </w:tcMar>
            <w:vAlign w:val="center"/>
          </w:tcPr>
          <w:p>
            <w:pPr>
              <w:adjustRightInd w:val="0"/>
              <w:snapToGrid w:val="0"/>
              <w:jc w:val="center"/>
              <w:rPr>
                <w:bCs/>
                <w:color w:val="auto"/>
                <w:sz w:val="24"/>
              </w:rPr>
            </w:pPr>
            <w:r>
              <w:rPr>
                <w:bCs/>
                <w:color w:val="auto"/>
                <w:sz w:val="24"/>
              </w:rPr>
              <w:t>运营</w:t>
            </w:r>
          </w:p>
          <w:p>
            <w:pPr>
              <w:adjustRightInd w:val="0"/>
              <w:snapToGrid w:val="0"/>
              <w:jc w:val="center"/>
              <w:rPr>
                <w:bCs/>
                <w:color w:val="auto"/>
                <w:sz w:val="24"/>
              </w:rPr>
            </w:pPr>
            <w:r>
              <w:rPr>
                <w:bCs/>
                <w:color w:val="auto"/>
                <w:sz w:val="24"/>
              </w:rPr>
              <w:t>期环</w:t>
            </w:r>
          </w:p>
          <w:p>
            <w:pPr>
              <w:adjustRightInd w:val="0"/>
              <w:snapToGrid w:val="0"/>
              <w:jc w:val="center"/>
              <w:rPr>
                <w:bCs/>
                <w:color w:val="auto"/>
                <w:sz w:val="24"/>
              </w:rPr>
            </w:pPr>
            <w:r>
              <w:rPr>
                <w:bCs/>
                <w:color w:val="auto"/>
                <w:sz w:val="24"/>
              </w:rPr>
              <w:t>境影</w:t>
            </w:r>
          </w:p>
          <w:p>
            <w:pPr>
              <w:adjustRightInd w:val="0"/>
              <w:snapToGrid w:val="0"/>
              <w:jc w:val="center"/>
              <w:rPr>
                <w:bCs/>
                <w:color w:val="auto"/>
                <w:sz w:val="24"/>
              </w:rPr>
            </w:pPr>
            <w:r>
              <w:rPr>
                <w:bCs/>
                <w:color w:val="auto"/>
                <w:sz w:val="24"/>
              </w:rPr>
              <w:t>响和</w:t>
            </w:r>
          </w:p>
          <w:p>
            <w:pPr>
              <w:adjustRightInd w:val="0"/>
              <w:snapToGrid w:val="0"/>
              <w:jc w:val="center"/>
              <w:rPr>
                <w:bCs/>
                <w:color w:val="auto"/>
                <w:sz w:val="24"/>
              </w:rPr>
            </w:pPr>
            <w:r>
              <w:rPr>
                <w:bCs/>
                <w:color w:val="auto"/>
                <w:sz w:val="24"/>
              </w:rPr>
              <w:t>保护</w:t>
            </w:r>
          </w:p>
          <w:p>
            <w:pPr>
              <w:adjustRightInd w:val="0"/>
              <w:snapToGrid w:val="0"/>
              <w:jc w:val="center"/>
              <w:rPr>
                <w:bCs/>
                <w:color w:val="auto"/>
                <w:szCs w:val="21"/>
              </w:rPr>
            </w:pPr>
            <w:r>
              <w:rPr>
                <w:bCs/>
                <w:color w:val="auto"/>
                <w:sz w:val="24"/>
              </w:rPr>
              <w:t>措施</w:t>
            </w:r>
          </w:p>
        </w:tc>
        <w:tc>
          <w:tcPr>
            <w:tcW w:w="8162" w:type="dxa"/>
            <w:vAlign w:val="center"/>
          </w:tcPr>
          <w:p>
            <w:pPr>
              <w:adjustRightInd w:val="0"/>
              <w:snapToGrid w:val="0"/>
              <w:spacing w:before="120" w:beforeLines="50" w:line="360" w:lineRule="auto"/>
              <w:ind w:firstLine="595" w:firstLineChars="247"/>
              <w:rPr>
                <w:color w:val="auto"/>
                <w:sz w:val="24"/>
              </w:rPr>
            </w:pPr>
            <w:r>
              <w:rPr>
                <w:rFonts w:hint="eastAsia"/>
                <w:b/>
                <w:color w:val="auto"/>
                <w:sz w:val="24"/>
              </w:rPr>
              <w:t>3.</w:t>
            </w:r>
            <w:r>
              <w:rPr>
                <w:b/>
                <w:color w:val="auto"/>
                <w:sz w:val="24"/>
              </w:rPr>
              <w:t>噪声</w:t>
            </w:r>
          </w:p>
          <w:p>
            <w:pPr>
              <w:pStyle w:val="15"/>
              <w:spacing w:after="0" w:line="360" w:lineRule="auto"/>
              <w:ind w:left="0" w:leftChars="0" w:firstLine="482" w:firstLineChars="200"/>
              <w:rPr>
                <w:rFonts w:hAnsi="宋体"/>
                <w:b/>
                <w:color w:val="auto"/>
                <w:sz w:val="24"/>
              </w:rPr>
            </w:pPr>
            <w:r>
              <w:rPr>
                <w:rFonts w:hint="eastAsia" w:hAnsi="宋体"/>
                <w:b/>
                <w:color w:val="auto"/>
                <w:sz w:val="24"/>
              </w:rPr>
              <w:t>（1）噪声源强分析</w:t>
            </w:r>
          </w:p>
          <w:p>
            <w:pPr>
              <w:pStyle w:val="15"/>
              <w:spacing w:after="0" w:line="360" w:lineRule="auto"/>
              <w:ind w:left="0" w:leftChars="0" w:firstLine="480" w:firstLineChars="200"/>
              <w:rPr>
                <w:rFonts w:hAnsi="宋体"/>
                <w:bCs/>
                <w:color w:val="auto"/>
                <w:sz w:val="24"/>
              </w:rPr>
            </w:pPr>
            <w:r>
              <w:rPr>
                <w:rFonts w:hint="eastAsia" w:hAnsi="宋体"/>
                <w:bCs/>
                <w:color w:val="auto"/>
                <w:sz w:val="24"/>
              </w:rPr>
              <w:t>本项目位于3类声功能区，运营期噪声源主要为</w:t>
            </w:r>
            <w:r>
              <w:rPr>
                <w:rFonts w:hint="eastAsia"/>
                <w:color w:val="auto"/>
                <w:sz w:val="24"/>
              </w:rPr>
              <w:t>注塑机、压灯头机、打端子机、压出机、空压机、冷却水塔等</w:t>
            </w:r>
            <w:r>
              <w:rPr>
                <w:rFonts w:hint="eastAsia" w:hAnsi="宋体"/>
                <w:bCs/>
                <w:color w:val="auto"/>
                <w:sz w:val="24"/>
              </w:rPr>
              <w:t>噪声设备，噪声强度约70～95dB（A），</w:t>
            </w:r>
            <w:r>
              <w:rPr>
                <w:rFonts w:hint="eastAsia"/>
                <w:color w:val="auto"/>
                <w:sz w:val="24"/>
              </w:rPr>
              <w:t>建设单位通过对所有设备采取安装减振基座、消声处理、墙体阻隔等措施，噪声源强可降低约15dB（A）。</w:t>
            </w:r>
          </w:p>
          <w:p>
            <w:pPr>
              <w:pStyle w:val="15"/>
              <w:spacing w:after="0" w:line="360" w:lineRule="auto"/>
              <w:ind w:left="0" w:leftChars="0" w:firstLine="482" w:firstLineChars="200"/>
              <w:rPr>
                <w:rFonts w:hAnsi="宋体"/>
                <w:b/>
                <w:color w:val="auto"/>
                <w:sz w:val="24"/>
              </w:rPr>
            </w:pPr>
            <w:r>
              <w:rPr>
                <w:rFonts w:hint="eastAsia" w:hAnsi="宋体"/>
                <w:b/>
                <w:color w:val="auto"/>
                <w:sz w:val="24"/>
              </w:rPr>
              <w:t>（2）噪声影响分析</w:t>
            </w:r>
          </w:p>
          <w:p>
            <w:pPr>
              <w:pStyle w:val="15"/>
              <w:spacing w:after="0" w:line="360" w:lineRule="auto"/>
              <w:ind w:left="0" w:leftChars="0" w:firstLine="480" w:firstLineChars="200"/>
              <w:rPr>
                <w:color w:val="auto"/>
                <w:sz w:val="24"/>
              </w:rPr>
            </w:pPr>
            <w:r>
              <w:rPr>
                <w:rFonts w:hint="eastAsia" w:hAnsi="宋体"/>
                <w:bCs/>
                <w:color w:val="auto"/>
                <w:sz w:val="24"/>
              </w:rPr>
              <w:t>本项目各生产设备会</w:t>
            </w:r>
            <w:r>
              <w:rPr>
                <w:rFonts w:hint="eastAsia"/>
                <w:color w:val="auto"/>
                <w:sz w:val="24"/>
              </w:rPr>
              <w:t>产生机械噪声，噪声源强约为70～95dB（A），通过经生产车间围墙阻隔，可以有效减少噪声，可以保证</w:t>
            </w:r>
            <w:r>
              <w:rPr>
                <w:color w:val="auto"/>
                <w:sz w:val="24"/>
              </w:rPr>
              <w:t>厂界噪声达到《工业企业厂界环境噪声排放标准》（GB12348-2008）中的</w:t>
            </w:r>
            <w:r>
              <w:rPr>
                <w:rFonts w:hint="eastAsia"/>
                <w:color w:val="auto"/>
                <w:sz w:val="24"/>
              </w:rPr>
              <w:t>3</w:t>
            </w:r>
            <w:r>
              <w:rPr>
                <w:color w:val="auto"/>
                <w:sz w:val="24"/>
              </w:rPr>
              <w:t>类标准，即昼间6</w:t>
            </w:r>
            <w:r>
              <w:rPr>
                <w:rFonts w:hint="eastAsia"/>
                <w:color w:val="auto"/>
                <w:sz w:val="24"/>
              </w:rPr>
              <w:t>5</w:t>
            </w:r>
            <w:r>
              <w:rPr>
                <w:color w:val="auto"/>
                <w:sz w:val="24"/>
              </w:rPr>
              <w:t>dB</w:t>
            </w:r>
            <w:r>
              <w:rPr>
                <w:rFonts w:hint="eastAsia"/>
                <w:color w:val="auto"/>
                <w:sz w:val="24"/>
              </w:rPr>
              <w:t>（</w:t>
            </w:r>
            <w:r>
              <w:rPr>
                <w:color w:val="auto"/>
                <w:sz w:val="24"/>
              </w:rPr>
              <w:t>A</w:t>
            </w:r>
            <w:r>
              <w:rPr>
                <w:rFonts w:hint="eastAsia"/>
                <w:color w:val="auto"/>
                <w:sz w:val="24"/>
              </w:rPr>
              <w:t>）</w:t>
            </w:r>
            <w:r>
              <w:rPr>
                <w:color w:val="auto"/>
                <w:sz w:val="24"/>
              </w:rPr>
              <w:t>，夜间</w:t>
            </w:r>
            <w:r>
              <w:rPr>
                <w:rFonts w:hint="eastAsia"/>
                <w:color w:val="auto"/>
                <w:sz w:val="24"/>
              </w:rPr>
              <w:t>55</w:t>
            </w:r>
            <w:r>
              <w:rPr>
                <w:color w:val="auto"/>
                <w:sz w:val="24"/>
              </w:rPr>
              <w:t>dB</w:t>
            </w:r>
            <w:r>
              <w:rPr>
                <w:rFonts w:hint="eastAsia"/>
                <w:color w:val="auto"/>
                <w:sz w:val="24"/>
              </w:rPr>
              <w:t>（</w:t>
            </w:r>
            <w:r>
              <w:rPr>
                <w:color w:val="auto"/>
                <w:sz w:val="24"/>
              </w:rPr>
              <w:t>A</w:t>
            </w:r>
            <w:r>
              <w:rPr>
                <w:rFonts w:hint="eastAsia"/>
                <w:color w:val="auto"/>
                <w:sz w:val="24"/>
              </w:rPr>
              <w:t>）</w:t>
            </w:r>
            <w:r>
              <w:rPr>
                <w:color w:val="auto"/>
                <w:sz w:val="24"/>
              </w:rPr>
              <w:t>，对周围环境的影响不大。</w:t>
            </w:r>
          </w:p>
          <w:p>
            <w:pPr>
              <w:pStyle w:val="13"/>
              <w:adjustRightInd w:val="0"/>
              <w:snapToGrid w:val="0"/>
              <w:spacing w:line="360" w:lineRule="auto"/>
              <w:jc w:val="center"/>
              <w:rPr>
                <w:rFonts w:ascii="Times New Roman" w:hAnsi="宋体" w:cs="Times New Roman"/>
                <w:b/>
                <w:color w:val="auto"/>
                <w:sz w:val="24"/>
                <w:szCs w:val="24"/>
              </w:rPr>
            </w:pPr>
            <w:r>
              <w:rPr>
                <w:rFonts w:hint="eastAsia" w:ascii="Times New Roman" w:hAnsi="宋体" w:cs="Times New Roman"/>
                <w:b/>
                <w:color w:val="auto"/>
                <w:sz w:val="24"/>
                <w:szCs w:val="24"/>
              </w:rPr>
              <w:t>表</w:t>
            </w:r>
            <w:r>
              <w:rPr>
                <w:rFonts w:hint="eastAsia" w:ascii="Times New Roman" w:hAnsi="宋体" w:cs="Times New Roman"/>
                <w:b/>
                <w:color w:val="auto"/>
                <w:sz w:val="24"/>
                <w:szCs w:val="24"/>
                <w:lang w:val="en-US" w:eastAsia="zh-CN"/>
              </w:rPr>
              <w:t>4-10</w:t>
            </w:r>
            <w:r>
              <w:rPr>
                <w:rFonts w:hint="eastAsia" w:ascii="Times New Roman" w:hAnsi="宋体" w:cs="Times New Roman"/>
                <w:b/>
                <w:color w:val="auto"/>
                <w:sz w:val="24"/>
                <w:szCs w:val="24"/>
              </w:rPr>
              <w:t xml:space="preserve"> </w:t>
            </w:r>
            <w:r>
              <w:rPr>
                <w:rFonts w:hint="eastAsia" w:hAnsi="宋体" w:cs="Times New Roman"/>
                <w:b/>
                <w:color w:val="auto"/>
                <w:sz w:val="24"/>
                <w:szCs w:val="24"/>
              </w:rPr>
              <w:t>噪声排放情况一览表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7"/>
              <w:gridCol w:w="1124"/>
              <w:gridCol w:w="1652"/>
              <w:gridCol w:w="1154"/>
              <w:gridCol w:w="840"/>
              <w:gridCol w:w="721"/>
              <w:gridCol w:w="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942" w:type="pct"/>
                  <w:vMerge w:val="restart"/>
                  <w:vAlign w:val="center"/>
                </w:tcPr>
                <w:p>
                  <w:pPr>
                    <w:pStyle w:val="17"/>
                    <w:adjustRightInd w:val="0"/>
                    <w:jc w:val="center"/>
                    <w:rPr>
                      <w:b/>
                      <w:color w:val="auto"/>
                      <w:sz w:val="21"/>
                      <w:szCs w:val="21"/>
                    </w:rPr>
                  </w:pPr>
                  <w:r>
                    <w:rPr>
                      <w:rFonts w:hint="eastAsia"/>
                      <w:b/>
                      <w:color w:val="auto"/>
                      <w:sz w:val="21"/>
                      <w:szCs w:val="21"/>
                    </w:rPr>
                    <w:t>噪声源</w:t>
                  </w:r>
                </w:p>
              </w:tc>
              <w:tc>
                <w:tcPr>
                  <w:tcW w:w="708" w:type="pct"/>
                  <w:vMerge w:val="restart"/>
                  <w:vAlign w:val="center"/>
                </w:tcPr>
                <w:p>
                  <w:pPr>
                    <w:pStyle w:val="17"/>
                    <w:adjustRightInd w:val="0"/>
                    <w:jc w:val="center"/>
                    <w:rPr>
                      <w:b/>
                      <w:color w:val="auto"/>
                      <w:sz w:val="21"/>
                      <w:szCs w:val="21"/>
                    </w:rPr>
                  </w:pPr>
                  <w:r>
                    <w:rPr>
                      <w:rFonts w:hint="eastAsia"/>
                      <w:b/>
                      <w:color w:val="auto"/>
                      <w:sz w:val="21"/>
                      <w:szCs w:val="21"/>
                    </w:rPr>
                    <w:t>产生强度dB（A）</w:t>
                  </w:r>
                </w:p>
              </w:tc>
              <w:tc>
                <w:tcPr>
                  <w:tcW w:w="1040" w:type="pct"/>
                  <w:vMerge w:val="restart"/>
                  <w:vAlign w:val="center"/>
                </w:tcPr>
                <w:p>
                  <w:pPr>
                    <w:pStyle w:val="17"/>
                    <w:adjustRightInd w:val="0"/>
                    <w:jc w:val="center"/>
                    <w:rPr>
                      <w:b/>
                      <w:color w:val="auto"/>
                      <w:sz w:val="21"/>
                      <w:szCs w:val="21"/>
                    </w:rPr>
                  </w:pPr>
                  <w:r>
                    <w:rPr>
                      <w:rFonts w:hint="eastAsia"/>
                      <w:b/>
                      <w:color w:val="auto"/>
                      <w:sz w:val="21"/>
                      <w:szCs w:val="21"/>
                    </w:rPr>
                    <w:t>降噪措施</w:t>
                  </w:r>
                </w:p>
              </w:tc>
              <w:tc>
                <w:tcPr>
                  <w:tcW w:w="727" w:type="pct"/>
                  <w:vMerge w:val="restart"/>
                  <w:vAlign w:val="center"/>
                </w:tcPr>
                <w:p>
                  <w:pPr>
                    <w:pStyle w:val="17"/>
                    <w:adjustRightInd w:val="0"/>
                    <w:jc w:val="center"/>
                    <w:rPr>
                      <w:b/>
                      <w:color w:val="auto"/>
                      <w:sz w:val="21"/>
                      <w:szCs w:val="21"/>
                    </w:rPr>
                  </w:pPr>
                  <w:r>
                    <w:rPr>
                      <w:rFonts w:hint="eastAsia"/>
                      <w:b/>
                      <w:color w:val="auto"/>
                      <w:sz w:val="21"/>
                      <w:szCs w:val="21"/>
                    </w:rPr>
                    <w:t>排放强度dB（A）</w:t>
                  </w:r>
                </w:p>
              </w:tc>
              <w:tc>
                <w:tcPr>
                  <w:tcW w:w="529" w:type="pct"/>
                  <w:vMerge w:val="restart"/>
                  <w:vAlign w:val="center"/>
                </w:tcPr>
                <w:p>
                  <w:pPr>
                    <w:pStyle w:val="17"/>
                    <w:adjustRightInd w:val="0"/>
                    <w:jc w:val="center"/>
                    <w:rPr>
                      <w:b/>
                      <w:color w:val="auto"/>
                      <w:sz w:val="21"/>
                      <w:szCs w:val="21"/>
                    </w:rPr>
                  </w:pPr>
                  <w:r>
                    <w:rPr>
                      <w:rFonts w:hint="eastAsia"/>
                      <w:b/>
                      <w:color w:val="auto"/>
                      <w:sz w:val="21"/>
                      <w:szCs w:val="21"/>
                    </w:rPr>
                    <w:t>持续时间</w:t>
                  </w:r>
                </w:p>
              </w:tc>
              <w:tc>
                <w:tcPr>
                  <w:tcW w:w="1051" w:type="pct"/>
                  <w:gridSpan w:val="2"/>
                  <w:vAlign w:val="center"/>
                </w:tcPr>
                <w:p>
                  <w:pPr>
                    <w:pStyle w:val="17"/>
                    <w:adjustRightInd w:val="0"/>
                    <w:jc w:val="center"/>
                    <w:rPr>
                      <w:b/>
                      <w:color w:val="auto"/>
                      <w:sz w:val="21"/>
                      <w:szCs w:val="21"/>
                    </w:rPr>
                  </w:pPr>
                  <w:r>
                    <w:rPr>
                      <w:rFonts w:hint="eastAsia"/>
                      <w:b/>
                      <w:color w:val="auto"/>
                      <w:sz w:val="21"/>
                      <w:szCs w:val="21"/>
                    </w:rPr>
                    <w:t>监测要求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42" w:type="pct"/>
                  <w:vMerge w:val="continue"/>
                  <w:vAlign w:val="center"/>
                </w:tcPr>
                <w:p>
                  <w:pPr>
                    <w:jc w:val="center"/>
                    <w:rPr>
                      <w:color w:val="auto"/>
                      <w:szCs w:val="21"/>
                    </w:rPr>
                  </w:pPr>
                </w:p>
              </w:tc>
              <w:tc>
                <w:tcPr>
                  <w:tcW w:w="708" w:type="pct"/>
                  <w:vMerge w:val="continue"/>
                  <w:vAlign w:val="center"/>
                </w:tcPr>
                <w:p>
                  <w:pPr>
                    <w:jc w:val="center"/>
                    <w:rPr>
                      <w:color w:val="auto"/>
                      <w:szCs w:val="21"/>
                    </w:rPr>
                  </w:pPr>
                </w:p>
              </w:tc>
              <w:tc>
                <w:tcPr>
                  <w:tcW w:w="1040" w:type="pct"/>
                  <w:vMerge w:val="continue"/>
                  <w:vAlign w:val="center"/>
                </w:tcPr>
                <w:p>
                  <w:pPr>
                    <w:jc w:val="center"/>
                    <w:rPr>
                      <w:color w:val="auto"/>
                      <w:szCs w:val="21"/>
                    </w:rPr>
                  </w:pPr>
                </w:p>
              </w:tc>
              <w:tc>
                <w:tcPr>
                  <w:tcW w:w="727" w:type="pct"/>
                  <w:vMerge w:val="continue"/>
                  <w:vAlign w:val="center"/>
                </w:tcPr>
                <w:p>
                  <w:pPr>
                    <w:jc w:val="center"/>
                    <w:rPr>
                      <w:color w:val="auto"/>
                      <w:szCs w:val="21"/>
                    </w:rPr>
                  </w:pPr>
                </w:p>
              </w:tc>
              <w:tc>
                <w:tcPr>
                  <w:tcW w:w="529" w:type="pct"/>
                  <w:vMerge w:val="continue"/>
                  <w:vAlign w:val="center"/>
                </w:tcPr>
                <w:p>
                  <w:pPr>
                    <w:jc w:val="center"/>
                    <w:rPr>
                      <w:color w:val="auto"/>
                      <w:szCs w:val="21"/>
                    </w:rPr>
                  </w:pPr>
                </w:p>
              </w:tc>
              <w:tc>
                <w:tcPr>
                  <w:tcW w:w="454" w:type="pct"/>
                  <w:vAlign w:val="center"/>
                </w:tcPr>
                <w:p>
                  <w:pPr>
                    <w:pStyle w:val="17"/>
                    <w:adjustRightInd w:val="0"/>
                    <w:jc w:val="center"/>
                    <w:rPr>
                      <w:b/>
                      <w:color w:val="auto"/>
                      <w:sz w:val="21"/>
                      <w:szCs w:val="21"/>
                    </w:rPr>
                  </w:pPr>
                  <w:r>
                    <w:rPr>
                      <w:rFonts w:hint="eastAsia"/>
                      <w:b/>
                      <w:color w:val="auto"/>
                      <w:sz w:val="21"/>
                      <w:szCs w:val="21"/>
                    </w:rPr>
                    <w:t>监测点位</w:t>
                  </w:r>
                </w:p>
              </w:tc>
              <w:tc>
                <w:tcPr>
                  <w:tcW w:w="597" w:type="pct"/>
                  <w:vAlign w:val="center"/>
                </w:tcPr>
                <w:p>
                  <w:pPr>
                    <w:pStyle w:val="17"/>
                    <w:adjustRightInd w:val="0"/>
                    <w:jc w:val="center"/>
                    <w:rPr>
                      <w:b/>
                      <w:color w:val="auto"/>
                      <w:sz w:val="21"/>
                      <w:szCs w:val="21"/>
                    </w:rPr>
                  </w:pPr>
                  <w:r>
                    <w:rPr>
                      <w:rFonts w:hint="eastAsia"/>
                      <w:b/>
                      <w:color w:val="auto"/>
                      <w:sz w:val="21"/>
                      <w:szCs w:val="21"/>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42" w:type="pct"/>
                  <w:vAlign w:val="center"/>
                </w:tcPr>
                <w:p>
                  <w:pPr>
                    <w:jc w:val="center"/>
                    <w:rPr>
                      <w:color w:val="auto"/>
                      <w:szCs w:val="21"/>
                    </w:rPr>
                  </w:pPr>
                  <w:r>
                    <w:rPr>
                      <w:rFonts w:hint="eastAsia"/>
                      <w:color w:val="auto"/>
                      <w:szCs w:val="21"/>
                    </w:rPr>
                    <w:t>注塑机、压灯头机、打端子机、压出机、空压机、冷却水塔</w:t>
                  </w:r>
                  <w:r>
                    <w:rPr>
                      <w:color w:val="auto"/>
                      <w:szCs w:val="21"/>
                    </w:rPr>
                    <w:t>等</w:t>
                  </w:r>
                </w:p>
              </w:tc>
              <w:tc>
                <w:tcPr>
                  <w:tcW w:w="708" w:type="pct"/>
                  <w:vAlign w:val="center"/>
                </w:tcPr>
                <w:p>
                  <w:pPr>
                    <w:jc w:val="center"/>
                    <w:rPr>
                      <w:color w:val="auto"/>
                      <w:szCs w:val="21"/>
                    </w:rPr>
                  </w:pPr>
                  <w:r>
                    <w:rPr>
                      <w:rFonts w:hint="eastAsia" w:hAnsi="宋体"/>
                      <w:color w:val="auto"/>
                      <w:szCs w:val="21"/>
                    </w:rPr>
                    <w:t>70~95</w:t>
                  </w:r>
                </w:p>
              </w:tc>
              <w:tc>
                <w:tcPr>
                  <w:tcW w:w="1040" w:type="pct"/>
                  <w:vAlign w:val="center"/>
                </w:tcPr>
                <w:p>
                  <w:pPr>
                    <w:jc w:val="center"/>
                    <w:rPr>
                      <w:color w:val="auto"/>
                      <w:szCs w:val="21"/>
                    </w:rPr>
                  </w:pPr>
                  <w:r>
                    <w:rPr>
                      <w:rFonts w:hint="eastAsia"/>
                      <w:color w:val="auto"/>
                      <w:szCs w:val="21"/>
                    </w:rPr>
                    <w:t>合理布局、减振、消声、隔声、加强绿化等</w:t>
                  </w:r>
                </w:p>
              </w:tc>
              <w:tc>
                <w:tcPr>
                  <w:tcW w:w="727" w:type="pct"/>
                  <w:vAlign w:val="center"/>
                </w:tcPr>
                <w:p>
                  <w:pPr>
                    <w:jc w:val="center"/>
                    <w:rPr>
                      <w:color w:val="auto"/>
                      <w:szCs w:val="21"/>
                    </w:rPr>
                  </w:pPr>
                  <w:r>
                    <w:rPr>
                      <w:rFonts w:hint="eastAsia"/>
                      <w:color w:val="auto"/>
                      <w:szCs w:val="21"/>
                    </w:rPr>
                    <w:t>55~65</w:t>
                  </w:r>
                </w:p>
              </w:tc>
              <w:tc>
                <w:tcPr>
                  <w:tcW w:w="529" w:type="pct"/>
                  <w:vAlign w:val="center"/>
                </w:tcPr>
                <w:p>
                  <w:pPr>
                    <w:jc w:val="center"/>
                    <w:rPr>
                      <w:color w:val="auto"/>
                      <w:szCs w:val="21"/>
                    </w:rPr>
                  </w:pPr>
                  <w:r>
                    <w:rPr>
                      <w:rFonts w:hint="eastAsia"/>
                      <w:color w:val="auto"/>
                      <w:szCs w:val="21"/>
                    </w:rPr>
                    <w:t>8h</w:t>
                  </w:r>
                </w:p>
              </w:tc>
              <w:tc>
                <w:tcPr>
                  <w:tcW w:w="454" w:type="pct"/>
                  <w:vAlign w:val="center"/>
                </w:tcPr>
                <w:p>
                  <w:pPr>
                    <w:jc w:val="center"/>
                    <w:rPr>
                      <w:color w:val="auto"/>
                      <w:szCs w:val="21"/>
                    </w:rPr>
                  </w:pPr>
                  <w:r>
                    <w:rPr>
                      <w:rFonts w:hint="eastAsia"/>
                      <w:color w:val="auto"/>
                      <w:szCs w:val="21"/>
                    </w:rPr>
                    <w:t>厂界四周</w:t>
                  </w:r>
                </w:p>
              </w:tc>
              <w:tc>
                <w:tcPr>
                  <w:tcW w:w="597" w:type="pct"/>
                  <w:vAlign w:val="center"/>
                </w:tcPr>
                <w:p>
                  <w:pPr>
                    <w:jc w:val="center"/>
                    <w:rPr>
                      <w:color w:val="auto"/>
                      <w:szCs w:val="21"/>
                    </w:rPr>
                  </w:pPr>
                  <w:r>
                    <w:rPr>
                      <w:rFonts w:hint="eastAsia"/>
                      <w:color w:val="auto"/>
                      <w:szCs w:val="21"/>
                    </w:rPr>
                    <w:t>1次/季度</w:t>
                  </w:r>
                </w:p>
              </w:tc>
            </w:tr>
          </w:tbl>
          <w:p>
            <w:pPr>
              <w:spacing w:line="360" w:lineRule="auto"/>
              <w:ind w:left="-2" w:firstLine="480" w:firstLineChars="200"/>
              <w:rPr>
                <w:color w:val="auto"/>
                <w:sz w:val="24"/>
                <w:lang w:val="zh-CN"/>
              </w:rPr>
            </w:pPr>
            <w:r>
              <w:rPr>
                <w:rFonts w:hint="eastAsia"/>
                <w:color w:val="auto"/>
                <w:sz w:val="24"/>
              </w:rPr>
              <w:t>根据</w:t>
            </w:r>
            <w:r>
              <w:rPr>
                <w:color w:val="auto"/>
                <w:sz w:val="24"/>
                <w:lang w:val="zh-CN"/>
              </w:rPr>
              <w:t>《环境影响评价技术导则</w:t>
            </w:r>
            <w:r>
              <w:rPr>
                <w:rFonts w:hint="eastAsia"/>
                <w:color w:val="auto"/>
                <w:sz w:val="24"/>
              </w:rPr>
              <w:t xml:space="preserve"> </w:t>
            </w:r>
            <w:r>
              <w:rPr>
                <w:color w:val="auto"/>
                <w:sz w:val="24"/>
                <w:lang w:val="zh-CN"/>
              </w:rPr>
              <w:t>声环境》（HJ2.4-20</w:t>
            </w:r>
            <w:r>
              <w:rPr>
                <w:rFonts w:hint="eastAsia"/>
                <w:color w:val="auto"/>
                <w:sz w:val="24"/>
              </w:rPr>
              <w:t>21</w:t>
            </w:r>
            <w:r>
              <w:rPr>
                <w:color w:val="auto"/>
                <w:sz w:val="24"/>
                <w:lang w:val="zh-CN"/>
              </w:rPr>
              <w:t>）中附录A中的</w:t>
            </w:r>
            <w:r>
              <w:rPr>
                <w:rFonts w:hint="eastAsia"/>
                <w:color w:val="auto"/>
                <w:sz w:val="24"/>
              </w:rPr>
              <w:t>A.3.1.1点声援的几何发散衰减</w:t>
            </w:r>
            <w:r>
              <w:rPr>
                <w:color w:val="auto"/>
                <w:sz w:val="24"/>
                <w:lang w:val="zh-CN"/>
              </w:rPr>
              <w:t>计算模式，对项目主要噪声源在各预测点产生的A声级进行计算，计算过程如下。</w:t>
            </w:r>
          </w:p>
          <w:p>
            <w:pPr>
              <w:snapToGrid w:val="0"/>
              <w:spacing w:line="360" w:lineRule="auto"/>
              <w:ind w:firstLine="482" w:firstLineChars="200"/>
              <w:rPr>
                <w:b/>
                <w:color w:val="auto"/>
                <w:sz w:val="24"/>
              </w:rPr>
            </w:pPr>
            <w:r>
              <w:rPr>
                <w:b/>
                <w:color w:val="auto"/>
                <w:sz w:val="24"/>
              </w:rPr>
              <w:t>点声源在预测点产生的声级计算基本公式如下：</w:t>
            </w:r>
          </w:p>
          <w:p>
            <w:pPr>
              <w:adjustRightInd w:val="0"/>
              <w:snapToGrid w:val="0"/>
              <w:spacing w:line="360" w:lineRule="auto"/>
              <w:ind w:firstLine="480" w:firstLineChars="200"/>
              <w:rPr>
                <w:color w:val="auto"/>
                <w:sz w:val="24"/>
              </w:rPr>
            </w:pPr>
            <w:r>
              <w:rPr>
                <w:color w:val="auto"/>
                <w:sz w:val="24"/>
              </w:rPr>
              <w:t>L</w:t>
            </w:r>
            <w:r>
              <w:rPr>
                <w:color w:val="auto"/>
                <w:sz w:val="24"/>
                <w:vertAlign w:val="subscript"/>
              </w:rPr>
              <w:t>p</w:t>
            </w:r>
            <w:r>
              <w:rPr>
                <w:rFonts w:hint="eastAsia"/>
                <w:color w:val="auto"/>
                <w:sz w:val="24"/>
              </w:rPr>
              <w:t>(</w:t>
            </w:r>
            <w:r>
              <w:rPr>
                <w:color w:val="auto"/>
                <w:sz w:val="24"/>
              </w:rPr>
              <w:t>r</w:t>
            </w:r>
            <w:r>
              <w:rPr>
                <w:rFonts w:hint="eastAsia"/>
                <w:color w:val="auto"/>
                <w:sz w:val="24"/>
              </w:rPr>
              <w:t>)</w:t>
            </w:r>
            <w:r>
              <w:rPr>
                <w:color w:val="auto"/>
                <w:sz w:val="24"/>
              </w:rPr>
              <w:t>=L</w:t>
            </w:r>
            <w:r>
              <w:rPr>
                <w:rFonts w:hint="eastAsia"/>
                <w:color w:val="auto"/>
                <w:sz w:val="24"/>
                <w:vertAlign w:val="subscript"/>
              </w:rPr>
              <w:t>P</w:t>
            </w:r>
            <w:r>
              <w:rPr>
                <w:rFonts w:hint="eastAsia"/>
                <w:color w:val="auto"/>
                <w:sz w:val="24"/>
              </w:rPr>
              <w:t>(r</w:t>
            </w:r>
            <w:r>
              <w:rPr>
                <w:rFonts w:hint="eastAsia"/>
                <w:color w:val="auto"/>
                <w:sz w:val="24"/>
                <w:vertAlign w:val="subscript"/>
              </w:rPr>
              <w:t>0</w:t>
            </w:r>
            <w:r>
              <w:rPr>
                <w:rFonts w:hint="eastAsia"/>
                <w:color w:val="auto"/>
                <w:sz w:val="24"/>
              </w:rPr>
              <w:t>)-20lg(r/r</w:t>
            </w:r>
            <w:r>
              <w:rPr>
                <w:rFonts w:hint="eastAsia"/>
                <w:color w:val="auto"/>
                <w:sz w:val="24"/>
                <w:vertAlign w:val="subscript"/>
              </w:rPr>
              <w:t>0</w:t>
            </w:r>
            <w:r>
              <w:rPr>
                <w:rFonts w:hint="eastAsia"/>
                <w:color w:val="auto"/>
                <w:sz w:val="24"/>
              </w:rPr>
              <w:t>)</w:t>
            </w:r>
          </w:p>
          <w:p>
            <w:pPr>
              <w:adjustRightInd w:val="0"/>
              <w:snapToGrid w:val="0"/>
              <w:spacing w:line="360" w:lineRule="auto"/>
              <w:ind w:firstLine="480" w:firstLineChars="200"/>
              <w:rPr>
                <w:color w:val="auto"/>
                <w:sz w:val="24"/>
                <w:lang w:val="zh-CN"/>
              </w:rPr>
            </w:pPr>
            <w:r>
              <w:rPr>
                <w:color w:val="auto"/>
                <w:sz w:val="24"/>
                <w:lang w:val="zh-CN"/>
              </w:rPr>
              <w:t>式中</w:t>
            </w:r>
            <w:r>
              <w:rPr>
                <w:color w:val="auto"/>
                <w:sz w:val="24"/>
              </w:rPr>
              <w:t>L</w:t>
            </w:r>
            <w:r>
              <w:rPr>
                <w:color w:val="auto"/>
                <w:sz w:val="24"/>
                <w:vertAlign w:val="subscript"/>
              </w:rPr>
              <w:t>p</w:t>
            </w:r>
            <w:r>
              <w:rPr>
                <w:rFonts w:hint="eastAsia"/>
                <w:color w:val="auto"/>
                <w:sz w:val="24"/>
              </w:rPr>
              <w:t>(</w:t>
            </w:r>
            <w:r>
              <w:rPr>
                <w:color w:val="auto"/>
                <w:sz w:val="24"/>
              </w:rPr>
              <w:t>r</w:t>
            </w:r>
            <w:r>
              <w:rPr>
                <w:rFonts w:hint="eastAsia"/>
                <w:color w:val="auto"/>
                <w:sz w:val="24"/>
              </w:rPr>
              <w:t>)</w:t>
            </w:r>
            <w:r>
              <w:rPr>
                <w:color w:val="auto"/>
                <w:sz w:val="24"/>
                <w:lang w:val="zh-CN"/>
              </w:rPr>
              <w:t>：预测点</w:t>
            </w:r>
            <w:r>
              <w:rPr>
                <w:rFonts w:hint="eastAsia"/>
                <w:color w:val="auto"/>
                <w:sz w:val="24"/>
              </w:rPr>
              <w:t>处</w:t>
            </w:r>
            <w:r>
              <w:rPr>
                <w:color w:val="auto"/>
                <w:sz w:val="24"/>
                <w:lang w:val="zh-CN"/>
              </w:rPr>
              <w:t>声压级</w:t>
            </w:r>
            <w:r>
              <w:rPr>
                <w:rFonts w:hint="eastAsia"/>
                <w:color w:val="auto"/>
                <w:sz w:val="24"/>
                <w:lang w:val="zh-CN"/>
              </w:rPr>
              <w:t>，</w:t>
            </w:r>
            <w:r>
              <w:rPr>
                <w:rFonts w:hint="eastAsia"/>
                <w:color w:val="auto"/>
                <w:sz w:val="24"/>
              </w:rPr>
              <w:t>dB</w:t>
            </w:r>
            <w:r>
              <w:rPr>
                <w:color w:val="auto"/>
                <w:sz w:val="24"/>
                <w:lang w:val="zh-CN"/>
              </w:rPr>
              <w:t>；</w:t>
            </w:r>
          </w:p>
          <w:p>
            <w:pPr>
              <w:adjustRightInd w:val="0"/>
              <w:snapToGrid w:val="0"/>
              <w:spacing w:line="360" w:lineRule="auto"/>
              <w:ind w:firstLine="480" w:firstLineChars="200"/>
              <w:rPr>
                <w:color w:val="auto"/>
                <w:sz w:val="24"/>
                <w:lang w:val="zh-CN"/>
              </w:rPr>
            </w:pPr>
            <w:r>
              <w:rPr>
                <w:color w:val="auto"/>
                <w:sz w:val="24"/>
              </w:rPr>
              <w:t>L</w:t>
            </w:r>
            <w:r>
              <w:rPr>
                <w:rFonts w:hint="eastAsia"/>
                <w:color w:val="auto"/>
                <w:sz w:val="24"/>
                <w:vertAlign w:val="subscript"/>
              </w:rPr>
              <w:t>P</w:t>
            </w:r>
            <w:r>
              <w:rPr>
                <w:rFonts w:hint="eastAsia"/>
                <w:color w:val="auto"/>
                <w:sz w:val="24"/>
              </w:rPr>
              <w:t>(r</w:t>
            </w:r>
            <w:r>
              <w:rPr>
                <w:rFonts w:hint="eastAsia"/>
                <w:color w:val="auto"/>
                <w:sz w:val="24"/>
                <w:vertAlign w:val="subscript"/>
              </w:rPr>
              <w:t>0</w:t>
            </w:r>
            <w:r>
              <w:rPr>
                <w:rFonts w:hint="eastAsia"/>
                <w:color w:val="auto"/>
                <w:sz w:val="24"/>
              </w:rPr>
              <w:t>)</w:t>
            </w:r>
            <w:r>
              <w:rPr>
                <w:color w:val="auto"/>
                <w:sz w:val="24"/>
                <w:lang w:val="zh-CN"/>
              </w:rPr>
              <w:t>：</w:t>
            </w:r>
            <w:r>
              <w:rPr>
                <w:rFonts w:hint="eastAsia"/>
                <w:color w:val="auto"/>
                <w:sz w:val="24"/>
              </w:rPr>
              <w:t>参考位置r</w:t>
            </w:r>
            <w:r>
              <w:rPr>
                <w:rFonts w:hint="eastAsia"/>
                <w:color w:val="auto"/>
                <w:sz w:val="24"/>
                <w:vertAlign w:val="subscript"/>
              </w:rPr>
              <w:t>0</w:t>
            </w:r>
            <w:r>
              <w:rPr>
                <w:rFonts w:hint="eastAsia"/>
                <w:color w:val="auto"/>
                <w:sz w:val="24"/>
              </w:rPr>
              <w:t>处的声压级，dB</w:t>
            </w:r>
            <w:r>
              <w:rPr>
                <w:color w:val="auto"/>
                <w:sz w:val="24"/>
                <w:lang w:val="zh-CN"/>
              </w:rPr>
              <w:t>；</w:t>
            </w:r>
          </w:p>
          <w:p>
            <w:pPr>
              <w:adjustRightInd w:val="0"/>
              <w:snapToGrid w:val="0"/>
              <w:spacing w:line="360" w:lineRule="auto"/>
              <w:ind w:firstLine="480" w:firstLineChars="200"/>
              <w:rPr>
                <w:color w:val="auto"/>
                <w:sz w:val="24"/>
              </w:rPr>
            </w:pPr>
            <w:r>
              <w:rPr>
                <w:rFonts w:hint="eastAsia"/>
                <w:color w:val="auto"/>
                <w:sz w:val="24"/>
              </w:rPr>
              <w:t>r：预测点距声源的距离；</w:t>
            </w:r>
          </w:p>
          <w:p>
            <w:pPr>
              <w:adjustRightInd w:val="0"/>
              <w:snapToGrid w:val="0"/>
              <w:spacing w:line="360" w:lineRule="auto"/>
              <w:ind w:firstLine="480" w:firstLineChars="200"/>
              <w:rPr>
                <w:color w:val="auto"/>
                <w:sz w:val="24"/>
              </w:rPr>
            </w:pPr>
            <w:r>
              <w:rPr>
                <w:rFonts w:hint="eastAsia"/>
                <w:color w:val="auto"/>
                <w:sz w:val="24"/>
              </w:rPr>
              <w:t>r：参考位置距声源的距离。</w:t>
            </w:r>
          </w:p>
          <w:p>
            <w:pPr>
              <w:spacing w:line="360" w:lineRule="auto"/>
              <w:ind w:firstLine="480" w:firstLineChars="200"/>
              <w:rPr>
                <w:color w:val="auto"/>
                <w:sz w:val="24"/>
              </w:rPr>
            </w:pPr>
            <w:r>
              <w:rPr>
                <w:color w:val="auto"/>
                <w:sz w:val="24"/>
              </w:rPr>
              <w:t>本项目边界噪声预测值如表</w:t>
            </w:r>
            <w:r>
              <w:rPr>
                <w:rFonts w:hint="eastAsia"/>
                <w:color w:val="auto"/>
                <w:sz w:val="24"/>
                <w:lang w:val="en-US" w:eastAsia="zh-CN"/>
              </w:rPr>
              <w:t>4-11</w:t>
            </w:r>
            <w:r>
              <w:rPr>
                <w:color w:val="auto"/>
                <w:sz w:val="24"/>
              </w:rPr>
              <w:t>所示。</w:t>
            </w:r>
          </w:p>
          <w:p>
            <w:pPr>
              <w:autoSpaceDE w:val="0"/>
              <w:autoSpaceDN w:val="0"/>
              <w:adjustRightInd w:val="0"/>
              <w:snapToGrid w:val="0"/>
              <w:spacing w:line="360" w:lineRule="auto"/>
              <w:jc w:val="center"/>
              <w:textAlignment w:val="baseline"/>
              <w:rPr>
                <w:b/>
                <w:color w:val="auto"/>
                <w:kern w:val="0"/>
                <w:sz w:val="24"/>
              </w:rPr>
            </w:pPr>
            <w:r>
              <w:rPr>
                <w:rFonts w:hint="eastAsia"/>
                <w:b/>
                <w:color w:val="auto"/>
                <w:kern w:val="0"/>
                <w:sz w:val="24"/>
              </w:rPr>
              <w:t>表</w:t>
            </w:r>
            <w:r>
              <w:rPr>
                <w:rFonts w:hint="eastAsia"/>
                <w:b/>
                <w:color w:val="auto"/>
                <w:kern w:val="0"/>
                <w:sz w:val="24"/>
                <w:lang w:val="en-US" w:eastAsia="zh-CN"/>
              </w:rPr>
              <w:t>4-11</w:t>
            </w:r>
            <w:r>
              <w:rPr>
                <w:rFonts w:hint="eastAsia" w:ascii="宋体" w:hAnsi="宋体" w:cs="宋体"/>
                <w:b/>
                <w:color w:val="auto"/>
                <w:kern w:val="0"/>
                <w:sz w:val="24"/>
              </w:rPr>
              <w:t xml:space="preserve"> </w:t>
            </w:r>
            <w:r>
              <w:rPr>
                <w:rFonts w:hint="eastAsia"/>
                <w:b/>
                <w:color w:val="auto"/>
                <w:kern w:val="0"/>
                <w:sz w:val="24"/>
              </w:rPr>
              <w:t>项目厂界噪声预测值一览表</w:t>
            </w:r>
            <w:r>
              <w:rPr>
                <w:rFonts w:hint="eastAsia" w:ascii="宋体" w:hAnsi="宋体" w:cs="宋体"/>
                <w:b/>
                <w:color w:val="auto"/>
                <w:kern w:val="0"/>
                <w:sz w:val="24"/>
              </w:rPr>
              <w:t xml:space="preserve">  </w:t>
            </w:r>
            <w:r>
              <w:rPr>
                <w:rFonts w:hint="eastAsia"/>
                <w:b/>
                <w:color w:val="auto"/>
                <w:kern w:val="0"/>
                <w:sz w:val="24"/>
              </w:rPr>
              <w:t>单位</w:t>
            </w:r>
            <w:r>
              <w:rPr>
                <w:b/>
                <w:bCs/>
                <w:color w:val="auto"/>
                <w:kern w:val="0"/>
                <w:sz w:val="24"/>
              </w:rPr>
              <w:t>：dB（A）</w:t>
            </w:r>
          </w:p>
          <w:tbl>
            <w:tblPr>
              <w:tblStyle w:val="29"/>
              <w:tblW w:w="7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2"/>
              <w:gridCol w:w="2632"/>
              <w:gridCol w:w="26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32" w:type="dxa"/>
                  <w:vAlign w:val="center"/>
                </w:tcPr>
                <w:p>
                  <w:pPr>
                    <w:jc w:val="center"/>
                    <w:rPr>
                      <w:b/>
                      <w:bCs/>
                      <w:color w:val="auto"/>
                      <w:szCs w:val="21"/>
                    </w:rPr>
                  </w:pPr>
                  <w:r>
                    <w:rPr>
                      <w:rFonts w:hint="eastAsia"/>
                      <w:b/>
                      <w:bCs/>
                      <w:color w:val="auto"/>
                      <w:szCs w:val="21"/>
                    </w:rPr>
                    <w:t>预测点</w:t>
                  </w:r>
                </w:p>
              </w:tc>
              <w:tc>
                <w:tcPr>
                  <w:tcW w:w="2632" w:type="dxa"/>
                  <w:vAlign w:val="center"/>
                </w:tcPr>
                <w:p>
                  <w:pPr>
                    <w:jc w:val="center"/>
                    <w:rPr>
                      <w:b/>
                      <w:bCs/>
                      <w:color w:val="auto"/>
                      <w:szCs w:val="21"/>
                    </w:rPr>
                  </w:pPr>
                  <w:r>
                    <w:rPr>
                      <w:rFonts w:hint="eastAsia"/>
                      <w:b/>
                      <w:bCs/>
                      <w:color w:val="auto"/>
                      <w:szCs w:val="21"/>
                    </w:rPr>
                    <w:t>距噪声源距离/m</w:t>
                  </w:r>
                </w:p>
              </w:tc>
              <w:tc>
                <w:tcPr>
                  <w:tcW w:w="2634" w:type="dxa"/>
                  <w:vAlign w:val="center"/>
                </w:tcPr>
                <w:p>
                  <w:pPr>
                    <w:jc w:val="center"/>
                    <w:rPr>
                      <w:b/>
                      <w:bCs/>
                      <w:color w:val="auto"/>
                      <w:szCs w:val="21"/>
                    </w:rPr>
                  </w:pPr>
                  <w:r>
                    <w:rPr>
                      <w:rFonts w:hint="eastAsia"/>
                      <w:b/>
                      <w:bCs/>
                      <w:color w:val="auto"/>
                      <w:szCs w:val="21"/>
                    </w:rPr>
                    <w:t>贡献值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32" w:type="dxa"/>
                  <w:vAlign w:val="center"/>
                </w:tcPr>
                <w:p>
                  <w:pPr>
                    <w:jc w:val="center"/>
                    <w:rPr>
                      <w:color w:val="auto"/>
                      <w:szCs w:val="21"/>
                    </w:rPr>
                  </w:pPr>
                  <w:r>
                    <w:rPr>
                      <w:rFonts w:hint="eastAsia"/>
                      <w:color w:val="auto"/>
                      <w:szCs w:val="21"/>
                    </w:rPr>
                    <w:t>项目东边界外1m</w:t>
                  </w:r>
                </w:p>
              </w:tc>
              <w:tc>
                <w:tcPr>
                  <w:tcW w:w="2632" w:type="dxa"/>
                  <w:vAlign w:val="center"/>
                </w:tcPr>
                <w:p>
                  <w:pPr>
                    <w:jc w:val="center"/>
                    <w:rPr>
                      <w:color w:val="auto"/>
                      <w:szCs w:val="21"/>
                    </w:rPr>
                  </w:pPr>
                  <w:r>
                    <w:rPr>
                      <w:rFonts w:hint="eastAsia"/>
                      <w:color w:val="auto"/>
                      <w:szCs w:val="21"/>
                    </w:rPr>
                    <w:t>27.1</w:t>
                  </w:r>
                </w:p>
              </w:tc>
              <w:tc>
                <w:tcPr>
                  <w:tcW w:w="2634" w:type="dxa"/>
                  <w:vAlign w:val="center"/>
                </w:tcPr>
                <w:p>
                  <w:pPr>
                    <w:jc w:val="center"/>
                    <w:rPr>
                      <w:color w:val="auto"/>
                      <w:szCs w:val="21"/>
                    </w:rPr>
                  </w:pPr>
                  <w:r>
                    <w:rPr>
                      <w:rFonts w:hint="eastAsia"/>
                      <w:color w:val="auto"/>
                      <w:szCs w:val="21"/>
                    </w:rPr>
                    <w:t>51.3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32" w:type="dxa"/>
                  <w:vAlign w:val="center"/>
                </w:tcPr>
                <w:p>
                  <w:pPr>
                    <w:jc w:val="center"/>
                    <w:rPr>
                      <w:color w:val="auto"/>
                      <w:szCs w:val="21"/>
                    </w:rPr>
                  </w:pPr>
                  <w:r>
                    <w:rPr>
                      <w:rFonts w:hint="eastAsia"/>
                      <w:color w:val="auto"/>
                      <w:szCs w:val="21"/>
                    </w:rPr>
                    <w:t>项目南边界外1m</w:t>
                  </w:r>
                </w:p>
              </w:tc>
              <w:tc>
                <w:tcPr>
                  <w:tcW w:w="2632" w:type="dxa"/>
                  <w:vAlign w:val="center"/>
                </w:tcPr>
                <w:p>
                  <w:pPr>
                    <w:jc w:val="center"/>
                    <w:rPr>
                      <w:color w:val="auto"/>
                      <w:szCs w:val="21"/>
                    </w:rPr>
                  </w:pPr>
                  <w:r>
                    <w:rPr>
                      <w:rFonts w:hint="eastAsia"/>
                      <w:color w:val="auto"/>
                      <w:szCs w:val="21"/>
                    </w:rPr>
                    <w:t>75.3</w:t>
                  </w:r>
                </w:p>
              </w:tc>
              <w:tc>
                <w:tcPr>
                  <w:tcW w:w="2634" w:type="dxa"/>
                  <w:vAlign w:val="center"/>
                </w:tcPr>
                <w:p>
                  <w:pPr>
                    <w:jc w:val="center"/>
                    <w:rPr>
                      <w:color w:val="auto"/>
                      <w:szCs w:val="21"/>
                    </w:rPr>
                  </w:pPr>
                  <w:r>
                    <w:rPr>
                      <w:rFonts w:hint="eastAsia"/>
                      <w:color w:val="auto"/>
                      <w:szCs w:val="21"/>
                    </w:rPr>
                    <w:t>42.5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32" w:type="dxa"/>
                  <w:vAlign w:val="center"/>
                </w:tcPr>
                <w:p>
                  <w:pPr>
                    <w:jc w:val="center"/>
                    <w:rPr>
                      <w:color w:val="auto"/>
                      <w:szCs w:val="21"/>
                    </w:rPr>
                  </w:pPr>
                  <w:r>
                    <w:rPr>
                      <w:rFonts w:hint="eastAsia"/>
                      <w:color w:val="auto"/>
                      <w:szCs w:val="21"/>
                    </w:rPr>
                    <w:t>项目西边界外1m</w:t>
                  </w:r>
                </w:p>
              </w:tc>
              <w:tc>
                <w:tcPr>
                  <w:tcW w:w="2632" w:type="dxa"/>
                  <w:vAlign w:val="center"/>
                </w:tcPr>
                <w:p>
                  <w:pPr>
                    <w:jc w:val="center"/>
                    <w:rPr>
                      <w:color w:val="auto"/>
                      <w:szCs w:val="21"/>
                    </w:rPr>
                  </w:pPr>
                  <w:r>
                    <w:rPr>
                      <w:rFonts w:hint="eastAsia"/>
                      <w:color w:val="auto"/>
                      <w:szCs w:val="21"/>
                    </w:rPr>
                    <w:t>76.2</w:t>
                  </w:r>
                </w:p>
              </w:tc>
              <w:tc>
                <w:tcPr>
                  <w:tcW w:w="2634" w:type="dxa"/>
                  <w:vAlign w:val="center"/>
                </w:tcPr>
                <w:p>
                  <w:pPr>
                    <w:jc w:val="center"/>
                    <w:rPr>
                      <w:color w:val="auto"/>
                      <w:szCs w:val="21"/>
                    </w:rPr>
                  </w:pPr>
                  <w:r>
                    <w:rPr>
                      <w:rFonts w:hint="eastAsia"/>
                      <w:color w:val="auto"/>
                      <w:szCs w:val="21"/>
                    </w:rPr>
                    <w:t>42.4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32" w:type="dxa"/>
                  <w:vAlign w:val="center"/>
                </w:tcPr>
                <w:p>
                  <w:pPr>
                    <w:jc w:val="center"/>
                    <w:rPr>
                      <w:color w:val="auto"/>
                      <w:szCs w:val="21"/>
                    </w:rPr>
                  </w:pPr>
                  <w:r>
                    <w:rPr>
                      <w:rFonts w:hint="eastAsia"/>
                      <w:color w:val="auto"/>
                      <w:szCs w:val="21"/>
                    </w:rPr>
                    <w:t>项目北边界外1m</w:t>
                  </w:r>
                </w:p>
              </w:tc>
              <w:tc>
                <w:tcPr>
                  <w:tcW w:w="2632" w:type="dxa"/>
                  <w:vAlign w:val="center"/>
                </w:tcPr>
                <w:p>
                  <w:pPr>
                    <w:jc w:val="center"/>
                    <w:rPr>
                      <w:color w:val="auto"/>
                      <w:szCs w:val="21"/>
                    </w:rPr>
                  </w:pPr>
                  <w:r>
                    <w:rPr>
                      <w:rFonts w:hint="eastAsia"/>
                      <w:color w:val="auto"/>
                      <w:szCs w:val="21"/>
                    </w:rPr>
                    <w:t>61.5</w:t>
                  </w:r>
                </w:p>
              </w:tc>
              <w:tc>
                <w:tcPr>
                  <w:tcW w:w="2634" w:type="dxa"/>
                  <w:vAlign w:val="center"/>
                </w:tcPr>
                <w:p>
                  <w:pPr>
                    <w:jc w:val="center"/>
                    <w:rPr>
                      <w:color w:val="auto"/>
                      <w:szCs w:val="21"/>
                    </w:rPr>
                  </w:pPr>
                  <w:r>
                    <w:rPr>
                      <w:rFonts w:hint="eastAsia"/>
                      <w:color w:val="auto"/>
                      <w:szCs w:val="21"/>
                    </w:rPr>
                    <w:t>44.2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32" w:type="dxa"/>
                  <w:vAlign w:val="center"/>
                </w:tcPr>
                <w:p>
                  <w:pPr>
                    <w:jc w:val="center"/>
                    <w:rPr>
                      <w:color w:val="auto"/>
                      <w:szCs w:val="21"/>
                    </w:rPr>
                  </w:pPr>
                  <w:r>
                    <w:rPr>
                      <w:rFonts w:hint="eastAsia"/>
                      <w:color w:val="auto"/>
                      <w:szCs w:val="21"/>
                    </w:rPr>
                    <w:t>标准限值</w:t>
                  </w:r>
                </w:p>
              </w:tc>
              <w:tc>
                <w:tcPr>
                  <w:tcW w:w="2632" w:type="dxa"/>
                  <w:vAlign w:val="center"/>
                </w:tcPr>
                <w:p>
                  <w:pPr>
                    <w:jc w:val="center"/>
                    <w:rPr>
                      <w:color w:val="auto"/>
                      <w:szCs w:val="21"/>
                    </w:rPr>
                  </w:pPr>
                  <w:r>
                    <w:rPr>
                      <w:rFonts w:hint="eastAsia"/>
                      <w:color w:val="auto"/>
                      <w:szCs w:val="21"/>
                    </w:rPr>
                    <w:t>—</w:t>
                  </w:r>
                </w:p>
              </w:tc>
              <w:tc>
                <w:tcPr>
                  <w:tcW w:w="2634" w:type="dxa"/>
                  <w:vAlign w:val="center"/>
                </w:tcPr>
                <w:p>
                  <w:pPr>
                    <w:jc w:val="center"/>
                    <w:rPr>
                      <w:color w:val="auto"/>
                      <w:szCs w:val="21"/>
                    </w:rPr>
                  </w:pPr>
                  <w:r>
                    <w:rPr>
                      <w:rFonts w:hint="eastAsia"/>
                      <w:color w:val="auto"/>
                      <w:szCs w:val="21"/>
                    </w:rPr>
                    <w:t>昼间65，夜间55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32" w:type="dxa"/>
                  <w:vAlign w:val="center"/>
                </w:tcPr>
                <w:p>
                  <w:pPr>
                    <w:jc w:val="center"/>
                    <w:rPr>
                      <w:color w:val="auto"/>
                      <w:szCs w:val="21"/>
                    </w:rPr>
                  </w:pPr>
                  <w:r>
                    <w:rPr>
                      <w:rFonts w:hint="eastAsia"/>
                      <w:color w:val="auto"/>
                      <w:szCs w:val="21"/>
                    </w:rPr>
                    <w:t>达标情况</w:t>
                  </w:r>
                </w:p>
              </w:tc>
              <w:tc>
                <w:tcPr>
                  <w:tcW w:w="2632" w:type="dxa"/>
                  <w:vAlign w:val="center"/>
                </w:tcPr>
                <w:p>
                  <w:pPr>
                    <w:jc w:val="center"/>
                    <w:rPr>
                      <w:color w:val="auto"/>
                      <w:szCs w:val="21"/>
                    </w:rPr>
                  </w:pPr>
                  <w:r>
                    <w:rPr>
                      <w:rFonts w:hint="eastAsia"/>
                      <w:color w:val="auto"/>
                      <w:szCs w:val="21"/>
                    </w:rPr>
                    <w:t>—</w:t>
                  </w:r>
                </w:p>
              </w:tc>
              <w:tc>
                <w:tcPr>
                  <w:tcW w:w="2634" w:type="dxa"/>
                  <w:vAlign w:val="center"/>
                </w:tcPr>
                <w:p>
                  <w:pPr>
                    <w:jc w:val="center"/>
                    <w:rPr>
                      <w:color w:val="auto"/>
                      <w:szCs w:val="21"/>
                    </w:rPr>
                  </w:pPr>
                  <w:r>
                    <w:rPr>
                      <w:rFonts w:hint="eastAsia"/>
                      <w:color w:val="auto"/>
                      <w:szCs w:val="21"/>
                    </w:rPr>
                    <w:t>达标</w:t>
                  </w:r>
                </w:p>
              </w:tc>
            </w:tr>
          </w:tbl>
          <w:p>
            <w:pPr>
              <w:adjustRightInd w:val="0"/>
              <w:snapToGrid w:val="0"/>
              <w:spacing w:before="120" w:beforeLines="50" w:line="360" w:lineRule="auto"/>
              <w:ind w:firstLine="480" w:firstLineChars="200"/>
              <w:rPr>
                <w:rFonts w:hAnsi="宋体"/>
                <w:color w:val="auto"/>
                <w:sz w:val="24"/>
              </w:rPr>
            </w:pPr>
            <w:r>
              <w:rPr>
                <w:bCs/>
                <w:color w:val="auto"/>
                <w:sz w:val="24"/>
              </w:rPr>
              <w:t>由上表可知，通过采取以上降噪措施后，</w:t>
            </w:r>
            <w:r>
              <w:rPr>
                <w:rFonts w:hint="eastAsia"/>
                <w:color w:val="auto"/>
                <w:sz w:val="24"/>
              </w:rPr>
              <w:t>项目运营后厂界噪声预测值可满足</w:t>
            </w:r>
            <w:r>
              <w:rPr>
                <w:color w:val="auto"/>
                <w:sz w:val="24"/>
              </w:rPr>
              <w:t>《工业企业厂界环境噪声排放标准》（GB12348-2008）中的</w:t>
            </w:r>
            <w:r>
              <w:rPr>
                <w:rFonts w:hint="eastAsia"/>
                <w:color w:val="auto"/>
                <w:sz w:val="24"/>
              </w:rPr>
              <w:t>3</w:t>
            </w:r>
            <w:r>
              <w:rPr>
                <w:color w:val="auto"/>
                <w:sz w:val="24"/>
              </w:rPr>
              <w:t>类标准</w:t>
            </w:r>
            <w:r>
              <w:rPr>
                <w:rFonts w:hint="eastAsia"/>
                <w:color w:val="auto"/>
                <w:sz w:val="24"/>
              </w:rPr>
              <w:t>要求，</w:t>
            </w:r>
            <w:r>
              <w:rPr>
                <w:color w:val="auto"/>
                <w:sz w:val="24"/>
              </w:rPr>
              <w:t>对周围声环境</w:t>
            </w:r>
            <w:r>
              <w:rPr>
                <w:rFonts w:hint="eastAsia"/>
                <w:color w:val="auto"/>
                <w:sz w:val="24"/>
              </w:rPr>
              <w:t>的影响在可接受范围内</w:t>
            </w:r>
            <w:r>
              <w:rPr>
                <w:color w:val="auto"/>
                <w:sz w:val="24"/>
              </w:rPr>
              <w:t>。</w:t>
            </w:r>
          </w:p>
          <w:p>
            <w:pPr>
              <w:adjustRightInd w:val="0"/>
              <w:snapToGrid w:val="0"/>
              <w:spacing w:line="360" w:lineRule="auto"/>
              <w:ind w:firstLine="482" w:firstLineChars="200"/>
              <w:rPr>
                <w:rFonts w:hAnsi="宋体"/>
                <w:b/>
                <w:color w:val="auto"/>
                <w:sz w:val="24"/>
              </w:rPr>
            </w:pPr>
            <w:r>
              <w:rPr>
                <w:rFonts w:hint="eastAsia" w:hAnsi="宋体"/>
                <w:b/>
                <w:color w:val="auto"/>
                <w:sz w:val="24"/>
              </w:rPr>
              <w:t>4.固体废物</w:t>
            </w:r>
          </w:p>
          <w:p>
            <w:pPr>
              <w:pStyle w:val="13"/>
              <w:adjustRightInd w:val="0"/>
              <w:spacing w:line="360" w:lineRule="auto"/>
              <w:ind w:firstLine="482" w:firstLineChars="200"/>
              <w:rPr>
                <w:rFonts w:ascii="Times New Roman" w:hAnsi="宋体"/>
                <w:color w:val="auto"/>
                <w:sz w:val="24"/>
                <w:szCs w:val="24"/>
              </w:rPr>
            </w:pPr>
            <w:r>
              <w:rPr>
                <w:rFonts w:hint="eastAsia" w:ascii="Times New Roman" w:hAnsi="宋体"/>
                <w:b/>
                <w:bCs/>
                <w:color w:val="auto"/>
                <w:sz w:val="24"/>
                <w:szCs w:val="24"/>
              </w:rPr>
              <w:t>（1）固体废物产生情况</w:t>
            </w:r>
          </w:p>
          <w:p>
            <w:pPr>
              <w:pStyle w:val="13"/>
              <w:adjustRightInd w:val="0"/>
              <w:spacing w:line="360" w:lineRule="auto"/>
              <w:ind w:firstLine="480" w:firstLineChars="200"/>
              <w:rPr>
                <w:rFonts w:ascii="Times New Roman" w:hAnsi="宋体"/>
                <w:color w:val="auto"/>
                <w:sz w:val="24"/>
                <w:szCs w:val="24"/>
              </w:rPr>
            </w:pPr>
            <w:r>
              <w:rPr>
                <w:rFonts w:hint="eastAsia" w:ascii="Times New Roman" w:hAnsi="宋体"/>
                <w:color w:val="auto"/>
                <w:sz w:val="24"/>
                <w:szCs w:val="24"/>
              </w:rPr>
              <w:t>本项目固体废物主要为</w:t>
            </w:r>
            <w:r>
              <w:rPr>
                <w:rFonts w:hint="eastAsia" w:hAnsi="宋体"/>
                <w:color w:val="auto"/>
                <w:sz w:val="24"/>
              </w:rPr>
              <w:t>塑料边角料、电线边角料、铜带边角料、废锡渣、废包装材料、废活性炭和生活垃圾</w:t>
            </w:r>
            <w:r>
              <w:rPr>
                <w:rFonts w:hint="eastAsia" w:ascii="Times New Roman" w:hAnsi="宋体"/>
                <w:color w:val="auto"/>
                <w:sz w:val="24"/>
                <w:szCs w:val="24"/>
              </w:rPr>
              <w:t>。</w:t>
            </w:r>
          </w:p>
          <w:p>
            <w:pPr>
              <w:pStyle w:val="13"/>
              <w:adjustRightInd w:val="0"/>
              <w:spacing w:line="360" w:lineRule="auto"/>
              <w:ind w:left="480"/>
              <w:jc w:val="left"/>
              <w:rPr>
                <w:rFonts w:ascii="Times New Roman" w:hAnsi="宋体"/>
                <w:color w:val="auto"/>
                <w:sz w:val="24"/>
                <w:szCs w:val="24"/>
              </w:rPr>
            </w:pPr>
            <w:r>
              <w:rPr>
                <w:rFonts w:hint="eastAsia" w:ascii="Times New Roman" w:hAnsi="宋体"/>
                <w:color w:val="auto"/>
                <w:sz w:val="24"/>
                <w:szCs w:val="24"/>
              </w:rPr>
              <w:t>①塑料边角料</w:t>
            </w:r>
          </w:p>
          <w:p>
            <w:pPr>
              <w:pStyle w:val="13"/>
              <w:adjustRightInd w:val="0"/>
              <w:spacing w:line="360" w:lineRule="auto"/>
              <w:ind w:firstLine="480" w:firstLineChars="200"/>
              <w:rPr>
                <w:rFonts w:ascii="Times New Roman" w:hAnsi="宋体"/>
                <w:color w:val="auto"/>
                <w:sz w:val="24"/>
                <w:szCs w:val="24"/>
              </w:rPr>
            </w:pPr>
            <w:r>
              <w:rPr>
                <w:rFonts w:hint="eastAsia" w:ascii="Times New Roman" w:hAnsi="宋体"/>
                <w:color w:val="auto"/>
                <w:sz w:val="24"/>
                <w:szCs w:val="24"/>
              </w:rPr>
              <w:t>项目注塑、挤出过程会产生一定量的边角料或不合格品，根据建设单位提供资料，注塑和挤出过程产生的边角料、不合格品约为塑料原料用量的5%，本项目共使用PP、PVC材料共</w:t>
            </w:r>
            <w:r>
              <w:rPr>
                <w:rFonts w:hint="eastAsia" w:ascii="Times New Roman" w:hAnsi="宋体"/>
                <w:color w:val="auto"/>
                <w:sz w:val="24"/>
                <w:szCs w:val="24"/>
                <w:lang w:val="en-US" w:eastAsia="zh-CN"/>
              </w:rPr>
              <w:t>400</w:t>
            </w:r>
            <w:r>
              <w:rPr>
                <w:rFonts w:hint="eastAsia" w:ascii="Times New Roman" w:hAnsi="宋体"/>
                <w:color w:val="auto"/>
                <w:sz w:val="24"/>
                <w:szCs w:val="24"/>
              </w:rPr>
              <w:t>t/a，则边角料、不合格品的产生量约</w:t>
            </w:r>
            <w:r>
              <w:rPr>
                <w:rFonts w:hint="eastAsia" w:ascii="Times New Roman" w:hAnsi="宋体"/>
                <w:color w:val="auto"/>
                <w:sz w:val="24"/>
                <w:szCs w:val="24"/>
                <w:lang w:val="en-US" w:eastAsia="zh-CN"/>
              </w:rPr>
              <w:t>20</w:t>
            </w:r>
            <w:r>
              <w:rPr>
                <w:rFonts w:hint="eastAsia" w:ascii="Times New Roman" w:hAnsi="宋体"/>
                <w:color w:val="auto"/>
                <w:sz w:val="24"/>
                <w:szCs w:val="24"/>
              </w:rPr>
              <w:t>t/a，塑料边角料收集破碎后回用于生产。</w:t>
            </w:r>
          </w:p>
          <w:p>
            <w:pPr>
              <w:pStyle w:val="13"/>
              <w:adjustRightInd w:val="0"/>
              <w:spacing w:line="360" w:lineRule="auto"/>
              <w:ind w:firstLine="480" w:firstLineChars="200"/>
              <w:rPr>
                <w:rFonts w:ascii="Times New Roman" w:hAnsi="宋体"/>
                <w:color w:val="auto"/>
                <w:sz w:val="24"/>
                <w:szCs w:val="24"/>
              </w:rPr>
            </w:pPr>
            <w:r>
              <w:rPr>
                <w:rFonts w:hint="eastAsia" w:ascii="Times New Roman" w:hAnsi="宋体"/>
                <w:color w:val="auto"/>
                <w:sz w:val="24"/>
                <w:szCs w:val="24"/>
              </w:rPr>
              <w:t>②电线边角料、铜带边角料</w:t>
            </w:r>
          </w:p>
          <w:p>
            <w:pPr>
              <w:pStyle w:val="13"/>
              <w:adjustRightInd w:val="0"/>
              <w:spacing w:line="360" w:lineRule="auto"/>
              <w:ind w:firstLine="480" w:firstLineChars="200"/>
              <w:rPr>
                <w:rFonts w:ascii="Times New Roman" w:hAnsi="宋体"/>
                <w:color w:val="auto"/>
                <w:sz w:val="24"/>
                <w:szCs w:val="24"/>
              </w:rPr>
            </w:pPr>
            <w:r>
              <w:rPr>
                <w:rFonts w:hint="eastAsia" w:ascii="Times New Roman" w:hAnsi="宋体"/>
                <w:color w:val="auto"/>
                <w:sz w:val="24"/>
                <w:szCs w:val="24"/>
              </w:rPr>
              <w:t>项目生产过程中会使用到电线边角料、铜带边角料，据生产统计经验，电线边角料、铜带边角料产生量约为2t/a，收集后定期委托资源回收单位外运处理。</w:t>
            </w:r>
          </w:p>
          <w:p>
            <w:pPr>
              <w:pStyle w:val="13"/>
              <w:adjustRightInd w:val="0"/>
              <w:spacing w:line="360" w:lineRule="auto"/>
              <w:ind w:left="480"/>
              <w:jc w:val="left"/>
              <w:rPr>
                <w:rFonts w:hAnsi="宋体"/>
                <w:color w:val="auto"/>
                <w:sz w:val="24"/>
              </w:rPr>
            </w:pPr>
            <w:r>
              <w:rPr>
                <w:rFonts w:hint="eastAsia" w:ascii="Times New Roman" w:hAnsi="宋体"/>
                <w:color w:val="auto"/>
                <w:sz w:val="24"/>
                <w:szCs w:val="24"/>
              </w:rPr>
              <w:t>③废锡渣</w:t>
            </w:r>
          </w:p>
          <w:p>
            <w:pPr>
              <w:pStyle w:val="13"/>
              <w:adjustRightInd w:val="0"/>
              <w:spacing w:line="360" w:lineRule="auto"/>
              <w:ind w:firstLine="480" w:firstLineChars="200"/>
              <w:jc w:val="left"/>
              <w:rPr>
                <w:rFonts w:ascii="Times New Roman" w:hAnsi="宋体"/>
                <w:color w:val="auto"/>
                <w:sz w:val="24"/>
                <w:szCs w:val="24"/>
              </w:rPr>
            </w:pPr>
            <w:r>
              <w:rPr>
                <w:rFonts w:hint="eastAsia" w:ascii="Times New Roman" w:hAnsi="宋体"/>
                <w:color w:val="auto"/>
                <w:sz w:val="24"/>
                <w:szCs w:val="24"/>
              </w:rPr>
              <w:t>项目焊锡过程会产生少量废锡渣，根据建设单位提供资料，废锡渣的产生量为原料用量的1%，项目无铅锡丝的用量为0.56t/a，则废锡渣的产生量为0.0056t/a，收集后定期委托资源回收单位外运处理。</w:t>
            </w:r>
          </w:p>
          <w:p>
            <w:pPr>
              <w:pStyle w:val="146"/>
              <w:rPr>
                <w:color w:val="auto"/>
                <w:spacing w:val="4"/>
              </w:rPr>
            </w:pPr>
            <w:r>
              <w:rPr>
                <w:rFonts w:hint="eastAsia" w:hAnsi="宋体"/>
                <w:color w:val="auto"/>
              </w:rPr>
              <w:t>④废包装材料</w:t>
            </w:r>
          </w:p>
          <w:p>
            <w:pPr>
              <w:pStyle w:val="146"/>
              <w:ind w:firstLine="496"/>
              <w:rPr>
                <w:color w:val="auto"/>
                <w:spacing w:val="4"/>
              </w:rPr>
            </w:pPr>
            <w:r>
              <w:rPr>
                <w:rFonts w:hint="eastAsia"/>
                <w:color w:val="auto"/>
                <w:spacing w:val="4"/>
              </w:rPr>
              <w:t>项目外购PP塑料、PVC塑料、电线、铜线、灯泡等原料均使用塑料袋包装，根据建设单位提供资料，废包装材料产生量约为15t/a，经收集后定期委托资源回收单位外运处理。</w:t>
            </w:r>
          </w:p>
          <w:p>
            <w:pPr>
              <w:pStyle w:val="146"/>
              <w:rPr>
                <w:rFonts w:hAnsi="宋体"/>
                <w:color w:val="auto"/>
              </w:rPr>
            </w:pPr>
            <w:r>
              <w:rPr>
                <w:rFonts w:hint="eastAsia" w:hAnsi="宋体"/>
                <w:color w:val="auto"/>
              </w:rPr>
              <w:t>⑤废活性炭</w:t>
            </w:r>
          </w:p>
          <w:p>
            <w:pPr>
              <w:pStyle w:val="146"/>
              <w:rPr>
                <w:rFonts w:hAnsi="宋体"/>
                <w:color w:val="auto"/>
              </w:rPr>
            </w:pPr>
            <w:r>
              <w:rPr>
                <w:rFonts w:hint="eastAsia" w:hAnsi="宋体"/>
                <w:color w:val="auto"/>
              </w:rPr>
              <w:t>项目采用二级活性炭吸附装置对挥发性有机物废气进行处理，</w:t>
            </w:r>
            <w:r>
              <w:rPr>
                <w:color w:val="auto"/>
              </w:rPr>
              <w:t>活性炭吸附饱和后需更换，更换出来的废活性炭属</w:t>
            </w:r>
            <w:r>
              <w:rPr>
                <w:rFonts w:hint="eastAsia"/>
                <w:color w:val="auto"/>
              </w:rPr>
              <w:t>于</w:t>
            </w:r>
            <w:r>
              <w:rPr>
                <w:color w:val="auto"/>
              </w:rPr>
              <w:t>危险废物，其他废物（HW49）中的</w:t>
            </w:r>
            <w:r>
              <w:rPr>
                <w:rFonts w:hint="eastAsia" w:ascii="宋体" w:hAnsi="宋体" w:cs="宋体"/>
                <w:color w:val="auto"/>
              </w:rPr>
              <w:t>“非特定行业”</w:t>
            </w:r>
            <w:r>
              <w:rPr>
                <w:color w:val="auto"/>
              </w:rPr>
              <w:t>，危废代码为900-039-49</w:t>
            </w:r>
            <w:r>
              <w:rPr>
                <w:rFonts w:hint="eastAsia"/>
                <w:color w:val="auto"/>
              </w:rPr>
              <w:t>，</w:t>
            </w:r>
            <w:r>
              <w:rPr>
                <w:rFonts w:hint="eastAsia"/>
                <w:color w:val="auto"/>
                <w:lang w:val="en-US" w:eastAsia="zh-CN"/>
              </w:rPr>
              <w:t>根据《广东省生态环境厅关于印发工业源挥发性有机物和氮氧化物减排量核算方法的通知》（粤环函〔2023〕538 号），吸附比例建议取值15%</w:t>
            </w:r>
            <w:r>
              <w:rPr>
                <w:color w:val="auto"/>
              </w:rPr>
              <w:t>，由前述分析结果可知，被吸附的有机物为</w:t>
            </w:r>
            <w:r>
              <w:rPr>
                <w:rFonts w:hint="eastAsia"/>
                <w:color w:val="auto"/>
                <w:lang w:val="en-US" w:eastAsia="zh-CN"/>
              </w:rPr>
              <w:t>0.2142</w:t>
            </w:r>
            <w:r>
              <w:rPr>
                <w:color w:val="auto"/>
              </w:rPr>
              <w:t>t/a，则最少需要新鲜活性炭</w:t>
            </w:r>
            <w:r>
              <w:rPr>
                <w:rFonts w:hint="eastAsia"/>
                <w:color w:val="auto"/>
                <w:lang w:val="en-US" w:eastAsia="zh-CN"/>
              </w:rPr>
              <w:t>1.428</w:t>
            </w:r>
            <w:r>
              <w:rPr>
                <w:color w:val="auto"/>
              </w:rPr>
              <w:t>t/a，</w:t>
            </w:r>
            <w:r>
              <w:rPr>
                <w:rFonts w:hint="eastAsia"/>
                <w:color w:val="auto"/>
                <w:lang w:val="en-US" w:eastAsia="zh-CN"/>
              </w:rPr>
              <w:t>根据下表活性炭吸附设计参数，活性炭每年更换2次，则产生的废活性炭量约为4.53t/a。废活性炭</w:t>
            </w:r>
            <w:r>
              <w:rPr>
                <w:color w:val="auto"/>
              </w:rPr>
              <w:t>贮存在危废间，</w:t>
            </w:r>
            <w:r>
              <w:rPr>
                <w:color w:val="auto"/>
                <w:szCs w:val="21"/>
              </w:rPr>
              <w:t>定期委托有资质的单位</w:t>
            </w:r>
            <w:r>
              <w:rPr>
                <w:rFonts w:hint="eastAsia"/>
                <w:color w:val="auto"/>
                <w:szCs w:val="21"/>
                <w:lang w:val="en-US" w:eastAsia="zh-CN"/>
              </w:rPr>
              <w:t>转</w:t>
            </w:r>
            <w:r>
              <w:rPr>
                <w:color w:val="auto"/>
                <w:szCs w:val="21"/>
              </w:rPr>
              <w:t>运处理</w:t>
            </w:r>
            <w:r>
              <w:rPr>
                <w:rFonts w:hint="eastAsia" w:hAnsi="宋体"/>
                <w:color w:val="auto"/>
              </w:rPr>
              <w:t>。</w:t>
            </w:r>
          </w:p>
          <w:p>
            <w:pPr>
              <w:widowControl w:val="0"/>
              <w:spacing w:line="360" w:lineRule="auto"/>
              <w:jc w:val="center"/>
              <w:rPr>
                <w:rFonts w:ascii="Times New Roman" w:hAnsi="Times New Roman" w:eastAsia="宋体" w:cs="Times New Roman"/>
                <w:b/>
                <w:bCs/>
                <w:color w:val="auto"/>
                <w:kern w:val="2"/>
                <w:sz w:val="24"/>
                <w:szCs w:val="24"/>
                <w:highlight w:val="none"/>
                <w:lang w:val="en-US" w:eastAsia="zh-CN" w:bidi="ar-SA"/>
              </w:rPr>
            </w:pPr>
            <w:r>
              <w:rPr>
                <w:rFonts w:ascii="Times New Roman" w:hAnsi="Times New Roman" w:eastAsia="宋体" w:cs="Times New Roman"/>
                <w:b/>
                <w:bCs/>
                <w:color w:val="auto"/>
                <w:kern w:val="2"/>
                <w:sz w:val="24"/>
                <w:szCs w:val="24"/>
                <w:highlight w:val="none"/>
                <w:lang w:val="en-US" w:eastAsia="zh-CN" w:bidi="ar-SA"/>
              </w:rPr>
              <w:t>表</w:t>
            </w:r>
            <w:r>
              <w:rPr>
                <w:rFonts w:ascii="Times New Roman" w:hAnsi="Times New Roman" w:eastAsia="宋体" w:cs="Times New Roman"/>
                <w:b/>
                <w:bCs/>
                <w:color w:val="auto"/>
                <w:kern w:val="2"/>
                <w:sz w:val="24"/>
                <w:szCs w:val="24"/>
                <w:highlight w:val="none"/>
                <w:lang w:val="en-US" w:eastAsia="zh-CN" w:bidi="ar-SA"/>
              </w:rPr>
              <w:fldChar w:fldCharType="begin"/>
            </w:r>
            <w:r>
              <w:rPr>
                <w:rFonts w:ascii="Times New Roman" w:hAnsi="Times New Roman" w:eastAsia="宋体" w:cs="Times New Roman"/>
                <w:b/>
                <w:bCs/>
                <w:color w:val="auto"/>
                <w:kern w:val="2"/>
                <w:sz w:val="24"/>
                <w:szCs w:val="24"/>
                <w:highlight w:val="none"/>
                <w:lang w:val="en-US" w:eastAsia="zh-CN" w:bidi="ar-SA"/>
              </w:rPr>
              <w:instrText xml:space="preserve"> STYLEREF 1 \s </w:instrText>
            </w:r>
            <w:r>
              <w:rPr>
                <w:rFonts w:ascii="Times New Roman" w:hAnsi="Times New Roman" w:eastAsia="宋体" w:cs="Times New Roman"/>
                <w:b/>
                <w:bCs/>
                <w:color w:val="auto"/>
                <w:kern w:val="2"/>
                <w:sz w:val="24"/>
                <w:szCs w:val="24"/>
                <w:highlight w:val="none"/>
                <w:lang w:val="en-US" w:eastAsia="zh-CN" w:bidi="ar-SA"/>
              </w:rPr>
              <w:fldChar w:fldCharType="separate"/>
            </w:r>
            <w:r>
              <w:rPr>
                <w:rFonts w:ascii="Times New Roman" w:hAnsi="Times New Roman" w:eastAsia="宋体" w:cs="Times New Roman"/>
                <w:b/>
                <w:bCs/>
                <w:color w:val="auto"/>
                <w:kern w:val="2"/>
                <w:sz w:val="24"/>
                <w:szCs w:val="24"/>
                <w:highlight w:val="none"/>
                <w:lang w:val="en-US" w:eastAsia="zh-CN" w:bidi="ar-SA"/>
              </w:rPr>
              <w:t>4</w:t>
            </w:r>
            <w:r>
              <w:rPr>
                <w:rFonts w:ascii="Times New Roman" w:hAnsi="Times New Roman" w:eastAsia="宋体" w:cs="Times New Roman"/>
                <w:b/>
                <w:bCs/>
                <w:color w:val="auto"/>
                <w:kern w:val="2"/>
                <w:sz w:val="24"/>
                <w:szCs w:val="24"/>
                <w:highlight w:val="none"/>
                <w:lang w:val="en-US" w:eastAsia="zh-CN" w:bidi="ar-SA"/>
              </w:rPr>
              <w:fldChar w:fldCharType="end"/>
            </w:r>
            <w:r>
              <w:rPr>
                <w:rFonts w:ascii="Times New Roman" w:hAnsi="Times New Roman" w:eastAsia="宋体" w:cs="Times New Roman"/>
                <w:b/>
                <w:bCs/>
                <w:color w:val="auto"/>
                <w:kern w:val="2"/>
                <w:sz w:val="24"/>
                <w:szCs w:val="24"/>
                <w:highlight w:val="none"/>
                <w:lang w:val="en-US" w:eastAsia="zh-CN" w:bidi="ar-SA"/>
              </w:rPr>
              <w:t>-</w:t>
            </w:r>
            <w:r>
              <w:rPr>
                <w:rFonts w:hint="eastAsia" w:ascii="Times New Roman" w:hAnsi="Times New Roman" w:eastAsia="宋体" w:cs="Times New Roman"/>
                <w:b/>
                <w:bCs/>
                <w:color w:val="auto"/>
                <w:kern w:val="2"/>
                <w:sz w:val="24"/>
                <w:szCs w:val="24"/>
                <w:highlight w:val="none"/>
                <w:lang w:val="en-US" w:eastAsia="zh-CN" w:bidi="ar-SA"/>
              </w:rPr>
              <w:t>12活性炭吸附设施参数</w:t>
            </w:r>
          </w:p>
          <w:tbl>
            <w:tblPr>
              <w:tblStyle w:val="29"/>
              <w:tblW w:w="7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5"/>
              <w:gridCol w:w="2119"/>
              <w:gridCol w:w="1062"/>
              <w:gridCol w:w="1932"/>
              <w:gridCol w:w="15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95" w:type="dxa"/>
                  <w:vAlign w:val="center"/>
                </w:tcPr>
                <w:p>
                  <w:pPr>
                    <w:widowControl w:val="0"/>
                    <w:wordWrap w:val="0"/>
                    <w:spacing w:line="240" w:lineRule="auto"/>
                    <w:ind w:firstLine="0" w:firstLineChars="0"/>
                    <w:jc w:val="center"/>
                    <w:rPr>
                      <w:rFonts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设施</w:t>
                  </w:r>
                </w:p>
              </w:tc>
              <w:tc>
                <w:tcPr>
                  <w:tcW w:w="2119" w:type="dxa"/>
                  <w:vAlign w:val="center"/>
                </w:tcPr>
                <w:p>
                  <w:pPr>
                    <w:widowControl w:val="0"/>
                    <w:wordWrap w:val="0"/>
                    <w:spacing w:line="240" w:lineRule="auto"/>
                    <w:ind w:firstLine="0" w:firstLineChars="0"/>
                    <w:jc w:val="center"/>
                    <w:rPr>
                      <w:rFonts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环评对技术参数要求</w:t>
                  </w:r>
                </w:p>
              </w:tc>
              <w:tc>
                <w:tcPr>
                  <w:tcW w:w="1062" w:type="dxa"/>
                  <w:vAlign w:val="center"/>
                </w:tcPr>
                <w:p>
                  <w:pPr>
                    <w:widowControl w:val="0"/>
                    <w:wordWrap w:val="0"/>
                    <w:spacing w:line="240" w:lineRule="auto"/>
                    <w:ind w:firstLine="0" w:firstLineChars="0"/>
                    <w:jc w:val="center"/>
                    <w:rPr>
                      <w:rFonts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单位</w:t>
                  </w:r>
                </w:p>
              </w:tc>
              <w:tc>
                <w:tcPr>
                  <w:tcW w:w="1932" w:type="dxa"/>
                  <w:vAlign w:val="center"/>
                </w:tcPr>
                <w:p>
                  <w:pPr>
                    <w:widowControl w:val="0"/>
                    <w:wordWrap w:val="0"/>
                    <w:spacing w:line="240" w:lineRule="auto"/>
                    <w:ind w:firstLine="0" w:firstLineChars="0"/>
                    <w:jc w:val="center"/>
                    <w:rPr>
                      <w:rFonts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吸附系统</w:t>
                  </w:r>
                </w:p>
              </w:tc>
              <w:tc>
                <w:tcPr>
                  <w:tcW w:w="1578" w:type="dxa"/>
                  <w:vAlign w:val="center"/>
                </w:tcPr>
                <w:p>
                  <w:pPr>
                    <w:widowControl w:val="0"/>
                    <w:wordWrap w:val="0"/>
                    <w:spacing w:line="240" w:lineRule="auto"/>
                    <w:ind w:firstLine="0" w:firstLineChars="0"/>
                    <w:jc w:val="center"/>
                    <w:rPr>
                      <w:rFonts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1195" w:type="dxa"/>
                  <w:vMerge w:val="restart"/>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活性炭吸附装置</w:t>
                  </w:r>
                </w:p>
              </w:tc>
              <w:tc>
                <w:tcPr>
                  <w:tcW w:w="2119"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风机风量</w:t>
                  </w:r>
                </w:p>
              </w:tc>
              <w:tc>
                <w:tcPr>
                  <w:tcW w:w="106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m³/h</w:t>
                  </w:r>
                </w:p>
              </w:tc>
              <w:tc>
                <w:tcPr>
                  <w:tcW w:w="193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20000</w:t>
                  </w:r>
                </w:p>
              </w:tc>
              <w:tc>
                <w:tcPr>
                  <w:tcW w:w="1578"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95" w:type="dxa"/>
                  <w:vMerge w:val="continue"/>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p>
              </w:tc>
              <w:tc>
                <w:tcPr>
                  <w:tcW w:w="2119" w:type="dxa"/>
                  <w:vAlign w:val="center"/>
                </w:tcPr>
                <w:p>
                  <w:pPr>
                    <w:widowControl w:val="0"/>
                    <w:wordWrap w:val="0"/>
                    <w:spacing w:line="240" w:lineRule="auto"/>
                    <w:ind w:firstLine="0" w:firstLineChars="0"/>
                    <w:jc w:val="center"/>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活性炭形状</w:t>
                  </w:r>
                </w:p>
              </w:tc>
              <w:tc>
                <w:tcPr>
                  <w:tcW w:w="106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p>
              </w:tc>
              <w:tc>
                <w:tcPr>
                  <w:tcW w:w="193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蜂窝</w:t>
                  </w:r>
                </w:p>
              </w:tc>
              <w:tc>
                <w:tcPr>
                  <w:tcW w:w="1578"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5" w:type="dxa"/>
                  <w:vMerge w:val="continue"/>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p>
              </w:tc>
              <w:tc>
                <w:tcPr>
                  <w:tcW w:w="2119"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气体流速</w:t>
                  </w:r>
                </w:p>
              </w:tc>
              <w:tc>
                <w:tcPr>
                  <w:tcW w:w="106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m/s</w:t>
                  </w:r>
                </w:p>
              </w:tc>
              <w:tc>
                <w:tcPr>
                  <w:tcW w:w="193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10000m³/h÷（2m×4m×2层×单个活性炭空隙率0.8）÷3600=0.43</w:t>
                  </w:r>
                </w:p>
              </w:tc>
              <w:tc>
                <w:tcPr>
                  <w:tcW w:w="1578"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蜂窝状活性炭＜1.2m/s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5" w:type="dxa"/>
                  <w:vMerge w:val="continue"/>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p>
              </w:tc>
              <w:tc>
                <w:tcPr>
                  <w:tcW w:w="2119"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 xml:space="preserve">吸附炭层高 </w:t>
                  </w:r>
                </w:p>
              </w:tc>
              <w:tc>
                <w:tcPr>
                  <w:tcW w:w="106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m</w:t>
                  </w:r>
                </w:p>
              </w:tc>
              <w:tc>
                <w:tcPr>
                  <w:tcW w:w="193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0.3</w:t>
                  </w:r>
                </w:p>
              </w:tc>
              <w:tc>
                <w:tcPr>
                  <w:tcW w:w="1578"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活性炭层装填厚度不低于 300mm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5" w:type="dxa"/>
                  <w:vMerge w:val="continue"/>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p>
              </w:tc>
              <w:tc>
                <w:tcPr>
                  <w:tcW w:w="2119"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 xml:space="preserve">炭层通过面积 </w:t>
                  </w:r>
                </w:p>
              </w:tc>
              <w:tc>
                <w:tcPr>
                  <w:tcW w:w="1062" w:type="dxa"/>
                  <w:vAlign w:val="center"/>
                </w:tcPr>
                <w:p>
                  <w:pPr>
                    <w:widowControl w:val="0"/>
                    <w:wordWrap w:val="0"/>
                    <w:spacing w:line="240" w:lineRule="auto"/>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m</w:t>
                  </w:r>
                  <w:r>
                    <w:rPr>
                      <w:rFonts w:hint="eastAsia" w:ascii="Times New Roman" w:hAnsi="Times New Roman" w:eastAsia="宋体" w:cs="Times New Roman"/>
                      <w:color w:val="auto"/>
                      <w:kern w:val="2"/>
                      <w:sz w:val="21"/>
                      <w:szCs w:val="21"/>
                      <w:highlight w:val="none"/>
                      <w:vertAlign w:val="superscript"/>
                      <w:lang w:val="en-US" w:eastAsia="zh-CN" w:bidi="ar-SA"/>
                    </w:rPr>
                    <w:t>2</w:t>
                  </w:r>
                </w:p>
              </w:tc>
              <w:tc>
                <w:tcPr>
                  <w:tcW w:w="1932" w:type="dxa"/>
                  <w:vAlign w:val="center"/>
                </w:tcPr>
                <w:p>
                  <w:pPr>
                    <w:widowControl w:val="0"/>
                    <w:wordWrap w:val="0"/>
                    <w:spacing w:line="240" w:lineRule="auto"/>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2m×4m×2 层×单个活性炭空隙率 0.8=12.8</w:t>
                  </w:r>
                </w:p>
              </w:tc>
              <w:tc>
                <w:tcPr>
                  <w:tcW w:w="1578"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5"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p>
              </w:tc>
              <w:tc>
                <w:tcPr>
                  <w:tcW w:w="2119"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活性炭一次装填量</w:t>
                  </w:r>
                </w:p>
              </w:tc>
              <w:tc>
                <w:tcPr>
                  <w:tcW w:w="106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kg</w:t>
                  </w:r>
                </w:p>
              </w:tc>
              <w:tc>
                <w:tcPr>
                  <w:tcW w:w="1932"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箱体长度×箱体宽度×炭层高度×活性炭密度=2m×4m×0.3m×0.45g/cm</w:t>
                  </w:r>
                  <w:r>
                    <w:rPr>
                      <w:rFonts w:hint="eastAsia" w:ascii="Times New Roman" w:hAnsi="Times New Roman" w:eastAsia="宋体" w:cs="Times New Roman"/>
                      <w:color w:val="auto"/>
                      <w:kern w:val="2"/>
                      <w:sz w:val="21"/>
                      <w:szCs w:val="21"/>
                      <w:highlight w:val="none"/>
                      <w:vertAlign w:val="superscript"/>
                      <w:lang w:val="en-US" w:eastAsia="zh-CN" w:bidi="ar-SA"/>
                    </w:rPr>
                    <w:t>3</w:t>
                  </w:r>
                  <w:r>
                    <w:rPr>
                      <w:rFonts w:hint="eastAsia" w:ascii="Times New Roman" w:hAnsi="Times New Roman" w:eastAsia="宋体" w:cs="Times New Roman"/>
                      <w:color w:val="auto"/>
                      <w:kern w:val="2"/>
                      <w:sz w:val="21"/>
                      <w:szCs w:val="21"/>
                      <w:highlight w:val="none"/>
                      <w:lang w:val="en-US" w:eastAsia="zh-CN" w:bidi="ar-SA"/>
                    </w:rPr>
                    <w:t xml:space="preserve"> =1.08kg</w:t>
                  </w:r>
                </w:p>
              </w:tc>
              <w:tc>
                <w:tcPr>
                  <w:tcW w:w="1578" w:type="dxa"/>
                  <w:vAlign w:val="center"/>
                </w:tcPr>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满足污染物在活性炭箱内的接触吸附时间</w:t>
                  </w:r>
                </w:p>
                <w:p>
                  <w:pPr>
                    <w:widowControl w:val="0"/>
                    <w:wordWrap w:val="0"/>
                    <w:spacing w:line="240" w:lineRule="auto"/>
                    <w:ind w:firstLine="0" w:firstLineChars="0"/>
                    <w:jc w:val="center"/>
                    <w:rPr>
                      <w:rFonts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0.5s-2s</w:t>
                  </w:r>
                </w:p>
              </w:tc>
            </w:tr>
          </w:tbl>
          <w:p>
            <w:pPr>
              <w:autoSpaceDE w:val="0"/>
              <w:autoSpaceDN w:val="0"/>
              <w:adjustRightInd w:val="0"/>
              <w:spacing w:line="360" w:lineRule="auto"/>
              <w:ind w:firstLine="482"/>
              <w:rPr>
                <w:rFonts w:hint="eastAsia"/>
                <w:color w:val="auto"/>
                <w:kern w:val="0"/>
                <w:sz w:val="24"/>
              </w:rPr>
            </w:pPr>
          </w:p>
          <w:p>
            <w:pPr>
              <w:autoSpaceDE w:val="0"/>
              <w:autoSpaceDN w:val="0"/>
              <w:adjustRightInd w:val="0"/>
              <w:spacing w:line="360" w:lineRule="auto"/>
              <w:ind w:firstLine="482"/>
              <w:rPr>
                <w:color w:val="auto"/>
                <w:kern w:val="0"/>
                <w:sz w:val="24"/>
              </w:rPr>
            </w:pPr>
            <w:r>
              <w:rPr>
                <w:rFonts w:hint="eastAsia"/>
                <w:color w:val="auto"/>
                <w:kern w:val="0"/>
                <w:sz w:val="24"/>
              </w:rPr>
              <w:t>⑥生活垃圾</w:t>
            </w:r>
          </w:p>
          <w:p>
            <w:pPr>
              <w:autoSpaceDE w:val="0"/>
              <w:autoSpaceDN w:val="0"/>
              <w:adjustRightInd w:val="0"/>
              <w:spacing w:line="360" w:lineRule="auto"/>
              <w:ind w:firstLine="482"/>
              <w:rPr>
                <w:color w:val="auto"/>
                <w:kern w:val="0"/>
                <w:sz w:val="24"/>
              </w:rPr>
            </w:pPr>
            <w:r>
              <w:rPr>
                <w:rFonts w:hint="eastAsia"/>
                <w:color w:val="auto"/>
                <w:sz w:val="24"/>
                <w:szCs w:val="21"/>
              </w:rPr>
              <w:t>本项目拟劳动定员100人，生活垃圾产生量按</w:t>
            </w:r>
            <w:r>
              <w:rPr>
                <w:color w:val="auto"/>
                <w:sz w:val="24"/>
                <w:szCs w:val="21"/>
              </w:rPr>
              <w:t>1</w:t>
            </w:r>
            <w:r>
              <w:rPr>
                <w:rFonts w:hint="eastAsia"/>
                <w:color w:val="auto"/>
                <w:sz w:val="24"/>
                <w:szCs w:val="21"/>
              </w:rPr>
              <w:t>kg/（人·d）计，则产生量为30t/a，属于一般固废，收集后委托环卫部门进行处理。</w:t>
            </w:r>
          </w:p>
          <w:p>
            <w:pPr>
              <w:autoSpaceDE w:val="0"/>
              <w:autoSpaceDN w:val="0"/>
              <w:adjustRightInd w:val="0"/>
              <w:spacing w:line="360" w:lineRule="auto"/>
              <w:ind w:firstLine="482"/>
              <w:rPr>
                <w:b/>
                <w:bCs/>
                <w:color w:val="auto"/>
                <w:kern w:val="0"/>
                <w:sz w:val="24"/>
              </w:rPr>
            </w:pPr>
            <w:r>
              <w:rPr>
                <w:rFonts w:hint="eastAsia"/>
                <w:b/>
                <w:bCs/>
                <w:color w:val="auto"/>
                <w:kern w:val="0"/>
                <w:sz w:val="24"/>
              </w:rPr>
              <w:t>（2）环境管理要求</w:t>
            </w:r>
          </w:p>
          <w:p>
            <w:pPr>
              <w:pStyle w:val="146"/>
              <w:ind w:firstLine="498"/>
              <w:rPr>
                <w:color w:val="auto"/>
                <w:spacing w:val="4"/>
              </w:rPr>
            </w:pPr>
            <w:r>
              <w:rPr>
                <w:rFonts w:hint="eastAsia"/>
                <w:b/>
                <w:bCs/>
                <w:color w:val="auto"/>
                <w:spacing w:val="4"/>
              </w:rPr>
              <w:t>对于一般工业固体废物贮存或处置做到以下要求：</w:t>
            </w:r>
          </w:p>
          <w:p>
            <w:pPr>
              <w:pStyle w:val="146"/>
              <w:ind w:firstLine="496"/>
              <w:rPr>
                <w:color w:val="auto"/>
                <w:spacing w:val="4"/>
              </w:rPr>
            </w:pPr>
            <w:r>
              <w:rPr>
                <w:rFonts w:hint="eastAsia"/>
                <w:color w:val="auto"/>
                <w:spacing w:val="4"/>
              </w:rPr>
              <w:t>根据《一般工业固体废物贮存和填埋污染控制标准》（GB 18599-2020）规定：“采用库房、包装工具(罐、桶、包装袋等) 贮存一般工业固体废物过程的污染控制，不适用本标准，其贮存过程应满足相应防渗漏、防雨淋、防扬尘等环境保护要求。”项目一般固废储存场所设置为库房，一般固废采用桶、包装袋等包装工具进行储存，因此，要求项目一般工业固体废物的贮存设施在贮存过程满足相应防渗漏、防雨淋、防扬尘等环境保护要求。同时，项目需建立工业固体废物管理台账，如实记录产生工业固体废物的种类、数量、流向、贮存、利用、处置等信息。</w:t>
            </w:r>
          </w:p>
          <w:p>
            <w:pPr>
              <w:autoSpaceDE w:val="0"/>
              <w:autoSpaceDN w:val="0"/>
              <w:adjustRightInd w:val="0"/>
              <w:spacing w:line="360" w:lineRule="auto"/>
              <w:ind w:firstLine="482"/>
              <w:rPr>
                <w:color w:val="auto"/>
                <w:kern w:val="0"/>
                <w:sz w:val="24"/>
              </w:rPr>
            </w:pPr>
            <w:r>
              <w:rPr>
                <w:rFonts w:hint="eastAsia"/>
                <w:b/>
                <w:bCs/>
                <w:color w:val="auto"/>
                <w:spacing w:val="4"/>
                <w:sz w:val="24"/>
              </w:rPr>
              <w:t>对于危险废物贮存场所做到以下要求：</w:t>
            </w:r>
          </w:p>
          <w:p>
            <w:pPr>
              <w:autoSpaceDE w:val="0"/>
              <w:autoSpaceDN w:val="0"/>
              <w:adjustRightInd w:val="0"/>
              <w:spacing w:line="360" w:lineRule="auto"/>
              <w:ind w:firstLine="482"/>
              <w:rPr>
                <w:color w:val="auto"/>
                <w:kern w:val="0"/>
                <w:sz w:val="24"/>
              </w:rPr>
            </w:pPr>
            <w:r>
              <w:rPr>
                <w:rFonts w:hint="eastAsia"/>
                <w:color w:val="auto"/>
                <w:kern w:val="0"/>
                <w:sz w:val="24"/>
              </w:rPr>
              <w:t>危废暂存间</w:t>
            </w:r>
            <w:r>
              <w:rPr>
                <w:color w:val="auto"/>
                <w:kern w:val="0"/>
                <w:sz w:val="24"/>
              </w:rPr>
              <w:t>必须满足</w:t>
            </w:r>
            <w:r>
              <w:rPr>
                <w:rFonts w:hint="default"/>
                <w:color w:val="auto"/>
                <w:sz w:val="24"/>
              </w:rPr>
              <w:t>《危险废物贮存污染控制标准》（GB18597-20</w:t>
            </w:r>
            <w:r>
              <w:rPr>
                <w:rFonts w:hint="eastAsia" w:ascii="Times New Roman" w:eastAsia="宋体"/>
                <w:color w:val="auto"/>
                <w:sz w:val="24"/>
                <w:lang w:val="en-US" w:eastAsia="zh-CN"/>
              </w:rPr>
              <w:t>23</w:t>
            </w:r>
            <w:r>
              <w:rPr>
                <w:rFonts w:hint="default"/>
                <w:color w:val="auto"/>
                <w:sz w:val="24"/>
              </w:rPr>
              <w:t>）</w:t>
            </w:r>
            <w:r>
              <w:rPr>
                <w:rFonts w:hint="eastAsia"/>
                <w:color w:val="auto"/>
                <w:kern w:val="0"/>
                <w:sz w:val="24"/>
              </w:rPr>
              <w:t>要求</w:t>
            </w:r>
            <w:r>
              <w:rPr>
                <w:color w:val="auto"/>
                <w:kern w:val="0"/>
                <w:sz w:val="24"/>
              </w:rPr>
              <w:t>。针对本项目的危险废物种类，提出以下贮存、运输、送处等方面的要求：</w:t>
            </w:r>
          </w:p>
          <w:p>
            <w:pPr>
              <w:autoSpaceDE w:val="0"/>
              <w:autoSpaceDN w:val="0"/>
              <w:adjustRightInd w:val="0"/>
              <w:spacing w:line="360" w:lineRule="auto"/>
              <w:ind w:firstLine="482"/>
              <w:rPr>
                <w:bCs/>
                <w:color w:val="auto"/>
                <w:kern w:val="0"/>
                <w:sz w:val="24"/>
              </w:rPr>
            </w:pPr>
            <w:r>
              <w:rPr>
                <w:rFonts w:hint="eastAsia"/>
                <w:bCs/>
                <w:color w:val="auto"/>
                <w:kern w:val="0"/>
                <w:sz w:val="24"/>
              </w:rPr>
              <w:t>①</w:t>
            </w:r>
            <w:r>
              <w:rPr>
                <w:bCs/>
                <w:color w:val="auto"/>
                <w:kern w:val="0"/>
                <w:sz w:val="24"/>
              </w:rPr>
              <w:t>收集方面</w:t>
            </w:r>
          </w:p>
          <w:p>
            <w:pPr>
              <w:autoSpaceDE w:val="0"/>
              <w:autoSpaceDN w:val="0"/>
              <w:adjustRightInd w:val="0"/>
              <w:spacing w:line="360" w:lineRule="auto"/>
              <w:ind w:firstLine="482"/>
              <w:rPr>
                <w:color w:val="auto"/>
                <w:kern w:val="0"/>
                <w:sz w:val="24"/>
              </w:rPr>
            </w:pPr>
            <w:r>
              <w:rPr>
                <w:color w:val="auto"/>
                <w:kern w:val="0"/>
                <w:sz w:val="24"/>
              </w:rPr>
              <w:t>危险废物贮存前应进行检验，确保同预定接收的危险废物一致，并注册登记，作好记录，记录上须注明危险废物的名称、来源、数量、特性和包装容器的类别、入库日期、存放库位、废物出库日期及接受单位名称。</w:t>
            </w:r>
          </w:p>
          <w:p>
            <w:pPr>
              <w:autoSpaceDE w:val="0"/>
              <w:autoSpaceDN w:val="0"/>
              <w:adjustRightInd w:val="0"/>
              <w:spacing w:line="360" w:lineRule="auto"/>
              <w:ind w:firstLine="482"/>
              <w:rPr>
                <w:color w:val="auto"/>
                <w:kern w:val="0"/>
                <w:sz w:val="24"/>
              </w:rPr>
            </w:pPr>
            <w:r>
              <w:rPr>
                <w:color w:val="auto"/>
                <w:kern w:val="0"/>
                <w:sz w:val="24"/>
              </w:rPr>
              <w:t>危险废物先用不易破损、变形、老化，能有效地防止渗漏、扩散的容器（如镀锌桶）收集，装有危险废物的容器必须贴有标签，在标签上详细标明危险废物的名称、重量、成分、特性及发生泄漏的处理方法等。</w:t>
            </w:r>
          </w:p>
          <w:p>
            <w:pPr>
              <w:autoSpaceDE w:val="0"/>
              <w:autoSpaceDN w:val="0"/>
              <w:adjustRightInd w:val="0"/>
              <w:spacing w:line="360" w:lineRule="auto"/>
              <w:ind w:firstLine="482"/>
              <w:rPr>
                <w:color w:val="auto"/>
                <w:kern w:val="0"/>
                <w:sz w:val="24"/>
              </w:rPr>
            </w:pPr>
            <w:r>
              <w:rPr>
                <w:color w:val="auto"/>
                <w:kern w:val="0"/>
                <w:sz w:val="24"/>
              </w:rPr>
              <w:t>建立档案制度，详细记录入场的固体废物的种类和数量等信息，长期保存，供随时查阅。</w:t>
            </w:r>
          </w:p>
          <w:p>
            <w:pPr>
              <w:autoSpaceDE w:val="0"/>
              <w:autoSpaceDN w:val="0"/>
              <w:adjustRightInd w:val="0"/>
              <w:spacing w:line="360" w:lineRule="auto"/>
              <w:ind w:firstLine="482"/>
              <w:rPr>
                <w:bCs/>
                <w:color w:val="auto"/>
                <w:kern w:val="0"/>
                <w:sz w:val="24"/>
              </w:rPr>
            </w:pPr>
            <w:r>
              <w:rPr>
                <w:rFonts w:hint="eastAsia"/>
                <w:bCs/>
                <w:color w:val="auto"/>
                <w:kern w:val="0"/>
                <w:sz w:val="24"/>
              </w:rPr>
              <w:t>②</w:t>
            </w:r>
            <w:r>
              <w:rPr>
                <w:bCs/>
                <w:color w:val="auto"/>
                <w:kern w:val="0"/>
                <w:sz w:val="24"/>
              </w:rPr>
              <w:t>储存方面</w:t>
            </w:r>
          </w:p>
          <w:p>
            <w:pPr>
              <w:autoSpaceDE w:val="0"/>
              <w:autoSpaceDN w:val="0"/>
              <w:adjustRightInd w:val="0"/>
              <w:spacing w:line="360" w:lineRule="auto"/>
              <w:ind w:firstLine="482"/>
              <w:rPr>
                <w:color w:val="auto"/>
                <w:kern w:val="0"/>
                <w:sz w:val="24"/>
              </w:rPr>
            </w:pPr>
            <w:r>
              <w:rPr>
                <w:rFonts w:hint="eastAsia"/>
                <w:color w:val="auto"/>
                <w:kern w:val="0"/>
                <w:sz w:val="24"/>
              </w:rPr>
              <w:t>本项目拟设置专门的危废暂存间，</w:t>
            </w:r>
            <w:r>
              <w:rPr>
                <w:color w:val="auto"/>
                <w:kern w:val="0"/>
                <w:sz w:val="24"/>
              </w:rPr>
              <w:t>应满足：</w:t>
            </w:r>
          </w:p>
          <w:p>
            <w:pPr>
              <w:autoSpaceDE w:val="0"/>
              <w:autoSpaceDN w:val="0"/>
              <w:adjustRightInd w:val="0"/>
              <w:spacing w:line="360" w:lineRule="auto"/>
              <w:ind w:firstLine="482"/>
              <w:rPr>
                <w:color w:val="auto"/>
                <w:kern w:val="0"/>
                <w:sz w:val="24"/>
              </w:rPr>
            </w:pPr>
            <w:r>
              <w:rPr>
                <w:rFonts w:hint="eastAsia"/>
                <w:color w:val="auto"/>
                <w:kern w:val="0"/>
                <w:sz w:val="24"/>
              </w:rPr>
              <w:t>1）</w:t>
            </w:r>
            <w:r>
              <w:rPr>
                <w:color w:val="auto"/>
                <w:kern w:val="0"/>
                <w:sz w:val="24"/>
              </w:rPr>
              <w:t>地面要用坚固、防渗的材料建造，建筑材料必须与危险废物相容。</w:t>
            </w:r>
          </w:p>
          <w:p>
            <w:pPr>
              <w:autoSpaceDE w:val="0"/>
              <w:autoSpaceDN w:val="0"/>
              <w:adjustRightInd w:val="0"/>
              <w:spacing w:line="360" w:lineRule="auto"/>
              <w:ind w:firstLine="482"/>
              <w:rPr>
                <w:color w:val="auto"/>
                <w:kern w:val="0"/>
                <w:sz w:val="24"/>
              </w:rPr>
            </w:pPr>
            <w:r>
              <w:rPr>
                <w:rFonts w:hint="eastAsia"/>
                <w:color w:val="auto"/>
                <w:kern w:val="0"/>
                <w:sz w:val="24"/>
              </w:rPr>
              <w:t>2）</w:t>
            </w:r>
            <w:r>
              <w:rPr>
                <w:color w:val="auto"/>
                <w:kern w:val="0"/>
                <w:sz w:val="24"/>
              </w:rPr>
              <w:t>用以存放装载固体危险废物容器的地方，必须有耐腐蚀的硬化地面，且表面无裂隙。</w:t>
            </w:r>
          </w:p>
          <w:p>
            <w:pPr>
              <w:autoSpaceDE w:val="0"/>
              <w:autoSpaceDN w:val="0"/>
              <w:adjustRightInd w:val="0"/>
              <w:spacing w:line="360" w:lineRule="auto"/>
              <w:ind w:firstLine="482"/>
              <w:rPr>
                <w:color w:val="auto"/>
                <w:kern w:val="0"/>
                <w:sz w:val="24"/>
              </w:rPr>
            </w:pPr>
            <w:r>
              <w:rPr>
                <w:rFonts w:hint="eastAsia"/>
                <w:color w:val="auto"/>
                <w:kern w:val="0"/>
                <w:sz w:val="24"/>
              </w:rPr>
              <w:t>3）</w:t>
            </w:r>
            <w:r>
              <w:rPr>
                <w:color w:val="auto"/>
                <w:kern w:val="0"/>
                <w:sz w:val="24"/>
              </w:rPr>
              <w:t>不相容的危险废物必须分开存放，并设有隔离间隔断。</w:t>
            </w:r>
          </w:p>
          <w:p>
            <w:pPr>
              <w:autoSpaceDE w:val="0"/>
              <w:autoSpaceDN w:val="0"/>
              <w:adjustRightInd w:val="0"/>
              <w:spacing w:line="360" w:lineRule="auto"/>
              <w:ind w:firstLine="482"/>
              <w:rPr>
                <w:color w:val="auto"/>
                <w:kern w:val="0"/>
                <w:sz w:val="24"/>
              </w:rPr>
            </w:pPr>
            <w:r>
              <w:rPr>
                <w:rFonts w:hint="eastAsia"/>
                <w:color w:val="auto"/>
                <w:kern w:val="0"/>
                <w:sz w:val="24"/>
              </w:rPr>
              <w:t>4）</w:t>
            </w:r>
            <w:r>
              <w:rPr>
                <w:color w:val="auto"/>
                <w:kern w:val="0"/>
                <w:sz w:val="24"/>
              </w:rPr>
              <w:t>场所应保持阴凉、通风，严禁火种。</w:t>
            </w:r>
          </w:p>
          <w:p>
            <w:pPr>
              <w:autoSpaceDE w:val="0"/>
              <w:autoSpaceDN w:val="0"/>
              <w:adjustRightInd w:val="0"/>
              <w:spacing w:line="360" w:lineRule="auto"/>
              <w:ind w:firstLine="482"/>
              <w:rPr>
                <w:color w:val="auto"/>
                <w:kern w:val="0"/>
                <w:sz w:val="24"/>
              </w:rPr>
            </w:pPr>
            <w:r>
              <w:rPr>
                <w:rFonts w:hint="eastAsia"/>
                <w:color w:val="auto"/>
                <w:kern w:val="0"/>
                <w:sz w:val="24"/>
              </w:rPr>
              <w:t>5）</w:t>
            </w:r>
            <w:r>
              <w:rPr>
                <w:color w:val="auto"/>
                <w:kern w:val="0"/>
                <w:sz w:val="24"/>
              </w:rPr>
              <w:t>贮存场地周边设置导流渠，防止雨水径流进入贮存、处置场内。</w:t>
            </w:r>
          </w:p>
          <w:p>
            <w:pPr>
              <w:autoSpaceDE w:val="0"/>
              <w:autoSpaceDN w:val="0"/>
              <w:adjustRightInd w:val="0"/>
              <w:spacing w:line="360" w:lineRule="auto"/>
              <w:ind w:firstLine="482"/>
              <w:rPr>
                <w:color w:val="auto"/>
                <w:kern w:val="0"/>
                <w:sz w:val="24"/>
              </w:rPr>
            </w:pPr>
            <w:r>
              <w:rPr>
                <w:rFonts w:hint="eastAsia"/>
                <w:color w:val="auto"/>
                <w:kern w:val="0"/>
                <w:sz w:val="24"/>
              </w:rPr>
              <w:t>6）</w:t>
            </w:r>
            <w:r>
              <w:rPr>
                <w:color w:val="auto"/>
                <w:kern w:val="0"/>
                <w:sz w:val="24"/>
              </w:rPr>
              <w:t>每个堆间应留有搬运通道，不同种类的危险废物分区贮存，不得混放。</w:t>
            </w:r>
          </w:p>
          <w:p>
            <w:pPr>
              <w:autoSpaceDE w:val="0"/>
              <w:autoSpaceDN w:val="0"/>
              <w:adjustRightInd w:val="0"/>
              <w:spacing w:line="360" w:lineRule="auto"/>
              <w:ind w:firstLine="482"/>
              <w:rPr>
                <w:color w:val="auto"/>
                <w:kern w:val="0"/>
                <w:sz w:val="24"/>
              </w:rPr>
            </w:pPr>
            <w:r>
              <w:rPr>
                <w:rFonts w:hint="eastAsia"/>
                <w:color w:val="auto"/>
                <w:kern w:val="0"/>
                <w:sz w:val="24"/>
              </w:rPr>
              <w:t>7）</w:t>
            </w:r>
            <w:r>
              <w:rPr>
                <w:color w:val="auto"/>
                <w:kern w:val="0"/>
                <w:sz w:val="24"/>
              </w:rPr>
              <w:t>对于易挥发的危险废物采用密闭容器储存，贴上相应标签，定期运往接收单位，避免停放时间过长。</w:t>
            </w:r>
          </w:p>
          <w:p>
            <w:pPr>
              <w:autoSpaceDE w:val="0"/>
              <w:autoSpaceDN w:val="0"/>
              <w:adjustRightInd w:val="0"/>
              <w:spacing w:line="360" w:lineRule="auto"/>
              <w:ind w:firstLine="482"/>
              <w:rPr>
                <w:color w:val="auto"/>
                <w:kern w:val="0"/>
                <w:sz w:val="24"/>
              </w:rPr>
            </w:pPr>
            <w:r>
              <w:rPr>
                <w:color w:val="auto"/>
                <w:kern w:val="0"/>
                <w:sz w:val="24"/>
              </w:rPr>
              <w:t>仓库设施设专人管理，禁止将危险废物以任何形式转移给无处置许可证的单位，或转移到非危险废物贮存设施中。必须定期对贮存危险废物的包装容器及贮存设施进行检查，发现破损，应及时采取措施清理更换。按</w:t>
            </w:r>
            <w:r>
              <w:rPr>
                <w:rFonts w:hint="eastAsia"/>
                <w:color w:val="auto"/>
                <w:kern w:val="0"/>
                <w:sz w:val="24"/>
              </w:rPr>
              <w:t>《环境保护图形标志固体废物贮存（处置）场》（</w:t>
            </w:r>
            <w:r>
              <w:rPr>
                <w:color w:val="auto"/>
                <w:kern w:val="0"/>
                <w:sz w:val="24"/>
              </w:rPr>
              <w:t>GB15562.2</w:t>
            </w:r>
            <w:r>
              <w:rPr>
                <w:rFonts w:hint="eastAsia"/>
                <w:color w:val="auto"/>
                <w:kern w:val="0"/>
                <w:sz w:val="24"/>
              </w:rPr>
              <w:t>-1995）</w:t>
            </w:r>
            <w:r>
              <w:rPr>
                <w:color w:val="auto"/>
                <w:kern w:val="0"/>
                <w:sz w:val="24"/>
              </w:rPr>
              <w:t>设置环境保护图形标志。</w:t>
            </w:r>
          </w:p>
          <w:p>
            <w:pPr>
              <w:autoSpaceDE w:val="0"/>
              <w:autoSpaceDN w:val="0"/>
              <w:adjustRightInd w:val="0"/>
              <w:spacing w:line="360" w:lineRule="auto"/>
              <w:ind w:firstLine="482"/>
              <w:rPr>
                <w:bCs/>
                <w:color w:val="auto"/>
                <w:kern w:val="0"/>
                <w:sz w:val="24"/>
              </w:rPr>
            </w:pPr>
            <w:r>
              <w:rPr>
                <w:rFonts w:hint="eastAsia"/>
                <w:bCs/>
                <w:color w:val="auto"/>
                <w:kern w:val="0"/>
                <w:sz w:val="24"/>
              </w:rPr>
              <w:t>③</w:t>
            </w:r>
            <w:r>
              <w:rPr>
                <w:bCs/>
                <w:color w:val="auto"/>
                <w:kern w:val="0"/>
                <w:sz w:val="24"/>
              </w:rPr>
              <w:t>运输方面</w:t>
            </w:r>
          </w:p>
          <w:p>
            <w:pPr>
              <w:autoSpaceDE w:val="0"/>
              <w:autoSpaceDN w:val="0"/>
              <w:adjustRightInd w:val="0"/>
              <w:spacing w:line="360" w:lineRule="auto"/>
              <w:ind w:firstLine="482"/>
              <w:rPr>
                <w:color w:val="auto"/>
                <w:kern w:val="0"/>
                <w:sz w:val="24"/>
              </w:rPr>
            </w:pPr>
            <w:r>
              <w:rPr>
                <w:color w:val="auto"/>
                <w:kern w:val="0"/>
                <w:sz w:val="24"/>
              </w:rPr>
              <w:t>执行危险废物转移联单制度，登记危险废物</w:t>
            </w:r>
            <w:r>
              <w:rPr>
                <w:rFonts w:hint="eastAsia"/>
                <w:color w:val="auto"/>
                <w:kern w:val="0"/>
                <w:sz w:val="24"/>
                <w:lang w:eastAsia="zh-CN"/>
              </w:rPr>
              <w:t>的</w:t>
            </w:r>
            <w:r>
              <w:rPr>
                <w:color w:val="auto"/>
                <w:kern w:val="0"/>
                <w:sz w:val="24"/>
              </w:rPr>
              <w:t>转出单位、数量、类型、最终处置单位等，并且在项目投入运营前应与危废处理单位签订合同。</w:t>
            </w:r>
          </w:p>
          <w:p>
            <w:pPr>
              <w:autoSpaceDE w:val="0"/>
              <w:autoSpaceDN w:val="0"/>
              <w:adjustRightInd w:val="0"/>
              <w:spacing w:line="360" w:lineRule="auto"/>
              <w:ind w:firstLine="482"/>
              <w:rPr>
                <w:color w:val="auto"/>
                <w:kern w:val="0"/>
                <w:sz w:val="24"/>
              </w:rPr>
            </w:pPr>
            <w:r>
              <w:rPr>
                <w:color w:val="auto"/>
                <w:kern w:val="0"/>
                <w:sz w:val="24"/>
              </w:rPr>
              <w:t>危险废物由危废处理单位用专用危废运输车进行运输，严格按照危险货物运输的管理规定进行，减少运输过程中的二次污染和可能造成的环境风险。</w:t>
            </w:r>
          </w:p>
          <w:p>
            <w:pPr>
              <w:autoSpaceDE w:val="0"/>
              <w:autoSpaceDN w:val="0"/>
              <w:adjustRightInd w:val="0"/>
              <w:spacing w:line="360" w:lineRule="auto"/>
              <w:ind w:firstLine="482"/>
              <w:rPr>
                <w:color w:val="auto"/>
                <w:kern w:val="0"/>
                <w:sz w:val="24"/>
              </w:rPr>
            </w:pPr>
            <w:r>
              <w:rPr>
                <w:color w:val="auto"/>
                <w:kern w:val="0"/>
                <w:sz w:val="24"/>
              </w:rPr>
              <w:t>本项目危险废物拟集中收集，严格按照</w:t>
            </w:r>
            <w:r>
              <w:rPr>
                <w:rFonts w:hint="default"/>
                <w:color w:val="auto"/>
                <w:kern w:val="0"/>
                <w:sz w:val="24"/>
              </w:rPr>
              <w:t>《危险废物贮存污染控制标准》（GB18597-20</w:t>
            </w:r>
            <w:r>
              <w:rPr>
                <w:rFonts w:hint="eastAsia"/>
                <w:color w:val="auto"/>
                <w:kern w:val="0"/>
                <w:sz w:val="24"/>
                <w:lang w:val="en-US" w:eastAsia="zh-CN"/>
              </w:rPr>
              <w:t>23</w:t>
            </w:r>
            <w:r>
              <w:rPr>
                <w:rFonts w:hint="default"/>
                <w:color w:val="auto"/>
                <w:kern w:val="0"/>
                <w:sz w:val="24"/>
              </w:rPr>
              <w:t>）</w:t>
            </w:r>
            <w:r>
              <w:rPr>
                <w:color w:val="auto"/>
                <w:kern w:val="0"/>
                <w:sz w:val="24"/>
              </w:rPr>
              <w:t>，暂存于</w:t>
            </w:r>
            <w:r>
              <w:rPr>
                <w:rFonts w:hint="eastAsia"/>
                <w:color w:val="auto"/>
                <w:kern w:val="0"/>
                <w:sz w:val="24"/>
              </w:rPr>
              <w:t>厂房</w:t>
            </w:r>
            <w:r>
              <w:rPr>
                <w:color w:val="auto"/>
                <w:kern w:val="0"/>
                <w:sz w:val="24"/>
              </w:rPr>
              <w:t>内危废暂存间，定期委托具有危险废物处理资质的单位处理，对</w:t>
            </w:r>
            <w:r>
              <w:rPr>
                <w:rFonts w:hint="eastAsia"/>
                <w:color w:val="auto"/>
                <w:kern w:val="0"/>
                <w:sz w:val="24"/>
              </w:rPr>
              <w:t>周边</w:t>
            </w:r>
            <w:r>
              <w:rPr>
                <w:color w:val="auto"/>
                <w:kern w:val="0"/>
                <w:sz w:val="24"/>
              </w:rPr>
              <w:t>环境影响较小。</w:t>
            </w:r>
          </w:p>
          <w:p>
            <w:pPr>
              <w:autoSpaceDE w:val="0"/>
              <w:autoSpaceDN w:val="0"/>
              <w:adjustRightInd w:val="0"/>
              <w:spacing w:line="360" w:lineRule="auto"/>
              <w:ind w:firstLine="482"/>
              <w:rPr>
                <w:color w:val="auto"/>
                <w:kern w:val="0"/>
                <w:sz w:val="24"/>
              </w:rPr>
            </w:pPr>
            <w:r>
              <w:rPr>
                <w:color w:val="auto"/>
                <w:kern w:val="0"/>
                <w:sz w:val="24"/>
              </w:rPr>
              <w:t>可见，项目产生的</w:t>
            </w:r>
            <w:r>
              <w:rPr>
                <w:rFonts w:hint="eastAsia"/>
                <w:color w:val="auto"/>
                <w:kern w:val="0"/>
                <w:sz w:val="24"/>
                <w:lang w:eastAsia="zh-CN"/>
              </w:rPr>
              <w:t>固体废物</w:t>
            </w:r>
            <w:r>
              <w:rPr>
                <w:color w:val="auto"/>
                <w:kern w:val="0"/>
                <w:sz w:val="24"/>
              </w:rPr>
              <w:t>均得到妥善处置，对周围环境造成</w:t>
            </w:r>
            <w:r>
              <w:rPr>
                <w:rFonts w:hint="eastAsia"/>
                <w:color w:val="auto"/>
                <w:kern w:val="0"/>
                <w:sz w:val="24"/>
              </w:rPr>
              <w:t>的</w:t>
            </w:r>
            <w:r>
              <w:rPr>
                <w:color w:val="auto"/>
                <w:kern w:val="0"/>
                <w:sz w:val="24"/>
              </w:rPr>
              <w:t>影响</w:t>
            </w:r>
            <w:r>
              <w:rPr>
                <w:rFonts w:hint="eastAsia"/>
                <w:color w:val="auto"/>
                <w:kern w:val="0"/>
                <w:sz w:val="24"/>
              </w:rPr>
              <w:t>在可接受范围内</w:t>
            </w:r>
            <w:r>
              <w:rPr>
                <w:color w:val="auto"/>
                <w:kern w:val="0"/>
                <w:sz w:val="24"/>
              </w:rPr>
              <w:t>。</w:t>
            </w:r>
          </w:p>
          <w:p>
            <w:pPr>
              <w:autoSpaceDE w:val="0"/>
              <w:autoSpaceDN w:val="0"/>
              <w:adjustRightInd w:val="0"/>
              <w:spacing w:line="360" w:lineRule="auto"/>
              <w:ind w:firstLine="482"/>
              <w:rPr>
                <w:color w:val="auto"/>
                <w:kern w:val="0"/>
                <w:sz w:val="24"/>
              </w:rPr>
            </w:pPr>
          </w:p>
          <w:p>
            <w:pPr>
              <w:autoSpaceDE w:val="0"/>
              <w:autoSpaceDN w:val="0"/>
              <w:adjustRightInd w:val="0"/>
              <w:spacing w:line="360" w:lineRule="auto"/>
              <w:ind w:firstLine="482"/>
              <w:rPr>
                <w:color w:val="auto"/>
                <w:kern w:val="0"/>
                <w:sz w:val="24"/>
              </w:rPr>
            </w:pPr>
          </w:p>
          <w:p>
            <w:pPr>
              <w:autoSpaceDE w:val="0"/>
              <w:autoSpaceDN w:val="0"/>
              <w:adjustRightInd w:val="0"/>
              <w:spacing w:line="360" w:lineRule="auto"/>
              <w:ind w:firstLine="482"/>
              <w:rPr>
                <w:color w:val="auto"/>
                <w:kern w:val="0"/>
                <w:sz w:val="24"/>
              </w:rPr>
            </w:pPr>
          </w:p>
        </w:tc>
      </w:tr>
    </w:tbl>
    <w:p>
      <w:pPr>
        <w:adjustRightInd w:val="0"/>
        <w:snapToGrid w:val="0"/>
        <w:spacing w:line="360" w:lineRule="auto"/>
        <w:rPr>
          <w:b/>
          <w:color w:val="auto"/>
          <w:kern w:val="0"/>
          <w:sz w:val="28"/>
          <w:szCs w:val="28"/>
        </w:rPr>
        <w:sectPr>
          <w:pgSz w:w="11907" w:h="16840"/>
          <w:pgMar w:top="1701" w:right="1531" w:bottom="2127" w:left="1531" w:header="737" w:footer="1191" w:gutter="0"/>
          <w:pgNumType w:fmt="decimal"/>
          <w:cols w:space="720" w:num="1"/>
          <w:docGrid w:linePitch="312" w:charSpace="0"/>
        </w:sectPr>
      </w:pPr>
    </w:p>
    <w:p>
      <w:pPr>
        <w:adjustRightInd w:val="0"/>
        <w:snapToGrid w:val="0"/>
        <w:spacing w:line="360" w:lineRule="auto"/>
        <w:jc w:val="center"/>
        <w:rPr>
          <w:rFonts w:hAnsi="宋体"/>
          <w:b/>
          <w:color w:val="auto"/>
          <w:sz w:val="24"/>
        </w:rPr>
      </w:pPr>
      <w:r>
        <w:rPr>
          <w:rFonts w:hint="eastAsia" w:hAnsi="宋体"/>
          <w:b/>
          <w:color w:val="auto"/>
          <w:sz w:val="24"/>
        </w:rPr>
        <w:t>表</w:t>
      </w:r>
      <w:r>
        <w:rPr>
          <w:rFonts w:hint="eastAsia" w:hAnsi="宋体"/>
          <w:b/>
          <w:color w:val="auto"/>
          <w:sz w:val="24"/>
          <w:lang w:val="en-US" w:eastAsia="zh-CN"/>
        </w:rPr>
        <w:t>4-13</w:t>
      </w:r>
      <w:r>
        <w:rPr>
          <w:rFonts w:hint="eastAsia" w:hAnsi="宋体"/>
          <w:b/>
          <w:color w:val="auto"/>
          <w:sz w:val="24"/>
        </w:rPr>
        <w:t xml:space="preserve"> 本项目固体废物信息表</w:t>
      </w:r>
    </w:p>
    <w:tbl>
      <w:tblPr>
        <w:tblStyle w:val="8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7"/>
        <w:gridCol w:w="1331"/>
        <w:gridCol w:w="1560"/>
        <w:gridCol w:w="2096"/>
        <w:gridCol w:w="1353"/>
        <w:gridCol w:w="1353"/>
        <w:gridCol w:w="1353"/>
        <w:gridCol w:w="1378"/>
        <w:gridCol w:w="1333"/>
        <w:gridCol w:w="1492"/>
        <w:gridCol w:w="1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37" w:type="dxa"/>
            <w:vAlign w:val="center"/>
          </w:tcPr>
          <w:p>
            <w:pPr>
              <w:adjustRightInd w:val="0"/>
              <w:snapToGrid w:val="0"/>
              <w:jc w:val="center"/>
              <w:rPr>
                <w:rFonts w:eastAsia="Times New Roman"/>
                <w:b/>
                <w:bCs/>
                <w:color w:val="auto"/>
              </w:rPr>
            </w:pPr>
            <w:r>
              <w:rPr>
                <w:rFonts w:eastAsia="Times New Roman"/>
                <w:b/>
                <w:bCs/>
                <w:color w:val="auto"/>
              </w:rPr>
              <w:t>序号</w:t>
            </w:r>
          </w:p>
        </w:tc>
        <w:tc>
          <w:tcPr>
            <w:tcW w:w="1331" w:type="dxa"/>
            <w:vAlign w:val="center"/>
          </w:tcPr>
          <w:p>
            <w:pPr>
              <w:adjustRightInd w:val="0"/>
              <w:snapToGrid w:val="0"/>
              <w:jc w:val="center"/>
              <w:rPr>
                <w:rFonts w:eastAsiaTheme="minorEastAsia"/>
                <w:b/>
                <w:bCs/>
                <w:color w:val="auto"/>
              </w:rPr>
            </w:pPr>
            <w:r>
              <w:rPr>
                <w:rFonts w:hint="eastAsia" w:eastAsiaTheme="minorEastAsia"/>
                <w:b/>
                <w:bCs/>
                <w:color w:val="auto"/>
              </w:rPr>
              <w:t>产生环节</w:t>
            </w:r>
          </w:p>
        </w:tc>
        <w:tc>
          <w:tcPr>
            <w:tcW w:w="1560" w:type="dxa"/>
            <w:vAlign w:val="center"/>
          </w:tcPr>
          <w:p>
            <w:pPr>
              <w:adjustRightInd w:val="0"/>
              <w:snapToGrid w:val="0"/>
              <w:jc w:val="center"/>
              <w:rPr>
                <w:rFonts w:eastAsia="Times New Roman"/>
                <w:b/>
                <w:bCs/>
                <w:color w:val="auto"/>
              </w:rPr>
            </w:pPr>
            <w:r>
              <w:rPr>
                <w:rFonts w:eastAsia="Times New Roman"/>
                <w:b/>
                <w:bCs/>
                <w:color w:val="auto"/>
              </w:rPr>
              <w:t>固废名称</w:t>
            </w:r>
          </w:p>
        </w:tc>
        <w:tc>
          <w:tcPr>
            <w:tcW w:w="2096" w:type="dxa"/>
            <w:vAlign w:val="center"/>
          </w:tcPr>
          <w:p>
            <w:pPr>
              <w:adjustRightInd w:val="0"/>
              <w:snapToGrid w:val="0"/>
              <w:jc w:val="center"/>
              <w:rPr>
                <w:rFonts w:eastAsia="Times New Roman"/>
                <w:b/>
                <w:bCs/>
                <w:color w:val="auto"/>
              </w:rPr>
            </w:pPr>
            <w:r>
              <w:rPr>
                <w:rFonts w:hint="eastAsia" w:eastAsia="Times New Roman"/>
                <w:b/>
                <w:bCs/>
                <w:color w:val="auto"/>
              </w:rPr>
              <w:t>属性</w:t>
            </w:r>
          </w:p>
        </w:tc>
        <w:tc>
          <w:tcPr>
            <w:tcW w:w="1353" w:type="dxa"/>
            <w:vAlign w:val="center"/>
          </w:tcPr>
          <w:p>
            <w:pPr>
              <w:adjustRightInd w:val="0"/>
              <w:snapToGrid w:val="0"/>
              <w:jc w:val="center"/>
              <w:rPr>
                <w:rFonts w:eastAsiaTheme="minorEastAsia"/>
                <w:b/>
                <w:bCs/>
                <w:color w:val="auto"/>
              </w:rPr>
            </w:pPr>
            <w:r>
              <w:rPr>
                <w:rFonts w:hint="eastAsia" w:eastAsiaTheme="minorEastAsia"/>
                <w:b/>
                <w:bCs/>
                <w:color w:val="auto"/>
              </w:rPr>
              <w:t>主要有毒有害物质名称</w:t>
            </w:r>
          </w:p>
        </w:tc>
        <w:tc>
          <w:tcPr>
            <w:tcW w:w="1353" w:type="dxa"/>
            <w:vAlign w:val="center"/>
          </w:tcPr>
          <w:p>
            <w:pPr>
              <w:adjustRightInd w:val="0"/>
              <w:snapToGrid w:val="0"/>
              <w:jc w:val="center"/>
              <w:rPr>
                <w:rFonts w:eastAsiaTheme="minorEastAsia"/>
                <w:b/>
                <w:bCs/>
                <w:color w:val="auto"/>
              </w:rPr>
            </w:pPr>
            <w:r>
              <w:rPr>
                <w:rFonts w:hint="eastAsia" w:eastAsiaTheme="minorEastAsia"/>
                <w:b/>
                <w:bCs/>
                <w:color w:val="auto"/>
              </w:rPr>
              <w:t>物理性状</w:t>
            </w:r>
          </w:p>
        </w:tc>
        <w:tc>
          <w:tcPr>
            <w:tcW w:w="1353" w:type="dxa"/>
            <w:vAlign w:val="center"/>
          </w:tcPr>
          <w:p>
            <w:pPr>
              <w:adjustRightInd w:val="0"/>
              <w:snapToGrid w:val="0"/>
              <w:jc w:val="center"/>
              <w:rPr>
                <w:rFonts w:eastAsiaTheme="minorEastAsia"/>
                <w:b/>
                <w:bCs/>
                <w:color w:val="auto"/>
              </w:rPr>
            </w:pPr>
            <w:r>
              <w:rPr>
                <w:rFonts w:hint="eastAsia" w:eastAsiaTheme="minorEastAsia"/>
                <w:b/>
                <w:bCs/>
                <w:color w:val="auto"/>
              </w:rPr>
              <w:t>环境危险特性</w:t>
            </w:r>
          </w:p>
        </w:tc>
        <w:tc>
          <w:tcPr>
            <w:tcW w:w="1378" w:type="dxa"/>
            <w:vAlign w:val="center"/>
          </w:tcPr>
          <w:p>
            <w:pPr>
              <w:adjustRightInd w:val="0"/>
              <w:snapToGrid w:val="0"/>
              <w:jc w:val="center"/>
              <w:rPr>
                <w:rFonts w:eastAsia="Times New Roman"/>
                <w:b/>
                <w:bCs/>
                <w:color w:val="auto"/>
              </w:rPr>
            </w:pPr>
            <w:r>
              <w:rPr>
                <w:rFonts w:eastAsia="Times New Roman"/>
                <w:b/>
                <w:bCs/>
                <w:color w:val="auto"/>
              </w:rPr>
              <w:t>产生量t/a</w:t>
            </w:r>
          </w:p>
        </w:tc>
        <w:tc>
          <w:tcPr>
            <w:tcW w:w="1333" w:type="dxa"/>
            <w:vAlign w:val="center"/>
          </w:tcPr>
          <w:p>
            <w:pPr>
              <w:adjustRightInd w:val="0"/>
              <w:snapToGrid w:val="0"/>
              <w:jc w:val="center"/>
              <w:rPr>
                <w:rFonts w:eastAsiaTheme="minorEastAsia"/>
                <w:b/>
                <w:bCs/>
                <w:color w:val="auto"/>
              </w:rPr>
            </w:pPr>
            <w:r>
              <w:rPr>
                <w:rFonts w:hint="eastAsia" w:eastAsiaTheme="minorEastAsia"/>
                <w:b/>
                <w:bCs/>
                <w:color w:val="auto"/>
              </w:rPr>
              <w:t>贮存方式</w:t>
            </w:r>
          </w:p>
        </w:tc>
        <w:tc>
          <w:tcPr>
            <w:tcW w:w="1492" w:type="dxa"/>
            <w:vAlign w:val="center"/>
          </w:tcPr>
          <w:p>
            <w:pPr>
              <w:adjustRightInd w:val="0"/>
              <w:snapToGrid w:val="0"/>
              <w:jc w:val="center"/>
              <w:rPr>
                <w:rFonts w:eastAsia="Times New Roman"/>
                <w:b/>
                <w:bCs/>
                <w:color w:val="auto"/>
              </w:rPr>
            </w:pPr>
            <w:r>
              <w:rPr>
                <w:rFonts w:hint="eastAsia" w:eastAsia="Times New Roman"/>
                <w:b/>
                <w:bCs/>
                <w:color w:val="auto"/>
              </w:rPr>
              <w:t>利用或</w:t>
            </w:r>
            <w:r>
              <w:rPr>
                <w:rFonts w:eastAsia="Times New Roman"/>
                <w:b/>
                <w:bCs/>
                <w:color w:val="auto"/>
              </w:rPr>
              <w:t>处置方式</w:t>
            </w:r>
          </w:p>
        </w:tc>
        <w:tc>
          <w:tcPr>
            <w:tcW w:w="1214" w:type="dxa"/>
            <w:vAlign w:val="center"/>
          </w:tcPr>
          <w:p>
            <w:pPr>
              <w:adjustRightInd w:val="0"/>
              <w:snapToGrid w:val="0"/>
              <w:jc w:val="center"/>
              <w:rPr>
                <w:rFonts w:eastAsia="Times New Roman"/>
                <w:b/>
                <w:bCs/>
                <w:color w:val="auto"/>
              </w:rPr>
            </w:pPr>
            <w:r>
              <w:rPr>
                <w:rFonts w:hint="eastAsia" w:eastAsia="Times New Roman"/>
                <w:b/>
                <w:bCs/>
                <w:color w:val="auto"/>
              </w:rPr>
              <w:t>利用或处置</w:t>
            </w:r>
            <w:r>
              <w:rPr>
                <w:rFonts w:eastAsia="Times New Roman"/>
                <w:b/>
                <w:bCs/>
                <w:color w:val="auto"/>
              </w:rPr>
              <w:t>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37" w:type="dxa"/>
            <w:vAlign w:val="center"/>
          </w:tcPr>
          <w:p>
            <w:pPr>
              <w:adjustRightInd w:val="0"/>
              <w:snapToGrid w:val="0"/>
              <w:jc w:val="center"/>
              <w:rPr>
                <w:rFonts w:eastAsia="Times New Roman"/>
                <w:color w:val="auto"/>
              </w:rPr>
            </w:pPr>
            <w:r>
              <w:rPr>
                <w:rFonts w:eastAsia="Times New Roman"/>
                <w:color w:val="auto"/>
              </w:rPr>
              <w:t>1</w:t>
            </w:r>
          </w:p>
        </w:tc>
        <w:tc>
          <w:tcPr>
            <w:tcW w:w="1331" w:type="dxa"/>
            <w:vAlign w:val="center"/>
          </w:tcPr>
          <w:p>
            <w:pPr>
              <w:adjustRightInd w:val="0"/>
              <w:snapToGrid w:val="0"/>
              <w:jc w:val="center"/>
              <w:rPr>
                <w:rFonts w:eastAsiaTheme="minorEastAsia"/>
                <w:color w:val="auto"/>
              </w:rPr>
            </w:pPr>
            <w:r>
              <w:rPr>
                <w:rFonts w:hint="eastAsia" w:eastAsiaTheme="minorEastAsia"/>
                <w:color w:val="auto"/>
              </w:rPr>
              <w:t>注塑、挤出工序</w:t>
            </w:r>
          </w:p>
        </w:tc>
        <w:tc>
          <w:tcPr>
            <w:tcW w:w="1560" w:type="dxa"/>
            <w:vAlign w:val="center"/>
          </w:tcPr>
          <w:p>
            <w:pPr>
              <w:adjustRightInd w:val="0"/>
              <w:snapToGrid w:val="0"/>
              <w:jc w:val="center"/>
              <w:rPr>
                <w:rFonts w:eastAsia="Times New Roman"/>
                <w:color w:val="auto"/>
              </w:rPr>
            </w:pPr>
            <w:r>
              <w:rPr>
                <w:rFonts w:hint="eastAsia" w:eastAsia="Times New Roman"/>
                <w:color w:val="auto"/>
              </w:rPr>
              <w:t>塑料边角料</w:t>
            </w:r>
          </w:p>
        </w:tc>
        <w:tc>
          <w:tcPr>
            <w:tcW w:w="2096" w:type="dxa"/>
            <w:vAlign w:val="center"/>
          </w:tcPr>
          <w:p>
            <w:pPr>
              <w:adjustRightInd w:val="0"/>
              <w:snapToGrid w:val="0"/>
              <w:jc w:val="center"/>
              <w:rPr>
                <w:rFonts w:eastAsia="Times New Roman"/>
                <w:color w:val="auto"/>
              </w:rPr>
            </w:pPr>
            <w:r>
              <w:rPr>
                <w:rFonts w:eastAsia="Times New Roman"/>
                <w:color w:val="auto"/>
              </w:rPr>
              <w:t>一般</w:t>
            </w:r>
            <w:r>
              <w:rPr>
                <w:rFonts w:hint="eastAsia" w:eastAsia="Times New Roman"/>
                <w:color w:val="auto"/>
              </w:rPr>
              <w:t>工业</w:t>
            </w:r>
            <w:r>
              <w:rPr>
                <w:rFonts w:eastAsia="Times New Roman"/>
                <w:color w:val="auto"/>
              </w:rPr>
              <w:t>固废</w:t>
            </w:r>
          </w:p>
          <w:p>
            <w:pPr>
              <w:adjustRightInd w:val="0"/>
              <w:snapToGrid w:val="0"/>
              <w:jc w:val="center"/>
              <w:rPr>
                <w:rFonts w:eastAsia="Times New Roman"/>
                <w:color w:val="auto"/>
              </w:rPr>
            </w:pPr>
            <w:r>
              <w:rPr>
                <w:rFonts w:hint="eastAsia" w:eastAsia="Times New Roman"/>
                <w:color w:val="auto"/>
              </w:rPr>
              <w:t>387-002-06</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无</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固体</w:t>
            </w:r>
          </w:p>
        </w:tc>
        <w:tc>
          <w:tcPr>
            <w:tcW w:w="1353" w:type="dxa"/>
            <w:vAlign w:val="center"/>
          </w:tcPr>
          <w:p>
            <w:pPr>
              <w:adjustRightInd w:val="0"/>
              <w:snapToGrid w:val="0"/>
              <w:jc w:val="center"/>
              <w:rPr>
                <w:rFonts w:eastAsiaTheme="minorEastAsia"/>
                <w:color w:val="auto"/>
                <w:szCs w:val="21"/>
              </w:rPr>
            </w:pPr>
            <w:r>
              <w:rPr>
                <w:rFonts w:eastAsiaTheme="minorEastAsia"/>
                <w:color w:val="auto"/>
                <w:szCs w:val="21"/>
              </w:rPr>
              <w:t>无</w:t>
            </w:r>
          </w:p>
        </w:tc>
        <w:tc>
          <w:tcPr>
            <w:tcW w:w="1378" w:type="dxa"/>
            <w:vAlign w:val="center"/>
          </w:tcPr>
          <w:p>
            <w:pPr>
              <w:pStyle w:val="43"/>
              <w:ind w:firstLine="0" w:firstLineChars="0"/>
              <w:jc w:val="center"/>
              <w:rPr>
                <w:rFonts w:hint="default" w:eastAsia="宋体" w:cs="Times New Roman"/>
                <w:color w:val="auto"/>
                <w:sz w:val="21"/>
                <w:szCs w:val="21"/>
                <w:lang w:val="en-US" w:eastAsia="zh-CN"/>
              </w:rPr>
            </w:pPr>
            <w:r>
              <w:rPr>
                <w:rFonts w:hint="eastAsia" w:eastAsia="宋体" w:cs="Times New Roman"/>
                <w:color w:val="auto"/>
                <w:sz w:val="21"/>
                <w:szCs w:val="21"/>
                <w:lang w:val="en-US" w:eastAsia="zh-CN"/>
              </w:rPr>
              <w:t>20</w:t>
            </w:r>
          </w:p>
        </w:tc>
        <w:tc>
          <w:tcPr>
            <w:tcW w:w="1333" w:type="dxa"/>
            <w:vAlign w:val="center"/>
          </w:tcPr>
          <w:p>
            <w:pPr>
              <w:adjustRightInd w:val="0"/>
              <w:snapToGrid w:val="0"/>
              <w:jc w:val="center"/>
              <w:rPr>
                <w:rFonts w:eastAsiaTheme="minorEastAsia"/>
                <w:color w:val="auto"/>
                <w:szCs w:val="21"/>
              </w:rPr>
            </w:pPr>
            <w:r>
              <w:rPr>
                <w:rFonts w:hint="eastAsia" w:eastAsiaTheme="minorEastAsia"/>
                <w:color w:val="auto"/>
                <w:szCs w:val="21"/>
              </w:rPr>
              <w:t>原料间</w:t>
            </w:r>
          </w:p>
        </w:tc>
        <w:tc>
          <w:tcPr>
            <w:tcW w:w="1492" w:type="dxa"/>
            <w:vAlign w:val="center"/>
          </w:tcPr>
          <w:p>
            <w:pPr>
              <w:adjustRightInd w:val="0"/>
              <w:snapToGrid w:val="0"/>
              <w:jc w:val="center"/>
              <w:rPr>
                <w:rFonts w:eastAsia="Times New Roman"/>
                <w:color w:val="auto"/>
                <w:szCs w:val="21"/>
              </w:rPr>
            </w:pPr>
            <w:r>
              <w:rPr>
                <w:rFonts w:hint="eastAsia" w:eastAsia="Times New Roman"/>
                <w:color w:val="auto"/>
                <w:szCs w:val="21"/>
              </w:rPr>
              <w:t>破碎后回用于生产</w:t>
            </w:r>
          </w:p>
        </w:tc>
        <w:tc>
          <w:tcPr>
            <w:tcW w:w="1214" w:type="dxa"/>
            <w:vAlign w:val="center"/>
          </w:tcPr>
          <w:p>
            <w:pPr>
              <w:pStyle w:val="43"/>
              <w:ind w:firstLine="0" w:firstLineChars="0"/>
              <w:jc w:val="center"/>
              <w:rPr>
                <w:rFonts w:hint="default" w:eastAsia="宋体" w:cs="Times New Roman"/>
                <w:color w:val="auto"/>
                <w:sz w:val="21"/>
                <w:szCs w:val="21"/>
                <w:lang w:val="en-US" w:eastAsia="zh-CN"/>
              </w:rPr>
            </w:pPr>
            <w:r>
              <w:rPr>
                <w:rFonts w:hint="eastAsia" w:eastAsia="宋体" w:cs="Times New Roman"/>
                <w:color w:val="auto"/>
                <w:sz w:val="21"/>
                <w:szCs w:val="21"/>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37" w:type="dxa"/>
            <w:vAlign w:val="center"/>
          </w:tcPr>
          <w:p>
            <w:pPr>
              <w:adjustRightInd w:val="0"/>
              <w:snapToGrid w:val="0"/>
              <w:jc w:val="center"/>
              <w:rPr>
                <w:rFonts w:eastAsia="Times New Roman"/>
                <w:color w:val="auto"/>
              </w:rPr>
            </w:pPr>
            <w:r>
              <w:rPr>
                <w:rFonts w:eastAsia="Times New Roman"/>
                <w:color w:val="auto"/>
              </w:rPr>
              <w:t>2</w:t>
            </w:r>
          </w:p>
        </w:tc>
        <w:tc>
          <w:tcPr>
            <w:tcW w:w="1331" w:type="dxa"/>
            <w:vAlign w:val="center"/>
          </w:tcPr>
          <w:p>
            <w:pPr>
              <w:adjustRightInd w:val="0"/>
              <w:snapToGrid w:val="0"/>
              <w:jc w:val="center"/>
              <w:rPr>
                <w:rFonts w:eastAsiaTheme="minorEastAsia"/>
                <w:color w:val="auto"/>
              </w:rPr>
            </w:pPr>
            <w:r>
              <w:rPr>
                <w:rFonts w:hint="eastAsia" w:eastAsiaTheme="minorEastAsia"/>
                <w:color w:val="auto"/>
              </w:rPr>
              <w:t>加工生产过程</w:t>
            </w:r>
          </w:p>
        </w:tc>
        <w:tc>
          <w:tcPr>
            <w:tcW w:w="1560" w:type="dxa"/>
            <w:vAlign w:val="center"/>
          </w:tcPr>
          <w:p>
            <w:pPr>
              <w:adjustRightInd w:val="0"/>
              <w:snapToGrid w:val="0"/>
              <w:jc w:val="center"/>
              <w:rPr>
                <w:rFonts w:eastAsia="Times New Roman"/>
                <w:color w:val="auto"/>
              </w:rPr>
            </w:pPr>
            <w:r>
              <w:rPr>
                <w:rFonts w:hint="eastAsia" w:eastAsia="Times New Roman"/>
                <w:color w:val="auto"/>
              </w:rPr>
              <w:t>电线边角料</w:t>
            </w:r>
          </w:p>
        </w:tc>
        <w:tc>
          <w:tcPr>
            <w:tcW w:w="2096" w:type="dxa"/>
            <w:vAlign w:val="center"/>
          </w:tcPr>
          <w:p>
            <w:pPr>
              <w:adjustRightInd w:val="0"/>
              <w:snapToGrid w:val="0"/>
              <w:jc w:val="center"/>
              <w:rPr>
                <w:rFonts w:eastAsia="Times New Roman"/>
                <w:color w:val="auto"/>
              </w:rPr>
            </w:pPr>
            <w:r>
              <w:rPr>
                <w:rFonts w:eastAsia="Times New Roman"/>
                <w:color w:val="auto"/>
              </w:rPr>
              <w:t>一般工业固废</w:t>
            </w:r>
          </w:p>
          <w:p>
            <w:pPr>
              <w:adjustRightInd w:val="0"/>
              <w:snapToGrid w:val="0"/>
              <w:jc w:val="center"/>
              <w:rPr>
                <w:rFonts w:eastAsia="Times New Roman"/>
                <w:color w:val="auto"/>
              </w:rPr>
            </w:pPr>
            <w:r>
              <w:rPr>
                <w:rFonts w:hint="eastAsia" w:eastAsia="Times New Roman"/>
                <w:color w:val="auto"/>
              </w:rPr>
              <w:t>387-002-99</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无</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固体</w:t>
            </w:r>
          </w:p>
        </w:tc>
        <w:tc>
          <w:tcPr>
            <w:tcW w:w="1353" w:type="dxa"/>
            <w:vAlign w:val="center"/>
          </w:tcPr>
          <w:p>
            <w:pPr>
              <w:adjustRightInd w:val="0"/>
              <w:snapToGrid w:val="0"/>
              <w:jc w:val="center"/>
              <w:rPr>
                <w:rFonts w:eastAsiaTheme="minorEastAsia"/>
                <w:color w:val="auto"/>
                <w:szCs w:val="21"/>
              </w:rPr>
            </w:pPr>
            <w:r>
              <w:rPr>
                <w:rFonts w:eastAsiaTheme="minorEastAsia"/>
                <w:color w:val="auto"/>
                <w:szCs w:val="21"/>
              </w:rPr>
              <w:t>无</w:t>
            </w:r>
          </w:p>
        </w:tc>
        <w:tc>
          <w:tcPr>
            <w:tcW w:w="1378" w:type="dxa"/>
            <w:vAlign w:val="center"/>
          </w:tcPr>
          <w:p>
            <w:pPr>
              <w:adjustRightInd w:val="0"/>
              <w:snapToGrid w:val="0"/>
              <w:jc w:val="center"/>
              <w:rPr>
                <w:rFonts w:eastAsiaTheme="minorEastAsia"/>
                <w:color w:val="auto"/>
                <w:szCs w:val="21"/>
              </w:rPr>
            </w:pPr>
            <w:r>
              <w:rPr>
                <w:rFonts w:hint="eastAsia" w:eastAsiaTheme="minorEastAsia"/>
                <w:color w:val="auto"/>
                <w:szCs w:val="21"/>
              </w:rPr>
              <w:t>2</w:t>
            </w:r>
          </w:p>
        </w:tc>
        <w:tc>
          <w:tcPr>
            <w:tcW w:w="1333" w:type="dxa"/>
            <w:vAlign w:val="center"/>
          </w:tcPr>
          <w:p>
            <w:pPr>
              <w:adjustRightInd w:val="0"/>
              <w:snapToGrid w:val="0"/>
              <w:jc w:val="center"/>
              <w:rPr>
                <w:rFonts w:eastAsiaTheme="minorEastAsia"/>
                <w:color w:val="auto"/>
                <w:szCs w:val="21"/>
              </w:rPr>
            </w:pPr>
            <w:r>
              <w:rPr>
                <w:rFonts w:hint="eastAsia" w:eastAsiaTheme="minorEastAsia"/>
                <w:color w:val="auto"/>
                <w:szCs w:val="21"/>
              </w:rPr>
              <w:t>一般固废堆场</w:t>
            </w:r>
          </w:p>
        </w:tc>
        <w:tc>
          <w:tcPr>
            <w:tcW w:w="1492" w:type="dxa"/>
            <w:vAlign w:val="center"/>
          </w:tcPr>
          <w:p>
            <w:pPr>
              <w:adjustRightInd w:val="0"/>
              <w:snapToGrid w:val="0"/>
              <w:jc w:val="center"/>
              <w:rPr>
                <w:rFonts w:eastAsia="Times New Roman"/>
                <w:color w:val="auto"/>
                <w:szCs w:val="21"/>
              </w:rPr>
            </w:pPr>
            <w:r>
              <w:rPr>
                <w:rFonts w:hint="eastAsia" w:eastAsia="Times New Roman"/>
                <w:color w:val="auto"/>
                <w:szCs w:val="21"/>
              </w:rPr>
              <w:t>委托资源回收部门回收</w:t>
            </w:r>
          </w:p>
        </w:tc>
        <w:tc>
          <w:tcPr>
            <w:tcW w:w="1214" w:type="dxa"/>
            <w:vAlign w:val="center"/>
          </w:tcPr>
          <w:p>
            <w:pPr>
              <w:adjustRightInd w:val="0"/>
              <w:snapToGrid w:val="0"/>
              <w:jc w:val="center"/>
              <w:rPr>
                <w:rFonts w:eastAsiaTheme="minorEastAsia"/>
                <w:color w:val="auto"/>
                <w:szCs w:val="21"/>
              </w:rPr>
            </w:pPr>
            <w:r>
              <w:rPr>
                <w:rFonts w:hint="eastAsia" w:eastAsiaTheme="minorEastAsia"/>
                <w:color w:val="auto"/>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37" w:type="dxa"/>
            <w:vAlign w:val="center"/>
          </w:tcPr>
          <w:p>
            <w:pPr>
              <w:adjustRightInd w:val="0"/>
              <w:snapToGrid w:val="0"/>
              <w:jc w:val="center"/>
              <w:rPr>
                <w:rFonts w:eastAsia="Times New Roman"/>
                <w:color w:val="auto"/>
              </w:rPr>
            </w:pPr>
            <w:r>
              <w:rPr>
                <w:rFonts w:hint="eastAsia" w:eastAsia="Times New Roman"/>
                <w:color w:val="auto"/>
              </w:rPr>
              <w:t>3</w:t>
            </w:r>
          </w:p>
        </w:tc>
        <w:tc>
          <w:tcPr>
            <w:tcW w:w="1331" w:type="dxa"/>
            <w:vAlign w:val="center"/>
          </w:tcPr>
          <w:p>
            <w:pPr>
              <w:adjustRightInd w:val="0"/>
              <w:snapToGrid w:val="0"/>
              <w:jc w:val="center"/>
              <w:rPr>
                <w:rFonts w:eastAsiaTheme="minorEastAsia"/>
                <w:color w:val="auto"/>
              </w:rPr>
            </w:pPr>
            <w:r>
              <w:rPr>
                <w:rFonts w:hint="eastAsia" w:eastAsiaTheme="minorEastAsia"/>
                <w:color w:val="auto"/>
              </w:rPr>
              <w:t>加工生产过程</w:t>
            </w:r>
          </w:p>
        </w:tc>
        <w:tc>
          <w:tcPr>
            <w:tcW w:w="1560" w:type="dxa"/>
            <w:vAlign w:val="center"/>
          </w:tcPr>
          <w:p>
            <w:pPr>
              <w:adjustRightInd w:val="0"/>
              <w:snapToGrid w:val="0"/>
              <w:jc w:val="center"/>
              <w:rPr>
                <w:rFonts w:eastAsia="Times New Roman"/>
                <w:color w:val="auto"/>
              </w:rPr>
            </w:pPr>
            <w:r>
              <w:rPr>
                <w:rFonts w:hint="eastAsia" w:eastAsia="Times New Roman"/>
                <w:color w:val="auto"/>
              </w:rPr>
              <w:t>铜片边角料</w:t>
            </w:r>
          </w:p>
        </w:tc>
        <w:tc>
          <w:tcPr>
            <w:tcW w:w="2096" w:type="dxa"/>
            <w:vAlign w:val="center"/>
          </w:tcPr>
          <w:p>
            <w:pPr>
              <w:adjustRightInd w:val="0"/>
              <w:snapToGrid w:val="0"/>
              <w:jc w:val="center"/>
              <w:rPr>
                <w:rFonts w:eastAsia="Times New Roman"/>
                <w:color w:val="auto"/>
              </w:rPr>
            </w:pPr>
            <w:r>
              <w:rPr>
                <w:rFonts w:eastAsia="Times New Roman"/>
                <w:color w:val="auto"/>
              </w:rPr>
              <w:t>一般工业固废</w:t>
            </w:r>
          </w:p>
          <w:p>
            <w:pPr>
              <w:adjustRightInd w:val="0"/>
              <w:snapToGrid w:val="0"/>
              <w:jc w:val="center"/>
              <w:rPr>
                <w:rFonts w:eastAsia="Times New Roman"/>
                <w:color w:val="auto"/>
              </w:rPr>
            </w:pPr>
            <w:r>
              <w:rPr>
                <w:rFonts w:hint="eastAsia" w:eastAsia="Times New Roman"/>
                <w:color w:val="auto"/>
              </w:rPr>
              <w:t>387-002-10</w:t>
            </w:r>
          </w:p>
        </w:tc>
        <w:tc>
          <w:tcPr>
            <w:tcW w:w="1353" w:type="dxa"/>
            <w:vAlign w:val="center"/>
          </w:tcPr>
          <w:p>
            <w:pPr>
              <w:adjustRightInd w:val="0"/>
              <w:snapToGrid w:val="0"/>
              <w:jc w:val="center"/>
              <w:rPr>
                <w:rFonts w:eastAsiaTheme="minorEastAsia"/>
                <w:color w:val="auto"/>
              </w:rPr>
            </w:pPr>
            <w:r>
              <w:rPr>
                <w:rFonts w:eastAsiaTheme="minorEastAsia"/>
                <w:color w:val="auto"/>
                <w:szCs w:val="21"/>
              </w:rPr>
              <w:t>无</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固体</w:t>
            </w:r>
          </w:p>
        </w:tc>
        <w:tc>
          <w:tcPr>
            <w:tcW w:w="1353" w:type="dxa"/>
            <w:vAlign w:val="center"/>
          </w:tcPr>
          <w:p>
            <w:pPr>
              <w:adjustRightInd w:val="0"/>
              <w:snapToGrid w:val="0"/>
              <w:jc w:val="center"/>
              <w:rPr>
                <w:rFonts w:eastAsiaTheme="minorEastAsia"/>
                <w:color w:val="auto"/>
                <w:szCs w:val="21"/>
              </w:rPr>
            </w:pPr>
            <w:r>
              <w:rPr>
                <w:rFonts w:eastAsiaTheme="minorEastAsia"/>
                <w:color w:val="auto"/>
                <w:szCs w:val="21"/>
              </w:rPr>
              <w:t>无</w:t>
            </w:r>
          </w:p>
        </w:tc>
        <w:tc>
          <w:tcPr>
            <w:tcW w:w="1378" w:type="dxa"/>
            <w:vAlign w:val="center"/>
          </w:tcPr>
          <w:p>
            <w:pPr>
              <w:adjustRightInd w:val="0"/>
              <w:snapToGrid w:val="0"/>
              <w:jc w:val="center"/>
              <w:rPr>
                <w:rFonts w:eastAsiaTheme="minorEastAsia"/>
                <w:color w:val="auto"/>
                <w:szCs w:val="21"/>
              </w:rPr>
            </w:pPr>
            <w:r>
              <w:rPr>
                <w:rFonts w:hint="eastAsia" w:eastAsiaTheme="minorEastAsia"/>
                <w:color w:val="auto"/>
                <w:szCs w:val="21"/>
              </w:rPr>
              <w:t>2</w:t>
            </w:r>
          </w:p>
        </w:tc>
        <w:tc>
          <w:tcPr>
            <w:tcW w:w="1333" w:type="dxa"/>
            <w:vAlign w:val="center"/>
          </w:tcPr>
          <w:p>
            <w:pPr>
              <w:adjustRightInd w:val="0"/>
              <w:snapToGrid w:val="0"/>
              <w:jc w:val="center"/>
              <w:rPr>
                <w:rFonts w:eastAsiaTheme="minorEastAsia"/>
                <w:color w:val="auto"/>
                <w:szCs w:val="21"/>
              </w:rPr>
            </w:pPr>
            <w:r>
              <w:rPr>
                <w:rFonts w:hint="eastAsia" w:eastAsiaTheme="minorEastAsia"/>
                <w:color w:val="auto"/>
                <w:szCs w:val="21"/>
              </w:rPr>
              <w:t>一般固废堆场</w:t>
            </w:r>
          </w:p>
        </w:tc>
        <w:tc>
          <w:tcPr>
            <w:tcW w:w="1492" w:type="dxa"/>
            <w:vAlign w:val="center"/>
          </w:tcPr>
          <w:p>
            <w:pPr>
              <w:adjustRightInd w:val="0"/>
              <w:snapToGrid w:val="0"/>
              <w:jc w:val="center"/>
              <w:rPr>
                <w:rFonts w:eastAsia="Times New Roman"/>
                <w:color w:val="auto"/>
                <w:szCs w:val="21"/>
              </w:rPr>
            </w:pPr>
            <w:r>
              <w:rPr>
                <w:rFonts w:hint="eastAsia" w:eastAsia="Times New Roman"/>
                <w:color w:val="auto"/>
                <w:szCs w:val="21"/>
              </w:rPr>
              <w:t>委托资源回收部门回收</w:t>
            </w:r>
          </w:p>
        </w:tc>
        <w:tc>
          <w:tcPr>
            <w:tcW w:w="1214" w:type="dxa"/>
            <w:vAlign w:val="center"/>
          </w:tcPr>
          <w:p>
            <w:pPr>
              <w:adjustRightInd w:val="0"/>
              <w:snapToGrid w:val="0"/>
              <w:jc w:val="center"/>
              <w:rPr>
                <w:rFonts w:eastAsiaTheme="minorEastAsia"/>
                <w:color w:val="auto"/>
                <w:szCs w:val="21"/>
              </w:rPr>
            </w:pPr>
            <w:r>
              <w:rPr>
                <w:rFonts w:hint="eastAsia" w:eastAsiaTheme="minorEastAsia"/>
                <w:color w:val="auto"/>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37" w:type="dxa"/>
            <w:vAlign w:val="center"/>
          </w:tcPr>
          <w:p>
            <w:pPr>
              <w:adjustRightInd w:val="0"/>
              <w:snapToGrid w:val="0"/>
              <w:jc w:val="center"/>
              <w:rPr>
                <w:rFonts w:eastAsia="Times New Roman"/>
                <w:color w:val="auto"/>
              </w:rPr>
            </w:pPr>
            <w:r>
              <w:rPr>
                <w:rFonts w:hint="eastAsia" w:eastAsia="Times New Roman"/>
                <w:color w:val="auto"/>
              </w:rPr>
              <w:t>4</w:t>
            </w:r>
          </w:p>
        </w:tc>
        <w:tc>
          <w:tcPr>
            <w:tcW w:w="1331" w:type="dxa"/>
            <w:vAlign w:val="center"/>
          </w:tcPr>
          <w:p>
            <w:pPr>
              <w:adjustRightInd w:val="0"/>
              <w:snapToGrid w:val="0"/>
              <w:jc w:val="center"/>
              <w:rPr>
                <w:rFonts w:eastAsiaTheme="minorEastAsia"/>
                <w:color w:val="auto"/>
              </w:rPr>
            </w:pPr>
            <w:r>
              <w:rPr>
                <w:rFonts w:hint="eastAsia" w:eastAsiaTheme="minorEastAsia"/>
                <w:color w:val="auto"/>
              </w:rPr>
              <w:t>焊锡工序</w:t>
            </w:r>
          </w:p>
        </w:tc>
        <w:tc>
          <w:tcPr>
            <w:tcW w:w="1560" w:type="dxa"/>
            <w:vAlign w:val="center"/>
          </w:tcPr>
          <w:p>
            <w:pPr>
              <w:adjustRightInd w:val="0"/>
              <w:snapToGrid w:val="0"/>
              <w:jc w:val="center"/>
              <w:rPr>
                <w:rFonts w:eastAsia="Times New Roman"/>
                <w:color w:val="auto"/>
              </w:rPr>
            </w:pPr>
            <w:r>
              <w:rPr>
                <w:rFonts w:hint="eastAsia" w:eastAsia="Times New Roman"/>
                <w:color w:val="auto"/>
              </w:rPr>
              <w:t>废锡渣</w:t>
            </w:r>
          </w:p>
        </w:tc>
        <w:tc>
          <w:tcPr>
            <w:tcW w:w="2096" w:type="dxa"/>
            <w:vAlign w:val="center"/>
          </w:tcPr>
          <w:p>
            <w:pPr>
              <w:adjustRightInd w:val="0"/>
              <w:snapToGrid w:val="0"/>
              <w:jc w:val="center"/>
              <w:rPr>
                <w:rFonts w:eastAsia="Times New Roman"/>
                <w:color w:val="auto"/>
              </w:rPr>
            </w:pPr>
            <w:r>
              <w:rPr>
                <w:rFonts w:eastAsia="Times New Roman"/>
                <w:color w:val="auto"/>
              </w:rPr>
              <w:t>一般工业固废</w:t>
            </w:r>
          </w:p>
          <w:p>
            <w:pPr>
              <w:adjustRightInd w:val="0"/>
              <w:snapToGrid w:val="0"/>
              <w:jc w:val="center"/>
              <w:rPr>
                <w:rFonts w:eastAsia="Times New Roman"/>
                <w:color w:val="auto"/>
              </w:rPr>
            </w:pPr>
            <w:r>
              <w:rPr>
                <w:rFonts w:hint="eastAsia" w:eastAsia="Times New Roman"/>
                <w:color w:val="auto"/>
              </w:rPr>
              <w:t>387-002-10</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无</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固体</w:t>
            </w:r>
          </w:p>
        </w:tc>
        <w:tc>
          <w:tcPr>
            <w:tcW w:w="1353" w:type="dxa"/>
            <w:vAlign w:val="center"/>
          </w:tcPr>
          <w:p>
            <w:pPr>
              <w:adjustRightInd w:val="0"/>
              <w:snapToGrid w:val="0"/>
              <w:jc w:val="center"/>
              <w:rPr>
                <w:rFonts w:eastAsiaTheme="minorEastAsia"/>
                <w:color w:val="auto"/>
                <w:szCs w:val="21"/>
              </w:rPr>
            </w:pPr>
            <w:r>
              <w:rPr>
                <w:rFonts w:eastAsiaTheme="minorEastAsia"/>
                <w:color w:val="auto"/>
                <w:szCs w:val="21"/>
              </w:rPr>
              <w:t>无</w:t>
            </w:r>
          </w:p>
        </w:tc>
        <w:tc>
          <w:tcPr>
            <w:tcW w:w="1378" w:type="dxa"/>
            <w:vAlign w:val="center"/>
          </w:tcPr>
          <w:p>
            <w:pPr>
              <w:adjustRightInd w:val="0"/>
              <w:snapToGrid w:val="0"/>
              <w:jc w:val="center"/>
              <w:rPr>
                <w:rFonts w:eastAsiaTheme="minorEastAsia"/>
                <w:color w:val="auto"/>
                <w:szCs w:val="21"/>
              </w:rPr>
            </w:pPr>
            <w:r>
              <w:rPr>
                <w:rFonts w:hint="eastAsia" w:eastAsiaTheme="minorEastAsia"/>
                <w:color w:val="auto"/>
                <w:szCs w:val="21"/>
              </w:rPr>
              <w:t>0.0056</w:t>
            </w:r>
          </w:p>
        </w:tc>
        <w:tc>
          <w:tcPr>
            <w:tcW w:w="1333" w:type="dxa"/>
            <w:vAlign w:val="center"/>
          </w:tcPr>
          <w:p>
            <w:pPr>
              <w:adjustRightInd w:val="0"/>
              <w:snapToGrid w:val="0"/>
              <w:jc w:val="center"/>
              <w:rPr>
                <w:rFonts w:eastAsiaTheme="minorEastAsia"/>
                <w:color w:val="auto"/>
                <w:szCs w:val="21"/>
              </w:rPr>
            </w:pPr>
            <w:r>
              <w:rPr>
                <w:rFonts w:hint="eastAsia" w:eastAsiaTheme="minorEastAsia"/>
                <w:color w:val="auto"/>
                <w:szCs w:val="21"/>
              </w:rPr>
              <w:t>一般固废堆场</w:t>
            </w:r>
          </w:p>
        </w:tc>
        <w:tc>
          <w:tcPr>
            <w:tcW w:w="1492" w:type="dxa"/>
            <w:vAlign w:val="center"/>
          </w:tcPr>
          <w:p>
            <w:pPr>
              <w:adjustRightInd w:val="0"/>
              <w:snapToGrid w:val="0"/>
              <w:jc w:val="center"/>
              <w:rPr>
                <w:rFonts w:eastAsia="Times New Roman"/>
                <w:color w:val="auto"/>
                <w:szCs w:val="21"/>
              </w:rPr>
            </w:pPr>
            <w:r>
              <w:rPr>
                <w:rFonts w:hint="eastAsia" w:eastAsia="Times New Roman"/>
                <w:color w:val="auto"/>
                <w:szCs w:val="21"/>
              </w:rPr>
              <w:t>委托资源回收部门回收</w:t>
            </w:r>
          </w:p>
        </w:tc>
        <w:tc>
          <w:tcPr>
            <w:tcW w:w="1214" w:type="dxa"/>
            <w:vAlign w:val="center"/>
          </w:tcPr>
          <w:p>
            <w:pPr>
              <w:adjustRightInd w:val="0"/>
              <w:snapToGrid w:val="0"/>
              <w:jc w:val="center"/>
              <w:rPr>
                <w:rFonts w:eastAsiaTheme="minorEastAsia"/>
                <w:color w:val="auto"/>
                <w:szCs w:val="21"/>
              </w:rPr>
            </w:pPr>
            <w:r>
              <w:rPr>
                <w:rFonts w:hint="eastAsia" w:eastAsiaTheme="minorEastAsia"/>
                <w:color w:val="auto"/>
                <w:szCs w:val="21"/>
              </w:rPr>
              <w:t>0.0056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37" w:type="dxa"/>
            <w:vAlign w:val="center"/>
          </w:tcPr>
          <w:p>
            <w:pPr>
              <w:adjustRightInd w:val="0"/>
              <w:snapToGrid w:val="0"/>
              <w:jc w:val="center"/>
              <w:rPr>
                <w:rFonts w:eastAsia="Times New Roman"/>
                <w:color w:val="auto"/>
              </w:rPr>
            </w:pPr>
            <w:r>
              <w:rPr>
                <w:rFonts w:hint="eastAsia" w:eastAsia="Times New Roman"/>
                <w:color w:val="auto"/>
              </w:rPr>
              <w:t>5</w:t>
            </w:r>
          </w:p>
        </w:tc>
        <w:tc>
          <w:tcPr>
            <w:tcW w:w="1331" w:type="dxa"/>
            <w:vAlign w:val="center"/>
          </w:tcPr>
          <w:p>
            <w:pPr>
              <w:adjustRightInd w:val="0"/>
              <w:snapToGrid w:val="0"/>
              <w:jc w:val="center"/>
              <w:rPr>
                <w:rFonts w:eastAsiaTheme="minorEastAsia"/>
                <w:color w:val="auto"/>
              </w:rPr>
            </w:pPr>
            <w:r>
              <w:rPr>
                <w:rFonts w:hint="eastAsia" w:eastAsiaTheme="minorEastAsia"/>
                <w:color w:val="auto"/>
              </w:rPr>
              <w:t>原料储运</w:t>
            </w:r>
          </w:p>
        </w:tc>
        <w:tc>
          <w:tcPr>
            <w:tcW w:w="1560" w:type="dxa"/>
            <w:vAlign w:val="center"/>
          </w:tcPr>
          <w:p>
            <w:pPr>
              <w:adjustRightInd w:val="0"/>
              <w:snapToGrid w:val="0"/>
              <w:jc w:val="center"/>
              <w:rPr>
                <w:rFonts w:eastAsia="Times New Roman"/>
                <w:color w:val="auto"/>
              </w:rPr>
            </w:pPr>
            <w:r>
              <w:rPr>
                <w:rFonts w:hint="eastAsia" w:eastAsia="Times New Roman"/>
                <w:color w:val="auto"/>
              </w:rPr>
              <w:t>废包装材料</w:t>
            </w:r>
          </w:p>
        </w:tc>
        <w:tc>
          <w:tcPr>
            <w:tcW w:w="2096" w:type="dxa"/>
            <w:vAlign w:val="center"/>
          </w:tcPr>
          <w:p>
            <w:pPr>
              <w:adjustRightInd w:val="0"/>
              <w:snapToGrid w:val="0"/>
              <w:jc w:val="center"/>
              <w:rPr>
                <w:rFonts w:eastAsia="Times New Roman"/>
                <w:color w:val="auto"/>
              </w:rPr>
            </w:pPr>
            <w:r>
              <w:rPr>
                <w:rFonts w:eastAsia="Times New Roman"/>
                <w:color w:val="auto"/>
              </w:rPr>
              <w:t>一般工业固废</w:t>
            </w:r>
          </w:p>
          <w:p>
            <w:pPr>
              <w:adjustRightInd w:val="0"/>
              <w:snapToGrid w:val="0"/>
              <w:jc w:val="center"/>
              <w:rPr>
                <w:rFonts w:eastAsia="Times New Roman"/>
                <w:color w:val="auto"/>
              </w:rPr>
            </w:pPr>
            <w:r>
              <w:rPr>
                <w:rFonts w:hint="eastAsia" w:eastAsia="Times New Roman"/>
                <w:color w:val="auto"/>
              </w:rPr>
              <w:t>387-002-07</w:t>
            </w:r>
          </w:p>
        </w:tc>
        <w:tc>
          <w:tcPr>
            <w:tcW w:w="1353" w:type="dxa"/>
            <w:vAlign w:val="center"/>
          </w:tcPr>
          <w:p>
            <w:pPr>
              <w:adjustRightInd w:val="0"/>
              <w:snapToGrid w:val="0"/>
              <w:jc w:val="center"/>
              <w:rPr>
                <w:rFonts w:eastAsiaTheme="minorEastAsia"/>
                <w:color w:val="auto"/>
              </w:rPr>
            </w:pPr>
            <w:r>
              <w:rPr>
                <w:rFonts w:eastAsiaTheme="minorEastAsia"/>
                <w:color w:val="auto"/>
                <w:szCs w:val="21"/>
              </w:rPr>
              <w:t>无</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固体</w:t>
            </w:r>
          </w:p>
        </w:tc>
        <w:tc>
          <w:tcPr>
            <w:tcW w:w="1353" w:type="dxa"/>
            <w:vAlign w:val="center"/>
          </w:tcPr>
          <w:p>
            <w:pPr>
              <w:adjustRightInd w:val="0"/>
              <w:snapToGrid w:val="0"/>
              <w:jc w:val="center"/>
              <w:rPr>
                <w:rFonts w:eastAsiaTheme="minorEastAsia"/>
                <w:color w:val="auto"/>
                <w:szCs w:val="21"/>
              </w:rPr>
            </w:pPr>
            <w:r>
              <w:rPr>
                <w:rFonts w:eastAsiaTheme="minorEastAsia"/>
                <w:color w:val="auto"/>
                <w:szCs w:val="21"/>
              </w:rPr>
              <w:t>无</w:t>
            </w:r>
          </w:p>
        </w:tc>
        <w:tc>
          <w:tcPr>
            <w:tcW w:w="1378" w:type="dxa"/>
            <w:vAlign w:val="center"/>
          </w:tcPr>
          <w:p>
            <w:pPr>
              <w:adjustRightInd w:val="0"/>
              <w:snapToGrid w:val="0"/>
              <w:jc w:val="center"/>
              <w:rPr>
                <w:rFonts w:eastAsiaTheme="minorEastAsia"/>
                <w:color w:val="auto"/>
                <w:szCs w:val="21"/>
              </w:rPr>
            </w:pPr>
            <w:r>
              <w:rPr>
                <w:rFonts w:hint="eastAsia" w:eastAsiaTheme="minorEastAsia"/>
                <w:color w:val="auto"/>
                <w:szCs w:val="21"/>
              </w:rPr>
              <w:t>15</w:t>
            </w:r>
          </w:p>
        </w:tc>
        <w:tc>
          <w:tcPr>
            <w:tcW w:w="1333" w:type="dxa"/>
            <w:vAlign w:val="center"/>
          </w:tcPr>
          <w:p>
            <w:pPr>
              <w:adjustRightInd w:val="0"/>
              <w:snapToGrid w:val="0"/>
              <w:jc w:val="center"/>
              <w:rPr>
                <w:rFonts w:eastAsiaTheme="minorEastAsia"/>
                <w:color w:val="auto"/>
                <w:szCs w:val="21"/>
              </w:rPr>
            </w:pPr>
            <w:r>
              <w:rPr>
                <w:rFonts w:eastAsiaTheme="minorEastAsia"/>
                <w:color w:val="auto"/>
                <w:szCs w:val="21"/>
              </w:rPr>
              <w:t>原料间</w:t>
            </w:r>
          </w:p>
        </w:tc>
        <w:tc>
          <w:tcPr>
            <w:tcW w:w="1492" w:type="dxa"/>
            <w:vAlign w:val="center"/>
          </w:tcPr>
          <w:p>
            <w:pPr>
              <w:adjustRightInd w:val="0"/>
              <w:snapToGrid w:val="0"/>
              <w:jc w:val="center"/>
              <w:rPr>
                <w:rFonts w:eastAsia="Times New Roman"/>
                <w:color w:val="auto"/>
                <w:szCs w:val="21"/>
              </w:rPr>
            </w:pPr>
            <w:r>
              <w:rPr>
                <w:rFonts w:hint="eastAsia" w:eastAsia="Times New Roman"/>
                <w:color w:val="auto"/>
                <w:szCs w:val="21"/>
              </w:rPr>
              <w:t>委托资源回收部门回收</w:t>
            </w:r>
          </w:p>
        </w:tc>
        <w:tc>
          <w:tcPr>
            <w:tcW w:w="1214" w:type="dxa"/>
            <w:vAlign w:val="center"/>
          </w:tcPr>
          <w:p>
            <w:pPr>
              <w:adjustRightInd w:val="0"/>
              <w:snapToGrid w:val="0"/>
              <w:jc w:val="center"/>
              <w:rPr>
                <w:rFonts w:eastAsiaTheme="minorEastAsia"/>
                <w:color w:val="auto"/>
                <w:szCs w:val="21"/>
              </w:rPr>
            </w:pPr>
            <w:r>
              <w:rPr>
                <w:rFonts w:hint="eastAsia" w:eastAsiaTheme="minorEastAsia"/>
                <w:color w:val="auto"/>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937" w:type="dxa"/>
            <w:vAlign w:val="center"/>
          </w:tcPr>
          <w:p>
            <w:pPr>
              <w:adjustRightInd w:val="0"/>
              <w:snapToGrid w:val="0"/>
              <w:jc w:val="center"/>
              <w:rPr>
                <w:rFonts w:eastAsia="Times New Roman"/>
                <w:color w:val="auto"/>
              </w:rPr>
            </w:pPr>
            <w:r>
              <w:rPr>
                <w:rFonts w:hint="eastAsia" w:eastAsia="Times New Roman"/>
                <w:color w:val="auto"/>
              </w:rPr>
              <w:t>6</w:t>
            </w:r>
          </w:p>
        </w:tc>
        <w:tc>
          <w:tcPr>
            <w:tcW w:w="1331" w:type="dxa"/>
            <w:vAlign w:val="center"/>
          </w:tcPr>
          <w:p>
            <w:pPr>
              <w:adjustRightInd w:val="0"/>
              <w:snapToGrid w:val="0"/>
              <w:jc w:val="center"/>
              <w:rPr>
                <w:rFonts w:eastAsiaTheme="minorEastAsia"/>
                <w:color w:val="auto"/>
              </w:rPr>
            </w:pPr>
            <w:r>
              <w:rPr>
                <w:rFonts w:hint="eastAsia" w:eastAsiaTheme="minorEastAsia"/>
                <w:color w:val="auto"/>
              </w:rPr>
              <w:t>废气治理</w:t>
            </w:r>
          </w:p>
        </w:tc>
        <w:tc>
          <w:tcPr>
            <w:tcW w:w="1560" w:type="dxa"/>
            <w:vAlign w:val="center"/>
          </w:tcPr>
          <w:p>
            <w:pPr>
              <w:adjustRightInd w:val="0"/>
              <w:snapToGrid w:val="0"/>
              <w:jc w:val="center"/>
              <w:rPr>
                <w:rFonts w:eastAsia="Times New Roman"/>
                <w:color w:val="auto"/>
              </w:rPr>
            </w:pPr>
            <w:r>
              <w:rPr>
                <w:rFonts w:hint="eastAsia" w:eastAsia="Times New Roman"/>
                <w:color w:val="auto"/>
              </w:rPr>
              <w:t>废活性炭</w:t>
            </w:r>
          </w:p>
        </w:tc>
        <w:tc>
          <w:tcPr>
            <w:tcW w:w="2096" w:type="dxa"/>
            <w:vAlign w:val="center"/>
          </w:tcPr>
          <w:p>
            <w:pPr>
              <w:adjustRightInd w:val="0"/>
              <w:snapToGrid w:val="0"/>
              <w:jc w:val="center"/>
              <w:rPr>
                <w:rFonts w:eastAsia="Times New Roman"/>
                <w:color w:val="auto"/>
              </w:rPr>
            </w:pPr>
            <w:r>
              <w:rPr>
                <w:rFonts w:hint="eastAsia" w:eastAsia="Times New Roman"/>
                <w:color w:val="auto"/>
                <w:szCs w:val="21"/>
              </w:rPr>
              <w:t>危险废物HW49，</w:t>
            </w:r>
            <w:r>
              <w:rPr>
                <w:rFonts w:eastAsia="Times New Roman"/>
                <w:color w:val="auto"/>
                <w:szCs w:val="21"/>
              </w:rPr>
              <w:t>900-039-49</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废活性炭</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固体</w:t>
            </w:r>
          </w:p>
        </w:tc>
        <w:tc>
          <w:tcPr>
            <w:tcW w:w="1353" w:type="dxa"/>
            <w:vAlign w:val="center"/>
          </w:tcPr>
          <w:p>
            <w:pPr>
              <w:adjustRightInd w:val="0"/>
              <w:snapToGrid w:val="0"/>
              <w:jc w:val="center"/>
              <w:rPr>
                <w:rFonts w:eastAsiaTheme="minorEastAsia"/>
                <w:color w:val="auto"/>
                <w:szCs w:val="21"/>
              </w:rPr>
            </w:pPr>
            <w:r>
              <w:rPr>
                <w:rFonts w:hint="eastAsia" w:eastAsiaTheme="minorEastAsia"/>
                <w:color w:val="auto"/>
                <w:szCs w:val="21"/>
              </w:rPr>
              <w:t>土壤、地下水污染</w:t>
            </w:r>
          </w:p>
        </w:tc>
        <w:tc>
          <w:tcPr>
            <w:tcW w:w="1378" w:type="dxa"/>
            <w:vAlign w:val="center"/>
          </w:tcPr>
          <w:p>
            <w:pPr>
              <w:adjustRightInd w:val="0"/>
              <w:snapToGrid w:val="0"/>
              <w:jc w:val="center"/>
              <w:rPr>
                <w:rFonts w:hint="eastAsia" w:eastAsiaTheme="minorEastAsia"/>
                <w:color w:val="auto"/>
                <w:szCs w:val="21"/>
                <w:lang w:eastAsia="zh-CN"/>
              </w:rPr>
            </w:pPr>
            <w:r>
              <w:rPr>
                <w:rFonts w:hint="eastAsia" w:eastAsiaTheme="minorEastAsia"/>
                <w:color w:val="auto"/>
                <w:szCs w:val="21"/>
                <w:lang w:eastAsia="zh-CN"/>
              </w:rPr>
              <w:t>4.53</w:t>
            </w:r>
          </w:p>
        </w:tc>
        <w:tc>
          <w:tcPr>
            <w:tcW w:w="1333" w:type="dxa"/>
            <w:vAlign w:val="center"/>
          </w:tcPr>
          <w:p>
            <w:pPr>
              <w:adjustRightInd w:val="0"/>
              <w:snapToGrid w:val="0"/>
              <w:jc w:val="center"/>
              <w:rPr>
                <w:rFonts w:eastAsiaTheme="minorEastAsia"/>
                <w:color w:val="auto"/>
                <w:szCs w:val="21"/>
              </w:rPr>
            </w:pPr>
            <w:r>
              <w:rPr>
                <w:rFonts w:hint="eastAsia" w:eastAsiaTheme="minorEastAsia"/>
                <w:color w:val="auto"/>
                <w:szCs w:val="21"/>
              </w:rPr>
              <w:t>危废暂存间</w:t>
            </w:r>
          </w:p>
        </w:tc>
        <w:tc>
          <w:tcPr>
            <w:tcW w:w="1492" w:type="dxa"/>
            <w:vAlign w:val="center"/>
          </w:tcPr>
          <w:p>
            <w:pPr>
              <w:adjustRightInd w:val="0"/>
              <w:snapToGrid w:val="0"/>
              <w:jc w:val="center"/>
              <w:rPr>
                <w:rFonts w:eastAsia="Times New Roman"/>
                <w:color w:val="auto"/>
                <w:szCs w:val="21"/>
              </w:rPr>
            </w:pPr>
            <w:r>
              <w:rPr>
                <w:rFonts w:hint="eastAsia" w:eastAsia="Times New Roman"/>
                <w:color w:val="auto"/>
                <w:szCs w:val="21"/>
              </w:rPr>
              <w:t>委托有资质的单位外运处置</w:t>
            </w:r>
          </w:p>
        </w:tc>
        <w:tc>
          <w:tcPr>
            <w:tcW w:w="1214" w:type="dxa"/>
            <w:vAlign w:val="center"/>
          </w:tcPr>
          <w:p>
            <w:pPr>
              <w:adjustRightInd w:val="0"/>
              <w:snapToGrid w:val="0"/>
              <w:jc w:val="center"/>
              <w:rPr>
                <w:rFonts w:hint="eastAsia" w:eastAsiaTheme="minorEastAsia"/>
                <w:color w:val="auto"/>
                <w:szCs w:val="21"/>
                <w:lang w:eastAsia="zh-CN"/>
              </w:rPr>
            </w:pPr>
            <w:r>
              <w:rPr>
                <w:rFonts w:hint="eastAsia" w:eastAsiaTheme="minorEastAsia"/>
                <w:color w:val="auto"/>
                <w:szCs w:val="21"/>
                <w:lang w:eastAsia="zh-CN"/>
              </w:rPr>
              <w:t>4.53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937" w:type="dxa"/>
            <w:vAlign w:val="center"/>
          </w:tcPr>
          <w:p>
            <w:pPr>
              <w:adjustRightInd w:val="0"/>
              <w:snapToGrid w:val="0"/>
              <w:jc w:val="center"/>
              <w:rPr>
                <w:rFonts w:eastAsia="Times New Roman"/>
                <w:color w:val="auto"/>
              </w:rPr>
            </w:pPr>
            <w:r>
              <w:rPr>
                <w:rFonts w:hint="eastAsia" w:eastAsia="Times New Roman"/>
                <w:color w:val="auto"/>
              </w:rPr>
              <w:t>7</w:t>
            </w:r>
          </w:p>
        </w:tc>
        <w:tc>
          <w:tcPr>
            <w:tcW w:w="1331" w:type="dxa"/>
            <w:vAlign w:val="center"/>
          </w:tcPr>
          <w:p>
            <w:pPr>
              <w:adjustRightInd w:val="0"/>
              <w:snapToGrid w:val="0"/>
              <w:jc w:val="center"/>
              <w:rPr>
                <w:rFonts w:eastAsiaTheme="minorEastAsia"/>
                <w:color w:val="auto"/>
              </w:rPr>
            </w:pPr>
            <w:r>
              <w:rPr>
                <w:rFonts w:hint="eastAsia" w:eastAsiaTheme="minorEastAsia"/>
                <w:color w:val="auto"/>
              </w:rPr>
              <w:t>员工生活</w:t>
            </w:r>
          </w:p>
        </w:tc>
        <w:tc>
          <w:tcPr>
            <w:tcW w:w="1560" w:type="dxa"/>
            <w:vAlign w:val="center"/>
          </w:tcPr>
          <w:p>
            <w:pPr>
              <w:adjustRightInd w:val="0"/>
              <w:snapToGrid w:val="0"/>
              <w:jc w:val="center"/>
              <w:rPr>
                <w:rFonts w:eastAsia="Times New Roman"/>
                <w:color w:val="auto"/>
              </w:rPr>
            </w:pPr>
            <w:r>
              <w:rPr>
                <w:rFonts w:hint="eastAsia" w:eastAsia="Times New Roman"/>
                <w:color w:val="auto"/>
              </w:rPr>
              <w:t>生活垃圾</w:t>
            </w:r>
          </w:p>
        </w:tc>
        <w:tc>
          <w:tcPr>
            <w:tcW w:w="2096" w:type="dxa"/>
            <w:vAlign w:val="center"/>
          </w:tcPr>
          <w:p>
            <w:pPr>
              <w:adjustRightInd w:val="0"/>
              <w:snapToGrid w:val="0"/>
              <w:jc w:val="center"/>
              <w:rPr>
                <w:rFonts w:eastAsia="Times New Roman"/>
                <w:color w:val="auto"/>
              </w:rPr>
            </w:pPr>
            <w:r>
              <w:rPr>
                <w:rFonts w:hint="eastAsia" w:eastAsia="Times New Roman"/>
                <w:color w:val="auto"/>
              </w:rPr>
              <w:t>一般固废</w:t>
            </w:r>
          </w:p>
        </w:tc>
        <w:tc>
          <w:tcPr>
            <w:tcW w:w="1353" w:type="dxa"/>
            <w:vAlign w:val="center"/>
          </w:tcPr>
          <w:p>
            <w:pPr>
              <w:adjustRightInd w:val="0"/>
              <w:snapToGrid w:val="0"/>
              <w:jc w:val="center"/>
              <w:rPr>
                <w:rFonts w:eastAsiaTheme="minorEastAsia"/>
                <w:color w:val="auto"/>
              </w:rPr>
            </w:pPr>
            <w:r>
              <w:rPr>
                <w:rFonts w:eastAsiaTheme="minorEastAsia"/>
                <w:color w:val="auto"/>
                <w:szCs w:val="21"/>
              </w:rPr>
              <w:t>无</w:t>
            </w:r>
          </w:p>
        </w:tc>
        <w:tc>
          <w:tcPr>
            <w:tcW w:w="1353" w:type="dxa"/>
            <w:vAlign w:val="center"/>
          </w:tcPr>
          <w:p>
            <w:pPr>
              <w:adjustRightInd w:val="0"/>
              <w:snapToGrid w:val="0"/>
              <w:jc w:val="center"/>
              <w:rPr>
                <w:rFonts w:eastAsiaTheme="minorEastAsia"/>
                <w:color w:val="auto"/>
              </w:rPr>
            </w:pPr>
            <w:r>
              <w:rPr>
                <w:rFonts w:hint="eastAsia" w:eastAsiaTheme="minorEastAsia"/>
                <w:color w:val="auto"/>
              </w:rPr>
              <w:t>固体</w:t>
            </w:r>
          </w:p>
        </w:tc>
        <w:tc>
          <w:tcPr>
            <w:tcW w:w="1353" w:type="dxa"/>
            <w:vAlign w:val="center"/>
          </w:tcPr>
          <w:p>
            <w:pPr>
              <w:adjustRightInd w:val="0"/>
              <w:snapToGrid w:val="0"/>
              <w:jc w:val="center"/>
              <w:rPr>
                <w:rFonts w:eastAsiaTheme="minorEastAsia"/>
                <w:color w:val="auto"/>
                <w:szCs w:val="21"/>
              </w:rPr>
            </w:pPr>
            <w:r>
              <w:rPr>
                <w:rFonts w:eastAsiaTheme="minorEastAsia"/>
                <w:color w:val="auto"/>
                <w:szCs w:val="21"/>
              </w:rPr>
              <w:t>无</w:t>
            </w:r>
          </w:p>
        </w:tc>
        <w:tc>
          <w:tcPr>
            <w:tcW w:w="1378" w:type="dxa"/>
            <w:vAlign w:val="center"/>
          </w:tcPr>
          <w:p>
            <w:pPr>
              <w:adjustRightInd w:val="0"/>
              <w:snapToGrid w:val="0"/>
              <w:jc w:val="center"/>
              <w:rPr>
                <w:rFonts w:eastAsiaTheme="minorEastAsia"/>
                <w:color w:val="auto"/>
                <w:szCs w:val="21"/>
              </w:rPr>
            </w:pPr>
            <w:r>
              <w:rPr>
                <w:rFonts w:hint="eastAsia" w:eastAsiaTheme="minorEastAsia"/>
                <w:color w:val="auto"/>
                <w:szCs w:val="21"/>
              </w:rPr>
              <w:t>30</w:t>
            </w:r>
          </w:p>
        </w:tc>
        <w:tc>
          <w:tcPr>
            <w:tcW w:w="1333" w:type="dxa"/>
            <w:vAlign w:val="center"/>
          </w:tcPr>
          <w:p>
            <w:pPr>
              <w:adjustRightInd w:val="0"/>
              <w:snapToGrid w:val="0"/>
              <w:jc w:val="center"/>
              <w:rPr>
                <w:rFonts w:eastAsiaTheme="minorEastAsia"/>
                <w:color w:val="auto"/>
                <w:szCs w:val="21"/>
              </w:rPr>
            </w:pPr>
            <w:r>
              <w:rPr>
                <w:rFonts w:hint="eastAsia" w:eastAsiaTheme="minorEastAsia"/>
                <w:color w:val="auto"/>
                <w:szCs w:val="21"/>
              </w:rPr>
              <w:t>生活垃圾收集点</w:t>
            </w:r>
          </w:p>
        </w:tc>
        <w:tc>
          <w:tcPr>
            <w:tcW w:w="1492" w:type="dxa"/>
            <w:vAlign w:val="center"/>
          </w:tcPr>
          <w:p>
            <w:pPr>
              <w:adjustRightInd w:val="0"/>
              <w:snapToGrid w:val="0"/>
              <w:jc w:val="center"/>
              <w:rPr>
                <w:rFonts w:eastAsia="Times New Roman"/>
                <w:color w:val="auto"/>
                <w:szCs w:val="21"/>
              </w:rPr>
            </w:pPr>
            <w:r>
              <w:rPr>
                <w:rFonts w:hint="eastAsia" w:eastAsia="Times New Roman"/>
                <w:color w:val="auto"/>
                <w:szCs w:val="21"/>
              </w:rPr>
              <w:t>委托环卫部门外运</w:t>
            </w:r>
          </w:p>
        </w:tc>
        <w:tc>
          <w:tcPr>
            <w:tcW w:w="1214" w:type="dxa"/>
            <w:vAlign w:val="center"/>
          </w:tcPr>
          <w:p>
            <w:pPr>
              <w:adjustRightInd w:val="0"/>
              <w:snapToGrid w:val="0"/>
              <w:jc w:val="center"/>
              <w:rPr>
                <w:rFonts w:eastAsiaTheme="minorEastAsia"/>
                <w:color w:val="auto"/>
                <w:szCs w:val="21"/>
              </w:rPr>
            </w:pPr>
            <w:r>
              <w:rPr>
                <w:rFonts w:hint="eastAsia" w:eastAsiaTheme="minorEastAsia"/>
                <w:color w:val="auto"/>
                <w:szCs w:val="21"/>
              </w:rPr>
              <w:t>30</w:t>
            </w:r>
          </w:p>
        </w:tc>
      </w:tr>
    </w:tbl>
    <w:p>
      <w:pPr>
        <w:adjustRightInd w:val="0"/>
        <w:snapToGrid w:val="0"/>
        <w:spacing w:line="360" w:lineRule="auto"/>
        <w:rPr>
          <w:b/>
          <w:color w:val="auto"/>
          <w:kern w:val="0"/>
          <w:sz w:val="28"/>
          <w:szCs w:val="28"/>
        </w:rPr>
        <w:sectPr>
          <w:pgSz w:w="16840" w:h="11907" w:orient="landscape"/>
          <w:pgMar w:top="720" w:right="720" w:bottom="720" w:left="720" w:header="851" w:footer="851" w:gutter="0"/>
          <w:pgNumType w:fmt="decimal"/>
          <w:cols w:space="720" w:num="1"/>
          <w:docGrid w:linePitch="312" w:charSpace="0"/>
        </w:sectPr>
      </w:pPr>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1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29" w:hRule="atLeast"/>
          <w:jc w:val="center"/>
        </w:trPr>
        <w:tc>
          <w:tcPr>
            <w:tcW w:w="746" w:type="dxa"/>
            <w:tcMar>
              <w:left w:w="28" w:type="dxa"/>
              <w:right w:w="28" w:type="dxa"/>
            </w:tcMar>
            <w:vAlign w:val="center"/>
          </w:tcPr>
          <w:p>
            <w:pPr>
              <w:adjustRightInd w:val="0"/>
              <w:snapToGrid w:val="0"/>
              <w:jc w:val="center"/>
              <w:rPr>
                <w:bCs/>
                <w:color w:val="auto"/>
                <w:sz w:val="24"/>
              </w:rPr>
            </w:pPr>
            <w:r>
              <w:rPr>
                <w:bCs/>
                <w:color w:val="auto"/>
                <w:sz w:val="24"/>
              </w:rPr>
              <w:t>运营</w:t>
            </w:r>
          </w:p>
          <w:p>
            <w:pPr>
              <w:adjustRightInd w:val="0"/>
              <w:snapToGrid w:val="0"/>
              <w:jc w:val="center"/>
              <w:rPr>
                <w:bCs/>
                <w:color w:val="auto"/>
                <w:sz w:val="24"/>
              </w:rPr>
            </w:pPr>
            <w:r>
              <w:rPr>
                <w:bCs/>
                <w:color w:val="auto"/>
                <w:sz w:val="24"/>
              </w:rPr>
              <w:t>期环</w:t>
            </w:r>
          </w:p>
          <w:p>
            <w:pPr>
              <w:adjustRightInd w:val="0"/>
              <w:snapToGrid w:val="0"/>
              <w:jc w:val="center"/>
              <w:rPr>
                <w:bCs/>
                <w:color w:val="auto"/>
                <w:sz w:val="24"/>
              </w:rPr>
            </w:pPr>
            <w:r>
              <w:rPr>
                <w:bCs/>
                <w:color w:val="auto"/>
                <w:sz w:val="24"/>
              </w:rPr>
              <w:t>境影</w:t>
            </w:r>
          </w:p>
          <w:p>
            <w:pPr>
              <w:adjustRightInd w:val="0"/>
              <w:snapToGrid w:val="0"/>
              <w:jc w:val="center"/>
              <w:rPr>
                <w:bCs/>
                <w:color w:val="auto"/>
                <w:sz w:val="24"/>
              </w:rPr>
            </w:pPr>
            <w:r>
              <w:rPr>
                <w:bCs/>
                <w:color w:val="auto"/>
                <w:sz w:val="24"/>
              </w:rPr>
              <w:t>响和</w:t>
            </w:r>
          </w:p>
          <w:p>
            <w:pPr>
              <w:adjustRightInd w:val="0"/>
              <w:snapToGrid w:val="0"/>
              <w:jc w:val="center"/>
              <w:rPr>
                <w:bCs/>
                <w:color w:val="auto"/>
                <w:sz w:val="24"/>
              </w:rPr>
            </w:pPr>
            <w:r>
              <w:rPr>
                <w:bCs/>
                <w:color w:val="auto"/>
                <w:sz w:val="24"/>
              </w:rPr>
              <w:t>保护</w:t>
            </w:r>
          </w:p>
          <w:p>
            <w:pPr>
              <w:adjustRightInd w:val="0"/>
              <w:snapToGrid w:val="0"/>
              <w:jc w:val="center"/>
              <w:rPr>
                <w:bCs/>
                <w:color w:val="auto"/>
                <w:szCs w:val="21"/>
              </w:rPr>
            </w:pPr>
            <w:r>
              <w:rPr>
                <w:bCs/>
                <w:color w:val="auto"/>
                <w:sz w:val="24"/>
              </w:rPr>
              <w:t>措施</w:t>
            </w:r>
          </w:p>
        </w:tc>
        <w:tc>
          <w:tcPr>
            <w:tcW w:w="8162" w:type="dxa"/>
            <w:vAlign w:val="center"/>
          </w:tcPr>
          <w:p>
            <w:pPr>
              <w:pStyle w:val="10"/>
              <w:spacing w:before="0" w:after="0" w:line="360" w:lineRule="auto"/>
              <w:ind w:firstLine="482" w:firstLineChars="200"/>
              <w:rPr>
                <w:rFonts w:hint="eastAsia"/>
                <w:b/>
                <w:color w:val="auto"/>
                <w:sz w:val="24"/>
              </w:rPr>
            </w:pPr>
            <w:r>
              <w:rPr>
                <w:rFonts w:hint="eastAsia"/>
                <w:b/>
                <w:color w:val="auto"/>
                <w:sz w:val="24"/>
              </w:rPr>
              <w:t>5.土壤、地下水环境影响分析</w:t>
            </w:r>
          </w:p>
          <w:p>
            <w:pPr>
              <w:widowControl w:val="0"/>
              <w:wordWrap w:val="0"/>
              <w:spacing w:line="360" w:lineRule="auto"/>
              <w:ind w:firstLine="480" w:firstLineChars="200"/>
              <w:jc w:val="both"/>
              <w:rPr>
                <w:rFonts w:ascii="Times New Roman" w:hAnsi="Times New Roman" w:eastAsia="宋体" w:cs="Times New Roman"/>
                <w:color w:val="auto"/>
                <w:kern w:val="2"/>
                <w:sz w:val="24"/>
                <w:szCs w:val="24"/>
                <w:lang w:val="en-US" w:eastAsia="zh-CN" w:bidi="ar-SA"/>
              </w:rPr>
            </w:pPr>
            <w:r>
              <w:rPr>
                <w:rFonts w:ascii="Times New Roman" w:hAnsi="Times New Roman" w:eastAsia="宋体" w:cs="Times New Roman"/>
                <w:color w:val="auto"/>
                <w:kern w:val="2"/>
                <w:sz w:val="24"/>
                <w:szCs w:val="24"/>
                <w:lang w:val="en-US" w:eastAsia="zh-CN" w:bidi="ar-SA"/>
              </w:rPr>
              <w:t>本项目厂界外500米范围内无地下水集中式饮用水水源和热水、矿泉水、温泉等特殊地下水资源，不存在地下水污染。</w:t>
            </w:r>
          </w:p>
          <w:p>
            <w:pPr>
              <w:widowControl w:val="0"/>
              <w:wordWrap w:val="0"/>
              <w:spacing w:line="360" w:lineRule="auto"/>
              <w:ind w:firstLine="480" w:firstLineChars="200"/>
              <w:jc w:val="both"/>
              <w:rPr>
                <w:rFonts w:ascii="Times New Roman" w:hAnsi="Times New Roman" w:eastAsia="宋体" w:cs="Times New Roman"/>
                <w:color w:val="auto"/>
                <w:kern w:val="2"/>
                <w:sz w:val="24"/>
                <w:szCs w:val="24"/>
                <w:lang w:val="en-US" w:eastAsia="zh-CN" w:bidi="ar-SA"/>
              </w:rPr>
            </w:pPr>
            <w:r>
              <w:rPr>
                <w:rFonts w:ascii="Times New Roman" w:hAnsi="Times New Roman" w:eastAsia="宋体" w:cs="Times New Roman"/>
                <w:color w:val="auto"/>
                <w:kern w:val="2"/>
                <w:sz w:val="24"/>
                <w:szCs w:val="24"/>
                <w:lang w:val="en-US" w:eastAsia="zh-CN" w:bidi="ar-SA"/>
              </w:rPr>
              <w:t>本项目各原料组分不含有毒有害的重金属等污染物，也不涉及建设用地、农用地土壤污染风险筛选值和管制值的其他污染物，即项目不涉及土壤影响特征因子，不会引起土壤环境的盐化、酸化、碱化等生态环境变化。本项目</w:t>
            </w:r>
            <w:r>
              <w:rPr>
                <w:rFonts w:hint="eastAsia" w:cs="Times New Roman"/>
                <w:color w:val="auto"/>
                <w:kern w:val="2"/>
                <w:sz w:val="24"/>
                <w:szCs w:val="24"/>
                <w:lang w:val="en-US" w:eastAsia="zh-CN" w:bidi="ar-SA"/>
              </w:rPr>
              <w:t>建成后</w:t>
            </w:r>
            <w:r>
              <w:rPr>
                <w:rFonts w:ascii="Times New Roman" w:hAnsi="Times New Roman" w:eastAsia="宋体" w:cs="Times New Roman"/>
                <w:color w:val="auto"/>
                <w:kern w:val="2"/>
                <w:sz w:val="24"/>
                <w:szCs w:val="24"/>
                <w:lang w:val="en-US" w:eastAsia="zh-CN" w:bidi="ar-SA"/>
              </w:rPr>
              <w:t>厂房地面均进行硬化处理，做好防渗防漏工作。</w:t>
            </w:r>
          </w:p>
          <w:p>
            <w:pPr>
              <w:widowControl w:val="0"/>
              <w:wordWrap w:val="0"/>
              <w:spacing w:line="360" w:lineRule="auto"/>
              <w:ind w:firstLine="480" w:firstLineChars="200"/>
              <w:jc w:val="both"/>
              <w:rPr>
                <w:rFonts w:ascii="Times New Roman" w:hAnsi="Times New Roman" w:eastAsia="宋体" w:cs="Times New Roman"/>
                <w:color w:val="auto"/>
                <w:kern w:val="2"/>
                <w:sz w:val="24"/>
                <w:szCs w:val="24"/>
                <w:lang w:val="en-US" w:eastAsia="zh-CN" w:bidi="ar-SA"/>
              </w:rPr>
            </w:pPr>
            <w:r>
              <w:rPr>
                <w:rFonts w:ascii="Times New Roman" w:hAnsi="Times New Roman" w:eastAsia="宋体" w:cs="Times New Roman"/>
                <w:color w:val="auto"/>
                <w:kern w:val="2"/>
                <w:sz w:val="24"/>
                <w:szCs w:val="24"/>
                <w:lang w:val="en-US" w:eastAsia="zh-CN" w:bidi="ar-SA"/>
              </w:rPr>
              <w:t>因此，项目建成后不存在地下水、土壤污染途径。</w:t>
            </w:r>
          </w:p>
          <w:p>
            <w:pPr>
              <w:widowControl w:val="0"/>
              <w:autoSpaceDE w:val="0"/>
              <w:autoSpaceDN w:val="0"/>
              <w:adjustRightInd w:val="0"/>
              <w:spacing w:line="360" w:lineRule="auto"/>
              <w:ind w:firstLine="480" w:firstLineChars="200"/>
              <w:jc w:val="both"/>
              <w:rPr>
                <w:rFonts w:ascii="Times New Roman" w:hAnsi="Times New Roman" w:eastAsia="宋体" w:cs="Times New Roman"/>
                <w:color w:val="auto"/>
                <w:kern w:val="2"/>
                <w:sz w:val="24"/>
                <w:szCs w:val="24"/>
                <w:lang w:val="en-US" w:eastAsia="zh-CN" w:bidi="ar-SA"/>
              </w:rPr>
            </w:pPr>
            <w:r>
              <w:rPr>
                <w:rFonts w:ascii="Times New Roman" w:hAnsi="Times New Roman" w:eastAsia="宋体" w:cs="Times New Roman"/>
                <w:color w:val="auto"/>
                <w:kern w:val="2"/>
                <w:sz w:val="24"/>
                <w:szCs w:val="24"/>
                <w:lang w:val="en-US" w:eastAsia="zh-CN" w:bidi="ar-SA"/>
              </w:rPr>
              <w:t>分区管控：</w:t>
            </w:r>
          </w:p>
          <w:p>
            <w:pPr>
              <w:widowControl w:val="0"/>
              <w:spacing w:line="360" w:lineRule="auto"/>
              <w:ind w:left="0" w:firstLine="480" w:firstLineChars="200"/>
              <w:jc w:val="both"/>
              <w:rPr>
                <w:rFonts w:ascii="Times New Roman" w:hAnsi="Times New Roman" w:eastAsia="宋体" w:cs="Times New Roman"/>
                <w:b w:val="0"/>
                <w:bCs w:val="0"/>
                <w:color w:val="auto"/>
                <w:kern w:val="2"/>
                <w:sz w:val="24"/>
                <w:szCs w:val="24"/>
                <w:lang w:val="en-US" w:eastAsia="zh-CN" w:bidi="ar-SA"/>
              </w:rPr>
            </w:pPr>
            <w:r>
              <w:rPr>
                <w:rFonts w:ascii="Times New Roman" w:hAnsi="Times New Roman" w:eastAsia="宋体" w:cs="Times New Roman"/>
                <w:b w:val="0"/>
                <w:bCs w:val="0"/>
                <w:color w:val="auto"/>
                <w:kern w:val="2"/>
                <w:sz w:val="24"/>
                <w:szCs w:val="24"/>
                <w:lang w:val="en-US" w:eastAsia="zh-CN" w:bidi="ar-SA"/>
              </w:rPr>
              <w:t>①简单防渗区：办公室及无液态原料的区域仅进行一般地面硬化，无需进行防渗处理。</w:t>
            </w:r>
          </w:p>
          <w:p>
            <w:pPr>
              <w:spacing w:line="360" w:lineRule="auto"/>
              <w:ind w:firstLine="480" w:firstLineChars="200"/>
              <w:rPr>
                <w:rFonts w:ascii="Times New Roman" w:hAnsi="Times New Roman" w:eastAsia="宋体" w:cs="Times New Roman"/>
                <w:color w:val="auto"/>
                <w:sz w:val="24"/>
              </w:rPr>
            </w:pPr>
            <w:r>
              <w:rPr>
                <w:rFonts w:ascii="Times New Roman" w:hAnsi="Times New Roman" w:eastAsia="宋体" w:cs="Times New Roman"/>
                <w:color w:val="auto"/>
                <w:sz w:val="24"/>
              </w:rPr>
              <w:t>②一般防渗区：本项目不涉及重金属、持久性有机污染物，因此对废水处理设施进行一般防渗处理，防渗要求按照等效黏土防渗层Mb≥1.5m，K≤1×10</w:t>
            </w:r>
            <w:r>
              <w:rPr>
                <w:rFonts w:ascii="Times New Roman" w:hAnsi="Times New Roman" w:eastAsia="宋体" w:cs="Times New Roman"/>
                <w:color w:val="auto"/>
                <w:sz w:val="24"/>
                <w:vertAlign w:val="superscript"/>
              </w:rPr>
              <w:t>-7</w:t>
            </w:r>
            <w:r>
              <w:rPr>
                <w:rFonts w:ascii="Times New Roman" w:hAnsi="Times New Roman" w:eastAsia="宋体" w:cs="Times New Roman"/>
                <w:color w:val="auto"/>
                <w:sz w:val="24"/>
              </w:rPr>
              <w:t>cm/s或参照GB16889执行；</w:t>
            </w:r>
          </w:p>
          <w:p>
            <w:pPr>
              <w:adjustRightInd w:val="0"/>
              <w:snapToGrid w:val="0"/>
              <w:spacing w:line="360" w:lineRule="auto"/>
              <w:ind w:firstLine="480" w:firstLineChars="200"/>
              <w:rPr>
                <w:color w:val="auto"/>
                <w:sz w:val="24"/>
              </w:rPr>
            </w:pPr>
            <w:r>
              <w:rPr>
                <w:rFonts w:ascii="Times New Roman" w:hAnsi="Times New Roman" w:eastAsia="宋体" w:cs="Times New Roman"/>
                <w:color w:val="auto"/>
                <w:sz w:val="24"/>
              </w:rPr>
              <w:t>③重点防渗区：危险废物贮存在危废间，对危废间进行重点防渗处理，要求按照等效黏土防渗层Mb≥6.0m，K≤1×10</w:t>
            </w:r>
            <w:r>
              <w:rPr>
                <w:rFonts w:ascii="Times New Roman" w:hAnsi="Times New Roman" w:eastAsia="宋体" w:cs="Times New Roman"/>
                <w:color w:val="auto"/>
                <w:sz w:val="24"/>
                <w:vertAlign w:val="superscript"/>
              </w:rPr>
              <w:t>-7</w:t>
            </w:r>
            <w:r>
              <w:rPr>
                <w:rFonts w:ascii="Times New Roman" w:hAnsi="Times New Roman" w:eastAsia="宋体" w:cs="Times New Roman"/>
                <w:color w:val="auto"/>
                <w:sz w:val="24"/>
              </w:rPr>
              <w:t>cm/s或参照GB18598执行</w:t>
            </w:r>
            <w:r>
              <w:rPr>
                <w:rFonts w:hint="eastAsia"/>
                <w:color w:val="auto"/>
                <w:sz w:val="24"/>
              </w:rPr>
              <w:t>。</w:t>
            </w:r>
          </w:p>
          <w:p>
            <w:pPr>
              <w:adjustRightInd w:val="0"/>
              <w:snapToGrid w:val="0"/>
              <w:spacing w:line="360" w:lineRule="auto"/>
              <w:ind w:firstLine="482" w:firstLineChars="200"/>
              <w:rPr>
                <w:b/>
                <w:color w:val="auto"/>
                <w:sz w:val="24"/>
              </w:rPr>
            </w:pPr>
            <w:r>
              <w:rPr>
                <w:rFonts w:hint="eastAsia"/>
                <w:b/>
                <w:color w:val="auto"/>
                <w:sz w:val="24"/>
              </w:rPr>
              <w:t>7.生态</w:t>
            </w:r>
          </w:p>
          <w:p>
            <w:pPr>
              <w:adjustRightInd w:val="0"/>
              <w:snapToGrid w:val="0"/>
              <w:spacing w:line="360" w:lineRule="auto"/>
              <w:ind w:firstLine="480" w:firstLineChars="200"/>
              <w:rPr>
                <w:color w:val="auto"/>
                <w:sz w:val="24"/>
              </w:rPr>
            </w:pPr>
            <w:r>
              <w:rPr>
                <w:rFonts w:hint="eastAsia"/>
                <w:color w:val="auto"/>
                <w:sz w:val="24"/>
              </w:rPr>
              <w:t>本项目位于乐昌产业转移工业园管理范围内，且用地范围内不含生态环境保护目标。</w:t>
            </w:r>
          </w:p>
          <w:p>
            <w:pPr>
              <w:spacing w:line="360" w:lineRule="auto"/>
              <w:ind w:firstLine="482" w:firstLineChars="200"/>
              <w:rPr>
                <w:rFonts w:hint="eastAsia"/>
                <w:b/>
                <w:color w:val="auto"/>
                <w:sz w:val="24"/>
              </w:rPr>
            </w:pPr>
            <w:r>
              <w:rPr>
                <w:rFonts w:hint="eastAsia"/>
                <w:b/>
                <w:color w:val="auto"/>
                <w:sz w:val="24"/>
              </w:rPr>
              <w:t>8.环境风</w:t>
            </w:r>
            <w:bookmarkStart w:id="64" w:name="_Hlk69377079"/>
            <w:r>
              <w:rPr>
                <w:rFonts w:hint="eastAsia"/>
                <w:b/>
                <w:color w:val="auto"/>
                <w:sz w:val="24"/>
              </w:rPr>
              <w:t>险</w:t>
            </w:r>
          </w:p>
          <w:p>
            <w:pPr>
              <w:spacing w:line="360" w:lineRule="auto"/>
              <w:ind w:firstLine="482" w:firstLineChars="200"/>
              <w:rPr>
                <w:rFonts w:hint="eastAsia" w:eastAsia="宋体"/>
                <w:b/>
                <w:color w:val="auto"/>
                <w:kern w:val="0"/>
                <w:sz w:val="24"/>
                <w:shd w:val="clear" w:color="auto" w:fill="FFFFFF"/>
                <w:lang w:val="en-US" w:eastAsia="zh-CN"/>
              </w:rPr>
            </w:pPr>
            <w:r>
              <w:rPr>
                <w:rFonts w:hint="eastAsia"/>
                <w:b/>
                <w:color w:val="auto"/>
                <w:kern w:val="0"/>
                <w:sz w:val="24"/>
                <w:shd w:val="clear" w:color="auto" w:fill="FFFFFF"/>
              </w:rPr>
              <w:t>（1）风险</w:t>
            </w:r>
            <w:r>
              <w:rPr>
                <w:rFonts w:hint="eastAsia"/>
                <w:b/>
                <w:color w:val="auto"/>
                <w:kern w:val="0"/>
                <w:sz w:val="24"/>
                <w:shd w:val="clear" w:color="auto" w:fill="FFFFFF"/>
                <w:lang w:val="en-US" w:eastAsia="zh-CN"/>
              </w:rPr>
              <w:t>识别</w:t>
            </w:r>
          </w:p>
          <w:p>
            <w:pPr>
              <w:numPr>
                <w:ilvl w:val="0"/>
                <w:numId w:val="0"/>
              </w:numPr>
              <w:spacing w:line="360" w:lineRule="auto"/>
              <w:ind w:firstLine="480" w:firstLineChars="200"/>
              <w:jc w:val="left"/>
              <w:rPr>
                <w:rFonts w:hint="eastAsia" w:ascii="Times New Roman" w:hAnsi="Times New Roman" w:eastAsia="宋体" w:cs="Times New Roman"/>
                <w:color w:val="auto"/>
                <w:sz w:val="24"/>
                <w:lang w:eastAsia="zh-CN"/>
              </w:rPr>
            </w:pPr>
            <w:r>
              <w:rPr>
                <w:rFonts w:hint="eastAsia" w:ascii="Times New Roman" w:hAnsi="Times New Roman" w:eastAsia="宋体" w:cs="Times New Roman"/>
                <w:color w:val="auto"/>
                <w:sz w:val="24"/>
                <w:lang w:val="en-US" w:eastAsia="zh-CN"/>
              </w:rPr>
              <w:t>a.</w:t>
            </w:r>
            <w:r>
              <w:rPr>
                <w:rFonts w:hint="eastAsia" w:ascii="Times New Roman" w:hAnsi="Times New Roman" w:eastAsia="宋体" w:cs="Times New Roman"/>
                <w:color w:val="auto"/>
                <w:sz w:val="24"/>
                <w:lang w:eastAsia="zh-CN"/>
              </w:rPr>
              <w:t>物质危险性识别</w:t>
            </w:r>
          </w:p>
          <w:p>
            <w:pPr>
              <w:numPr>
                <w:ilvl w:val="2"/>
                <w:numId w:val="0"/>
              </w:numPr>
              <w:spacing w:line="360" w:lineRule="auto"/>
              <w:ind w:firstLine="480" w:firstLineChars="200"/>
              <w:outlineLvl w:val="9"/>
              <w:rPr>
                <w:rFonts w:hint="default" w:ascii="Times New Roman" w:hAnsi="Times New Roman" w:eastAsia="宋体" w:cs="Times New Roman"/>
                <w:color w:val="auto"/>
                <w:sz w:val="24"/>
              </w:rPr>
            </w:pPr>
            <w:r>
              <w:rPr>
                <w:rFonts w:hint="eastAsia" w:ascii="Times New Roman" w:hAnsi="Times New Roman" w:eastAsia="宋体" w:cs="Times New Roman"/>
                <w:b w:val="0"/>
                <w:bCs w:val="0"/>
                <w:color w:val="auto"/>
                <w:sz w:val="24"/>
                <w:lang w:eastAsia="zh-CN"/>
              </w:rPr>
              <w:t>根据《建设项目环境风险评价技术导则》（</w:t>
            </w:r>
            <w:r>
              <w:rPr>
                <w:rFonts w:hint="eastAsia" w:ascii="Times New Roman" w:hAnsi="Times New Roman" w:eastAsia="宋体" w:cs="Times New Roman"/>
                <w:b w:val="0"/>
                <w:bCs w:val="0"/>
                <w:color w:val="auto"/>
                <w:sz w:val="24"/>
                <w:lang w:val="en-US" w:eastAsia="zh-CN"/>
              </w:rPr>
              <w:t>HJ 169-2018</w:t>
            </w:r>
            <w:r>
              <w:rPr>
                <w:rFonts w:hint="eastAsia" w:ascii="Times New Roman" w:hAnsi="Times New Roman" w:eastAsia="宋体" w:cs="Times New Roman"/>
                <w:b w:val="0"/>
                <w:bCs w:val="0"/>
                <w:color w:val="auto"/>
                <w:sz w:val="24"/>
                <w:lang w:eastAsia="zh-CN"/>
              </w:rPr>
              <w:t>）“附录</w:t>
            </w:r>
            <w:r>
              <w:rPr>
                <w:rFonts w:hint="eastAsia" w:ascii="Times New Roman" w:hAnsi="Times New Roman" w:eastAsia="宋体" w:cs="Times New Roman"/>
                <w:b w:val="0"/>
                <w:bCs w:val="0"/>
                <w:color w:val="auto"/>
                <w:sz w:val="24"/>
                <w:lang w:val="en-US" w:eastAsia="zh-CN"/>
              </w:rPr>
              <w:t xml:space="preserve">B </w:t>
            </w:r>
            <w:r>
              <w:rPr>
                <w:rFonts w:hint="eastAsia" w:ascii="Times New Roman" w:hAnsi="Times New Roman" w:eastAsia="宋体" w:cs="Times New Roman"/>
                <w:b w:val="0"/>
                <w:bCs w:val="0"/>
                <w:color w:val="auto"/>
                <w:sz w:val="24"/>
                <w:lang w:eastAsia="zh-CN"/>
              </w:rPr>
              <w:t>重点关注的危险物质及临界量”的要求，对本项目生产过程中使用的原辅料进行识别，属于危险物质的有</w:t>
            </w:r>
            <w:r>
              <w:rPr>
                <w:rFonts w:hint="eastAsia" w:ascii="Times New Roman" w:hAnsi="Times New Roman" w:eastAsia="宋体" w:cs="Times New Roman"/>
                <w:b w:val="0"/>
                <w:bCs w:val="0"/>
                <w:color w:val="auto"/>
                <w:sz w:val="24"/>
                <w:lang w:val="en-US" w:eastAsia="zh-CN"/>
              </w:rPr>
              <w:t>废活性炭</w:t>
            </w:r>
            <w:r>
              <w:rPr>
                <w:rFonts w:hint="eastAsia" w:ascii="Times New Roman" w:hAnsi="Times New Roman" w:eastAsia="宋体" w:cs="Times New Roman"/>
                <w:b w:val="0"/>
                <w:bCs w:val="0"/>
                <w:color w:val="auto"/>
                <w:sz w:val="24"/>
                <w:lang w:eastAsia="zh-CN"/>
              </w:rPr>
              <w:t>。</w:t>
            </w:r>
          </w:p>
          <w:p>
            <w:pPr>
              <w:spacing w:line="360" w:lineRule="auto"/>
              <w:ind w:firstLine="480" w:firstLineChars="200"/>
              <w:jc w:val="left"/>
              <w:rPr>
                <w:rFonts w:hint="default" w:ascii="Times New Roman" w:hAnsi="Times New Roman" w:eastAsia="宋体" w:cs="Times New Roman"/>
                <w:color w:val="auto"/>
                <w:sz w:val="24"/>
              </w:rPr>
            </w:pPr>
            <w:r>
              <w:rPr>
                <w:rFonts w:hint="eastAsia" w:ascii="Times New Roman" w:hAnsi="Times New Roman" w:eastAsia="宋体" w:cs="Times New Roman"/>
                <w:color w:val="auto"/>
                <w:sz w:val="24"/>
                <w:lang w:val="en-US" w:eastAsia="zh-CN"/>
              </w:rPr>
              <w:t>b.</w:t>
            </w:r>
            <w:r>
              <w:rPr>
                <w:rFonts w:hint="default" w:ascii="Times New Roman" w:hAnsi="Times New Roman" w:eastAsia="宋体" w:cs="Times New Roman"/>
                <w:color w:val="auto"/>
                <w:sz w:val="24"/>
              </w:rPr>
              <w:t>环境风险潜势初判</w:t>
            </w:r>
          </w:p>
          <w:p>
            <w:pPr>
              <w:spacing w:line="360" w:lineRule="auto"/>
              <w:ind w:firstLine="480" w:firstLineChars="200"/>
              <w:rPr>
                <w:rFonts w:hint="default" w:ascii="Times New Roman" w:hAnsi="Times New Roman" w:eastAsia="宋体" w:cs="Times New Roman"/>
                <w:color w:val="auto"/>
                <w:sz w:val="24"/>
                <w:lang w:eastAsia="zh-CN"/>
              </w:rPr>
            </w:pPr>
            <w:r>
              <w:rPr>
                <w:rFonts w:hint="eastAsia" w:ascii="Times New Roman" w:hAnsi="Times New Roman" w:eastAsia="宋体" w:cs="Times New Roman"/>
                <w:bCs/>
                <w:color w:val="auto"/>
                <w:sz w:val="24"/>
                <w:lang w:eastAsia="zh-CN"/>
              </w:rPr>
              <w:t>根据核算，项目涉及环境风险物质主要为运营期产生的危险废物废活性炭，危险物质Q=qn/Qn值为0.087＜1</w:t>
            </w:r>
            <w:r>
              <w:rPr>
                <w:rFonts w:hint="eastAsia" w:ascii="Times New Roman" w:hAnsi="Times New Roman" w:eastAsia="宋体" w:cs="Times New Roman"/>
                <w:bCs/>
                <w:color w:val="auto"/>
                <w:sz w:val="24"/>
                <w:lang w:val="en-US" w:eastAsia="zh-CN"/>
              </w:rPr>
              <w:t>（表4-1</w:t>
            </w:r>
            <w:r>
              <w:rPr>
                <w:rFonts w:hint="eastAsia" w:cs="Times New Roman"/>
                <w:bCs/>
                <w:color w:val="auto"/>
                <w:sz w:val="24"/>
                <w:lang w:val="en-US" w:eastAsia="zh-CN"/>
              </w:rPr>
              <w:t>4</w:t>
            </w:r>
            <w:r>
              <w:rPr>
                <w:rFonts w:hint="eastAsia" w:ascii="Times New Roman" w:hAnsi="Times New Roman" w:eastAsia="宋体" w:cs="Times New Roman"/>
                <w:bCs/>
                <w:color w:val="auto"/>
                <w:sz w:val="24"/>
                <w:lang w:val="en-US" w:eastAsia="zh-CN"/>
              </w:rPr>
              <w:t>），根据《建设项目环境风险评价技术导则》（HJ 169-2018）的划分，环境风险潜势为I，可进行简单分析。</w:t>
            </w:r>
          </w:p>
          <w:p>
            <w:pPr>
              <w:widowControl w:val="0"/>
              <w:spacing w:line="36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表4-</w:t>
            </w:r>
            <w:r>
              <w:rPr>
                <w:rFonts w:hint="eastAsia" w:ascii="Times New Roman" w:hAnsi="Times New Roman" w:eastAsia="宋体" w:cs="Times New Roman"/>
                <w:b/>
                <w:bCs/>
                <w:color w:val="auto"/>
                <w:kern w:val="2"/>
                <w:sz w:val="21"/>
                <w:szCs w:val="21"/>
                <w:highlight w:val="none"/>
                <w:lang w:val="en-US" w:eastAsia="zh-CN" w:bidi="ar-SA"/>
              </w:rPr>
              <w:t>1</w:t>
            </w:r>
            <w:r>
              <w:rPr>
                <w:rFonts w:hint="eastAsia" w:cs="Times New Roman"/>
                <w:b/>
                <w:bCs/>
                <w:color w:val="auto"/>
                <w:kern w:val="2"/>
                <w:sz w:val="21"/>
                <w:szCs w:val="21"/>
                <w:highlight w:val="none"/>
                <w:lang w:val="en-US" w:eastAsia="zh-CN" w:bidi="ar-SA"/>
              </w:rPr>
              <w:t xml:space="preserve">4 </w:t>
            </w:r>
            <w:r>
              <w:rPr>
                <w:rFonts w:hint="default" w:ascii="Times New Roman" w:hAnsi="Times New Roman" w:eastAsia="宋体" w:cs="Times New Roman"/>
                <w:b/>
                <w:bCs/>
                <w:color w:val="auto"/>
                <w:kern w:val="2"/>
                <w:sz w:val="21"/>
                <w:szCs w:val="21"/>
                <w:highlight w:val="none"/>
                <w:lang w:val="en-US" w:eastAsia="zh-CN" w:bidi="ar-SA"/>
              </w:rPr>
              <w:t>危险物质数量与临界量比值计算表</w:t>
            </w:r>
          </w:p>
          <w:tbl>
            <w:tblPr>
              <w:tblStyle w:val="28"/>
              <w:tblW w:w="8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1794"/>
              <w:gridCol w:w="2262"/>
              <w:gridCol w:w="1781"/>
              <w:gridCol w:w="14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3" w:type="dxa"/>
                  <w:tcBorders>
                    <w:top w:val="single" w:color="auto" w:sz="4" w:space="0"/>
                    <w:left w:val="single" w:color="auto" w:sz="4" w:space="0"/>
                    <w:bottom w:val="single" w:color="auto" w:sz="4" w:space="0"/>
                    <w:right w:val="single" w:color="auto" w:sz="4" w:space="0"/>
                  </w:tcBorders>
                  <w:vAlign w:val="center"/>
                </w:tcPr>
                <w:p>
                  <w:pPr>
                    <w:widowControl/>
                    <w:jc w:val="center"/>
                    <w:rPr>
                      <w:b/>
                      <w:color w:val="auto"/>
                      <w:szCs w:val="21"/>
                    </w:rPr>
                  </w:pPr>
                  <w:r>
                    <w:rPr>
                      <w:b/>
                      <w:color w:val="auto"/>
                      <w:szCs w:val="21"/>
                    </w:rPr>
                    <w:t>序号</w:t>
                  </w:r>
                </w:p>
              </w:tc>
              <w:tc>
                <w:tcPr>
                  <w:tcW w:w="1794" w:type="dxa"/>
                  <w:tcBorders>
                    <w:top w:val="single" w:color="auto" w:sz="4" w:space="0"/>
                    <w:left w:val="single" w:color="auto" w:sz="4" w:space="0"/>
                    <w:bottom w:val="single" w:color="auto" w:sz="4" w:space="0"/>
                    <w:right w:val="single" w:color="auto" w:sz="4" w:space="0"/>
                  </w:tcBorders>
                  <w:vAlign w:val="center"/>
                </w:tcPr>
                <w:p>
                  <w:pPr>
                    <w:widowControl/>
                    <w:jc w:val="center"/>
                    <w:rPr>
                      <w:b/>
                      <w:color w:val="auto"/>
                      <w:szCs w:val="21"/>
                    </w:rPr>
                  </w:pPr>
                  <w:r>
                    <w:rPr>
                      <w:b/>
                      <w:color w:val="auto"/>
                      <w:szCs w:val="21"/>
                    </w:rPr>
                    <w:t>物质名称</w:t>
                  </w:r>
                </w:p>
              </w:tc>
              <w:tc>
                <w:tcPr>
                  <w:tcW w:w="2262" w:type="dxa"/>
                  <w:tcBorders>
                    <w:top w:val="single" w:color="auto" w:sz="4" w:space="0"/>
                    <w:left w:val="single" w:color="auto" w:sz="4" w:space="0"/>
                    <w:bottom w:val="single" w:color="auto" w:sz="4" w:space="0"/>
                    <w:right w:val="single" w:color="auto" w:sz="4" w:space="0"/>
                  </w:tcBorders>
                  <w:vAlign w:val="center"/>
                </w:tcPr>
                <w:p>
                  <w:pPr>
                    <w:widowControl/>
                    <w:jc w:val="center"/>
                    <w:rPr>
                      <w:b/>
                      <w:color w:val="auto"/>
                      <w:szCs w:val="21"/>
                    </w:rPr>
                  </w:pPr>
                  <w:r>
                    <w:rPr>
                      <w:b/>
                      <w:color w:val="auto"/>
                      <w:szCs w:val="21"/>
                    </w:rPr>
                    <w:t>最大存在总量t</w:t>
                  </w:r>
                </w:p>
              </w:tc>
              <w:tc>
                <w:tcPr>
                  <w:tcW w:w="1781" w:type="dxa"/>
                  <w:tcBorders>
                    <w:top w:val="single" w:color="auto" w:sz="4" w:space="0"/>
                    <w:left w:val="single" w:color="auto" w:sz="4" w:space="0"/>
                    <w:bottom w:val="single" w:color="auto" w:sz="4" w:space="0"/>
                    <w:right w:val="single" w:color="auto" w:sz="4" w:space="0"/>
                  </w:tcBorders>
                  <w:vAlign w:val="center"/>
                </w:tcPr>
                <w:p>
                  <w:pPr>
                    <w:widowControl/>
                    <w:jc w:val="center"/>
                    <w:rPr>
                      <w:b/>
                      <w:color w:val="auto"/>
                      <w:szCs w:val="21"/>
                    </w:rPr>
                  </w:pPr>
                  <w:r>
                    <w:rPr>
                      <w:b/>
                      <w:color w:val="auto"/>
                      <w:szCs w:val="21"/>
                    </w:rPr>
                    <w:t>临界量，t</w:t>
                  </w:r>
                </w:p>
              </w:tc>
              <w:tc>
                <w:tcPr>
                  <w:tcW w:w="1468" w:type="dxa"/>
                  <w:tcBorders>
                    <w:top w:val="single" w:color="auto" w:sz="4" w:space="0"/>
                    <w:left w:val="single" w:color="auto" w:sz="4" w:space="0"/>
                    <w:bottom w:val="single" w:color="auto" w:sz="4" w:space="0"/>
                    <w:right w:val="single" w:color="auto" w:sz="4" w:space="0"/>
                  </w:tcBorders>
                  <w:vAlign w:val="center"/>
                </w:tcPr>
                <w:p>
                  <w:pPr>
                    <w:widowControl/>
                    <w:jc w:val="center"/>
                    <w:rPr>
                      <w:b/>
                      <w:color w:val="auto"/>
                      <w:szCs w:val="21"/>
                    </w:rPr>
                  </w:pPr>
                  <w:r>
                    <w:rPr>
                      <w:b/>
                      <w:color w:val="auto"/>
                      <w:szCs w:val="21"/>
                    </w:rPr>
                    <w:t>q</w:t>
                  </w:r>
                  <w:r>
                    <w:rPr>
                      <w:b/>
                      <w:color w:val="auto"/>
                      <w:szCs w:val="21"/>
                      <w:vertAlign w:val="subscript"/>
                    </w:rPr>
                    <w:t>n</w:t>
                  </w:r>
                  <w:r>
                    <w:rPr>
                      <w:b/>
                      <w:color w:val="auto"/>
                      <w:szCs w:val="21"/>
                    </w:rPr>
                    <w:t>/Q</w:t>
                  </w:r>
                  <w:r>
                    <w:rPr>
                      <w:b/>
                      <w:color w:val="auto"/>
                      <w:szCs w:val="21"/>
                      <w:vertAlign w:val="subscript"/>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3" w:type="dxa"/>
                  <w:tcBorders>
                    <w:top w:val="single" w:color="auto" w:sz="4" w:space="0"/>
                    <w:left w:val="single" w:color="auto" w:sz="4" w:space="0"/>
                    <w:bottom w:val="single" w:color="auto" w:sz="4" w:space="0"/>
                    <w:right w:val="single" w:color="auto" w:sz="4" w:space="0"/>
                  </w:tcBorders>
                  <w:vAlign w:val="center"/>
                </w:tcPr>
                <w:p>
                  <w:pPr>
                    <w:widowControl/>
                    <w:jc w:val="center"/>
                    <w:rPr>
                      <w:color w:val="auto"/>
                      <w:szCs w:val="21"/>
                    </w:rPr>
                  </w:pPr>
                  <w:r>
                    <w:rPr>
                      <w:rFonts w:hint="eastAsia"/>
                      <w:color w:val="auto"/>
                      <w:szCs w:val="21"/>
                    </w:rPr>
                    <w:t>1</w:t>
                  </w:r>
                </w:p>
              </w:tc>
              <w:tc>
                <w:tcPr>
                  <w:tcW w:w="1794" w:type="dxa"/>
                  <w:tcBorders>
                    <w:top w:val="single" w:color="auto" w:sz="4" w:space="0"/>
                    <w:left w:val="single" w:color="auto" w:sz="4" w:space="0"/>
                    <w:bottom w:val="single" w:color="auto" w:sz="4" w:space="0"/>
                    <w:right w:val="single" w:color="auto" w:sz="4" w:space="0"/>
                  </w:tcBorders>
                  <w:vAlign w:val="center"/>
                </w:tcPr>
                <w:p>
                  <w:pPr>
                    <w:widowControl/>
                    <w:jc w:val="center"/>
                    <w:rPr>
                      <w:color w:val="auto"/>
                      <w:szCs w:val="21"/>
                    </w:rPr>
                  </w:pPr>
                  <w:r>
                    <w:rPr>
                      <w:rFonts w:hint="eastAsia"/>
                      <w:color w:val="auto"/>
                      <w:szCs w:val="21"/>
                    </w:rPr>
                    <w:t>*</w:t>
                  </w:r>
                  <w:r>
                    <w:rPr>
                      <w:color w:val="auto"/>
                      <w:szCs w:val="21"/>
                    </w:rPr>
                    <w:t>废活性炭</w:t>
                  </w:r>
                </w:p>
              </w:tc>
              <w:tc>
                <w:tcPr>
                  <w:tcW w:w="226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eastAsia="宋体"/>
                      <w:color w:val="auto"/>
                      <w:szCs w:val="21"/>
                      <w:lang w:eastAsia="zh-CN"/>
                    </w:rPr>
                  </w:pPr>
                  <w:r>
                    <w:rPr>
                      <w:rFonts w:hint="eastAsia"/>
                      <w:color w:val="auto"/>
                      <w:szCs w:val="21"/>
                      <w:lang w:eastAsia="zh-CN"/>
                    </w:rPr>
                    <w:t>4.53</w:t>
                  </w:r>
                </w:p>
              </w:tc>
              <w:tc>
                <w:tcPr>
                  <w:tcW w:w="1781" w:type="dxa"/>
                  <w:tcBorders>
                    <w:top w:val="single" w:color="auto" w:sz="4" w:space="0"/>
                    <w:left w:val="single" w:color="auto" w:sz="4" w:space="0"/>
                    <w:bottom w:val="single" w:color="auto" w:sz="4" w:space="0"/>
                    <w:right w:val="single" w:color="auto" w:sz="4" w:space="0"/>
                  </w:tcBorders>
                  <w:vAlign w:val="center"/>
                </w:tcPr>
                <w:p>
                  <w:pPr>
                    <w:widowControl/>
                    <w:jc w:val="center"/>
                    <w:rPr>
                      <w:color w:val="auto"/>
                      <w:szCs w:val="21"/>
                    </w:rPr>
                  </w:pPr>
                  <w:r>
                    <w:rPr>
                      <w:color w:val="auto"/>
                      <w:szCs w:val="21"/>
                    </w:rPr>
                    <w:t>50</w:t>
                  </w:r>
                </w:p>
              </w:tc>
              <w:tc>
                <w:tcPr>
                  <w:tcW w:w="1468"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eastAsia="宋体"/>
                      <w:color w:val="auto"/>
                      <w:szCs w:val="21"/>
                      <w:lang w:val="en-US" w:eastAsia="zh-CN"/>
                    </w:rPr>
                  </w:pPr>
                  <w:r>
                    <w:rPr>
                      <w:rFonts w:hint="eastAsia"/>
                      <w:color w:val="auto"/>
                      <w:szCs w:val="21"/>
                    </w:rPr>
                    <w:t>0.0</w:t>
                  </w:r>
                  <w:r>
                    <w:rPr>
                      <w:rFonts w:hint="eastAsia"/>
                      <w:color w:val="auto"/>
                      <w:szCs w:val="21"/>
                      <w:lang w:val="en-US" w:eastAsia="zh-CN"/>
                    </w:rPr>
                    <w:t>906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27"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color w:val="auto"/>
                      <w:szCs w:val="21"/>
                    </w:rPr>
                  </w:pPr>
                  <w:r>
                    <w:rPr>
                      <w:color w:val="auto"/>
                      <w:szCs w:val="21"/>
                    </w:rPr>
                    <w:t>合计</w:t>
                  </w:r>
                </w:p>
              </w:tc>
              <w:tc>
                <w:tcPr>
                  <w:tcW w:w="5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hint="default" w:eastAsia="宋体"/>
                      <w:b/>
                      <w:color w:val="auto"/>
                      <w:szCs w:val="21"/>
                      <w:lang w:val="en-US" w:eastAsia="zh-CN"/>
                    </w:rPr>
                  </w:pPr>
                  <w:r>
                    <w:rPr>
                      <w:color w:val="auto"/>
                      <w:szCs w:val="21"/>
                    </w:rPr>
                    <w:t>∑q</w:t>
                  </w:r>
                  <w:r>
                    <w:rPr>
                      <w:color w:val="auto"/>
                      <w:szCs w:val="21"/>
                      <w:vertAlign w:val="subscript"/>
                    </w:rPr>
                    <w:t>n</w:t>
                  </w:r>
                  <w:r>
                    <w:rPr>
                      <w:color w:val="auto"/>
                      <w:szCs w:val="21"/>
                    </w:rPr>
                    <w:t>/Q</w:t>
                  </w:r>
                  <w:r>
                    <w:rPr>
                      <w:color w:val="auto"/>
                      <w:szCs w:val="21"/>
                      <w:vertAlign w:val="subscript"/>
                    </w:rPr>
                    <w:t>n</w:t>
                  </w:r>
                  <w:r>
                    <w:rPr>
                      <w:color w:val="auto"/>
                      <w:szCs w:val="21"/>
                    </w:rPr>
                    <w:t>=</w:t>
                  </w:r>
                  <w:r>
                    <w:rPr>
                      <w:rFonts w:hint="eastAsia"/>
                      <w:color w:val="auto"/>
                      <w:szCs w:val="21"/>
                    </w:rPr>
                    <w:t>0.0</w:t>
                  </w:r>
                  <w:r>
                    <w:rPr>
                      <w:rFonts w:hint="eastAsia"/>
                      <w:color w:val="auto"/>
                      <w:szCs w:val="21"/>
                      <w:lang w:val="en-US" w:eastAsia="zh-CN"/>
                    </w:rPr>
                    <w:t>906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38" w:type="dxa"/>
                  <w:gridSpan w:val="5"/>
                  <w:tcBorders>
                    <w:top w:val="single" w:color="auto" w:sz="4" w:space="0"/>
                    <w:left w:val="single" w:color="auto" w:sz="4" w:space="0"/>
                    <w:bottom w:val="single" w:color="auto" w:sz="4" w:space="0"/>
                    <w:right w:val="single" w:color="auto" w:sz="4" w:space="0"/>
                  </w:tcBorders>
                  <w:vAlign w:val="center"/>
                </w:tcPr>
                <w:p>
                  <w:pPr>
                    <w:widowControl/>
                    <w:rPr>
                      <w:color w:val="auto"/>
                      <w:szCs w:val="21"/>
                    </w:rPr>
                  </w:pPr>
                  <w:r>
                    <w:rPr>
                      <w:rFonts w:hint="eastAsia"/>
                      <w:color w:val="auto"/>
                      <w:szCs w:val="21"/>
                    </w:rPr>
                    <w:t>注：*表示为项目产生的危险废物，临界值参</w:t>
                  </w:r>
                  <w:r>
                    <w:rPr>
                      <w:color w:val="auto"/>
                      <w:szCs w:val="21"/>
                    </w:rPr>
                    <w:t>考</w:t>
                  </w:r>
                  <w:r>
                    <w:rPr>
                      <w:color w:val="auto"/>
                      <w:kern w:val="0"/>
                      <w:szCs w:val="21"/>
                    </w:rPr>
                    <w:t>《建设项目环境风险技术导则》（HJ169-2018）中表B.2 健康危害急性毒性物质（类别2，类别3）。</w:t>
                  </w:r>
                </w:p>
              </w:tc>
            </w:tr>
          </w:tbl>
          <w:p>
            <w:pPr>
              <w:widowControl w:val="0"/>
              <w:spacing w:line="360" w:lineRule="auto"/>
              <w:jc w:val="center"/>
              <w:rPr>
                <w:rFonts w:hint="default" w:ascii="Times New Roman" w:hAnsi="Times New Roman" w:eastAsia="宋体" w:cs="Times New Roman"/>
                <w:b/>
                <w:bCs/>
                <w:color w:val="auto"/>
                <w:kern w:val="2"/>
                <w:sz w:val="21"/>
                <w:szCs w:val="21"/>
                <w:highlight w:val="none"/>
                <w:lang w:val="en-US" w:eastAsia="zh-CN" w:bidi="ar-SA"/>
              </w:rPr>
            </w:pPr>
          </w:p>
          <w:p>
            <w:pPr>
              <w:numPr>
                <w:ilvl w:val="-1"/>
                <w:numId w:val="0"/>
              </w:numPr>
              <w:spacing w:line="360" w:lineRule="auto"/>
              <w:ind w:left="0" w:leftChars="0" w:firstLine="482" w:firstLineChars="200"/>
              <w:outlineLvl w:val="9"/>
              <w:rPr>
                <w:rFonts w:hint="default" w:ascii="Times New Roman" w:hAnsi="Times New Roman" w:eastAsia="宋体" w:cs="Times New Roman"/>
                <w:b/>
                <w:bCs/>
                <w:color w:val="auto"/>
                <w:sz w:val="24"/>
              </w:rPr>
            </w:pPr>
            <w:r>
              <w:rPr>
                <w:rFonts w:hint="eastAsia" w:ascii="Times New Roman" w:hAnsi="Times New Roman" w:eastAsia="宋体" w:cs="Times New Roman"/>
                <w:b/>
                <w:bCs/>
                <w:color w:val="auto"/>
                <w:sz w:val="24"/>
                <w:szCs w:val="22"/>
                <w:lang w:val="en-US" w:eastAsia="zh-CN"/>
              </w:rPr>
              <w:t>（2）</w:t>
            </w:r>
            <w:r>
              <w:rPr>
                <w:rFonts w:hint="default" w:ascii="Times New Roman" w:hAnsi="Times New Roman" w:eastAsia="宋体" w:cs="Times New Roman"/>
                <w:b/>
                <w:bCs/>
                <w:color w:val="auto"/>
                <w:sz w:val="24"/>
              </w:rPr>
              <w:t>环境敏感目标调查</w:t>
            </w:r>
          </w:p>
          <w:p>
            <w:pPr>
              <w:spacing w:line="360" w:lineRule="auto"/>
              <w:ind w:firstLine="480" w:firstLineChars="200"/>
              <w:jc w:val="lef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本项目位于园区内，厂区四周均为工厂，</w:t>
            </w:r>
            <w:r>
              <w:rPr>
                <w:rFonts w:hint="default" w:ascii="Times New Roman" w:hAnsi="Times New Roman" w:eastAsia="宋体" w:cs="Times New Roman"/>
                <w:bCs/>
                <w:color w:val="auto"/>
                <w:sz w:val="24"/>
              </w:rPr>
              <w:t>项目边界周围100m范围内无</w:t>
            </w:r>
            <w:r>
              <w:rPr>
                <w:rFonts w:hint="eastAsia" w:ascii="Times New Roman" w:hAnsi="Times New Roman" w:eastAsia="宋体" w:cs="Times New Roman"/>
                <w:bCs/>
                <w:color w:val="auto"/>
                <w:sz w:val="24"/>
                <w:lang w:eastAsia="zh-CN"/>
              </w:rPr>
              <w:t>居民区、学校、</w:t>
            </w:r>
            <w:r>
              <w:rPr>
                <w:rFonts w:hint="default" w:ascii="Times New Roman" w:hAnsi="Times New Roman" w:eastAsia="宋体" w:cs="Times New Roman"/>
                <w:bCs/>
                <w:color w:val="auto"/>
                <w:sz w:val="24"/>
              </w:rPr>
              <w:t>医院、文物古迹、风景名胜区、自然保护区、水源保护区</w:t>
            </w:r>
            <w:r>
              <w:rPr>
                <w:rFonts w:hint="default" w:ascii="Times New Roman" w:hAnsi="Times New Roman" w:eastAsia="宋体" w:cs="Times New Roman"/>
                <w:color w:val="auto"/>
                <w:sz w:val="24"/>
              </w:rPr>
              <w:t>。</w:t>
            </w:r>
            <w:r>
              <w:rPr>
                <w:rFonts w:hint="default" w:ascii="Times New Roman" w:hAnsi="Times New Roman" w:eastAsia="宋体" w:cs="Times New Roman"/>
                <w:bCs/>
                <w:color w:val="auto"/>
                <w:sz w:val="24"/>
              </w:rPr>
              <w:t>本</w:t>
            </w:r>
            <w:r>
              <w:rPr>
                <w:rFonts w:hint="default" w:ascii="Times New Roman" w:hAnsi="Times New Roman" w:eastAsia="宋体" w:cs="Times New Roman"/>
                <w:color w:val="auto"/>
                <w:sz w:val="24"/>
              </w:rPr>
              <w:t>项目最近的敏感点</w:t>
            </w:r>
            <w:r>
              <w:rPr>
                <w:rFonts w:hint="eastAsia" w:ascii="Times New Roman" w:hAnsi="Times New Roman" w:eastAsia="宋体" w:cs="Times New Roman"/>
                <w:color w:val="auto"/>
                <w:sz w:val="24"/>
                <w:lang w:val="en-US" w:eastAsia="zh-CN"/>
              </w:rPr>
              <w:t>为东北</w:t>
            </w:r>
            <w:r>
              <w:rPr>
                <w:rFonts w:hint="default" w:ascii="Times New Roman" w:hAnsi="Times New Roman" w:eastAsia="宋体" w:cs="Times New Roman"/>
                <w:color w:val="auto"/>
                <w:sz w:val="24"/>
              </w:rPr>
              <w:t>面</w:t>
            </w:r>
            <w:r>
              <w:rPr>
                <w:rFonts w:hint="eastAsia" w:ascii="Times New Roman" w:hAnsi="Times New Roman" w:eastAsia="宋体" w:cs="Times New Roman"/>
                <w:color w:val="auto"/>
                <w:sz w:val="24"/>
                <w:lang w:val="en-US" w:eastAsia="zh-CN"/>
              </w:rPr>
              <w:t>370</w:t>
            </w:r>
            <w:r>
              <w:rPr>
                <w:rFonts w:hint="default" w:ascii="Times New Roman" w:hAnsi="Times New Roman" w:eastAsia="宋体" w:cs="Times New Roman"/>
                <w:color w:val="auto"/>
                <w:sz w:val="24"/>
                <w:lang w:val="en-US" w:eastAsia="zh-CN"/>
              </w:rPr>
              <w:t>m的</w:t>
            </w:r>
            <w:r>
              <w:rPr>
                <w:rFonts w:hint="eastAsia" w:ascii="Times New Roman" w:hAnsi="Times New Roman" w:eastAsia="宋体" w:cs="Times New Roman"/>
                <w:color w:val="auto"/>
                <w:sz w:val="24"/>
                <w:lang w:val="en-US" w:eastAsia="zh-CN"/>
              </w:rPr>
              <w:t>付村</w:t>
            </w:r>
            <w:r>
              <w:rPr>
                <w:rFonts w:hint="default" w:ascii="Times New Roman" w:hAnsi="Times New Roman" w:eastAsia="宋体" w:cs="Times New Roman"/>
                <w:color w:val="auto"/>
                <w:sz w:val="24"/>
              </w:rPr>
              <w:t>。</w:t>
            </w:r>
          </w:p>
          <w:p>
            <w:pPr>
              <w:numPr>
                <w:ilvl w:val="-1"/>
                <w:numId w:val="0"/>
              </w:numPr>
              <w:spacing w:line="360" w:lineRule="auto"/>
              <w:ind w:left="480" w:leftChars="0" w:firstLine="0" w:firstLineChars="0"/>
              <w:outlineLvl w:val="9"/>
              <w:rPr>
                <w:rFonts w:hint="default" w:ascii="Times New Roman" w:hAnsi="Times New Roman" w:eastAsia="宋体" w:cs="Times New Roman"/>
                <w:b/>
                <w:bCs/>
                <w:color w:val="auto"/>
                <w:sz w:val="24"/>
              </w:rPr>
            </w:pPr>
            <w:r>
              <w:rPr>
                <w:rFonts w:hint="eastAsia" w:ascii="Times New Roman" w:hAnsi="Times New Roman" w:eastAsia="宋体" w:cs="Times New Roman"/>
                <w:b/>
                <w:bCs/>
                <w:color w:val="auto"/>
                <w:sz w:val="24"/>
                <w:lang w:val="en-US" w:eastAsia="zh-CN"/>
              </w:rPr>
              <w:t>（3）</w:t>
            </w:r>
            <w:r>
              <w:rPr>
                <w:rFonts w:hint="default" w:ascii="Times New Roman" w:hAnsi="Times New Roman" w:eastAsia="宋体" w:cs="Times New Roman"/>
                <w:b/>
                <w:bCs/>
                <w:color w:val="auto"/>
                <w:sz w:val="24"/>
              </w:rPr>
              <w:t>环境风险识别</w:t>
            </w:r>
          </w:p>
          <w:p>
            <w:pPr>
              <w:spacing w:line="360" w:lineRule="auto"/>
              <w:ind w:firstLine="480" w:firstLineChars="200"/>
              <w:jc w:val="lef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本项目风险物质储存量较小，未构成重大危险源，环境风险识别见下表。</w:t>
            </w:r>
          </w:p>
          <w:p>
            <w:pPr>
              <w:widowControl w:val="0"/>
              <w:spacing w:line="360" w:lineRule="auto"/>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表4-</w:t>
            </w:r>
            <w:r>
              <w:rPr>
                <w:rFonts w:hint="eastAsia" w:ascii="Times New Roman" w:hAnsi="Times New Roman" w:eastAsia="宋体" w:cs="Times New Roman"/>
                <w:b/>
                <w:bCs/>
                <w:color w:val="auto"/>
                <w:kern w:val="2"/>
                <w:sz w:val="21"/>
                <w:szCs w:val="21"/>
                <w:lang w:val="en-US" w:eastAsia="zh-CN" w:bidi="ar-SA"/>
              </w:rPr>
              <w:t>1</w:t>
            </w:r>
            <w:r>
              <w:rPr>
                <w:rFonts w:hint="eastAsia" w:cs="Times New Roman"/>
                <w:b/>
                <w:bCs/>
                <w:color w:val="auto"/>
                <w:kern w:val="2"/>
                <w:sz w:val="21"/>
                <w:szCs w:val="21"/>
                <w:lang w:val="en-US" w:eastAsia="zh-CN" w:bidi="ar-SA"/>
              </w:rPr>
              <w:t>5</w:t>
            </w:r>
            <w:r>
              <w:rPr>
                <w:rFonts w:hint="default" w:ascii="Times New Roman" w:hAnsi="Times New Roman" w:eastAsia="宋体" w:cs="Times New Roman"/>
                <w:b/>
                <w:bCs/>
                <w:color w:val="auto"/>
                <w:kern w:val="2"/>
                <w:sz w:val="21"/>
                <w:szCs w:val="21"/>
                <w:lang w:val="en-US" w:eastAsia="zh-CN" w:bidi="ar-SA"/>
              </w:rPr>
              <w:t xml:space="preserve"> 建设项目环境风险识别表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1305"/>
              <w:gridCol w:w="1672"/>
              <w:gridCol w:w="1963"/>
              <w:gridCol w:w="1318"/>
              <w:gridCol w:w="1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662" w:type="dxa"/>
                  <w:vAlign w:val="center"/>
                </w:tcPr>
                <w:p>
                  <w:pPr>
                    <w:pStyle w:val="154"/>
                    <w:rPr>
                      <w:rFonts w:hint="default" w:ascii="Times New Roman" w:hAnsi="Times New Roman" w:cs="Times New Roman"/>
                      <w:b/>
                      <w:bCs/>
                      <w:color w:val="auto"/>
                    </w:rPr>
                  </w:pPr>
                  <w:r>
                    <w:rPr>
                      <w:rFonts w:hint="default" w:ascii="Times New Roman" w:hAnsi="Times New Roman" w:cs="Times New Roman"/>
                      <w:b/>
                      <w:bCs/>
                      <w:color w:val="auto"/>
                    </w:rPr>
                    <w:t>危险单元</w:t>
                  </w:r>
                </w:p>
              </w:tc>
              <w:tc>
                <w:tcPr>
                  <w:tcW w:w="1305" w:type="dxa"/>
                  <w:vAlign w:val="center"/>
                </w:tcPr>
                <w:p>
                  <w:pPr>
                    <w:pStyle w:val="154"/>
                    <w:rPr>
                      <w:rFonts w:hint="default" w:ascii="Times New Roman" w:hAnsi="Times New Roman" w:cs="Times New Roman"/>
                      <w:b/>
                      <w:bCs/>
                      <w:color w:val="auto"/>
                    </w:rPr>
                  </w:pPr>
                  <w:r>
                    <w:rPr>
                      <w:rFonts w:hint="default" w:ascii="Times New Roman" w:hAnsi="Times New Roman" w:cs="Times New Roman"/>
                      <w:b/>
                      <w:bCs/>
                      <w:color w:val="auto"/>
                    </w:rPr>
                    <w:t>风险源</w:t>
                  </w:r>
                </w:p>
              </w:tc>
              <w:tc>
                <w:tcPr>
                  <w:tcW w:w="1672" w:type="dxa"/>
                  <w:vAlign w:val="center"/>
                </w:tcPr>
                <w:p>
                  <w:pPr>
                    <w:pStyle w:val="154"/>
                    <w:rPr>
                      <w:rFonts w:hint="default" w:ascii="Times New Roman" w:hAnsi="Times New Roman" w:cs="Times New Roman"/>
                      <w:b/>
                      <w:bCs/>
                      <w:color w:val="auto"/>
                    </w:rPr>
                  </w:pPr>
                  <w:r>
                    <w:rPr>
                      <w:rFonts w:hint="default" w:ascii="Times New Roman" w:hAnsi="Times New Roman" w:cs="Times New Roman"/>
                      <w:b/>
                      <w:bCs/>
                      <w:color w:val="auto"/>
                    </w:rPr>
                    <w:t>主要危险物质</w:t>
                  </w:r>
                </w:p>
              </w:tc>
              <w:tc>
                <w:tcPr>
                  <w:tcW w:w="1963" w:type="dxa"/>
                  <w:vAlign w:val="center"/>
                </w:tcPr>
                <w:p>
                  <w:pPr>
                    <w:pStyle w:val="154"/>
                    <w:rPr>
                      <w:rFonts w:hint="default" w:ascii="Times New Roman" w:hAnsi="Times New Roman" w:cs="Times New Roman"/>
                      <w:b/>
                      <w:bCs/>
                      <w:color w:val="auto"/>
                    </w:rPr>
                  </w:pPr>
                  <w:r>
                    <w:rPr>
                      <w:rFonts w:hint="default" w:ascii="Times New Roman" w:hAnsi="Times New Roman" w:cs="Times New Roman"/>
                      <w:b/>
                      <w:bCs/>
                      <w:color w:val="auto"/>
                    </w:rPr>
                    <w:t>环境风险类型</w:t>
                  </w:r>
                </w:p>
              </w:tc>
              <w:tc>
                <w:tcPr>
                  <w:tcW w:w="1318" w:type="dxa"/>
                  <w:vAlign w:val="center"/>
                </w:tcPr>
                <w:p>
                  <w:pPr>
                    <w:pStyle w:val="154"/>
                    <w:rPr>
                      <w:rFonts w:hint="default" w:ascii="Times New Roman" w:hAnsi="Times New Roman" w:cs="Times New Roman"/>
                      <w:b/>
                      <w:bCs/>
                      <w:color w:val="auto"/>
                    </w:rPr>
                  </w:pPr>
                  <w:r>
                    <w:rPr>
                      <w:rFonts w:hint="default" w:ascii="Times New Roman" w:hAnsi="Times New Roman" w:cs="Times New Roman"/>
                      <w:b/>
                      <w:bCs/>
                      <w:color w:val="auto"/>
                    </w:rPr>
                    <w:t>环境影响途径</w:t>
                  </w:r>
                </w:p>
              </w:tc>
              <w:tc>
                <w:tcPr>
                  <w:tcW w:w="1118" w:type="dxa"/>
                  <w:vAlign w:val="center"/>
                </w:tcPr>
                <w:p>
                  <w:pPr>
                    <w:pStyle w:val="154"/>
                    <w:rPr>
                      <w:rFonts w:hint="default" w:ascii="Times New Roman" w:hAnsi="Times New Roman" w:cs="Times New Roman"/>
                      <w:b/>
                      <w:bCs/>
                      <w:color w:val="auto"/>
                    </w:rPr>
                  </w:pPr>
                  <w:r>
                    <w:rPr>
                      <w:rFonts w:hint="default" w:ascii="Times New Roman" w:hAnsi="Times New Roman" w:cs="Times New Roman"/>
                      <w:b/>
                      <w:bCs/>
                      <w:color w:val="auto"/>
                    </w:rPr>
                    <w:t>可能受影响的环境敏感目标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2" w:type="dxa"/>
                  <w:vMerge w:val="restart"/>
                  <w:vAlign w:val="center"/>
                </w:tcPr>
                <w:p>
                  <w:pPr>
                    <w:pStyle w:val="154"/>
                    <w:rPr>
                      <w:rFonts w:hint="default" w:ascii="Times New Roman" w:hAnsi="Times New Roman" w:cs="Times New Roman"/>
                      <w:color w:val="auto"/>
                    </w:rPr>
                  </w:pPr>
                  <w:r>
                    <w:rPr>
                      <w:rFonts w:hint="default" w:ascii="Times New Roman" w:hAnsi="Times New Roman" w:cs="Times New Roman"/>
                      <w:color w:val="auto"/>
                    </w:rPr>
                    <w:t>生产单元</w:t>
                  </w:r>
                </w:p>
              </w:tc>
              <w:tc>
                <w:tcPr>
                  <w:tcW w:w="1305" w:type="dxa"/>
                  <w:vAlign w:val="center"/>
                </w:tcPr>
                <w:p>
                  <w:pPr>
                    <w:pStyle w:val="154"/>
                    <w:rPr>
                      <w:rFonts w:hint="default" w:ascii="Times New Roman" w:hAnsi="Times New Roman" w:eastAsia="宋体" w:cs="Times New Roman"/>
                      <w:color w:val="auto"/>
                      <w:lang w:val="en-US" w:eastAsia="zh-CN"/>
                    </w:rPr>
                  </w:pPr>
                  <w:r>
                    <w:rPr>
                      <w:rFonts w:hint="eastAsia" w:cs="Times New Roman"/>
                      <w:color w:val="auto"/>
                      <w:lang w:val="en-US" w:eastAsia="zh-CN"/>
                    </w:rPr>
                    <w:t>生产车间、研发车间、宿舍楼</w:t>
                  </w:r>
                </w:p>
              </w:tc>
              <w:tc>
                <w:tcPr>
                  <w:tcW w:w="1672" w:type="dxa"/>
                  <w:vAlign w:val="center"/>
                </w:tcPr>
                <w:p>
                  <w:pPr>
                    <w:pStyle w:val="154"/>
                    <w:rPr>
                      <w:rFonts w:hint="default" w:ascii="Times New Roman" w:hAnsi="Times New Roman" w:cs="Times New Roman"/>
                      <w:color w:val="auto"/>
                    </w:rPr>
                  </w:pPr>
                  <w:r>
                    <w:rPr>
                      <w:rFonts w:hint="eastAsia" w:cs="Times New Roman"/>
                      <w:color w:val="auto"/>
                      <w:lang w:val="en-US" w:eastAsia="zh-CN"/>
                    </w:rPr>
                    <w:t>/</w:t>
                  </w:r>
                </w:p>
              </w:tc>
              <w:tc>
                <w:tcPr>
                  <w:tcW w:w="1963" w:type="dxa"/>
                  <w:vAlign w:val="center"/>
                </w:tcPr>
                <w:p>
                  <w:pPr>
                    <w:pStyle w:val="154"/>
                    <w:rPr>
                      <w:rFonts w:hint="default" w:ascii="Times New Roman" w:hAnsi="Times New Roman" w:cs="Times New Roman"/>
                      <w:color w:val="auto"/>
                    </w:rPr>
                  </w:pPr>
                  <w:r>
                    <w:rPr>
                      <w:rFonts w:hint="default" w:ascii="Times New Roman" w:hAnsi="Times New Roman" w:cs="Times New Roman"/>
                      <w:color w:val="auto"/>
                    </w:rPr>
                    <w:t>火灾等引发的伴生/次生污染物排放</w:t>
                  </w:r>
                </w:p>
              </w:tc>
              <w:tc>
                <w:tcPr>
                  <w:tcW w:w="1318" w:type="dxa"/>
                  <w:vAlign w:val="center"/>
                </w:tcPr>
                <w:p>
                  <w:pPr>
                    <w:pStyle w:val="154"/>
                    <w:rPr>
                      <w:rFonts w:hint="default" w:ascii="Times New Roman" w:hAnsi="Times New Roman" w:cs="Times New Roman"/>
                      <w:color w:val="auto"/>
                    </w:rPr>
                  </w:pPr>
                  <w:r>
                    <w:rPr>
                      <w:rFonts w:hint="default" w:ascii="Times New Roman" w:hAnsi="Times New Roman" w:cs="Times New Roman"/>
                      <w:color w:val="auto"/>
                    </w:rPr>
                    <w:t>大气、地表水</w:t>
                  </w:r>
                </w:p>
              </w:tc>
              <w:tc>
                <w:tcPr>
                  <w:tcW w:w="1118" w:type="dxa"/>
                  <w:vMerge w:val="restart"/>
                  <w:vAlign w:val="center"/>
                </w:tcPr>
                <w:p>
                  <w:pPr>
                    <w:pStyle w:val="154"/>
                    <w:rPr>
                      <w:rFonts w:hint="default" w:cs="Times New Roman"/>
                      <w:color w:val="auto"/>
                      <w:lang w:val="en-US" w:eastAsia="zh-CN"/>
                    </w:rPr>
                  </w:pPr>
                  <w:r>
                    <w:rPr>
                      <w:rFonts w:hint="eastAsia" w:cs="Times New Roman"/>
                      <w:color w:val="auto"/>
                      <w:lang w:val="en-US" w:eastAsia="zh-CN"/>
                    </w:rPr>
                    <w:t>付村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2" w:type="dxa"/>
                  <w:vMerge w:val="continue"/>
                  <w:vAlign w:val="center"/>
                </w:tcPr>
                <w:p>
                  <w:pPr>
                    <w:pStyle w:val="154"/>
                    <w:rPr>
                      <w:rFonts w:hint="default" w:ascii="Times New Roman" w:hAnsi="Times New Roman" w:cs="Times New Roman"/>
                      <w:color w:val="auto"/>
                    </w:rPr>
                  </w:pPr>
                </w:p>
              </w:tc>
              <w:tc>
                <w:tcPr>
                  <w:tcW w:w="1305" w:type="dxa"/>
                  <w:vAlign w:val="center"/>
                </w:tcPr>
                <w:p>
                  <w:pPr>
                    <w:pStyle w:val="154"/>
                    <w:rPr>
                      <w:rFonts w:hint="eastAsia" w:cs="Times New Roman"/>
                      <w:color w:val="auto"/>
                      <w:lang w:val="en-US" w:eastAsia="zh-CN"/>
                    </w:rPr>
                  </w:pPr>
                  <w:r>
                    <w:rPr>
                      <w:rFonts w:hint="eastAsia" w:cs="Times New Roman"/>
                      <w:color w:val="auto"/>
                      <w:lang w:val="en-US" w:eastAsia="zh-CN"/>
                    </w:rPr>
                    <w:t>危废暂存间</w:t>
                  </w:r>
                </w:p>
              </w:tc>
              <w:tc>
                <w:tcPr>
                  <w:tcW w:w="1672" w:type="dxa"/>
                  <w:vAlign w:val="center"/>
                </w:tcPr>
                <w:p>
                  <w:pPr>
                    <w:pStyle w:val="154"/>
                    <w:rPr>
                      <w:rFonts w:hint="default" w:cs="Times New Roman"/>
                      <w:color w:val="auto"/>
                      <w:lang w:val="en-US" w:eastAsia="zh-CN"/>
                    </w:rPr>
                  </w:pPr>
                  <w:r>
                    <w:rPr>
                      <w:rFonts w:hint="eastAsia" w:cs="Times New Roman"/>
                      <w:color w:val="auto"/>
                      <w:lang w:eastAsia="zh-CN"/>
                    </w:rPr>
                    <w:t>废</w:t>
                  </w:r>
                  <w:r>
                    <w:rPr>
                      <w:rFonts w:hint="eastAsia" w:cs="Times New Roman"/>
                      <w:color w:val="auto"/>
                      <w:lang w:val="en-US" w:eastAsia="zh-CN"/>
                    </w:rPr>
                    <w:t>活性炭</w:t>
                  </w:r>
                </w:p>
              </w:tc>
              <w:tc>
                <w:tcPr>
                  <w:tcW w:w="1963" w:type="dxa"/>
                  <w:vAlign w:val="center"/>
                </w:tcPr>
                <w:p>
                  <w:pPr>
                    <w:pStyle w:val="154"/>
                    <w:rPr>
                      <w:rFonts w:hint="default" w:ascii="Times New Roman" w:hAnsi="Times New Roman" w:cs="Times New Roman"/>
                      <w:color w:val="auto"/>
                    </w:rPr>
                  </w:pPr>
                  <w:r>
                    <w:rPr>
                      <w:rFonts w:hint="default" w:ascii="Times New Roman" w:hAnsi="Times New Roman" w:cs="Times New Roman"/>
                      <w:color w:val="auto"/>
                    </w:rPr>
                    <w:t>泄漏、火灾等引发的伴生/次生污染物排放</w:t>
                  </w:r>
                </w:p>
              </w:tc>
              <w:tc>
                <w:tcPr>
                  <w:tcW w:w="1318" w:type="dxa"/>
                  <w:vAlign w:val="center"/>
                </w:tcPr>
                <w:p>
                  <w:pPr>
                    <w:pStyle w:val="154"/>
                    <w:rPr>
                      <w:rFonts w:hint="default" w:ascii="Times New Roman" w:hAnsi="Times New Roman" w:cs="Times New Roman"/>
                      <w:color w:val="auto"/>
                    </w:rPr>
                  </w:pPr>
                  <w:r>
                    <w:rPr>
                      <w:rFonts w:hint="default" w:ascii="Times New Roman" w:hAnsi="Times New Roman" w:cs="Times New Roman"/>
                      <w:color w:val="auto"/>
                    </w:rPr>
                    <w:t>大气、地表水</w:t>
                  </w:r>
                </w:p>
              </w:tc>
              <w:tc>
                <w:tcPr>
                  <w:tcW w:w="1118" w:type="dxa"/>
                  <w:vMerge w:val="continue"/>
                  <w:vAlign w:val="center"/>
                </w:tcPr>
                <w:p>
                  <w:pPr>
                    <w:pStyle w:val="154"/>
                    <w:rPr>
                      <w:rFonts w:hint="eastAsia" w:cs="Times New Roman"/>
                      <w:color w:val="auto"/>
                      <w:lang w:eastAsia="zh-CN"/>
                    </w:rPr>
                  </w:pPr>
                </w:p>
              </w:tc>
            </w:tr>
          </w:tbl>
          <w:p>
            <w:pPr>
              <w:keepNext w:val="0"/>
              <w:keepLines w:val="0"/>
              <w:pageBreakBefore w:val="0"/>
              <w:widowControl w:val="0"/>
              <w:numPr>
                <w:ilvl w:val="-1"/>
                <w:numId w:val="0"/>
              </w:numPr>
              <w:kinsoku/>
              <w:wordWrap/>
              <w:overflowPunct/>
              <w:topLinePunct w:val="0"/>
              <w:autoSpaceDE/>
              <w:autoSpaceDN/>
              <w:bidi w:val="0"/>
              <w:adjustRightInd/>
              <w:snapToGrid/>
              <w:spacing w:before="313" w:beforeLines="100" w:line="360" w:lineRule="auto"/>
              <w:ind w:left="482" w:leftChars="0" w:firstLine="0" w:firstLineChars="0"/>
              <w:textAlignment w:val="auto"/>
              <w:outlineLvl w:val="9"/>
              <w:rPr>
                <w:rFonts w:hint="default" w:ascii="Times New Roman" w:hAnsi="Times New Roman" w:eastAsia="宋体" w:cs="Times New Roman"/>
                <w:b/>
                <w:bCs/>
                <w:color w:val="auto"/>
                <w:sz w:val="24"/>
              </w:rPr>
            </w:pPr>
            <w:r>
              <w:rPr>
                <w:rFonts w:hint="eastAsia" w:ascii="Times New Roman" w:hAnsi="Times New Roman" w:eastAsia="宋体" w:cs="Times New Roman"/>
                <w:b/>
                <w:bCs/>
                <w:color w:val="auto"/>
                <w:sz w:val="24"/>
                <w:lang w:val="en-US" w:eastAsia="zh-CN"/>
              </w:rPr>
              <w:t>（4）</w:t>
            </w:r>
            <w:r>
              <w:rPr>
                <w:rFonts w:hint="default" w:ascii="Times New Roman" w:hAnsi="Times New Roman" w:eastAsia="宋体" w:cs="Times New Roman"/>
                <w:b/>
                <w:bCs/>
                <w:color w:val="auto"/>
                <w:sz w:val="24"/>
              </w:rPr>
              <w:t>环境风险分析</w:t>
            </w:r>
          </w:p>
          <w:p>
            <w:pPr>
              <w:spacing w:line="360" w:lineRule="auto"/>
              <w:ind w:left="-2" w:leftChars="0" w:firstLine="482" w:firstLineChars="0"/>
              <w:outlineLvl w:val="9"/>
              <w:rPr>
                <w:rFonts w:hint="default" w:ascii="Times New Roman" w:hAnsi="Times New Roman" w:eastAsia="宋体" w:cs="Times New Roman"/>
                <w:color w:val="auto"/>
                <w:sz w:val="24"/>
              </w:rPr>
            </w:pPr>
            <w:r>
              <w:rPr>
                <w:rFonts w:hint="eastAsia" w:ascii="Times New Roman" w:hAnsi="Times New Roman" w:eastAsia="宋体" w:cs="Times New Roman"/>
                <w:color w:val="auto"/>
                <w:sz w:val="24"/>
                <w:lang w:val="en-US" w:eastAsia="zh-CN"/>
              </w:rPr>
              <w:t>a.</w:t>
            </w:r>
            <w:r>
              <w:rPr>
                <w:rFonts w:hint="default" w:ascii="Times New Roman" w:hAnsi="Times New Roman" w:eastAsia="宋体" w:cs="Times New Roman"/>
                <w:color w:val="auto"/>
                <w:sz w:val="24"/>
              </w:rPr>
              <w:t>大气环境风险分析</w:t>
            </w:r>
          </w:p>
          <w:p>
            <w:pPr>
              <w:widowControl/>
              <w:spacing w:line="360" w:lineRule="auto"/>
              <w:ind w:firstLine="48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危险物质</w:t>
            </w:r>
            <w:r>
              <w:rPr>
                <w:rFonts w:hint="eastAsia" w:ascii="Times New Roman" w:hAnsi="Times New Roman" w:eastAsia="宋体" w:cs="Times New Roman"/>
                <w:color w:val="auto"/>
                <w:sz w:val="24"/>
                <w:lang w:eastAsia="zh-CN"/>
              </w:rPr>
              <w:t>废</w:t>
            </w:r>
            <w:r>
              <w:rPr>
                <w:rFonts w:hint="eastAsia" w:ascii="Times New Roman" w:hAnsi="Times New Roman" w:eastAsia="宋体" w:cs="Times New Roman"/>
                <w:color w:val="auto"/>
                <w:sz w:val="24"/>
                <w:lang w:val="en-US" w:eastAsia="zh-CN"/>
              </w:rPr>
              <w:t>活性炭</w:t>
            </w:r>
            <w:r>
              <w:rPr>
                <w:rFonts w:hint="eastAsia" w:ascii="Times New Roman" w:hAnsi="Times New Roman" w:eastAsia="宋体" w:cs="Times New Roman"/>
                <w:color w:val="auto"/>
                <w:sz w:val="24"/>
                <w:lang w:eastAsia="zh-CN"/>
              </w:rPr>
              <w:t>等</w:t>
            </w:r>
            <w:r>
              <w:rPr>
                <w:rFonts w:hint="default" w:ascii="Times New Roman" w:hAnsi="Times New Roman" w:eastAsia="宋体" w:cs="Times New Roman"/>
                <w:color w:val="auto"/>
                <w:kern w:val="0"/>
                <w:sz w:val="24"/>
              </w:rPr>
              <w:t>在运输、装卸、储存和使用过程中发生泄漏、火灾，有毒有害物质在高温情况下散发到空气中，泄漏的物料、物料燃烧产生的次生污染物将对周边的环境空气带来较为严重的污染甚至对人群健康造成危害。</w:t>
            </w:r>
          </w:p>
          <w:p>
            <w:pPr>
              <w:spacing w:line="360" w:lineRule="auto"/>
              <w:ind w:left="-2" w:leftChars="0" w:firstLine="482" w:firstLineChars="0"/>
              <w:outlineLvl w:val="9"/>
              <w:rPr>
                <w:rFonts w:hint="default" w:ascii="Times New Roman" w:hAnsi="Times New Roman" w:eastAsia="宋体" w:cs="Times New Roman"/>
                <w:color w:val="auto"/>
                <w:sz w:val="24"/>
              </w:rPr>
            </w:pPr>
            <w:r>
              <w:rPr>
                <w:rFonts w:hint="eastAsia" w:ascii="Times New Roman" w:hAnsi="Times New Roman" w:eastAsia="宋体" w:cs="Times New Roman"/>
                <w:color w:val="auto"/>
                <w:sz w:val="24"/>
                <w:lang w:val="en-US" w:eastAsia="zh-CN"/>
              </w:rPr>
              <w:t>b.</w:t>
            </w:r>
            <w:r>
              <w:rPr>
                <w:rFonts w:hint="default" w:ascii="Times New Roman" w:hAnsi="Times New Roman" w:eastAsia="宋体" w:cs="Times New Roman"/>
                <w:color w:val="auto"/>
                <w:sz w:val="24"/>
              </w:rPr>
              <w:t>地表水环境风险分析</w:t>
            </w:r>
          </w:p>
          <w:p>
            <w:pPr>
              <w:widowControl/>
              <w:spacing w:line="360" w:lineRule="auto"/>
              <w:ind w:firstLine="480"/>
              <w:rPr>
                <w:rFonts w:hint="default" w:ascii="Times New Roman" w:hAnsi="Times New Roman" w:eastAsia="宋体" w:cs="Times New Roman"/>
                <w:color w:val="auto"/>
                <w:kern w:val="0"/>
                <w:sz w:val="24"/>
              </w:rPr>
            </w:pPr>
            <w:r>
              <w:rPr>
                <w:rFonts w:hint="default" w:ascii="Times New Roman" w:hAnsi="Times New Roman" w:eastAsia="宋体" w:cs="Times New Roman"/>
                <w:color w:val="auto"/>
                <w:kern w:val="0"/>
                <w:sz w:val="24"/>
              </w:rPr>
              <w:t>火灾等</w:t>
            </w:r>
            <w:r>
              <w:rPr>
                <w:rFonts w:hint="eastAsia" w:ascii="Times New Roman" w:hAnsi="Times New Roman" w:eastAsia="宋体" w:cs="Times New Roman"/>
                <w:color w:val="auto"/>
                <w:kern w:val="0"/>
                <w:sz w:val="24"/>
                <w:lang w:val="en-US" w:eastAsia="zh-CN"/>
              </w:rPr>
              <w:t>事故产生的事故废水</w:t>
            </w:r>
            <w:r>
              <w:rPr>
                <w:rFonts w:hint="default" w:ascii="Times New Roman" w:hAnsi="Times New Roman" w:eastAsia="宋体" w:cs="Times New Roman"/>
                <w:color w:val="auto"/>
                <w:kern w:val="0"/>
                <w:sz w:val="24"/>
              </w:rPr>
              <w:t>经地表径流或雨水管进入周边水体，严重污染河涌、水道水质，比如，液态有毒有害物质在运输、装卸、储存和使用过程中发生泄漏，对地表水环境带来较为严重的污染。</w:t>
            </w:r>
          </w:p>
          <w:p>
            <w:pPr>
              <w:spacing w:line="360" w:lineRule="auto"/>
              <w:ind w:firstLine="480" w:firstLineChars="200"/>
              <w:outlineLvl w:val="9"/>
              <w:rPr>
                <w:rFonts w:hint="default" w:ascii="Times New Roman" w:hAnsi="Times New Roman" w:eastAsia="宋体" w:cs="Times New Roman"/>
                <w:color w:val="auto"/>
                <w:sz w:val="24"/>
              </w:rPr>
            </w:pPr>
            <w:r>
              <w:rPr>
                <w:rFonts w:hint="eastAsia" w:ascii="Times New Roman" w:hAnsi="Times New Roman" w:eastAsia="宋体" w:cs="Times New Roman"/>
                <w:color w:val="auto"/>
                <w:sz w:val="24"/>
                <w:lang w:val="en-US" w:eastAsia="zh-CN"/>
              </w:rPr>
              <w:t>c.</w:t>
            </w:r>
            <w:r>
              <w:rPr>
                <w:rFonts w:hint="default" w:ascii="Times New Roman" w:hAnsi="Times New Roman" w:eastAsia="宋体" w:cs="Times New Roman"/>
                <w:color w:val="auto"/>
                <w:sz w:val="24"/>
              </w:rPr>
              <w:t>地下水环境风险分析</w:t>
            </w:r>
          </w:p>
          <w:p>
            <w:pPr>
              <w:widowControl w:val="0"/>
              <w:wordWrap w:val="0"/>
              <w:spacing w:line="360" w:lineRule="auto"/>
              <w:ind w:firstLine="480" w:firstLineChars="200"/>
              <w:jc w:val="both"/>
              <w:rPr>
                <w:rFonts w:hint="default" w:ascii="Times New Roman" w:hAnsi="Times New Roman" w:eastAsia="宋体" w:cs="Times New Roman"/>
                <w:color w:val="auto"/>
                <w:kern w:val="0"/>
                <w:sz w:val="24"/>
                <w:szCs w:val="24"/>
                <w:lang w:val="en-US" w:eastAsia="zh-CN" w:bidi="ar-SA"/>
              </w:rPr>
            </w:pPr>
            <w:r>
              <w:rPr>
                <w:rFonts w:hint="eastAsia" w:ascii="Times New Roman" w:hAnsi="Times New Roman" w:eastAsia="宋体" w:cs="Times New Roman"/>
                <w:color w:val="auto"/>
                <w:kern w:val="0"/>
                <w:sz w:val="24"/>
                <w:szCs w:val="24"/>
                <w:lang w:val="en-US" w:eastAsia="zh-CN" w:bidi="ar-SA"/>
              </w:rPr>
              <w:t>事故废水</w:t>
            </w:r>
            <w:r>
              <w:rPr>
                <w:rFonts w:hint="default" w:ascii="Times New Roman" w:hAnsi="Times New Roman" w:eastAsia="宋体" w:cs="Times New Roman"/>
                <w:color w:val="auto"/>
                <w:kern w:val="0"/>
                <w:sz w:val="24"/>
                <w:szCs w:val="24"/>
                <w:lang w:val="en-US" w:eastAsia="zh-CN" w:bidi="ar-SA"/>
              </w:rPr>
              <w:t>通过地表下渗污染地</w:t>
            </w:r>
            <w:r>
              <w:rPr>
                <w:rFonts w:hint="default" w:ascii="Times New Roman" w:hAnsi="Times New Roman" w:eastAsia="宋体" w:cs="Times New Roman"/>
                <w:color w:val="auto"/>
                <w:kern w:val="2"/>
                <w:sz w:val="24"/>
                <w:szCs w:val="24"/>
                <w:lang w:val="en-US" w:eastAsia="zh-CN" w:bidi="ar-SA"/>
              </w:rPr>
              <w:t>下水水质，</w:t>
            </w:r>
            <w:r>
              <w:rPr>
                <w:rFonts w:hint="eastAsia" w:ascii="Times New Roman" w:hAnsi="Times New Roman" w:eastAsia="宋体" w:cs="Times New Roman"/>
                <w:color w:val="auto"/>
                <w:kern w:val="2"/>
                <w:sz w:val="24"/>
                <w:szCs w:val="24"/>
                <w:lang w:val="en-US" w:eastAsia="zh-CN" w:bidi="ar-SA"/>
              </w:rPr>
              <w:t>危险物质</w:t>
            </w:r>
            <w:r>
              <w:rPr>
                <w:rFonts w:hint="default" w:ascii="Times New Roman" w:hAnsi="Times New Roman" w:eastAsia="宋体" w:cs="Times New Roman"/>
                <w:color w:val="auto"/>
                <w:kern w:val="2"/>
                <w:sz w:val="24"/>
                <w:szCs w:val="24"/>
                <w:lang w:val="en-US" w:eastAsia="zh-CN" w:bidi="ar-SA"/>
              </w:rPr>
              <w:t>在运输、装卸、储存和使用过程中发生渗漏，危险废物暂存间防渗层损坏等。本项目已做好地面</w:t>
            </w:r>
            <w:r>
              <w:rPr>
                <w:rFonts w:hint="eastAsia" w:ascii="Times New Roman" w:hAnsi="Times New Roman" w:eastAsia="宋体" w:cs="Times New Roman"/>
                <w:color w:val="auto"/>
                <w:kern w:val="2"/>
                <w:sz w:val="24"/>
                <w:szCs w:val="24"/>
                <w:lang w:val="en-US" w:eastAsia="zh-CN" w:bidi="ar-SA"/>
              </w:rPr>
              <w:t>防渗</w:t>
            </w:r>
            <w:r>
              <w:rPr>
                <w:rFonts w:hint="default" w:ascii="Times New Roman" w:hAnsi="Times New Roman" w:eastAsia="宋体" w:cs="Times New Roman"/>
                <w:color w:val="auto"/>
                <w:kern w:val="2"/>
                <w:sz w:val="24"/>
                <w:szCs w:val="24"/>
                <w:lang w:val="en-US" w:eastAsia="zh-CN" w:bidi="ar-SA"/>
              </w:rPr>
              <w:t>措施，因此不存在地下水环境风险。</w:t>
            </w:r>
          </w:p>
          <w:p>
            <w:pPr>
              <w:spacing w:line="360" w:lineRule="auto"/>
              <w:ind w:firstLine="482" w:firstLineChars="200"/>
              <w:outlineLvl w:val="9"/>
              <w:rPr>
                <w:rFonts w:hint="default" w:ascii="Times New Roman" w:hAnsi="Times New Roman" w:eastAsia="宋体" w:cs="Times New Roman"/>
                <w:b/>
                <w:bCs/>
                <w:color w:val="auto"/>
                <w:sz w:val="24"/>
              </w:rPr>
            </w:pPr>
            <w:r>
              <w:rPr>
                <w:rFonts w:hint="eastAsia" w:ascii="Times New Roman" w:hAnsi="Times New Roman" w:eastAsia="宋体" w:cs="Times New Roman"/>
                <w:b/>
                <w:bCs/>
                <w:color w:val="auto"/>
                <w:sz w:val="24"/>
                <w:lang w:val="en-US" w:eastAsia="zh-CN"/>
              </w:rPr>
              <w:t>（5）</w:t>
            </w:r>
            <w:r>
              <w:rPr>
                <w:rFonts w:hint="default" w:ascii="Times New Roman" w:hAnsi="Times New Roman" w:eastAsia="宋体" w:cs="Times New Roman"/>
                <w:b/>
                <w:bCs/>
                <w:color w:val="auto"/>
                <w:sz w:val="24"/>
              </w:rPr>
              <w:t>环境风险防范措施及应急要求</w:t>
            </w:r>
          </w:p>
          <w:p>
            <w:pPr>
              <w:spacing w:line="360" w:lineRule="auto"/>
              <w:ind w:firstLine="480" w:firstLineChars="200"/>
              <w:outlineLvl w:val="9"/>
              <w:rPr>
                <w:rFonts w:hint="eastAsia" w:ascii="Times New Roman" w:hAnsi="Times New Roman" w:eastAsia="宋体" w:cs="Times New Roman"/>
                <w:color w:val="auto"/>
                <w:sz w:val="24"/>
                <w:lang w:eastAsia="zh-CN"/>
              </w:rPr>
            </w:pPr>
            <w:r>
              <w:rPr>
                <w:rFonts w:hint="default" w:ascii="Times New Roman" w:hAnsi="Times New Roman" w:eastAsia="宋体" w:cs="Times New Roman"/>
                <w:color w:val="auto"/>
                <w:sz w:val="24"/>
              </w:rPr>
              <w:t>①严格执行安监、消防等相关规范，从总图布置和建筑安全方面进行风险防范，预留疏散通道或安置场所</w:t>
            </w:r>
            <w:r>
              <w:rPr>
                <w:rFonts w:hint="eastAsia" w:ascii="Times New Roman" w:hAnsi="Times New Roman" w:eastAsia="宋体" w:cs="Times New Roman"/>
                <w:color w:val="auto"/>
                <w:sz w:val="24"/>
                <w:lang w:eastAsia="zh-CN"/>
              </w:rPr>
              <w:t>；</w:t>
            </w:r>
          </w:p>
          <w:p>
            <w:pPr>
              <w:spacing w:line="360" w:lineRule="auto"/>
              <w:ind w:firstLine="480" w:firstLineChars="200"/>
              <w:outlineLvl w:val="9"/>
              <w:rPr>
                <w:rFonts w:hint="eastAsia" w:ascii="Times New Roman" w:hAnsi="Times New Roman" w:eastAsia="宋体" w:cs="Times New Roman"/>
                <w:color w:val="auto"/>
                <w:sz w:val="24"/>
                <w:lang w:eastAsia="zh-CN"/>
              </w:rPr>
            </w:pPr>
            <w:r>
              <w:rPr>
                <w:rFonts w:hint="default" w:ascii="Times New Roman" w:hAnsi="Times New Roman" w:eastAsia="宋体" w:cs="Times New Roman"/>
                <w:color w:val="auto"/>
                <w:sz w:val="24"/>
              </w:rPr>
              <w:t>②减少危险化学品、危险废物的储存量，改善储存条件，多方面降低风险程度</w:t>
            </w:r>
            <w:r>
              <w:rPr>
                <w:rFonts w:hint="eastAsia" w:ascii="Times New Roman" w:hAnsi="Times New Roman" w:eastAsia="宋体" w:cs="Times New Roman"/>
                <w:color w:val="auto"/>
                <w:sz w:val="24"/>
                <w:lang w:eastAsia="zh-CN"/>
              </w:rPr>
              <w:t>；</w:t>
            </w:r>
          </w:p>
          <w:p>
            <w:pPr>
              <w:spacing w:line="360" w:lineRule="auto"/>
              <w:ind w:firstLine="480" w:firstLineChars="200"/>
              <w:outlineLvl w:val="9"/>
              <w:rPr>
                <w:rFonts w:hint="eastAsia" w:ascii="Times New Roman" w:hAnsi="Times New Roman" w:eastAsia="宋体" w:cs="Times New Roman"/>
                <w:color w:val="auto"/>
                <w:sz w:val="24"/>
                <w:lang w:eastAsia="zh-CN"/>
              </w:rPr>
            </w:pPr>
            <w:r>
              <w:rPr>
                <w:rFonts w:hint="default" w:ascii="Times New Roman" w:hAnsi="Times New Roman" w:eastAsia="宋体" w:cs="Times New Roman"/>
                <w:color w:val="auto"/>
                <w:sz w:val="24"/>
              </w:rPr>
              <w:t>③加强日常管理，降低管理失误而出现的风险事故，提高员工规范性操作水平，减少误操作引发的风险事故</w:t>
            </w:r>
            <w:r>
              <w:rPr>
                <w:rFonts w:hint="eastAsia" w:ascii="Times New Roman" w:hAnsi="Times New Roman" w:eastAsia="宋体" w:cs="Times New Roman"/>
                <w:color w:val="auto"/>
                <w:sz w:val="24"/>
                <w:lang w:eastAsia="zh-CN"/>
              </w:rPr>
              <w:t>；</w:t>
            </w:r>
          </w:p>
          <w:p>
            <w:pPr>
              <w:spacing w:line="360" w:lineRule="auto"/>
              <w:ind w:firstLine="480" w:firstLineChars="200"/>
              <w:outlineLvl w:val="9"/>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④根据贮存的相关要求进行贮存、使用，设置满足要求的围堰区。遵循</w:t>
            </w:r>
            <w:r>
              <w:rPr>
                <w:rFonts w:hint="eastAsia"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源头控制，分区防渗</w:t>
            </w:r>
            <w:r>
              <w:rPr>
                <w:rFonts w:hint="eastAsia" w:ascii="Times New Roman" w:hAnsi="Times New Roman" w:eastAsia="宋体" w:cs="Times New Roman"/>
                <w:color w:val="auto"/>
                <w:sz w:val="24"/>
                <w:lang w:eastAsia="zh-CN"/>
              </w:rPr>
              <w:t>”</w:t>
            </w:r>
            <w:r>
              <w:rPr>
                <w:rFonts w:hint="default" w:ascii="Times New Roman" w:hAnsi="Times New Roman" w:eastAsia="宋体" w:cs="Times New Roman"/>
                <w:color w:val="auto"/>
                <w:sz w:val="24"/>
              </w:rPr>
              <w:t>的原则，做好车间、危废暂存间的防渗措施，满足相应标准要求。</w:t>
            </w:r>
          </w:p>
          <w:p>
            <w:pPr>
              <w:spacing w:line="360" w:lineRule="auto"/>
              <w:ind w:firstLine="482" w:firstLineChars="200"/>
              <w:rPr>
                <w:b/>
                <w:bCs/>
                <w:color w:val="auto"/>
                <w:sz w:val="24"/>
              </w:rPr>
            </w:pPr>
            <w:r>
              <w:rPr>
                <w:b/>
                <w:bCs/>
                <w:color w:val="auto"/>
                <w:sz w:val="24"/>
              </w:rPr>
              <w:t>（</w:t>
            </w:r>
            <w:r>
              <w:rPr>
                <w:rFonts w:hint="eastAsia"/>
                <w:b/>
                <w:bCs/>
                <w:color w:val="auto"/>
                <w:sz w:val="24"/>
                <w:lang w:val="en-US" w:eastAsia="zh-CN"/>
              </w:rPr>
              <w:t>6</w:t>
            </w:r>
            <w:r>
              <w:rPr>
                <w:b/>
                <w:bCs/>
                <w:color w:val="auto"/>
                <w:sz w:val="24"/>
              </w:rPr>
              <w:t>）</w:t>
            </w:r>
            <w:r>
              <w:rPr>
                <w:rFonts w:hint="eastAsia"/>
                <w:b/>
                <w:bCs/>
                <w:color w:val="auto"/>
                <w:sz w:val="24"/>
              </w:rPr>
              <w:t>环境风险分析小结与建议</w:t>
            </w:r>
          </w:p>
          <w:p>
            <w:pPr>
              <w:spacing w:line="360" w:lineRule="auto"/>
              <w:ind w:firstLine="480" w:firstLineChars="200"/>
              <w:rPr>
                <w:color w:val="auto"/>
                <w:sz w:val="24"/>
              </w:rPr>
            </w:pPr>
            <w:r>
              <w:rPr>
                <w:rFonts w:hint="default"/>
                <w:color w:val="auto"/>
                <w:sz w:val="24"/>
              </w:rPr>
              <w:t>本项目的风险物质数量较少，泄漏、火灾、爆炸等事故发生概率较低，物质泄漏、火灾、爆炸等事故下引发的伴生/次生污染物排放的风险隐患较低，环境风险潜势为Ⅰ，在落实上述防范措施后，生产过程的环境风险总体可控。</w:t>
            </w:r>
            <w:r>
              <w:rPr>
                <w:color w:val="auto"/>
                <w:sz w:val="24"/>
              </w:rPr>
              <w:t>环境风险简单分析内容如表</w:t>
            </w:r>
            <w:r>
              <w:rPr>
                <w:rFonts w:hint="eastAsia"/>
                <w:color w:val="auto"/>
                <w:sz w:val="24"/>
                <w:lang w:val="en-US" w:eastAsia="zh-CN"/>
              </w:rPr>
              <w:t>4-16</w:t>
            </w:r>
            <w:r>
              <w:rPr>
                <w:color w:val="auto"/>
                <w:sz w:val="24"/>
              </w:rPr>
              <w:t>所示。</w:t>
            </w:r>
          </w:p>
          <w:p>
            <w:pPr>
              <w:jc w:val="center"/>
              <w:rPr>
                <w:b/>
                <w:color w:val="auto"/>
                <w:sz w:val="24"/>
              </w:rPr>
            </w:pPr>
            <w:r>
              <w:rPr>
                <w:b/>
                <w:color w:val="auto"/>
                <w:sz w:val="24"/>
              </w:rPr>
              <w:t>表</w:t>
            </w:r>
            <w:r>
              <w:rPr>
                <w:rFonts w:hint="eastAsia"/>
                <w:b/>
                <w:color w:val="auto"/>
                <w:sz w:val="24"/>
                <w:lang w:val="en-US" w:eastAsia="zh-CN"/>
              </w:rPr>
              <w:t>4-16</w:t>
            </w:r>
            <w:r>
              <w:rPr>
                <w:b/>
                <w:color w:val="auto"/>
                <w:sz w:val="24"/>
              </w:rPr>
              <w:t xml:space="preserve"> 建设项目环境风险简单分析内容表</w:t>
            </w:r>
          </w:p>
          <w:tbl>
            <w:tblPr>
              <w:tblStyle w:val="28"/>
              <w:tblW w:w="4996"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008"/>
              <w:gridCol w:w="938"/>
              <w:gridCol w:w="1908"/>
              <w:gridCol w:w="762"/>
              <w:gridCol w:w="230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67" w:type="pct"/>
                  <w:tcBorders>
                    <w:tl2br w:val="nil"/>
                    <w:tr2bl w:val="nil"/>
                  </w:tcBorders>
                  <w:vAlign w:val="center"/>
                </w:tcPr>
                <w:p>
                  <w:pPr>
                    <w:jc w:val="center"/>
                    <w:rPr>
                      <w:color w:val="auto"/>
                      <w:szCs w:val="21"/>
                    </w:rPr>
                  </w:pPr>
                  <w:r>
                    <w:rPr>
                      <w:color w:val="auto"/>
                      <w:szCs w:val="21"/>
                    </w:rPr>
                    <w:t xml:space="preserve">建设项目名称 </w:t>
                  </w:r>
                </w:p>
              </w:tc>
              <w:tc>
                <w:tcPr>
                  <w:tcW w:w="3732" w:type="pct"/>
                  <w:gridSpan w:val="4"/>
                  <w:tcBorders>
                    <w:tl2br w:val="nil"/>
                    <w:tr2bl w:val="nil"/>
                  </w:tcBorders>
                  <w:vAlign w:val="center"/>
                </w:tcPr>
                <w:p>
                  <w:pPr>
                    <w:jc w:val="center"/>
                    <w:rPr>
                      <w:color w:val="auto"/>
                      <w:szCs w:val="21"/>
                    </w:rPr>
                  </w:pPr>
                  <w:r>
                    <w:rPr>
                      <w:rFonts w:hint="eastAsia"/>
                      <w:color w:val="auto"/>
                      <w:szCs w:val="21"/>
                    </w:rPr>
                    <w:t>乐昌市莞益电子科技</w:t>
                  </w:r>
                  <w:r>
                    <w:rPr>
                      <w:color w:val="auto"/>
                      <w:szCs w:val="21"/>
                    </w:rPr>
                    <w:t>项目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67" w:type="pct"/>
                  <w:tcBorders>
                    <w:tl2br w:val="nil"/>
                    <w:tr2bl w:val="nil"/>
                  </w:tcBorders>
                  <w:vAlign w:val="center"/>
                </w:tcPr>
                <w:p>
                  <w:pPr>
                    <w:jc w:val="center"/>
                    <w:rPr>
                      <w:color w:val="auto"/>
                      <w:szCs w:val="21"/>
                    </w:rPr>
                  </w:pPr>
                  <w:r>
                    <w:rPr>
                      <w:color w:val="auto"/>
                      <w:szCs w:val="21"/>
                    </w:rPr>
                    <w:t xml:space="preserve">建设地点 </w:t>
                  </w:r>
                </w:p>
              </w:tc>
              <w:tc>
                <w:tcPr>
                  <w:tcW w:w="3732" w:type="pct"/>
                  <w:gridSpan w:val="4"/>
                  <w:tcBorders>
                    <w:tl2br w:val="nil"/>
                    <w:tr2bl w:val="nil"/>
                  </w:tcBorders>
                  <w:vAlign w:val="center"/>
                </w:tcPr>
                <w:p>
                  <w:pPr>
                    <w:jc w:val="center"/>
                    <w:rPr>
                      <w:color w:val="auto"/>
                      <w:szCs w:val="21"/>
                    </w:rPr>
                  </w:pPr>
                  <w:r>
                    <w:rPr>
                      <w:rFonts w:hint="eastAsia"/>
                      <w:color w:val="auto"/>
                      <w:szCs w:val="21"/>
                    </w:rPr>
                    <w:t>韶关市</w:t>
                  </w:r>
                  <w:r>
                    <w:rPr>
                      <w:rFonts w:hint="eastAsia"/>
                      <w:b w:val="0"/>
                      <w:bCs w:val="0"/>
                      <w:color w:val="auto"/>
                      <w:szCs w:val="21"/>
                    </w:rPr>
                    <w:t>乐昌市乐昌产业转移工业园金岭七路三号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67" w:type="pct"/>
                  <w:tcBorders>
                    <w:tl2br w:val="nil"/>
                    <w:tr2bl w:val="nil"/>
                  </w:tcBorders>
                  <w:vAlign w:val="center"/>
                </w:tcPr>
                <w:p>
                  <w:pPr>
                    <w:jc w:val="center"/>
                    <w:rPr>
                      <w:color w:val="auto"/>
                      <w:szCs w:val="21"/>
                    </w:rPr>
                  </w:pPr>
                  <w:r>
                    <w:rPr>
                      <w:color w:val="auto"/>
                      <w:szCs w:val="21"/>
                    </w:rPr>
                    <w:t xml:space="preserve">地理坐标 </w:t>
                  </w:r>
                </w:p>
              </w:tc>
              <w:tc>
                <w:tcPr>
                  <w:tcW w:w="592" w:type="pct"/>
                  <w:tcBorders>
                    <w:tl2br w:val="nil"/>
                    <w:tr2bl w:val="nil"/>
                  </w:tcBorders>
                  <w:vAlign w:val="center"/>
                </w:tcPr>
                <w:p>
                  <w:pPr>
                    <w:jc w:val="center"/>
                    <w:rPr>
                      <w:color w:val="auto"/>
                      <w:szCs w:val="21"/>
                    </w:rPr>
                  </w:pPr>
                  <w:r>
                    <w:rPr>
                      <w:color w:val="auto"/>
                      <w:szCs w:val="21"/>
                    </w:rPr>
                    <w:t>经度</w:t>
                  </w:r>
                </w:p>
              </w:tc>
              <w:tc>
                <w:tcPr>
                  <w:tcW w:w="1204" w:type="pct"/>
                  <w:tcBorders>
                    <w:tl2br w:val="nil"/>
                    <w:tr2bl w:val="nil"/>
                  </w:tcBorders>
                  <w:vAlign w:val="center"/>
                </w:tcPr>
                <w:p>
                  <w:pPr>
                    <w:pStyle w:val="23"/>
                    <w:spacing w:before="0" w:beforeAutospacing="0" w:after="0" w:afterAutospacing="0"/>
                    <w:jc w:val="center"/>
                    <w:rPr>
                      <w:rFonts w:ascii="Times New Roman" w:hAnsi="Times New Roman"/>
                      <w:color w:val="auto"/>
                      <w:sz w:val="21"/>
                      <w:szCs w:val="21"/>
                    </w:rPr>
                  </w:pPr>
                  <w:r>
                    <w:rPr>
                      <w:rFonts w:ascii="Times New Roman" w:hAnsi="Times New Roman"/>
                      <w:color w:val="auto"/>
                      <w:sz w:val="21"/>
                      <w:szCs w:val="21"/>
                    </w:rPr>
                    <w:t>113°24′58.376″E</w:t>
                  </w:r>
                </w:p>
              </w:tc>
              <w:tc>
                <w:tcPr>
                  <w:tcW w:w="481" w:type="pct"/>
                  <w:tcBorders>
                    <w:tl2br w:val="nil"/>
                    <w:tr2bl w:val="nil"/>
                  </w:tcBorders>
                  <w:vAlign w:val="center"/>
                </w:tcPr>
                <w:p>
                  <w:pPr>
                    <w:jc w:val="center"/>
                    <w:rPr>
                      <w:color w:val="auto"/>
                      <w:szCs w:val="21"/>
                    </w:rPr>
                  </w:pPr>
                  <w:r>
                    <w:rPr>
                      <w:color w:val="auto"/>
                      <w:szCs w:val="21"/>
                    </w:rPr>
                    <w:t>纬度</w:t>
                  </w:r>
                </w:p>
              </w:tc>
              <w:tc>
                <w:tcPr>
                  <w:tcW w:w="1452" w:type="pct"/>
                  <w:tcBorders>
                    <w:tl2br w:val="nil"/>
                    <w:tr2bl w:val="nil"/>
                  </w:tcBorders>
                  <w:vAlign w:val="center"/>
                </w:tcPr>
                <w:p>
                  <w:pPr>
                    <w:pStyle w:val="23"/>
                    <w:spacing w:before="0" w:beforeAutospacing="0" w:after="0" w:afterAutospacing="0"/>
                    <w:jc w:val="center"/>
                    <w:rPr>
                      <w:rFonts w:ascii="Times New Roman" w:hAnsi="Times New Roman"/>
                      <w:color w:val="auto"/>
                      <w:sz w:val="21"/>
                      <w:szCs w:val="21"/>
                    </w:rPr>
                  </w:pPr>
                  <w:r>
                    <w:rPr>
                      <w:rFonts w:ascii="Times New Roman" w:hAnsi="Times New Roman"/>
                      <w:color w:val="auto"/>
                      <w:sz w:val="21"/>
                      <w:szCs w:val="21"/>
                    </w:rPr>
                    <w:t>25°07′23.347″N</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67" w:type="pct"/>
                  <w:tcBorders>
                    <w:tl2br w:val="nil"/>
                    <w:tr2bl w:val="nil"/>
                  </w:tcBorders>
                  <w:vAlign w:val="center"/>
                </w:tcPr>
                <w:p>
                  <w:pPr>
                    <w:jc w:val="center"/>
                    <w:rPr>
                      <w:color w:val="auto"/>
                      <w:szCs w:val="21"/>
                    </w:rPr>
                  </w:pPr>
                  <w:r>
                    <w:rPr>
                      <w:color w:val="auto"/>
                      <w:szCs w:val="21"/>
                    </w:rPr>
                    <w:t>主要危险物质及分布</w:t>
                  </w:r>
                </w:p>
              </w:tc>
              <w:tc>
                <w:tcPr>
                  <w:tcW w:w="3732" w:type="pct"/>
                  <w:gridSpan w:val="4"/>
                  <w:tcBorders>
                    <w:tl2br w:val="nil"/>
                    <w:tr2bl w:val="nil"/>
                  </w:tcBorders>
                  <w:vAlign w:val="center"/>
                </w:tcPr>
                <w:p>
                  <w:pPr>
                    <w:rPr>
                      <w:color w:val="auto"/>
                      <w:szCs w:val="21"/>
                    </w:rPr>
                  </w:pPr>
                  <w:r>
                    <w:rPr>
                      <w:rFonts w:hint="eastAsia"/>
                      <w:color w:val="auto"/>
                      <w:szCs w:val="21"/>
                    </w:rPr>
                    <w:t>废活性炭暂存在危险废物暂存间内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67" w:type="pct"/>
                  <w:tcBorders>
                    <w:tl2br w:val="nil"/>
                    <w:tr2bl w:val="nil"/>
                  </w:tcBorders>
                  <w:vAlign w:val="center"/>
                </w:tcPr>
                <w:p>
                  <w:pPr>
                    <w:jc w:val="center"/>
                    <w:rPr>
                      <w:color w:val="auto"/>
                      <w:szCs w:val="21"/>
                    </w:rPr>
                  </w:pPr>
                  <w:r>
                    <w:rPr>
                      <w:color w:val="auto"/>
                      <w:szCs w:val="21"/>
                    </w:rPr>
                    <w:t>环境影响途径及危害后果</w:t>
                  </w:r>
                </w:p>
                <w:p>
                  <w:pPr>
                    <w:jc w:val="center"/>
                    <w:rPr>
                      <w:color w:val="auto"/>
                      <w:szCs w:val="21"/>
                    </w:rPr>
                  </w:pPr>
                  <w:r>
                    <w:rPr>
                      <w:color w:val="auto"/>
                      <w:szCs w:val="21"/>
                    </w:rPr>
                    <w:t>（大气、地表水、地下水等）</w:t>
                  </w:r>
                </w:p>
              </w:tc>
              <w:tc>
                <w:tcPr>
                  <w:tcW w:w="3732" w:type="pct"/>
                  <w:gridSpan w:val="4"/>
                  <w:tcBorders>
                    <w:tl2br w:val="nil"/>
                    <w:tr2bl w:val="nil"/>
                  </w:tcBorders>
                  <w:vAlign w:val="center"/>
                </w:tcPr>
                <w:p>
                  <w:pPr>
                    <w:rPr>
                      <w:color w:val="auto"/>
                      <w:szCs w:val="21"/>
                    </w:rPr>
                  </w:pPr>
                  <w:r>
                    <w:rPr>
                      <w:color w:val="auto"/>
                    </w:rPr>
                    <w:t>本项目涉及环境风险物质为</w:t>
                  </w:r>
                  <w:r>
                    <w:rPr>
                      <w:rFonts w:hint="eastAsia"/>
                      <w:color w:val="auto"/>
                    </w:rPr>
                    <w:t>废活性炭</w:t>
                  </w:r>
                  <w:r>
                    <w:rPr>
                      <w:color w:val="auto"/>
                    </w:rPr>
                    <w:t>，不涉及危险生产工艺，环境风险生产单元为危废暂存间。</w:t>
                  </w:r>
                  <w:r>
                    <w:rPr>
                      <w:color w:val="auto"/>
                      <w:szCs w:val="21"/>
                    </w:rPr>
                    <w:t>正常情况下不存在地下水和土壤污染途径。</w:t>
                  </w:r>
                </w:p>
                <w:p>
                  <w:pPr>
                    <w:rPr>
                      <w:color w:val="auto"/>
                      <w:szCs w:val="21"/>
                    </w:rPr>
                  </w:pPr>
                  <w:r>
                    <w:rPr>
                      <w:color w:val="auto"/>
                      <w:szCs w:val="21"/>
                    </w:rPr>
                    <w:t>本项目运营期可能发生的对环境影响较大的情形是</w:t>
                  </w:r>
                  <w:r>
                    <w:rPr>
                      <w:rFonts w:hint="eastAsia"/>
                      <w:color w:val="auto"/>
                    </w:rPr>
                    <w:t>危废间地面损坏</w:t>
                  </w:r>
                  <w:r>
                    <w:rPr>
                      <w:color w:val="auto"/>
                    </w:rPr>
                    <w:t>导致</w:t>
                  </w:r>
                  <w:r>
                    <w:rPr>
                      <w:rFonts w:hint="eastAsia"/>
                      <w:color w:val="auto"/>
                      <w:lang w:val="en-US" w:eastAsia="zh-CN"/>
                    </w:rPr>
                    <w:t>泄漏，火灾等引发的伴生/次生污染物排放</w:t>
                  </w:r>
                  <w:r>
                    <w:rPr>
                      <w:color w:val="auto"/>
                    </w:rPr>
                    <w:t>。本项目的</w:t>
                  </w:r>
                  <w:r>
                    <w:rPr>
                      <w:rFonts w:hint="eastAsia"/>
                      <w:color w:val="auto"/>
                    </w:rPr>
                    <w:t>废活性炭</w:t>
                  </w:r>
                  <w:r>
                    <w:rPr>
                      <w:rFonts w:hint="eastAsia"/>
                      <w:color w:val="auto"/>
                      <w:lang w:eastAsia="zh-CN"/>
                    </w:rPr>
                    <w:t>泄漏</w:t>
                  </w:r>
                  <w:r>
                    <w:rPr>
                      <w:color w:val="auto"/>
                    </w:rPr>
                    <w:t>可能会对周边</w:t>
                  </w:r>
                  <w:r>
                    <w:rPr>
                      <w:rFonts w:hint="eastAsia"/>
                      <w:color w:val="auto"/>
                      <w:lang w:val="en-US" w:eastAsia="zh-CN"/>
                    </w:rPr>
                    <w:t>地表水、</w:t>
                  </w:r>
                  <w:r>
                    <w:rPr>
                      <w:color w:val="auto"/>
                    </w:rPr>
                    <w:t>地下水和土壤造成污染，活性炭吸附装置由于设备老化、失修等原因，可能发生故障，去除效率大幅度下降，从而大大增加挥发性有机物排放量，对周边环境造成污染。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67" w:type="pct"/>
                  <w:tcBorders>
                    <w:tl2br w:val="nil"/>
                    <w:tr2bl w:val="nil"/>
                  </w:tcBorders>
                  <w:vAlign w:val="center"/>
                </w:tcPr>
                <w:p>
                  <w:pPr>
                    <w:jc w:val="center"/>
                    <w:rPr>
                      <w:color w:val="auto"/>
                      <w:szCs w:val="21"/>
                    </w:rPr>
                  </w:pPr>
                  <w:r>
                    <w:rPr>
                      <w:color w:val="auto"/>
                      <w:szCs w:val="21"/>
                    </w:rPr>
                    <w:t>风险防范措施要求</w:t>
                  </w:r>
                </w:p>
              </w:tc>
              <w:tc>
                <w:tcPr>
                  <w:tcW w:w="3732" w:type="pct"/>
                  <w:gridSpan w:val="4"/>
                  <w:tcBorders>
                    <w:tl2br w:val="nil"/>
                    <w:tr2bl w:val="nil"/>
                  </w:tcBorders>
                  <w:vAlign w:val="center"/>
                </w:tcPr>
                <w:p>
                  <w:pPr>
                    <w:rPr>
                      <w:color w:val="auto"/>
                    </w:rPr>
                  </w:pPr>
                  <w:r>
                    <w:rPr>
                      <w:color w:val="auto"/>
                    </w:rPr>
                    <w:t>a、设计中严格执行国家、行业有关劳动安全、卫生的法规和标准规范。</w:t>
                  </w:r>
                </w:p>
                <w:p>
                  <w:pPr>
                    <w:rPr>
                      <w:color w:val="auto"/>
                    </w:rPr>
                  </w:pPr>
                  <w:r>
                    <w:rPr>
                      <w:color w:val="auto"/>
                    </w:rPr>
                    <w:t>b、尽量采用技术先进和安全可靠的设备。</w:t>
                  </w:r>
                </w:p>
                <w:p>
                  <w:pPr>
                    <w:rPr>
                      <w:color w:val="auto"/>
                    </w:rPr>
                  </w:pPr>
                  <w:r>
                    <w:rPr>
                      <w:color w:val="auto"/>
                    </w:rPr>
                    <w:t>c、在生产岗位设置事故柜和急救器材、救生器防护面罩、护目镜、胶皮手套等防护、急救用具、用品。</w:t>
                  </w:r>
                </w:p>
                <w:p>
                  <w:pPr>
                    <w:rPr>
                      <w:color w:val="auto"/>
                    </w:rPr>
                  </w:pPr>
                  <w:r>
                    <w:rPr>
                      <w:color w:val="auto"/>
                    </w:rPr>
                    <w:t>d、</w:t>
                  </w:r>
                  <w:r>
                    <w:rPr>
                      <w:color w:val="auto"/>
                      <w:lang w:val="zh-CN"/>
                    </w:rPr>
                    <w:t>企业需设置专人负责</w:t>
                  </w:r>
                  <w:r>
                    <w:rPr>
                      <w:color w:val="auto"/>
                    </w:rPr>
                    <w:t>企业日常的环保管理工作。加强废水、废气等环保设施的管理，确保各污染物长期稳定达标排放。</w:t>
                  </w:r>
                </w:p>
                <w:p>
                  <w:pPr>
                    <w:rPr>
                      <w:color w:val="auto"/>
                      <w:szCs w:val="21"/>
                    </w:rPr>
                  </w:pPr>
                  <w:r>
                    <w:rPr>
                      <w:color w:val="auto"/>
                      <w:szCs w:val="20"/>
                    </w:rPr>
                    <w:t>e、设置危废暂存间用于危废日常贮存。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5000" w:type="pct"/>
                  <w:gridSpan w:val="5"/>
                  <w:tcBorders>
                    <w:tl2br w:val="nil"/>
                    <w:tr2bl w:val="nil"/>
                  </w:tcBorders>
                  <w:vAlign w:val="center"/>
                </w:tcPr>
                <w:p>
                  <w:pPr>
                    <w:rPr>
                      <w:color w:val="auto"/>
                      <w:szCs w:val="21"/>
                    </w:rPr>
                  </w:pPr>
                  <w:r>
                    <w:rPr>
                      <w:rFonts w:hint="eastAsia"/>
                      <w:color w:val="auto"/>
                      <w:lang w:val="en-US" w:eastAsia="zh-CN"/>
                    </w:rPr>
                    <w:t>填表说明（列出项目相关信息及评价说明）： 无</w:t>
                  </w:r>
                  <w:r>
                    <w:rPr>
                      <w:color w:val="auto"/>
                      <w:szCs w:val="21"/>
                    </w:rPr>
                    <w:t>。</w:t>
                  </w:r>
                </w:p>
              </w:tc>
            </w:tr>
          </w:tbl>
          <w:p>
            <w:pPr>
              <w:spacing w:line="360" w:lineRule="auto"/>
              <w:ind w:firstLine="480" w:firstLineChars="200"/>
              <w:rPr>
                <w:bCs/>
                <w:color w:val="auto"/>
                <w:sz w:val="24"/>
              </w:rPr>
            </w:pPr>
          </w:p>
          <w:bookmarkEnd w:id="64"/>
          <w:p>
            <w:pPr>
              <w:adjustRightInd w:val="0"/>
              <w:snapToGrid w:val="0"/>
              <w:spacing w:line="360" w:lineRule="auto"/>
              <w:ind w:firstLine="482" w:firstLineChars="200"/>
              <w:rPr>
                <w:b/>
                <w:color w:val="auto"/>
                <w:sz w:val="24"/>
              </w:rPr>
            </w:pPr>
            <w:r>
              <w:rPr>
                <w:rFonts w:hint="eastAsia"/>
                <w:b/>
                <w:color w:val="auto"/>
                <w:sz w:val="24"/>
              </w:rPr>
              <w:t>9.电磁辐射</w:t>
            </w:r>
          </w:p>
          <w:p>
            <w:pPr>
              <w:adjustRightInd w:val="0"/>
              <w:snapToGrid w:val="0"/>
              <w:spacing w:line="360" w:lineRule="auto"/>
              <w:ind w:firstLine="480" w:firstLineChars="200"/>
              <w:rPr>
                <w:color w:val="auto"/>
                <w:sz w:val="24"/>
              </w:rPr>
            </w:pPr>
            <w:r>
              <w:rPr>
                <w:rFonts w:hint="eastAsia"/>
                <w:color w:val="auto"/>
                <w:sz w:val="24"/>
              </w:rPr>
              <w:t>本项目不涉及电磁辐射。</w:t>
            </w:r>
          </w:p>
          <w:p>
            <w:pPr>
              <w:spacing w:line="360" w:lineRule="auto"/>
              <w:ind w:firstLine="480"/>
              <w:rPr>
                <w:b/>
                <w:color w:val="auto"/>
                <w:sz w:val="24"/>
              </w:rPr>
            </w:pPr>
            <w:r>
              <w:rPr>
                <w:b/>
                <w:color w:val="auto"/>
                <w:sz w:val="24"/>
              </w:rPr>
              <w:t>10.环境监测计划</w:t>
            </w:r>
          </w:p>
          <w:p>
            <w:pPr>
              <w:adjustRightInd w:val="0"/>
              <w:snapToGrid w:val="0"/>
              <w:spacing w:line="360" w:lineRule="auto"/>
              <w:ind w:firstLine="480" w:firstLineChars="200"/>
              <w:rPr>
                <w:bCs/>
                <w:color w:val="auto"/>
                <w:sz w:val="24"/>
                <w:szCs w:val="22"/>
              </w:rPr>
            </w:pPr>
            <w:r>
              <w:rPr>
                <w:rFonts w:hint="eastAsia"/>
                <w:bCs/>
                <w:color w:val="auto"/>
                <w:sz w:val="24"/>
                <w:szCs w:val="22"/>
              </w:rPr>
              <w:t>根据</w:t>
            </w:r>
            <w:r>
              <w:rPr>
                <w:color w:val="auto"/>
                <w:sz w:val="24"/>
              </w:rPr>
              <w:t>《排污单位自行监测技术指南 总则（HJ819-2017）》、《排污许可证申请与核发技术规范 总则（HJ942-2018）》</w:t>
            </w:r>
            <w:r>
              <w:rPr>
                <w:rFonts w:hint="eastAsia"/>
                <w:color w:val="auto"/>
                <w:sz w:val="24"/>
              </w:rPr>
              <w:t>、</w:t>
            </w:r>
            <w:r>
              <w:rPr>
                <w:rFonts w:hint="eastAsia"/>
                <w:bCs/>
                <w:color w:val="auto"/>
                <w:sz w:val="24"/>
                <w:szCs w:val="22"/>
              </w:rPr>
              <w:t>《排污单位自行监测技术指南 橡胶和塑料制品》（HJ</w:t>
            </w:r>
            <w:r>
              <w:rPr>
                <w:bCs/>
                <w:color w:val="auto"/>
                <w:sz w:val="24"/>
                <w:szCs w:val="22"/>
              </w:rPr>
              <w:t>1207</w:t>
            </w:r>
            <w:r>
              <w:rPr>
                <w:rFonts w:hint="eastAsia"/>
                <w:bCs/>
                <w:color w:val="auto"/>
                <w:sz w:val="24"/>
                <w:szCs w:val="22"/>
              </w:rPr>
              <w:t>-20</w:t>
            </w:r>
            <w:r>
              <w:rPr>
                <w:bCs/>
                <w:color w:val="auto"/>
                <w:sz w:val="24"/>
                <w:szCs w:val="22"/>
              </w:rPr>
              <w:t>21</w:t>
            </w:r>
            <w:r>
              <w:rPr>
                <w:rFonts w:hint="eastAsia"/>
                <w:bCs/>
                <w:color w:val="auto"/>
                <w:sz w:val="24"/>
                <w:szCs w:val="22"/>
              </w:rPr>
              <w:t>），本项目运营期污染源监测计划如表</w:t>
            </w:r>
            <w:r>
              <w:rPr>
                <w:rFonts w:hint="eastAsia"/>
                <w:bCs/>
                <w:color w:val="auto"/>
                <w:sz w:val="24"/>
                <w:szCs w:val="22"/>
                <w:lang w:val="en-US" w:eastAsia="zh-CN"/>
              </w:rPr>
              <w:t>4-17</w:t>
            </w:r>
            <w:r>
              <w:rPr>
                <w:rFonts w:hint="eastAsia"/>
                <w:bCs/>
                <w:color w:val="auto"/>
                <w:sz w:val="24"/>
                <w:szCs w:val="22"/>
              </w:rPr>
              <w:t>所示。</w:t>
            </w:r>
          </w:p>
          <w:p>
            <w:pPr>
              <w:spacing w:line="360" w:lineRule="auto"/>
              <w:jc w:val="center"/>
              <w:rPr>
                <w:b/>
                <w:bCs/>
                <w:color w:val="auto"/>
                <w:sz w:val="24"/>
              </w:rPr>
            </w:pPr>
            <w:r>
              <w:rPr>
                <w:b/>
                <w:bCs/>
                <w:color w:val="auto"/>
                <w:sz w:val="24"/>
              </w:rPr>
              <w:t>表</w:t>
            </w:r>
            <w:r>
              <w:rPr>
                <w:rFonts w:hint="eastAsia"/>
                <w:b/>
                <w:bCs/>
                <w:color w:val="auto"/>
                <w:sz w:val="24"/>
                <w:lang w:val="en-US" w:eastAsia="zh-CN"/>
              </w:rPr>
              <w:t xml:space="preserve">4-17 </w:t>
            </w:r>
            <w:r>
              <w:rPr>
                <w:b/>
                <w:bCs/>
                <w:color w:val="auto"/>
                <w:sz w:val="24"/>
              </w:rPr>
              <w:t>本项目运营期污染源监测计划</w:t>
            </w:r>
          </w:p>
          <w:tbl>
            <w:tblPr>
              <w:tblStyle w:val="28"/>
              <w:tblW w:w="4986"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62"/>
              <w:gridCol w:w="742"/>
              <w:gridCol w:w="1224"/>
              <w:gridCol w:w="830"/>
              <w:gridCol w:w="959"/>
              <w:gridCol w:w="34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454" w:hRule="atLeast"/>
              </w:trPr>
              <w:tc>
                <w:tcPr>
                  <w:tcW w:w="418" w:type="pct"/>
                  <w:tcBorders>
                    <w:tl2br w:val="nil"/>
                    <w:tr2bl w:val="nil"/>
                  </w:tcBorders>
                  <w:vAlign w:val="center"/>
                </w:tcPr>
                <w:p>
                  <w:pPr>
                    <w:jc w:val="center"/>
                    <w:rPr>
                      <w:b/>
                      <w:bCs/>
                      <w:color w:val="auto"/>
                      <w:szCs w:val="21"/>
                    </w:rPr>
                  </w:pPr>
                  <w:r>
                    <w:rPr>
                      <w:b/>
                      <w:bCs/>
                      <w:color w:val="auto"/>
                      <w:szCs w:val="21"/>
                    </w:rPr>
                    <w:t>项目</w:t>
                  </w:r>
                </w:p>
              </w:tc>
              <w:tc>
                <w:tcPr>
                  <w:tcW w:w="469" w:type="pct"/>
                  <w:tcBorders>
                    <w:tl2br w:val="nil"/>
                    <w:tr2bl w:val="nil"/>
                  </w:tcBorders>
                  <w:vAlign w:val="center"/>
                </w:tcPr>
                <w:p>
                  <w:pPr>
                    <w:jc w:val="center"/>
                    <w:rPr>
                      <w:b/>
                      <w:bCs/>
                      <w:color w:val="auto"/>
                      <w:szCs w:val="21"/>
                    </w:rPr>
                  </w:pPr>
                  <w:r>
                    <w:rPr>
                      <w:b/>
                      <w:bCs/>
                      <w:color w:val="auto"/>
                      <w:szCs w:val="21"/>
                    </w:rPr>
                    <w:t>监测点位</w:t>
                  </w:r>
                </w:p>
              </w:tc>
              <w:tc>
                <w:tcPr>
                  <w:tcW w:w="773" w:type="pct"/>
                  <w:tcBorders>
                    <w:tl2br w:val="nil"/>
                    <w:tr2bl w:val="nil"/>
                  </w:tcBorders>
                  <w:vAlign w:val="center"/>
                </w:tcPr>
                <w:p>
                  <w:pPr>
                    <w:jc w:val="center"/>
                    <w:rPr>
                      <w:b/>
                      <w:bCs/>
                      <w:color w:val="auto"/>
                      <w:szCs w:val="21"/>
                    </w:rPr>
                  </w:pPr>
                  <w:r>
                    <w:rPr>
                      <w:b/>
                      <w:bCs/>
                      <w:color w:val="auto"/>
                      <w:szCs w:val="21"/>
                    </w:rPr>
                    <w:t>监测</w:t>
                  </w:r>
                </w:p>
                <w:p>
                  <w:pPr>
                    <w:jc w:val="center"/>
                    <w:rPr>
                      <w:b/>
                      <w:bCs/>
                      <w:color w:val="auto"/>
                      <w:szCs w:val="21"/>
                    </w:rPr>
                  </w:pPr>
                  <w:r>
                    <w:rPr>
                      <w:b/>
                      <w:bCs/>
                      <w:color w:val="auto"/>
                      <w:szCs w:val="21"/>
                    </w:rPr>
                    <w:t>指标</w:t>
                  </w:r>
                </w:p>
              </w:tc>
              <w:tc>
                <w:tcPr>
                  <w:tcW w:w="524" w:type="pct"/>
                  <w:tcBorders>
                    <w:tl2br w:val="nil"/>
                    <w:tr2bl w:val="nil"/>
                  </w:tcBorders>
                  <w:vAlign w:val="center"/>
                </w:tcPr>
                <w:p>
                  <w:pPr>
                    <w:jc w:val="center"/>
                    <w:rPr>
                      <w:b/>
                      <w:bCs/>
                      <w:color w:val="auto"/>
                      <w:szCs w:val="21"/>
                    </w:rPr>
                  </w:pPr>
                  <w:r>
                    <w:rPr>
                      <w:b/>
                      <w:bCs/>
                      <w:color w:val="auto"/>
                      <w:szCs w:val="21"/>
                    </w:rPr>
                    <w:t>监测频次</w:t>
                  </w:r>
                </w:p>
              </w:tc>
              <w:tc>
                <w:tcPr>
                  <w:tcW w:w="606" w:type="pct"/>
                  <w:tcBorders>
                    <w:tl2br w:val="nil"/>
                    <w:tr2bl w:val="nil"/>
                  </w:tcBorders>
                  <w:vAlign w:val="center"/>
                </w:tcPr>
                <w:p>
                  <w:pPr>
                    <w:jc w:val="center"/>
                    <w:rPr>
                      <w:rFonts w:hint="eastAsia"/>
                      <w:b/>
                      <w:bCs/>
                      <w:color w:val="auto"/>
                      <w:szCs w:val="21"/>
                      <w:lang w:val="en-US" w:eastAsia="zh-CN"/>
                    </w:rPr>
                  </w:pPr>
                  <w:r>
                    <w:rPr>
                      <w:rFonts w:hint="eastAsia"/>
                      <w:b/>
                      <w:bCs/>
                      <w:color w:val="auto"/>
                      <w:szCs w:val="21"/>
                      <w:lang w:val="en-US" w:eastAsia="zh-CN"/>
                    </w:rPr>
                    <w:t>标准</w:t>
                  </w:r>
                </w:p>
                <w:p>
                  <w:pPr>
                    <w:jc w:val="center"/>
                    <w:rPr>
                      <w:rFonts w:hint="eastAsia" w:eastAsia="宋体"/>
                      <w:b/>
                      <w:bCs/>
                      <w:color w:val="auto"/>
                      <w:szCs w:val="21"/>
                      <w:lang w:val="en-US" w:eastAsia="zh-CN"/>
                    </w:rPr>
                  </w:pPr>
                  <w:r>
                    <w:rPr>
                      <w:rFonts w:hint="eastAsia"/>
                      <w:b/>
                      <w:bCs/>
                      <w:color w:val="auto"/>
                      <w:szCs w:val="21"/>
                      <w:lang w:val="en-US" w:eastAsia="zh-CN"/>
                    </w:rPr>
                    <w:t>限值(</w:t>
                  </w:r>
                  <w:r>
                    <w:rPr>
                      <w:rFonts w:hint="eastAsia" w:ascii="Times New Roman" w:hAnsi="宋体" w:cs="Times New Roman"/>
                      <w:b/>
                      <w:bCs/>
                      <w:color w:val="auto"/>
                    </w:rPr>
                    <w:t>mg/m</w:t>
                  </w:r>
                  <w:r>
                    <w:rPr>
                      <w:rFonts w:hint="eastAsia" w:ascii="Times New Roman" w:hAnsi="宋体" w:cs="Times New Roman"/>
                      <w:b/>
                      <w:bCs/>
                      <w:color w:val="auto"/>
                      <w:vertAlign w:val="superscript"/>
                    </w:rPr>
                    <w:t>3</w:t>
                  </w:r>
                  <w:r>
                    <w:rPr>
                      <w:rFonts w:hint="eastAsia" w:ascii="Times New Roman" w:hAnsi="宋体" w:cs="Times New Roman"/>
                      <w:b/>
                      <w:bCs/>
                      <w:color w:val="auto"/>
                      <w:vertAlign w:val="baseline"/>
                      <w:lang w:val="en-US" w:eastAsia="zh-CN"/>
                    </w:rPr>
                    <w:t>)</w:t>
                  </w:r>
                </w:p>
              </w:tc>
              <w:tc>
                <w:tcPr>
                  <w:tcW w:w="2207" w:type="pct"/>
                  <w:tcBorders>
                    <w:tl2br w:val="nil"/>
                    <w:tr2bl w:val="nil"/>
                  </w:tcBorders>
                  <w:vAlign w:val="center"/>
                </w:tcPr>
                <w:p>
                  <w:pPr>
                    <w:jc w:val="center"/>
                    <w:rPr>
                      <w:b/>
                      <w:bCs/>
                      <w:color w:val="auto"/>
                      <w:szCs w:val="21"/>
                    </w:rPr>
                  </w:pPr>
                  <w:r>
                    <w:rPr>
                      <w:b/>
                      <w:bCs/>
                      <w:color w:val="auto"/>
                      <w:szCs w:val="21"/>
                    </w:rPr>
                    <w:t>执行排放标准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restart"/>
                  <w:tcBorders>
                    <w:tl2br w:val="nil"/>
                    <w:tr2bl w:val="nil"/>
                  </w:tcBorders>
                  <w:vAlign w:val="center"/>
                </w:tcPr>
                <w:p>
                  <w:pPr>
                    <w:jc w:val="center"/>
                    <w:rPr>
                      <w:color w:val="auto"/>
                      <w:szCs w:val="21"/>
                    </w:rPr>
                  </w:pPr>
                  <w:r>
                    <w:rPr>
                      <w:color w:val="auto"/>
                      <w:szCs w:val="21"/>
                    </w:rPr>
                    <w:t>废气</w:t>
                  </w:r>
                </w:p>
              </w:tc>
              <w:tc>
                <w:tcPr>
                  <w:tcW w:w="469" w:type="pct"/>
                  <w:vMerge w:val="restart"/>
                  <w:tcBorders>
                    <w:tl2br w:val="nil"/>
                    <w:tr2bl w:val="nil"/>
                  </w:tcBorders>
                  <w:vAlign w:val="center"/>
                </w:tcPr>
                <w:p>
                  <w:pPr>
                    <w:jc w:val="center"/>
                    <w:rPr>
                      <w:color w:val="auto"/>
                      <w:szCs w:val="21"/>
                    </w:rPr>
                  </w:pPr>
                  <w:r>
                    <w:rPr>
                      <w:color w:val="auto"/>
                      <w:szCs w:val="21"/>
                    </w:rPr>
                    <w:t>排气筒</w:t>
                  </w:r>
                  <w:r>
                    <w:rPr>
                      <w:rFonts w:hint="eastAsia"/>
                      <w:color w:val="auto"/>
                      <w:szCs w:val="21"/>
                      <w:lang w:val="en-US" w:eastAsia="zh-CN"/>
                    </w:rPr>
                    <w:t>DA00</w:t>
                  </w:r>
                  <w:r>
                    <w:rPr>
                      <w:rFonts w:hint="eastAsia"/>
                      <w:color w:val="auto"/>
                      <w:szCs w:val="21"/>
                    </w:rPr>
                    <w:t>1</w:t>
                  </w:r>
                </w:p>
              </w:tc>
              <w:tc>
                <w:tcPr>
                  <w:tcW w:w="773" w:type="pct"/>
                  <w:tcBorders>
                    <w:tl2br w:val="nil"/>
                    <w:tr2bl w:val="nil"/>
                  </w:tcBorders>
                  <w:vAlign w:val="center"/>
                </w:tcPr>
                <w:p>
                  <w:pPr>
                    <w:widowControl/>
                    <w:spacing w:line="240" w:lineRule="exact"/>
                    <w:jc w:val="center"/>
                    <w:rPr>
                      <w:color w:val="auto"/>
                      <w:kern w:val="0"/>
                      <w:szCs w:val="21"/>
                    </w:rPr>
                  </w:pPr>
                  <w:r>
                    <w:rPr>
                      <w:rFonts w:hint="eastAsia"/>
                      <w:color w:val="auto"/>
                      <w:kern w:val="0"/>
                      <w:szCs w:val="21"/>
                    </w:rPr>
                    <w:t>非甲烷总烃</w:t>
                  </w:r>
                </w:p>
              </w:tc>
              <w:tc>
                <w:tcPr>
                  <w:tcW w:w="524" w:type="pct"/>
                  <w:vMerge w:val="restart"/>
                  <w:tcBorders>
                    <w:tl2br w:val="nil"/>
                    <w:tr2bl w:val="nil"/>
                  </w:tcBorders>
                  <w:vAlign w:val="center"/>
                </w:tcPr>
                <w:p>
                  <w:pPr>
                    <w:jc w:val="center"/>
                    <w:rPr>
                      <w:color w:val="auto"/>
                      <w:szCs w:val="21"/>
                    </w:rPr>
                  </w:pPr>
                  <w:r>
                    <w:rPr>
                      <w:rFonts w:hint="eastAsia"/>
                      <w:color w:val="auto"/>
                      <w:szCs w:val="21"/>
                    </w:rPr>
                    <w:t>1次/年</w:t>
                  </w:r>
                </w:p>
              </w:tc>
              <w:tc>
                <w:tcPr>
                  <w:tcW w:w="606" w:type="pct"/>
                  <w:tcBorders>
                    <w:tl2br w:val="nil"/>
                    <w:tr2bl w:val="nil"/>
                  </w:tcBorders>
                  <w:vAlign w:val="center"/>
                </w:tcPr>
                <w:p>
                  <w:pPr>
                    <w:jc w:val="center"/>
                    <w:rPr>
                      <w:rFonts w:hint="default" w:eastAsia="宋体"/>
                      <w:color w:val="auto"/>
                      <w:szCs w:val="21"/>
                      <w:lang w:val="en-US" w:eastAsia="zh-CN"/>
                    </w:rPr>
                  </w:pPr>
                  <w:r>
                    <w:rPr>
                      <w:rFonts w:hint="eastAsia"/>
                      <w:color w:val="auto"/>
                      <w:szCs w:val="21"/>
                      <w:lang w:val="en-US" w:eastAsia="zh-CN"/>
                    </w:rPr>
                    <w:t>60</w:t>
                  </w:r>
                </w:p>
              </w:tc>
              <w:tc>
                <w:tcPr>
                  <w:tcW w:w="2207" w:type="pct"/>
                  <w:tcBorders>
                    <w:tl2br w:val="nil"/>
                    <w:tr2bl w:val="nil"/>
                  </w:tcBorders>
                  <w:vAlign w:val="center"/>
                </w:tcPr>
                <w:p>
                  <w:pPr>
                    <w:widowControl/>
                    <w:spacing w:line="240" w:lineRule="exact"/>
                    <w:jc w:val="center"/>
                    <w:rPr>
                      <w:color w:val="auto"/>
                      <w:kern w:val="0"/>
                      <w:szCs w:val="21"/>
                    </w:rPr>
                  </w:pPr>
                  <w:r>
                    <w:rPr>
                      <w:rFonts w:hint="eastAsia"/>
                      <w:color w:val="auto"/>
                      <w:kern w:val="0"/>
                      <w:szCs w:val="21"/>
                    </w:rPr>
                    <w:t>《合成树脂工业污染物排放标准》（GB 31572-2015）中表5大气污染物特别排放限值及</w:t>
                  </w:r>
                  <w:r>
                    <w:rPr>
                      <w:rFonts w:hint="eastAsia"/>
                      <w:color w:val="auto"/>
                      <w:kern w:val="0"/>
                      <w:szCs w:val="21"/>
                      <w:lang w:val="en-US" w:eastAsia="zh-CN"/>
                    </w:rPr>
                    <w:t>广东省</w:t>
                  </w:r>
                  <w:r>
                    <w:rPr>
                      <w:rFonts w:hint="eastAsia"/>
                      <w:color w:val="auto"/>
                      <w:kern w:val="0"/>
                      <w:szCs w:val="21"/>
                    </w:rPr>
                    <w:t>《固定污染源挥发性有机物综合排放标准》（DB44/2367-2022）中表1挥发性有机物排放限值较严者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jc w:val="center"/>
                    <w:rPr>
                      <w:color w:val="auto"/>
                      <w:szCs w:val="21"/>
                    </w:rPr>
                  </w:pPr>
                </w:p>
              </w:tc>
              <w:tc>
                <w:tcPr>
                  <w:tcW w:w="773" w:type="pct"/>
                  <w:tcBorders>
                    <w:tl2br w:val="nil"/>
                    <w:tr2bl w:val="nil"/>
                  </w:tcBorders>
                  <w:vAlign w:val="center"/>
                </w:tcPr>
                <w:p>
                  <w:pPr>
                    <w:widowControl/>
                    <w:spacing w:line="240" w:lineRule="exact"/>
                    <w:jc w:val="center"/>
                    <w:rPr>
                      <w:color w:val="auto"/>
                      <w:kern w:val="0"/>
                      <w:szCs w:val="21"/>
                    </w:rPr>
                  </w:pPr>
                  <w:r>
                    <w:rPr>
                      <w:rFonts w:hint="eastAsia"/>
                      <w:color w:val="auto"/>
                      <w:kern w:val="0"/>
                      <w:szCs w:val="21"/>
                    </w:rPr>
                    <w:t>臭气浓度</w:t>
                  </w:r>
                </w:p>
              </w:tc>
              <w:tc>
                <w:tcPr>
                  <w:tcW w:w="524" w:type="pct"/>
                  <w:vMerge w:val="continue"/>
                  <w:tcBorders>
                    <w:tl2br w:val="nil"/>
                    <w:tr2bl w:val="nil"/>
                  </w:tcBorders>
                  <w:vAlign w:val="center"/>
                </w:tcPr>
                <w:p>
                  <w:pPr>
                    <w:jc w:val="center"/>
                    <w:rPr>
                      <w:color w:val="auto"/>
                      <w:szCs w:val="21"/>
                    </w:rPr>
                  </w:pPr>
                </w:p>
              </w:tc>
              <w:tc>
                <w:tcPr>
                  <w:tcW w:w="606" w:type="pct"/>
                  <w:tcBorders>
                    <w:tl2br w:val="nil"/>
                    <w:tr2bl w:val="nil"/>
                  </w:tcBorders>
                  <w:vAlign w:val="center"/>
                </w:tcPr>
                <w:p>
                  <w:pPr>
                    <w:jc w:val="center"/>
                    <w:rPr>
                      <w:rFonts w:hint="eastAsia"/>
                      <w:color w:val="auto"/>
                      <w:szCs w:val="21"/>
                    </w:rPr>
                  </w:pPr>
                  <w:r>
                    <w:rPr>
                      <w:rFonts w:hint="eastAsia"/>
                      <w:color w:val="auto"/>
                      <w:szCs w:val="21"/>
                    </w:rPr>
                    <w:t>2000（无量纲）</w:t>
                  </w:r>
                </w:p>
              </w:tc>
              <w:tc>
                <w:tcPr>
                  <w:tcW w:w="2207" w:type="pct"/>
                  <w:tcBorders>
                    <w:tl2br w:val="nil"/>
                    <w:tr2bl w:val="nil"/>
                  </w:tcBorders>
                  <w:vAlign w:val="center"/>
                </w:tcPr>
                <w:p>
                  <w:pPr>
                    <w:widowControl/>
                    <w:spacing w:line="240" w:lineRule="exact"/>
                    <w:jc w:val="center"/>
                    <w:rPr>
                      <w:color w:val="auto"/>
                      <w:kern w:val="0"/>
                      <w:szCs w:val="21"/>
                    </w:rPr>
                  </w:pPr>
                  <w:r>
                    <w:rPr>
                      <w:rFonts w:hint="eastAsia"/>
                      <w:color w:val="auto"/>
                      <w:kern w:val="0"/>
                      <w:szCs w:val="21"/>
                    </w:rPr>
                    <w:t>《恶臭污染物排放标准》（GB14554-93）表2恶臭污染物排放标准值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restart"/>
                  <w:tcBorders>
                    <w:tl2br w:val="nil"/>
                    <w:tr2bl w:val="nil"/>
                  </w:tcBorders>
                  <w:vAlign w:val="center"/>
                </w:tcPr>
                <w:p>
                  <w:pPr>
                    <w:jc w:val="center"/>
                    <w:rPr>
                      <w:color w:val="auto"/>
                      <w:szCs w:val="21"/>
                    </w:rPr>
                  </w:pPr>
                  <w:r>
                    <w:rPr>
                      <w:rFonts w:hint="eastAsia"/>
                      <w:color w:val="auto"/>
                      <w:szCs w:val="21"/>
                    </w:rPr>
                    <w:t>企业边界（</w:t>
                  </w:r>
                  <w:r>
                    <w:rPr>
                      <w:color w:val="auto"/>
                      <w:szCs w:val="21"/>
                    </w:rPr>
                    <w:t>厂界</w:t>
                  </w:r>
                  <w:r>
                    <w:rPr>
                      <w:rFonts w:hint="eastAsia"/>
                      <w:color w:val="auto"/>
                      <w:szCs w:val="21"/>
                    </w:rPr>
                    <w:t>）</w:t>
                  </w:r>
                </w:p>
              </w:tc>
              <w:tc>
                <w:tcPr>
                  <w:tcW w:w="773" w:type="pct"/>
                  <w:tcBorders>
                    <w:tl2br w:val="nil"/>
                    <w:tr2bl w:val="nil"/>
                  </w:tcBorders>
                  <w:vAlign w:val="center"/>
                </w:tcPr>
                <w:p>
                  <w:pPr>
                    <w:widowControl/>
                    <w:spacing w:line="240" w:lineRule="exact"/>
                    <w:jc w:val="center"/>
                    <w:rPr>
                      <w:color w:val="auto"/>
                      <w:kern w:val="0"/>
                      <w:szCs w:val="21"/>
                    </w:rPr>
                  </w:pPr>
                  <w:r>
                    <w:rPr>
                      <w:rFonts w:hint="eastAsia"/>
                      <w:color w:val="auto"/>
                      <w:kern w:val="0"/>
                      <w:szCs w:val="21"/>
                    </w:rPr>
                    <w:t>非甲烷总烃</w:t>
                  </w:r>
                </w:p>
              </w:tc>
              <w:tc>
                <w:tcPr>
                  <w:tcW w:w="524" w:type="pct"/>
                  <w:vMerge w:val="restart"/>
                  <w:tcBorders>
                    <w:tl2br w:val="nil"/>
                    <w:tr2bl w:val="nil"/>
                  </w:tcBorders>
                  <w:vAlign w:val="center"/>
                </w:tcPr>
                <w:p>
                  <w:pPr>
                    <w:jc w:val="center"/>
                    <w:rPr>
                      <w:color w:val="auto"/>
                      <w:kern w:val="0"/>
                      <w:szCs w:val="21"/>
                    </w:rPr>
                  </w:pPr>
                  <w:r>
                    <w:rPr>
                      <w:color w:val="auto"/>
                      <w:kern w:val="0"/>
                      <w:szCs w:val="21"/>
                    </w:rPr>
                    <w:t>1次/年</w:t>
                  </w:r>
                </w:p>
              </w:tc>
              <w:tc>
                <w:tcPr>
                  <w:tcW w:w="606" w:type="pct"/>
                  <w:tcBorders>
                    <w:tl2br w:val="nil"/>
                    <w:tr2bl w:val="nil"/>
                  </w:tcBorders>
                  <w:vAlign w:val="center"/>
                </w:tcPr>
                <w:p>
                  <w:pPr>
                    <w:jc w:val="center"/>
                    <w:rPr>
                      <w:rFonts w:hint="default" w:eastAsia="宋体"/>
                      <w:color w:val="auto"/>
                      <w:kern w:val="0"/>
                      <w:szCs w:val="21"/>
                      <w:lang w:val="en-US" w:eastAsia="zh-CN"/>
                    </w:rPr>
                  </w:pPr>
                  <w:r>
                    <w:rPr>
                      <w:rFonts w:hint="eastAsia"/>
                      <w:color w:val="auto"/>
                      <w:kern w:val="0"/>
                      <w:szCs w:val="21"/>
                      <w:lang w:val="en-US" w:eastAsia="zh-CN"/>
                    </w:rPr>
                    <w:t>4.0</w:t>
                  </w:r>
                </w:p>
              </w:tc>
              <w:tc>
                <w:tcPr>
                  <w:tcW w:w="2207" w:type="pct"/>
                  <w:vMerge w:val="restart"/>
                  <w:tcBorders>
                    <w:tl2br w:val="nil"/>
                    <w:tr2bl w:val="nil"/>
                  </w:tcBorders>
                  <w:vAlign w:val="center"/>
                </w:tcPr>
                <w:p>
                  <w:pPr>
                    <w:widowControl/>
                    <w:spacing w:line="240" w:lineRule="exact"/>
                    <w:jc w:val="center"/>
                    <w:rPr>
                      <w:color w:val="auto"/>
                      <w:kern w:val="0"/>
                      <w:szCs w:val="21"/>
                    </w:rPr>
                  </w:pPr>
                  <w:r>
                    <w:rPr>
                      <w:rFonts w:hint="eastAsia"/>
                      <w:color w:val="auto"/>
                      <w:kern w:val="0"/>
                      <w:szCs w:val="21"/>
                    </w:rPr>
                    <w:t>《合成树脂工业污染物排放标准》（GB31572-2015）表9企业边界大气污染物浓度限值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jc w:val="center"/>
                    <w:rPr>
                      <w:rFonts w:hint="eastAsia"/>
                      <w:color w:val="auto"/>
                      <w:szCs w:val="21"/>
                    </w:rPr>
                  </w:pPr>
                </w:p>
              </w:tc>
              <w:tc>
                <w:tcPr>
                  <w:tcW w:w="773" w:type="pct"/>
                  <w:tcBorders>
                    <w:tl2br w:val="nil"/>
                    <w:tr2bl w:val="nil"/>
                  </w:tcBorders>
                  <w:vAlign w:val="center"/>
                </w:tcPr>
                <w:p>
                  <w:pPr>
                    <w:widowControl/>
                    <w:spacing w:line="240" w:lineRule="exact"/>
                    <w:jc w:val="center"/>
                    <w:rPr>
                      <w:rFonts w:hint="eastAsia"/>
                      <w:color w:val="auto"/>
                      <w:kern w:val="0"/>
                      <w:szCs w:val="21"/>
                    </w:rPr>
                  </w:pPr>
                  <w:r>
                    <w:rPr>
                      <w:rFonts w:hint="eastAsia"/>
                      <w:color w:val="auto"/>
                      <w:kern w:val="0"/>
                      <w:szCs w:val="21"/>
                    </w:rPr>
                    <w:t>颗粒物</w:t>
                  </w:r>
                </w:p>
              </w:tc>
              <w:tc>
                <w:tcPr>
                  <w:tcW w:w="524" w:type="pct"/>
                  <w:vMerge w:val="continue"/>
                  <w:tcBorders>
                    <w:tl2br w:val="nil"/>
                    <w:tr2bl w:val="nil"/>
                  </w:tcBorders>
                  <w:vAlign w:val="center"/>
                </w:tcPr>
                <w:p>
                  <w:pPr>
                    <w:jc w:val="center"/>
                    <w:rPr>
                      <w:color w:val="auto"/>
                      <w:kern w:val="0"/>
                      <w:szCs w:val="21"/>
                    </w:rPr>
                  </w:pPr>
                </w:p>
              </w:tc>
              <w:tc>
                <w:tcPr>
                  <w:tcW w:w="606" w:type="pct"/>
                  <w:tcBorders>
                    <w:tl2br w:val="nil"/>
                    <w:tr2bl w:val="nil"/>
                  </w:tcBorders>
                  <w:vAlign w:val="center"/>
                </w:tcPr>
                <w:p>
                  <w:pPr>
                    <w:jc w:val="center"/>
                    <w:rPr>
                      <w:rFonts w:hint="default" w:eastAsia="宋体"/>
                      <w:color w:val="auto"/>
                      <w:kern w:val="0"/>
                      <w:szCs w:val="21"/>
                      <w:lang w:val="en-US" w:eastAsia="zh-CN"/>
                    </w:rPr>
                  </w:pPr>
                  <w:r>
                    <w:rPr>
                      <w:rFonts w:hint="eastAsia"/>
                      <w:color w:val="auto"/>
                      <w:kern w:val="0"/>
                      <w:szCs w:val="21"/>
                      <w:lang w:val="en-US" w:eastAsia="zh-CN"/>
                    </w:rPr>
                    <w:t>1.0</w:t>
                  </w:r>
                </w:p>
              </w:tc>
              <w:tc>
                <w:tcPr>
                  <w:tcW w:w="2207" w:type="pct"/>
                  <w:vMerge w:val="continue"/>
                  <w:tcBorders>
                    <w:tl2br w:val="nil"/>
                    <w:tr2bl w:val="nil"/>
                  </w:tcBorders>
                  <w:vAlign w:val="center"/>
                </w:tcPr>
                <w:p>
                  <w:pPr>
                    <w:widowControl/>
                    <w:spacing w:line="240" w:lineRule="exact"/>
                    <w:jc w:val="center"/>
                    <w:rPr>
                      <w:rFonts w:hint="eastAsia"/>
                      <w:color w:val="auto"/>
                      <w:kern w:val="0"/>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jc w:val="center"/>
                    <w:rPr>
                      <w:color w:val="auto"/>
                      <w:szCs w:val="21"/>
                    </w:rPr>
                  </w:pPr>
                </w:p>
              </w:tc>
              <w:tc>
                <w:tcPr>
                  <w:tcW w:w="773" w:type="pct"/>
                  <w:tcBorders>
                    <w:bottom w:val="single" w:color="000000" w:sz="4" w:space="0"/>
                    <w:tl2br w:val="nil"/>
                    <w:tr2bl w:val="nil"/>
                  </w:tcBorders>
                  <w:vAlign w:val="center"/>
                </w:tcPr>
                <w:p>
                  <w:pPr>
                    <w:widowControl/>
                    <w:spacing w:line="240" w:lineRule="exact"/>
                    <w:jc w:val="center"/>
                    <w:rPr>
                      <w:color w:val="auto"/>
                      <w:kern w:val="0"/>
                      <w:szCs w:val="21"/>
                    </w:rPr>
                  </w:pPr>
                  <w:r>
                    <w:rPr>
                      <w:rFonts w:hint="eastAsia"/>
                      <w:color w:val="auto"/>
                      <w:kern w:val="0"/>
                      <w:szCs w:val="21"/>
                    </w:rPr>
                    <w:t>臭气浓度</w:t>
                  </w:r>
                </w:p>
              </w:tc>
              <w:tc>
                <w:tcPr>
                  <w:tcW w:w="524" w:type="pct"/>
                  <w:vMerge w:val="continue"/>
                  <w:tcBorders>
                    <w:tl2br w:val="nil"/>
                    <w:tr2bl w:val="nil"/>
                  </w:tcBorders>
                  <w:vAlign w:val="center"/>
                </w:tcPr>
                <w:p>
                  <w:pPr>
                    <w:jc w:val="center"/>
                    <w:rPr>
                      <w:color w:val="auto"/>
                      <w:kern w:val="0"/>
                      <w:szCs w:val="21"/>
                    </w:rPr>
                  </w:pPr>
                </w:p>
              </w:tc>
              <w:tc>
                <w:tcPr>
                  <w:tcW w:w="606" w:type="pct"/>
                  <w:tcBorders>
                    <w:bottom w:val="single" w:color="000000" w:sz="4" w:space="0"/>
                    <w:tl2br w:val="nil"/>
                    <w:tr2bl w:val="nil"/>
                  </w:tcBorders>
                  <w:vAlign w:val="center"/>
                </w:tcPr>
                <w:p>
                  <w:pPr>
                    <w:jc w:val="center"/>
                    <w:rPr>
                      <w:color w:val="auto"/>
                      <w:kern w:val="0"/>
                      <w:szCs w:val="21"/>
                    </w:rPr>
                  </w:pPr>
                  <w:r>
                    <w:rPr>
                      <w:rFonts w:hint="eastAsia"/>
                      <w:color w:val="auto"/>
                      <w:kern w:val="0"/>
                      <w:szCs w:val="21"/>
                    </w:rPr>
                    <w:t>20（无量纲）</w:t>
                  </w:r>
                </w:p>
              </w:tc>
              <w:tc>
                <w:tcPr>
                  <w:tcW w:w="2207" w:type="pct"/>
                  <w:tcBorders>
                    <w:bottom w:val="single" w:color="000000" w:sz="4" w:space="0"/>
                    <w:tl2br w:val="nil"/>
                    <w:tr2bl w:val="nil"/>
                  </w:tcBorders>
                  <w:vAlign w:val="center"/>
                </w:tcPr>
                <w:p>
                  <w:pPr>
                    <w:widowControl/>
                    <w:spacing w:line="240" w:lineRule="exact"/>
                    <w:jc w:val="center"/>
                    <w:rPr>
                      <w:color w:val="auto"/>
                      <w:kern w:val="0"/>
                      <w:szCs w:val="21"/>
                    </w:rPr>
                  </w:pPr>
                  <w:r>
                    <w:rPr>
                      <w:rFonts w:hint="eastAsia"/>
                      <w:color w:val="auto"/>
                      <w:kern w:val="0"/>
                      <w:szCs w:val="21"/>
                    </w:rPr>
                    <w:t>《恶臭污染物排放标准》（GB14554-93）表1恶臭污染物厂界标准值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jc w:val="center"/>
                    <w:rPr>
                      <w:color w:val="auto"/>
                      <w:szCs w:val="21"/>
                    </w:rPr>
                  </w:pPr>
                </w:p>
              </w:tc>
              <w:tc>
                <w:tcPr>
                  <w:tcW w:w="773" w:type="pct"/>
                  <w:tcBorders>
                    <w:top w:val="single" w:color="000000" w:sz="4" w:space="0"/>
                    <w:tl2br w:val="nil"/>
                    <w:tr2bl w:val="nil"/>
                  </w:tcBorders>
                  <w:vAlign w:val="center"/>
                </w:tcPr>
                <w:p>
                  <w:pPr>
                    <w:widowControl/>
                    <w:spacing w:line="240" w:lineRule="exact"/>
                    <w:jc w:val="center"/>
                    <w:rPr>
                      <w:color w:val="auto"/>
                      <w:kern w:val="0"/>
                      <w:szCs w:val="21"/>
                    </w:rPr>
                  </w:pPr>
                  <w:r>
                    <w:rPr>
                      <w:rFonts w:hint="eastAsia"/>
                      <w:color w:val="auto"/>
                      <w:kern w:val="0"/>
                      <w:szCs w:val="21"/>
                    </w:rPr>
                    <w:t>锡及其化合物</w:t>
                  </w:r>
                </w:p>
              </w:tc>
              <w:tc>
                <w:tcPr>
                  <w:tcW w:w="524" w:type="pct"/>
                  <w:vMerge w:val="continue"/>
                  <w:tcBorders>
                    <w:tl2br w:val="nil"/>
                    <w:tr2bl w:val="nil"/>
                  </w:tcBorders>
                  <w:vAlign w:val="center"/>
                </w:tcPr>
                <w:p>
                  <w:pPr>
                    <w:jc w:val="center"/>
                    <w:rPr>
                      <w:color w:val="auto"/>
                      <w:kern w:val="0"/>
                      <w:szCs w:val="21"/>
                    </w:rPr>
                  </w:pPr>
                </w:p>
              </w:tc>
              <w:tc>
                <w:tcPr>
                  <w:tcW w:w="606" w:type="pct"/>
                  <w:tcBorders>
                    <w:top w:val="single" w:color="000000" w:sz="4" w:space="0"/>
                    <w:tl2br w:val="nil"/>
                    <w:tr2bl w:val="nil"/>
                  </w:tcBorders>
                  <w:vAlign w:val="center"/>
                </w:tcPr>
                <w:p>
                  <w:pPr>
                    <w:jc w:val="center"/>
                    <w:rPr>
                      <w:rFonts w:hint="default" w:eastAsia="宋体"/>
                      <w:color w:val="auto"/>
                      <w:kern w:val="0"/>
                      <w:szCs w:val="21"/>
                      <w:lang w:val="en-US" w:eastAsia="zh-CN"/>
                    </w:rPr>
                  </w:pPr>
                  <w:r>
                    <w:rPr>
                      <w:rFonts w:hint="eastAsia"/>
                      <w:color w:val="auto"/>
                      <w:kern w:val="0"/>
                      <w:szCs w:val="21"/>
                      <w:lang w:val="en-US" w:eastAsia="zh-CN"/>
                    </w:rPr>
                    <w:t>0.24</w:t>
                  </w:r>
                </w:p>
              </w:tc>
              <w:tc>
                <w:tcPr>
                  <w:tcW w:w="2207" w:type="pct"/>
                  <w:tcBorders>
                    <w:top w:val="single" w:color="000000" w:sz="4" w:space="0"/>
                    <w:tl2br w:val="nil"/>
                    <w:tr2bl w:val="nil"/>
                  </w:tcBorders>
                  <w:vAlign w:val="center"/>
                </w:tcPr>
                <w:p>
                  <w:pPr>
                    <w:widowControl/>
                    <w:spacing w:line="240" w:lineRule="exact"/>
                    <w:jc w:val="center"/>
                    <w:rPr>
                      <w:color w:val="auto"/>
                      <w:kern w:val="0"/>
                      <w:szCs w:val="21"/>
                    </w:rPr>
                  </w:pPr>
                  <w:r>
                    <w:rPr>
                      <w:rFonts w:hint="eastAsia"/>
                      <w:color w:val="auto"/>
                      <w:kern w:val="0"/>
                      <w:szCs w:val="21"/>
                    </w:rPr>
                    <w:t>广东省《大气污染物排放限值》（DB44/27-2001）中第二时段无组织排放监控浓度限值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tcBorders>
                    <w:tl2br w:val="nil"/>
                    <w:tr2bl w:val="nil"/>
                  </w:tcBorders>
                  <w:vAlign w:val="center"/>
                </w:tcPr>
                <w:p>
                  <w:pPr>
                    <w:jc w:val="center"/>
                    <w:rPr>
                      <w:color w:val="auto"/>
                      <w:szCs w:val="21"/>
                    </w:rPr>
                  </w:pPr>
                  <w:r>
                    <w:rPr>
                      <w:rFonts w:hint="eastAsia"/>
                      <w:color w:val="auto"/>
                      <w:szCs w:val="21"/>
                    </w:rPr>
                    <w:t>厂区内</w:t>
                  </w:r>
                </w:p>
              </w:tc>
              <w:tc>
                <w:tcPr>
                  <w:tcW w:w="773" w:type="pct"/>
                  <w:tcBorders>
                    <w:tl2br w:val="nil"/>
                    <w:tr2bl w:val="nil"/>
                  </w:tcBorders>
                  <w:vAlign w:val="center"/>
                </w:tcPr>
                <w:p>
                  <w:pPr>
                    <w:widowControl/>
                    <w:spacing w:line="240" w:lineRule="exact"/>
                    <w:jc w:val="center"/>
                    <w:rPr>
                      <w:color w:val="auto"/>
                      <w:kern w:val="0"/>
                      <w:szCs w:val="21"/>
                    </w:rPr>
                  </w:pPr>
                  <w:r>
                    <w:rPr>
                      <w:rFonts w:hint="eastAsia"/>
                      <w:color w:val="auto"/>
                      <w:kern w:val="0"/>
                      <w:szCs w:val="21"/>
                    </w:rPr>
                    <w:t>非甲烷总烃</w:t>
                  </w:r>
                </w:p>
              </w:tc>
              <w:tc>
                <w:tcPr>
                  <w:tcW w:w="524" w:type="pct"/>
                  <w:vMerge w:val="continue"/>
                  <w:tcBorders>
                    <w:tl2br w:val="nil"/>
                    <w:tr2bl w:val="nil"/>
                  </w:tcBorders>
                  <w:vAlign w:val="center"/>
                </w:tcPr>
                <w:p>
                  <w:pPr>
                    <w:jc w:val="center"/>
                    <w:rPr>
                      <w:color w:val="auto"/>
                      <w:kern w:val="0"/>
                      <w:szCs w:val="21"/>
                    </w:rPr>
                  </w:pPr>
                </w:p>
              </w:tc>
              <w:tc>
                <w:tcPr>
                  <w:tcW w:w="606" w:type="pct"/>
                  <w:tcBorders>
                    <w:tl2br w:val="nil"/>
                    <w:tr2bl w:val="nil"/>
                  </w:tcBorders>
                  <w:vAlign w:val="center"/>
                </w:tcPr>
                <w:p>
                  <w:pPr>
                    <w:jc w:val="center"/>
                    <w:rPr>
                      <w:rFonts w:hint="eastAsia" w:eastAsia="宋体"/>
                      <w:color w:val="auto"/>
                      <w:kern w:val="0"/>
                      <w:szCs w:val="21"/>
                      <w:lang w:val="en-US" w:eastAsia="zh-CN"/>
                    </w:rPr>
                  </w:pPr>
                  <w:r>
                    <w:rPr>
                      <w:rFonts w:hint="eastAsia"/>
                      <w:color w:val="auto"/>
                      <w:kern w:val="0"/>
                      <w:szCs w:val="21"/>
                    </w:rPr>
                    <w:t>6（监控点处1h平均浓度）</w:t>
                  </w:r>
                  <w:r>
                    <w:rPr>
                      <w:rFonts w:hint="eastAsia"/>
                      <w:color w:val="auto"/>
                      <w:kern w:val="0"/>
                      <w:szCs w:val="21"/>
                      <w:lang w:eastAsia="zh-CN"/>
                    </w:rPr>
                    <w:t>、20（监控点处任意一次浓度值）</w:t>
                  </w:r>
                </w:p>
              </w:tc>
              <w:tc>
                <w:tcPr>
                  <w:tcW w:w="2207" w:type="pct"/>
                  <w:tcBorders>
                    <w:tl2br w:val="nil"/>
                    <w:tr2bl w:val="nil"/>
                  </w:tcBorders>
                  <w:vAlign w:val="center"/>
                </w:tcPr>
                <w:p>
                  <w:pPr>
                    <w:widowControl/>
                    <w:spacing w:line="240" w:lineRule="exact"/>
                    <w:jc w:val="center"/>
                    <w:rPr>
                      <w:color w:val="auto"/>
                      <w:kern w:val="0"/>
                      <w:szCs w:val="21"/>
                    </w:rPr>
                  </w:pPr>
                  <w:r>
                    <w:rPr>
                      <w:rFonts w:hint="eastAsia"/>
                      <w:color w:val="auto"/>
                      <w:kern w:val="0"/>
                      <w:szCs w:val="21"/>
                      <w:lang w:val="en-US" w:eastAsia="zh-CN"/>
                    </w:rPr>
                    <w:t>广东省</w:t>
                  </w:r>
                  <w:r>
                    <w:rPr>
                      <w:rFonts w:hint="eastAsia"/>
                      <w:color w:val="auto"/>
                      <w:kern w:val="0"/>
                      <w:szCs w:val="21"/>
                    </w:rPr>
                    <w:t>《固定污染源挥发性有机物综合排放标准》（DB44/2367-2022）表3厂区内VOCs无组织排放限值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restart"/>
                  <w:tcBorders>
                    <w:tl2br w:val="nil"/>
                    <w:tr2bl w:val="nil"/>
                  </w:tcBorders>
                  <w:vAlign w:val="center"/>
                </w:tcPr>
                <w:p>
                  <w:pPr>
                    <w:jc w:val="center"/>
                    <w:rPr>
                      <w:rFonts w:hint="default" w:eastAsia="宋体"/>
                      <w:color w:val="auto"/>
                      <w:szCs w:val="21"/>
                      <w:lang w:val="en-US" w:eastAsia="zh-CN"/>
                    </w:rPr>
                  </w:pPr>
                  <w:r>
                    <w:rPr>
                      <w:rFonts w:hint="eastAsia"/>
                      <w:color w:val="auto"/>
                      <w:szCs w:val="21"/>
                      <w:lang w:val="en-US" w:eastAsia="zh-CN"/>
                    </w:rPr>
                    <w:t>生活污水</w:t>
                  </w:r>
                </w:p>
              </w:tc>
              <w:tc>
                <w:tcPr>
                  <w:tcW w:w="469" w:type="pct"/>
                  <w:vMerge w:val="restart"/>
                  <w:tcBorders>
                    <w:tl2br w:val="nil"/>
                    <w:tr2bl w:val="nil"/>
                  </w:tcBorders>
                  <w:vAlign w:val="center"/>
                </w:tcPr>
                <w:p>
                  <w:pPr>
                    <w:pStyle w:val="13"/>
                    <w:snapToGrid w:val="0"/>
                    <w:jc w:val="center"/>
                    <w:rPr>
                      <w:rFonts w:ascii="Times New Roman" w:hAnsi="Times New Roman" w:cs="Times New Roman"/>
                      <w:color w:val="auto"/>
                    </w:rPr>
                  </w:pPr>
                  <w:r>
                    <w:rPr>
                      <w:rFonts w:ascii="Times New Roman" w:hAnsi="Times New Roman" w:cs="Times New Roman"/>
                      <w:color w:val="auto"/>
                    </w:rPr>
                    <w:t>D</w:t>
                  </w:r>
                  <w:r>
                    <w:rPr>
                      <w:rFonts w:hint="eastAsia" w:ascii="Times New Roman" w:hAnsi="Times New Roman" w:cs="Times New Roman"/>
                      <w:color w:val="auto"/>
                    </w:rPr>
                    <w:t>W</w:t>
                  </w:r>
                  <w:r>
                    <w:rPr>
                      <w:rFonts w:ascii="Times New Roman" w:hAnsi="Times New Roman" w:cs="Times New Roman"/>
                      <w:color w:val="auto"/>
                    </w:rPr>
                    <w:t>001</w:t>
                  </w:r>
                </w:p>
              </w:tc>
              <w:tc>
                <w:tcPr>
                  <w:tcW w:w="773" w:type="pct"/>
                  <w:tcBorders>
                    <w:tl2br w:val="nil"/>
                    <w:tr2bl w:val="nil"/>
                  </w:tcBorders>
                  <w:vAlign w:val="center"/>
                </w:tcPr>
                <w:p>
                  <w:pPr>
                    <w:pStyle w:val="13"/>
                    <w:snapToGrid w:val="0"/>
                    <w:jc w:val="center"/>
                    <w:rPr>
                      <w:rFonts w:ascii="Times New Roman" w:hAnsi="Times New Roman" w:cs="Times New Roman"/>
                      <w:color w:val="auto"/>
                      <w:kern w:val="0"/>
                    </w:rPr>
                  </w:pPr>
                  <w:r>
                    <w:rPr>
                      <w:rFonts w:ascii="Times New Roman" w:hAnsi="Times New Roman" w:cs="Times New Roman"/>
                      <w:color w:val="auto"/>
                      <w:kern w:val="0"/>
                    </w:rPr>
                    <w:t>流量</w:t>
                  </w:r>
                </w:p>
              </w:tc>
              <w:tc>
                <w:tcPr>
                  <w:tcW w:w="524" w:type="pct"/>
                  <w:vMerge w:val="restart"/>
                  <w:tcBorders>
                    <w:tl2br w:val="nil"/>
                    <w:tr2bl w:val="nil"/>
                  </w:tcBorders>
                  <w:vAlign w:val="center"/>
                </w:tcPr>
                <w:p>
                  <w:pPr>
                    <w:pStyle w:val="13"/>
                    <w:snapToGrid w:val="0"/>
                    <w:jc w:val="center"/>
                    <w:rPr>
                      <w:rFonts w:ascii="Times New Roman" w:hAnsi="Times New Roman" w:cs="Times New Roman"/>
                      <w:color w:val="auto"/>
                      <w:kern w:val="0"/>
                    </w:rPr>
                  </w:pPr>
                  <w:r>
                    <w:rPr>
                      <w:rFonts w:ascii="Times New Roman" w:hAnsi="Times New Roman" w:cs="Times New Roman"/>
                      <w:color w:val="auto"/>
                      <w:kern w:val="0"/>
                    </w:rPr>
                    <w:t>1次/年</w:t>
                  </w:r>
                </w:p>
              </w:tc>
              <w:tc>
                <w:tcPr>
                  <w:tcW w:w="606" w:type="pct"/>
                  <w:tcBorders>
                    <w:tl2br w:val="nil"/>
                    <w:tr2bl w:val="nil"/>
                  </w:tcBorders>
                  <w:vAlign w:val="center"/>
                </w:tcPr>
                <w:p>
                  <w:pPr>
                    <w:pStyle w:val="13"/>
                    <w:snapToGrid w:val="0"/>
                    <w:jc w:val="center"/>
                    <w:rPr>
                      <w:rFonts w:hint="eastAsia" w:ascii="Times New Roman" w:hAnsi="Times New Roman" w:eastAsia="宋体" w:cs="Times New Roman"/>
                      <w:color w:val="auto"/>
                      <w:kern w:val="0"/>
                      <w:lang w:val="en-US" w:eastAsia="zh-CN"/>
                    </w:rPr>
                  </w:pPr>
                  <w:r>
                    <w:rPr>
                      <w:rFonts w:hint="eastAsia" w:ascii="Times New Roman" w:hAnsi="Times New Roman" w:cs="Times New Roman"/>
                      <w:color w:val="auto"/>
                      <w:kern w:val="0"/>
                      <w:lang w:val="en-US" w:eastAsia="zh-CN"/>
                    </w:rPr>
                    <w:t>/</w:t>
                  </w:r>
                </w:p>
              </w:tc>
              <w:tc>
                <w:tcPr>
                  <w:tcW w:w="2207" w:type="pct"/>
                  <w:vMerge w:val="restart"/>
                  <w:tcBorders>
                    <w:tl2br w:val="nil"/>
                    <w:tr2bl w:val="nil"/>
                  </w:tcBorders>
                  <w:vAlign w:val="center"/>
                </w:tcPr>
                <w:p>
                  <w:pPr>
                    <w:jc w:val="center"/>
                    <w:rPr>
                      <w:color w:val="auto"/>
                      <w:szCs w:val="21"/>
                    </w:rPr>
                  </w:pPr>
                  <w:r>
                    <w:rPr>
                      <w:color w:val="auto"/>
                      <w:szCs w:val="21"/>
                    </w:rPr>
                    <w:t>园区污水处理厂进水标准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pStyle w:val="13"/>
                    <w:snapToGrid w:val="0"/>
                    <w:jc w:val="center"/>
                    <w:rPr>
                      <w:rFonts w:ascii="Times New Roman" w:hAnsi="Times New Roman" w:cs="Times New Roman"/>
                      <w:color w:val="auto"/>
                    </w:rPr>
                  </w:pPr>
                </w:p>
              </w:tc>
              <w:tc>
                <w:tcPr>
                  <w:tcW w:w="773" w:type="pct"/>
                  <w:tcBorders>
                    <w:tl2br w:val="nil"/>
                    <w:tr2bl w:val="nil"/>
                  </w:tcBorders>
                  <w:vAlign w:val="center"/>
                </w:tcPr>
                <w:p>
                  <w:pPr>
                    <w:pStyle w:val="13"/>
                    <w:snapToGrid w:val="0"/>
                    <w:jc w:val="center"/>
                    <w:rPr>
                      <w:rFonts w:ascii="Times New Roman" w:hAnsi="Times New Roman" w:cs="Times New Roman"/>
                      <w:color w:val="auto"/>
                      <w:kern w:val="0"/>
                    </w:rPr>
                  </w:pPr>
                  <w:r>
                    <w:rPr>
                      <w:rFonts w:ascii="Times New Roman" w:hAnsi="Times New Roman" w:cs="Times New Roman"/>
                      <w:color w:val="auto"/>
                      <w:kern w:val="0"/>
                    </w:rPr>
                    <w:t>pH值</w:t>
                  </w:r>
                </w:p>
              </w:tc>
              <w:tc>
                <w:tcPr>
                  <w:tcW w:w="524" w:type="pct"/>
                  <w:vMerge w:val="continue"/>
                  <w:tcBorders>
                    <w:tl2br w:val="nil"/>
                    <w:tr2bl w:val="nil"/>
                  </w:tcBorders>
                  <w:vAlign w:val="center"/>
                </w:tcPr>
                <w:p>
                  <w:pPr>
                    <w:pStyle w:val="13"/>
                    <w:snapToGrid w:val="0"/>
                    <w:jc w:val="center"/>
                    <w:rPr>
                      <w:rFonts w:ascii="Times New Roman" w:hAnsi="Times New Roman" w:cs="Times New Roman"/>
                      <w:color w:val="auto"/>
                      <w:kern w:val="0"/>
                    </w:rPr>
                  </w:pPr>
                </w:p>
              </w:tc>
              <w:tc>
                <w:tcPr>
                  <w:tcW w:w="606" w:type="pct"/>
                  <w:tcBorders>
                    <w:tl2br w:val="nil"/>
                    <w:tr2bl w:val="nil"/>
                  </w:tcBorders>
                  <w:vAlign w:val="center"/>
                </w:tcPr>
                <w:p>
                  <w:pPr>
                    <w:pStyle w:val="13"/>
                    <w:snapToGrid w:val="0"/>
                    <w:jc w:val="center"/>
                    <w:rPr>
                      <w:rFonts w:ascii="Times New Roman" w:hAnsi="Times New Roman" w:cs="Times New Roman"/>
                      <w:color w:val="auto"/>
                      <w:kern w:val="0"/>
                    </w:rPr>
                  </w:pPr>
                  <w:r>
                    <w:rPr>
                      <w:rFonts w:ascii="Times New Roman" w:hAnsi="Times New Roman" w:cs="Times New Roman"/>
                      <w:color w:val="auto"/>
                      <w:kern w:val="0"/>
                    </w:rPr>
                    <w:t>6-9</w:t>
                  </w:r>
                  <w:r>
                    <w:rPr>
                      <w:rFonts w:hint="eastAsia" w:ascii="Times New Roman" w:hAnsi="Times New Roman" w:cs="Times New Roman"/>
                      <w:color w:val="auto"/>
                      <w:kern w:val="0"/>
                    </w:rPr>
                    <w:t>（无量纲）</w:t>
                  </w:r>
                </w:p>
              </w:tc>
              <w:tc>
                <w:tcPr>
                  <w:tcW w:w="2207" w:type="pct"/>
                  <w:vMerge w:val="continue"/>
                  <w:tcBorders>
                    <w:tl2br w:val="nil"/>
                    <w:tr2bl w:val="nil"/>
                  </w:tcBorders>
                  <w:vAlign w:val="center"/>
                </w:tcPr>
                <w:p>
                  <w:pPr>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pStyle w:val="13"/>
                    <w:snapToGrid w:val="0"/>
                    <w:jc w:val="center"/>
                    <w:rPr>
                      <w:rFonts w:ascii="Times New Roman" w:hAnsi="Times New Roman" w:cs="Times New Roman"/>
                      <w:color w:val="auto"/>
                    </w:rPr>
                  </w:pPr>
                </w:p>
              </w:tc>
              <w:tc>
                <w:tcPr>
                  <w:tcW w:w="773" w:type="pct"/>
                  <w:tcBorders>
                    <w:tl2br w:val="nil"/>
                    <w:tr2bl w:val="nil"/>
                  </w:tcBorders>
                  <w:vAlign w:val="center"/>
                </w:tcPr>
                <w:p>
                  <w:pPr>
                    <w:pStyle w:val="13"/>
                    <w:snapToGrid w:val="0"/>
                    <w:jc w:val="center"/>
                    <w:rPr>
                      <w:rFonts w:ascii="Times New Roman" w:hAnsi="Times New Roman" w:cs="Times New Roman"/>
                      <w:color w:val="auto"/>
                      <w:kern w:val="0"/>
                    </w:rPr>
                  </w:pPr>
                  <w:r>
                    <w:rPr>
                      <w:rFonts w:ascii="Times New Roman" w:hAnsi="Times New Roman" w:cs="Times New Roman"/>
                      <w:color w:val="auto"/>
                      <w:kern w:val="0"/>
                    </w:rPr>
                    <w:t>化学需氧量</w:t>
                  </w:r>
                </w:p>
              </w:tc>
              <w:tc>
                <w:tcPr>
                  <w:tcW w:w="524" w:type="pct"/>
                  <w:vMerge w:val="continue"/>
                  <w:tcBorders>
                    <w:tl2br w:val="nil"/>
                    <w:tr2bl w:val="nil"/>
                  </w:tcBorders>
                  <w:vAlign w:val="center"/>
                </w:tcPr>
                <w:p>
                  <w:pPr>
                    <w:pStyle w:val="13"/>
                    <w:snapToGrid w:val="0"/>
                    <w:jc w:val="center"/>
                    <w:rPr>
                      <w:rFonts w:ascii="Times New Roman" w:hAnsi="Times New Roman" w:cs="Times New Roman"/>
                      <w:color w:val="auto"/>
                      <w:kern w:val="0"/>
                    </w:rPr>
                  </w:pPr>
                </w:p>
              </w:tc>
              <w:tc>
                <w:tcPr>
                  <w:tcW w:w="606" w:type="pct"/>
                  <w:tcBorders>
                    <w:tl2br w:val="nil"/>
                    <w:tr2bl w:val="nil"/>
                  </w:tcBorders>
                  <w:vAlign w:val="center"/>
                </w:tcPr>
                <w:p>
                  <w:pPr>
                    <w:pStyle w:val="13"/>
                    <w:snapToGrid w:val="0"/>
                    <w:jc w:val="center"/>
                    <w:rPr>
                      <w:rFonts w:hint="default" w:ascii="Times New Roman" w:hAnsi="Times New Roman" w:eastAsia="宋体" w:cs="Times New Roman"/>
                      <w:color w:val="auto"/>
                      <w:kern w:val="0"/>
                      <w:lang w:val="en-US" w:eastAsia="zh-CN"/>
                    </w:rPr>
                  </w:pPr>
                  <w:r>
                    <w:rPr>
                      <w:rFonts w:hint="eastAsia" w:ascii="Times New Roman" w:hAnsi="Times New Roman" w:cs="Times New Roman"/>
                      <w:color w:val="auto"/>
                      <w:kern w:val="0"/>
                      <w:lang w:val="en-US" w:eastAsia="zh-CN"/>
                    </w:rPr>
                    <w:t>350</w:t>
                  </w:r>
                </w:p>
              </w:tc>
              <w:tc>
                <w:tcPr>
                  <w:tcW w:w="2207" w:type="pct"/>
                  <w:vMerge w:val="continue"/>
                  <w:tcBorders>
                    <w:tl2br w:val="nil"/>
                    <w:tr2bl w:val="nil"/>
                  </w:tcBorders>
                  <w:vAlign w:val="center"/>
                </w:tcPr>
                <w:p>
                  <w:pPr>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pStyle w:val="13"/>
                    <w:snapToGrid w:val="0"/>
                    <w:jc w:val="center"/>
                    <w:rPr>
                      <w:rFonts w:ascii="Times New Roman" w:hAnsi="Times New Roman" w:cs="Times New Roman"/>
                      <w:color w:val="auto"/>
                    </w:rPr>
                  </w:pPr>
                </w:p>
              </w:tc>
              <w:tc>
                <w:tcPr>
                  <w:tcW w:w="773" w:type="pct"/>
                  <w:tcBorders>
                    <w:tl2br w:val="nil"/>
                    <w:tr2bl w:val="nil"/>
                  </w:tcBorders>
                  <w:vAlign w:val="center"/>
                </w:tcPr>
                <w:p>
                  <w:pPr>
                    <w:pStyle w:val="13"/>
                    <w:snapToGrid w:val="0"/>
                    <w:jc w:val="center"/>
                    <w:rPr>
                      <w:rFonts w:ascii="Times New Roman" w:hAnsi="Times New Roman" w:cs="Times New Roman"/>
                      <w:color w:val="auto"/>
                      <w:kern w:val="0"/>
                    </w:rPr>
                  </w:pPr>
                  <w:r>
                    <w:rPr>
                      <w:rFonts w:ascii="Times New Roman" w:hAnsi="Times New Roman" w:cs="Times New Roman"/>
                      <w:color w:val="auto"/>
                    </w:rPr>
                    <w:t>五日生化需氧量</w:t>
                  </w:r>
                </w:p>
              </w:tc>
              <w:tc>
                <w:tcPr>
                  <w:tcW w:w="524" w:type="pct"/>
                  <w:vMerge w:val="continue"/>
                  <w:tcBorders>
                    <w:tl2br w:val="nil"/>
                    <w:tr2bl w:val="nil"/>
                  </w:tcBorders>
                  <w:vAlign w:val="center"/>
                </w:tcPr>
                <w:p>
                  <w:pPr>
                    <w:pStyle w:val="13"/>
                    <w:snapToGrid w:val="0"/>
                    <w:jc w:val="center"/>
                    <w:rPr>
                      <w:rFonts w:ascii="Times New Roman" w:hAnsi="Times New Roman" w:cs="Times New Roman"/>
                      <w:color w:val="auto"/>
                      <w:kern w:val="0"/>
                    </w:rPr>
                  </w:pPr>
                </w:p>
              </w:tc>
              <w:tc>
                <w:tcPr>
                  <w:tcW w:w="606" w:type="pct"/>
                  <w:tcBorders>
                    <w:tl2br w:val="nil"/>
                    <w:tr2bl w:val="nil"/>
                  </w:tcBorders>
                  <w:vAlign w:val="center"/>
                </w:tcPr>
                <w:p>
                  <w:pPr>
                    <w:pStyle w:val="13"/>
                    <w:snapToGrid w:val="0"/>
                    <w:jc w:val="center"/>
                    <w:rPr>
                      <w:rFonts w:hint="default" w:ascii="Times New Roman" w:hAnsi="Times New Roman" w:eastAsia="宋体" w:cs="Times New Roman"/>
                      <w:color w:val="auto"/>
                      <w:kern w:val="0"/>
                      <w:lang w:val="en-US" w:eastAsia="zh-CN"/>
                    </w:rPr>
                  </w:pPr>
                  <w:r>
                    <w:rPr>
                      <w:rFonts w:hint="eastAsia" w:ascii="Times New Roman" w:hAnsi="Times New Roman" w:cs="Times New Roman"/>
                      <w:color w:val="auto"/>
                      <w:kern w:val="0"/>
                      <w:lang w:val="en-US" w:eastAsia="zh-CN"/>
                    </w:rPr>
                    <w:t>150</w:t>
                  </w:r>
                </w:p>
              </w:tc>
              <w:tc>
                <w:tcPr>
                  <w:tcW w:w="2207" w:type="pct"/>
                  <w:vMerge w:val="continue"/>
                  <w:tcBorders>
                    <w:tl2br w:val="nil"/>
                    <w:tr2bl w:val="nil"/>
                  </w:tcBorders>
                  <w:vAlign w:val="center"/>
                </w:tcPr>
                <w:p>
                  <w:pPr>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pStyle w:val="13"/>
                    <w:snapToGrid w:val="0"/>
                    <w:jc w:val="center"/>
                    <w:rPr>
                      <w:rFonts w:ascii="Times New Roman" w:hAnsi="Times New Roman" w:cs="Times New Roman"/>
                      <w:color w:val="auto"/>
                    </w:rPr>
                  </w:pPr>
                </w:p>
              </w:tc>
              <w:tc>
                <w:tcPr>
                  <w:tcW w:w="773" w:type="pct"/>
                  <w:tcBorders>
                    <w:tl2br w:val="nil"/>
                    <w:tr2bl w:val="nil"/>
                  </w:tcBorders>
                  <w:vAlign w:val="center"/>
                </w:tcPr>
                <w:p>
                  <w:pPr>
                    <w:pStyle w:val="13"/>
                    <w:snapToGrid w:val="0"/>
                    <w:jc w:val="center"/>
                    <w:rPr>
                      <w:rFonts w:ascii="Times New Roman" w:hAnsi="Times New Roman" w:cs="Times New Roman"/>
                      <w:color w:val="auto"/>
                      <w:kern w:val="0"/>
                    </w:rPr>
                  </w:pPr>
                  <w:r>
                    <w:rPr>
                      <w:rFonts w:ascii="Times New Roman" w:hAnsi="Times New Roman" w:cs="Times New Roman"/>
                      <w:color w:val="auto"/>
                    </w:rPr>
                    <w:t>悬浮物</w:t>
                  </w:r>
                </w:p>
              </w:tc>
              <w:tc>
                <w:tcPr>
                  <w:tcW w:w="524" w:type="pct"/>
                  <w:vMerge w:val="continue"/>
                  <w:tcBorders>
                    <w:tl2br w:val="nil"/>
                    <w:tr2bl w:val="nil"/>
                  </w:tcBorders>
                  <w:vAlign w:val="center"/>
                </w:tcPr>
                <w:p>
                  <w:pPr>
                    <w:pStyle w:val="13"/>
                    <w:snapToGrid w:val="0"/>
                    <w:jc w:val="center"/>
                    <w:rPr>
                      <w:rFonts w:ascii="Times New Roman" w:hAnsi="Times New Roman" w:cs="Times New Roman"/>
                      <w:color w:val="auto"/>
                      <w:kern w:val="0"/>
                    </w:rPr>
                  </w:pPr>
                </w:p>
              </w:tc>
              <w:tc>
                <w:tcPr>
                  <w:tcW w:w="606" w:type="pct"/>
                  <w:tcBorders>
                    <w:tl2br w:val="nil"/>
                    <w:tr2bl w:val="nil"/>
                  </w:tcBorders>
                  <w:vAlign w:val="center"/>
                </w:tcPr>
                <w:p>
                  <w:pPr>
                    <w:pStyle w:val="13"/>
                    <w:snapToGrid w:val="0"/>
                    <w:jc w:val="center"/>
                    <w:rPr>
                      <w:rFonts w:hint="default" w:ascii="Times New Roman" w:hAnsi="Times New Roman" w:eastAsia="宋体" w:cs="Times New Roman"/>
                      <w:color w:val="auto"/>
                      <w:kern w:val="0"/>
                      <w:lang w:val="en-US" w:eastAsia="zh-CN"/>
                    </w:rPr>
                  </w:pPr>
                  <w:r>
                    <w:rPr>
                      <w:rFonts w:hint="eastAsia" w:ascii="Times New Roman" w:hAnsi="Times New Roman" w:cs="Times New Roman"/>
                      <w:color w:val="auto"/>
                      <w:kern w:val="0"/>
                      <w:lang w:val="en-US" w:eastAsia="zh-CN"/>
                    </w:rPr>
                    <w:t>300</w:t>
                  </w:r>
                </w:p>
              </w:tc>
              <w:tc>
                <w:tcPr>
                  <w:tcW w:w="2207" w:type="pct"/>
                  <w:vMerge w:val="continue"/>
                  <w:tcBorders>
                    <w:tl2br w:val="nil"/>
                    <w:tr2bl w:val="nil"/>
                  </w:tcBorders>
                  <w:vAlign w:val="center"/>
                </w:tcPr>
                <w:p>
                  <w:pPr>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pStyle w:val="13"/>
                    <w:snapToGrid w:val="0"/>
                    <w:jc w:val="center"/>
                    <w:rPr>
                      <w:rFonts w:ascii="Times New Roman" w:hAnsi="Times New Roman" w:cs="Times New Roman"/>
                      <w:color w:val="auto"/>
                    </w:rPr>
                  </w:pPr>
                </w:p>
              </w:tc>
              <w:tc>
                <w:tcPr>
                  <w:tcW w:w="773" w:type="pct"/>
                  <w:tcBorders>
                    <w:tl2br w:val="nil"/>
                    <w:tr2bl w:val="nil"/>
                  </w:tcBorders>
                  <w:vAlign w:val="center"/>
                </w:tcPr>
                <w:p>
                  <w:pPr>
                    <w:pStyle w:val="13"/>
                    <w:snapToGrid w:val="0"/>
                    <w:jc w:val="center"/>
                    <w:rPr>
                      <w:rFonts w:ascii="Times New Roman" w:hAnsi="Times New Roman" w:cs="Times New Roman"/>
                      <w:color w:val="auto"/>
                      <w:kern w:val="0"/>
                    </w:rPr>
                  </w:pPr>
                  <w:r>
                    <w:rPr>
                      <w:rFonts w:ascii="Times New Roman" w:hAnsi="Times New Roman" w:cs="Times New Roman"/>
                      <w:color w:val="auto"/>
                      <w:kern w:val="0"/>
                    </w:rPr>
                    <w:t>氨氮</w:t>
                  </w:r>
                </w:p>
              </w:tc>
              <w:tc>
                <w:tcPr>
                  <w:tcW w:w="524" w:type="pct"/>
                  <w:vMerge w:val="continue"/>
                  <w:tcBorders>
                    <w:tl2br w:val="nil"/>
                    <w:tr2bl w:val="nil"/>
                  </w:tcBorders>
                  <w:vAlign w:val="center"/>
                </w:tcPr>
                <w:p>
                  <w:pPr>
                    <w:pStyle w:val="13"/>
                    <w:snapToGrid w:val="0"/>
                    <w:jc w:val="center"/>
                    <w:rPr>
                      <w:rFonts w:ascii="Times New Roman" w:hAnsi="Times New Roman" w:cs="Times New Roman"/>
                      <w:color w:val="auto"/>
                      <w:kern w:val="0"/>
                    </w:rPr>
                  </w:pPr>
                </w:p>
              </w:tc>
              <w:tc>
                <w:tcPr>
                  <w:tcW w:w="606" w:type="pct"/>
                  <w:tcBorders>
                    <w:tl2br w:val="nil"/>
                    <w:tr2bl w:val="nil"/>
                  </w:tcBorders>
                  <w:vAlign w:val="center"/>
                </w:tcPr>
                <w:p>
                  <w:pPr>
                    <w:pStyle w:val="13"/>
                    <w:snapToGrid w:val="0"/>
                    <w:jc w:val="center"/>
                    <w:rPr>
                      <w:rFonts w:hint="default" w:ascii="Times New Roman" w:hAnsi="Times New Roman" w:eastAsia="宋体" w:cs="Times New Roman"/>
                      <w:color w:val="auto"/>
                      <w:kern w:val="0"/>
                      <w:lang w:val="en-US" w:eastAsia="zh-CN"/>
                    </w:rPr>
                  </w:pPr>
                  <w:r>
                    <w:rPr>
                      <w:rFonts w:hint="eastAsia" w:ascii="Times New Roman" w:hAnsi="Times New Roman" w:cs="Times New Roman"/>
                      <w:color w:val="auto"/>
                      <w:kern w:val="0"/>
                      <w:lang w:val="en-US" w:eastAsia="zh-CN"/>
                    </w:rPr>
                    <w:t>40</w:t>
                  </w:r>
                </w:p>
              </w:tc>
              <w:tc>
                <w:tcPr>
                  <w:tcW w:w="2207" w:type="pct"/>
                  <w:vMerge w:val="continue"/>
                  <w:tcBorders>
                    <w:tl2br w:val="nil"/>
                    <w:tr2bl w:val="nil"/>
                  </w:tcBorders>
                  <w:vAlign w:val="center"/>
                </w:tcPr>
                <w:p>
                  <w:pPr>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418" w:type="pct"/>
                  <w:vMerge w:val="continue"/>
                  <w:tcBorders>
                    <w:tl2br w:val="nil"/>
                    <w:tr2bl w:val="nil"/>
                  </w:tcBorders>
                  <w:vAlign w:val="center"/>
                </w:tcPr>
                <w:p>
                  <w:pPr>
                    <w:jc w:val="center"/>
                    <w:rPr>
                      <w:color w:val="auto"/>
                      <w:szCs w:val="21"/>
                    </w:rPr>
                  </w:pPr>
                </w:p>
              </w:tc>
              <w:tc>
                <w:tcPr>
                  <w:tcW w:w="469" w:type="pct"/>
                  <w:vMerge w:val="continue"/>
                  <w:tcBorders>
                    <w:tl2br w:val="nil"/>
                    <w:tr2bl w:val="nil"/>
                  </w:tcBorders>
                  <w:vAlign w:val="center"/>
                </w:tcPr>
                <w:p>
                  <w:pPr>
                    <w:pStyle w:val="13"/>
                    <w:snapToGrid w:val="0"/>
                    <w:jc w:val="center"/>
                    <w:rPr>
                      <w:rFonts w:ascii="Times New Roman" w:hAnsi="Times New Roman" w:cs="Times New Roman"/>
                      <w:color w:val="auto"/>
                    </w:rPr>
                  </w:pPr>
                </w:p>
              </w:tc>
              <w:tc>
                <w:tcPr>
                  <w:tcW w:w="773" w:type="pct"/>
                  <w:tcBorders>
                    <w:tl2br w:val="nil"/>
                    <w:tr2bl w:val="nil"/>
                  </w:tcBorders>
                  <w:vAlign w:val="center"/>
                </w:tcPr>
                <w:p>
                  <w:pPr>
                    <w:pStyle w:val="13"/>
                    <w:snapToGrid w:val="0"/>
                    <w:jc w:val="center"/>
                    <w:rPr>
                      <w:rFonts w:hint="default" w:ascii="Times New Roman" w:hAnsi="Times New Roman" w:eastAsia="宋体" w:cs="Times New Roman"/>
                      <w:color w:val="auto"/>
                      <w:kern w:val="0"/>
                      <w:lang w:val="en-US" w:eastAsia="zh-CN"/>
                    </w:rPr>
                  </w:pPr>
                  <w:r>
                    <w:rPr>
                      <w:rFonts w:hint="eastAsia" w:ascii="Times New Roman" w:hAnsi="Times New Roman" w:cs="Times New Roman"/>
                      <w:color w:val="auto"/>
                      <w:kern w:val="0"/>
                      <w:lang w:val="en-US" w:eastAsia="zh-CN"/>
                    </w:rPr>
                    <w:t>动植物油</w:t>
                  </w:r>
                </w:p>
              </w:tc>
              <w:tc>
                <w:tcPr>
                  <w:tcW w:w="524" w:type="pct"/>
                  <w:vMerge w:val="continue"/>
                  <w:tcBorders>
                    <w:tl2br w:val="nil"/>
                    <w:tr2bl w:val="nil"/>
                  </w:tcBorders>
                  <w:vAlign w:val="center"/>
                </w:tcPr>
                <w:p>
                  <w:pPr>
                    <w:pStyle w:val="13"/>
                    <w:snapToGrid w:val="0"/>
                    <w:jc w:val="center"/>
                    <w:rPr>
                      <w:rFonts w:ascii="Times New Roman" w:hAnsi="Times New Roman" w:cs="Times New Roman"/>
                      <w:color w:val="auto"/>
                      <w:kern w:val="0"/>
                    </w:rPr>
                  </w:pPr>
                </w:p>
              </w:tc>
              <w:tc>
                <w:tcPr>
                  <w:tcW w:w="606" w:type="pct"/>
                  <w:tcBorders>
                    <w:tl2br w:val="nil"/>
                    <w:tr2bl w:val="nil"/>
                  </w:tcBorders>
                  <w:vAlign w:val="center"/>
                </w:tcPr>
                <w:p>
                  <w:pPr>
                    <w:pStyle w:val="13"/>
                    <w:snapToGrid w:val="0"/>
                    <w:jc w:val="center"/>
                    <w:rPr>
                      <w:rFonts w:hint="default" w:ascii="Times New Roman" w:hAnsi="Times New Roman" w:eastAsia="宋体" w:cs="Times New Roman"/>
                      <w:color w:val="auto"/>
                      <w:kern w:val="0"/>
                      <w:lang w:val="en-US" w:eastAsia="zh-CN"/>
                    </w:rPr>
                  </w:pPr>
                  <w:r>
                    <w:rPr>
                      <w:rFonts w:hint="eastAsia" w:ascii="Times New Roman" w:hAnsi="Times New Roman" w:cs="Times New Roman"/>
                      <w:color w:val="auto"/>
                      <w:kern w:val="0"/>
                      <w:lang w:val="en-US" w:eastAsia="zh-CN"/>
                    </w:rPr>
                    <w:t>30</w:t>
                  </w:r>
                </w:p>
              </w:tc>
              <w:tc>
                <w:tcPr>
                  <w:tcW w:w="2207" w:type="pct"/>
                  <w:vMerge w:val="continue"/>
                  <w:tcBorders>
                    <w:tl2br w:val="nil"/>
                    <w:tr2bl w:val="nil"/>
                  </w:tcBorders>
                  <w:vAlign w:val="center"/>
                </w:tcPr>
                <w:p>
                  <w:pPr>
                    <w:jc w:val="center"/>
                    <w:rPr>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454" w:hRule="atLeast"/>
              </w:trPr>
              <w:tc>
                <w:tcPr>
                  <w:tcW w:w="418" w:type="pct"/>
                  <w:tcBorders>
                    <w:tl2br w:val="nil"/>
                    <w:tr2bl w:val="nil"/>
                  </w:tcBorders>
                  <w:vAlign w:val="center"/>
                </w:tcPr>
                <w:p>
                  <w:pPr>
                    <w:jc w:val="center"/>
                    <w:rPr>
                      <w:color w:val="auto"/>
                      <w:szCs w:val="21"/>
                    </w:rPr>
                  </w:pPr>
                  <w:r>
                    <w:rPr>
                      <w:color w:val="auto"/>
                      <w:szCs w:val="21"/>
                    </w:rPr>
                    <w:t>噪声</w:t>
                  </w:r>
                </w:p>
              </w:tc>
              <w:tc>
                <w:tcPr>
                  <w:tcW w:w="469" w:type="pct"/>
                  <w:tcBorders>
                    <w:tl2br w:val="nil"/>
                    <w:tr2bl w:val="nil"/>
                  </w:tcBorders>
                  <w:vAlign w:val="center"/>
                </w:tcPr>
                <w:p>
                  <w:pPr>
                    <w:jc w:val="center"/>
                    <w:rPr>
                      <w:color w:val="auto"/>
                      <w:szCs w:val="21"/>
                    </w:rPr>
                  </w:pPr>
                  <w:r>
                    <w:rPr>
                      <w:color w:val="auto"/>
                      <w:szCs w:val="21"/>
                    </w:rPr>
                    <w:t>企业厂界四周</w:t>
                  </w:r>
                </w:p>
              </w:tc>
              <w:tc>
                <w:tcPr>
                  <w:tcW w:w="773" w:type="pct"/>
                  <w:tcBorders>
                    <w:tl2br w:val="nil"/>
                    <w:tr2bl w:val="nil"/>
                  </w:tcBorders>
                  <w:vAlign w:val="center"/>
                </w:tcPr>
                <w:p>
                  <w:pPr>
                    <w:widowControl/>
                    <w:spacing w:line="240" w:lineRule="exact"/>
                    <w:jc w:val="center"/>
                    <w:rPr>
                      <w:color w:val="auto"/>
                      <w:kern w:val="0"/>
                      <w:szCs w:val="21"/>
                    </w:rPr>
                  </w:pPr>
                  <w:r>
                    <w:rPr>
                      <w:color w:val="auto"/>
                      <w:kern w:val="0"/>
                      <w:szCs w:val="21"/>
                    </w:rPr>
                    <w:t>等效连续A声级</w:t>
                  </w:r>
                </w:p>
              </w:tc>
              <w:tc>
                <w:tcPr>
                  <w:tcW w:w="524" w:type="pct"/>
                  <w:tcBorders>
                    <w:tl2br w:val="nil"/>
                    <w:tr2bl w:val="nil"/>
                  </w:tcBorders>
                  <w:vAlign w:val="center"/>
                </w:tcPr>
                <w:p>
                  <w:pPr>
                    <w:jc w:val="center"/>
                    <w:rPr>
                      <w:color w:val="auto"/>
                      <w:kern w:val="0"/>
                      <w:szCs w:val="21"/>
                    </w:rPr>
                  </w:pPr>
                  <w:r>
                    <w:rPr>
                      <w:color w:val="auto"/>
                      <w:kern w:val="0"/>
                      <w:szCs w:val="21"/>
                    </w:rPr>
                    <w:t>1次/季度</w:t>
                  </w:r>
                </w:p>
              </w:tc>
              <w:tc>
                <w:tcPr>
                  <w:tcW w:w="606" w:type="pct"/>
                  <w:tcBorders>
                    <w:tl2br w:val="nil"/>
                    <w:tr2bl w:val="nil"/>
                  </w:tcBorders>
                  <w:vAlign w:val="center"/>
                </w:tcPr>
                <w:p>
                  <w:pPr>
                    <w:jc w:val="center"/>
                    <w:rPr>
                      <w:color w:val="auto"/>
                      <w:kern w:val="0"/>
                      <w:szCs w:val="21"/>
                    </w:rPr>
                  </w:pPr>
                  <w:r>
                    <w:rPr>
                      <w:color w:val="auto"/>
                      <w:kern w:val="0"/>
                      <w:szCs w:val="21"/>
                    </w:rPr>
                    <w:t>昼间低于65dB（A），夜间低于55dB（A）</w:t>
                  </w:r>
                </w:p>
              </w:tc>
              <w:tc>
                <w:tcPr>
                  <w:tcW w:w="2207" w:type="pct"/>
                  <w:tcBorders>
                    <w:tl2br w:val="nil"/>
                    <w:tr2bl w:val="nil"/>
                  </w:tcBorders>
                  <w:vAlign w:val="center"/>
                </w:tcPr>
                <w:p>
                  <w:pPr>
                    <w:jc w:val="center"/>
                    <w:rPr>
                      <w:color w:val="auto"/>
                      <w:szCs w:val="21"/>
                    </w:rPr>
                  </w:pPr>
                  <w:r>
                    <w:rPr>
                      <w:color w:val="auto"/>
                      <w:szCs w:val="21"/>
                    </w:rPr>
                    <w:t>《工业企业厂界环境噪声排放标准》（GB12348-2008）中3类排放标准</w:t>
                  </w:r>
                </w:p>
              </w:tc>
            </w:tr>
          </w:tbl>
          <w:p>
            <w:pPr>
              <w:adjustRightInd w:val="0"/>
              <w:snapToGrid w:val="0"/>
              <w:spacing w:before="120" w:beforeLines="50" w:line="360" w:lineRule="auto"/>
              <w:ind w:firstLine="482" w:firstLineChars="200"/>
              <w:rPr>
                <w:b/>
                <w:bCs/>
                <w:color w:val="auto"/>
                <w:sz w:val="24"/>
              </w:rPr>
            </w:pPr>
            <w:r>
              <w:rPr>
                <w:b/>
                <w:bCs/>
                <w:color w:val="auto"/>
                <w:sz w:val="24"/>
              </w:rPr>
              <w:t>11.</w:t>
            </w:r>
            <w:bookmarkStart w:id="65" w:name="_Toc393290538"/>
            <w:bookmarkStart w:id="66" w:name="_Toc15386623"/>
            <w:bookmarkStart w:id="67" w:name="_Toc4184"/>
            <w:bookmarkStart w:id="68" w:name="_Toc393290436"/>
            <w:bookmarkStart w:id="69" w:name="_Toc29726"/>
            <w:bookmarkStart w:id="70" w:name="_Toc13890"/>
            <w:bookmarkStart w:id="71" w:name="_Toc372279905"/>
            <w:bookmarkStart w:id="72" w:name="_Toc15188"/>
            <w:bookmarkStart w:id="73" w:name="_Toc300299347"/>
            <w:r>
              <w:rPr>
                <w:b/>
                <w:bCs/>
                <w:color w:val="auto"/>
                <w:sz w:val="24"/>
              </w:rPr>
              <w:t>环保设</w:t>
            </w:r>
            <w:r>
              <w:rPr>
                <w:rFonts w:hint="eastAsia" w:ascii="宋体" w:hAnsi="宋体" w:cs="宋体"/>
                <w:b/>
                <w:bCs/>
                <w:color w:val="auto"/>
                <w:sz w:val="24"/>
              </w:rPr>
              <w:t>施“三同时”验</w:t>
            </w:r>
            <w:r>
              <w:rPr>
                <w:b/>
                <w:bCs/>
                <w:color w:val="auto"/>
                <w:sz w:val="24"/>
              </w:rPr>
              <w:t>收</w:t>
            </w:r>
            <w:bookmarkEnd w:id="65"/>
            <w:bookmarkEnd w:id="66"/>
            <w:bookmarkEnd w:id="67"/>
            <w:bookmarkEnd w:id="68"/>
            <w:bookmarkEnd w:id="69"/>
            <w:bookmarkEnd w:id="70"/>
            <w:bookmarkEnd w:id="71"/>
            <w:bookmarkEnd w:id="72"/>
            <w:bookmarkEnd w:id="73"/>
          </w:p>
          <w:p>
            <w:pPr>
              <w:adjustRightInd w:val="0"/>
              <w:snapToGrid w:val="0"/>
              <w:spacing w:line="360" w:lineRule="auto"/>
              <w:ind w:firstLine="480" w:firstLineChars="200"/>
              <w:rPr>
                <w:color w:val="auto"/>
                <w:sz w:val="24"/>
              </w:rPr>
            </w:pPr>
            <w:r>
              <w:rPr>
                <w:color w:val="auto"/>
                <w:sz w:val="24"/>
              </w:rPr>
              <w:t>本项目环保设</w:t>
            </w:r>
            <w:r>
              <w:rPr>
                <w:rFonts w:hint="eastAsia" w:ascii="宋体" w:hAnsi="宋体" w:cs="宋体"/>
                <w:color w:val="auto"/>
                <w:sz w:val="24"/>
              </w:rPr>
              <w:t>施“三同时”验</w:t>
            </w:r>
            <w:r>
              <w:rPr>
                <w:color w:val="auto"/>
                <w:sz w:val="24"/>
              </w:rPr>
              <w:t>收一览表见表</w:t>
            </w:r>
            <w:r>
              <w:rPr>
                <w:rFonts w:hint="eastAsia"/>
                <w:color w:val="auto"/>
                <w:sz w:val="24"/>
                <w:lang w:val="en-US" w:eastAsia="zh-CN"/>
              </w:rPr>
              <w:t>4-18</w:t>
            </w:r>
            <w:r>
              <w:rPr>
                <w:color w:val="auto"/>
                <w:sz w:val="24"/>
              </w:rPr>
              <w:t>。</w:t>
            </w:r>
          </w:p>
          <w:p>
            <w:pPr>
              <w:autoSpaceDE w:val="0"/>
              <w:autoSpaceDN w:val="0"/>
              <w:adjustRightInd w:val="0"/>
              <w:jc w:val="center"/>
              <w:textAlignment w:val="baseline"/>
              <w:rPr>
                <w:b/>
                <w:bCs/>
                <w:color w:val="auto"/>
                <w:sz w:val="24"/>
              </w:rPr>
            </w:pPr>
            <w:r>
              <w:rPr>
                <w:b/>
                <w:bCs/>
                <w:color w:val="auto"/>
                <w:sz w:val="24"/>
              </w:rPr>
              <w:t>表</w:t>
            </w:r>
            <w:r>
              <w:rPr>
                <w:rFonts w:hint="eastAsia"/>
                <w:b/>
                <w:bCs/>
                <w:color w:val="auto"/>
                <w:sz w:val="24"/>
                <w:lang w:val="en-US" w:eastAsia="zh-CN"/>
              </w:rPr>
              <w:t>4-18</w:t>
            </w:r>
            <w:r>
              <w:rPr>
                <w:rFonts w:hint="eastAsia" w:ascii="宋体" w:hAnsi="宋体" w:cs="宋体"/>
                <w:b/>
                <w:bCs/>
                <w:color w:val="auto"/>
                <w:sz w:val="24"/>
              </w:rPr>
              <w:t xml:space="preserve"> </w:t>
            </w:r>
            <w:r>
              <w:rPr>
                <w:b/>
                <w:bCs/>
                <w:color w:val="auto"/>
                <w:sz w:val="24"/>
              </w:rPr>
              <w:t>本项目环保设</w:t>
            </w:r>
            <w:r>
              <w:rPr>
                <w:rFonts w:hint="eastAsia" w:ascii="宋体" w:hAnsi="宋体" w:cs="宋体"/>
                <w:b/>
                <w:bCs/>
                <w:color w:val="auto"/>
                <w:sz w:val="24"/>
              </w:rPr>
              <w:t>施“三同时”验</w:t>
            </w:r>
            <w:r>
              <w:rPr>
                <w:b/>
                <w:bCs/>
                <w:color w:val="auto"/>
                <w:sz w:val="24"/>
              </w:rPr>
              <w:t>收一览表</w:t>
            </w:r>
          </w:p>
          <w:tbl>
            <w:tblPr>
              <w:tblStyle w:val="28"/>
              <w:tblW w:w="4938"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01"/>
              <w:gridCol w:w="1873"/>
              <w:gridCol w:w="1732"/>
              <w:gridCol w:w="696"/>
              <w:gridCol w:w="293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83"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b/>
                      <w:color w:val="auto"/>
                      <w:kern w:val="0"/>
                      <w:szCs w:val="21"/>
                    </w:rPr>
                  </w:pPr>
                  <w:r>
                    <w:rPr>
                      <w:b/>
                      <w:color w:val="auto"/>
                      <w:kern w:val="0"/>
                      <w:szCs w:val="21"/>
                    </w:rPr>
                    <w:t>类别</w:t>
                  </w:r>
                </w:p>
              </w:tc>
              <w:tc>
                <w:tcPr>
                  <w:tcW w:w="119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b/>
                      <w:color w:val="auto"/>
                      <w:kern w:val="0"/>
                      <w:szCs w:val="21"/>
                    </w:rPr>
                  </w:pPr>
                  <w:r>
                    <w:rPr>
                      <w:b/>
                      <w:color w:val="auto"/>
                      <w:kern w:val="0"/>
                      <w:szCs w:val="21"/>
                    </w:rPr>
                    <w:t>处理对象</w:t>
                  </w:r>
                </w:p>
              </w:tc>
              <w:tc>
                <w:tcPr>
                  <w:tcW w:w="110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b/>
                      <w:color w:val="auto"/>
                      <w:kern w:val="0"/>
                      <w:szCs w:val="21"/>
                    </w:rPr>
                  </w:pPr>
                  <w:r>
                    <w:rPr>
                      <w:b/>
                      <w:color w:val="auto"/>
                      <w:kern w:val="0"/>
                      <w:szCs w:val="21"/>
                    </w:rPr>
                    <w:t>治理措施</w:t>
                  </w:r>
                </w:p>
              </w:tc>
              <w:tc>
                <w:tcPr>
                  <w:tcW w:w="444"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b/>
                      <w:color w:val="auto"/>
                      <w:kern w:val="0"/>
                      <w:szCs w:val="21"/>
                    </w:rPr>
                  </w:pPr>
                  <w:r>
                    <w:rPr>
                      <w:b/>
                      <w:color w:val="auto"/>
                      <w:kern w:val="0"/>
                      <w:szCs w:val="21"/>
                    </w:rPr>
                    <w:t>数量</w:t>
                  </w:r>
                </w:p>
              </w:tc>
              <w:tc>
                <w:tcPr>
                  <w:tcW w:w="1870"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b/>
                      <w:color w:val="auto"/>
                      <w:kern w:val="0"/>
                      <w:szCs w:val="21"/>
                    </w:rPr>
                  </w:pPr>
                  <w:r>
                    <w:rPr>
                      <w:b/>
                      <w:color w:val="auto"/>
                      <w:kern w:val="0"/>
                      <w:szCs w:val="21"/>
                    </w:rPr>
                    <w:t>治理效率及效果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83"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废水</w:t>
                  </w:r>
                </w:p>
              </w:tc>
              <w:tc>
                <w:tcPr>
                  <w:tcW w:w="119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生活污水</w:t>
                  </w:r>
                </w:p>
              </w:tc>
              <w:tc>
                <w:tcPr>
                  <w:tcW w:w="110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三级化粪池</w:t>
                  </w:r>
                </w:p>
              </w:tc>
              <w:tc>
                <w:tcPr>
                  <w:tcW w:w="444"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1个</w:t>
                  </w:r>
                </w:p>
              </w:tc>
              <w:tc>
                <w:tcPr>
                  <w:tcW w:w="1870"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处理达到</w:t>
                  </w:r>
                  <w:r>
                    <w:rPr>
                      <w:rFonts w:hint="eastAsia"/>
                      <w:color w:val="auto"/>
                      <w:kern w:val="0"/>
                      <w:szCs w:val="21"/>
                    </w:rPr>
                    <w:t>园区</w:t>
                  </w:r>
                  <w:r>
                    <w:rPr>
                      <w:color w:val="auto"/>
                      <w:kern w:val="0"/>
                      <w:szCs w:val="21"/>
                    </w:rPr>
                    <w:t>污水处理厂进水要求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83" w:type="pct"/>
                  <w:vMerge w:val="restar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废气</w:t>
                  </w:r>
                </w:p>
              </w:tc>
              <w:tc>
                <w:tcPr>
                  <w:tcW w:w="1195" w:type="pct"/>
                  <w:tcBorders>
                    <w:bottom w:val="single" w:color="000000" w:sz="4" w:space="0"/>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注塑、挤出废气</w:t>
                  </w:r>
                </w:p>
              </w:tc>
              <w:tc>
                <w:tcPr>
                  <w:tcW w:w="1105" w:type="pct"/>
                  <w:tcBorders>
                    <w:bottom w:val="single" w:color="000000" w:sz="4" w:space="0"/>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采用密闭车间结合集气罩收集，经“二级活性炭吸附装置”处理后由15m高排气筒（DA001）高空排放</w:t>
                  </w:r>
                  <w:r>
                    <w:rPr>
                      <w:rFonts w:hint="eastAsia"/>
                      <w:color w:val="auto"/>
                      <w:kern w:val="0"/>
                      <w:szCs w:val="21"/>
                      <w:lang w:eastAsia="zh-CN"/>
                    </w:rPr>
                    <w:t>，</w:t>
                  </w:r>
                  <w:r>
                    <w:rPr>
                      <w:rFonts w:hint="eastAsia"/>
                      <w:color w:val="auto"/>
                      <w:kern w:val="0"/>
                      <w:szCs w:val="21"/>
                    </w:rPr>
                    <w:t>设计处理风量</w:t>
                  </w:r>
                  <w:r>
                    <w:rPr>
                      <w:rFonts w:hint="eastAsia"/>
                      <w:color w:val="auto"/>
                      <w:kern w:val="0"/>
                      <w:szCs w:val="21"/>
                      <w:lang w:val="en-US" w:eastAsia="zh-CN"/>
                    </w:rPr>
                    <w:t>20</w:t>
                  </w:r>
                  <w:r>
                    <w:rPr>
                      <w:rFonts w:hint="eastAsia"/>
                      <w:color w:val="auto"/>
                      <w:kern w:val="0"/>
                      <w:szCs w:val="21"/>
                    </w:rPr>
                    <w:t>000m</w:t>
                  </w:r>
                  <w:r>
                    <w:rPr>
                      <w:rFonts w:hint="eastAsia"/>
                      <w:color w:val="auto"/>
                      <w:kern w:val="0"/>
                      <w:szCs w:val="21"/>
                      <w:vertAlign w:val="superscript"/>
                    </w:rPr>
                    <w:t>3</w:t>
                  </w:r>
                  <w:r>
                    <w:rPr>
                      <w:rFonts w:hint="eastAsia"/>
                      <w:color w:val="auto"/>
                      <w:kern w:val="0"/>
                      <w:szCs w:val="21"/>
                    </w:rPr>
                    <w:t>/h</w:t>
                  </w:r>
                </w:p>
              </w:tc>
              <w:tc>
                <w:tcPr>
                  <w:tcW w:w="444" w:type="pct"/>
                  <w:tcBorders>
                    <w:bottom w:val="single" w:color="000000" w:sz="4" w:space="0"/>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1个</w:t>
                  </w:r>
                </w:p>
              </w:tc>
              <w:tc>
                <w:tcPr>
                  <w:tcW w:w="1870" w:type="pct"/>
                  <w:tcBorders>
                    <w:bottom w:val="single" w:color="000000" w:sz="4" w:space="0"/>
                    <w:tl2br w:val="nil"/>
                    <w:tr2bl w:val="nil"/>
                  </w:tcBorders>
                  <w:tcMar>
                    <w:top w:w="0" w:type="dxa"/>
                    <w:left w:w="28" w:type="dxa"/>
                    <w:bottom w:w="0" w:type="dxa"/>
                    <w:right w:w="0" w:type="dxa"/>
                  </w:tcMar>
                  <w:vAlign w:val="center"/>
                </w:tcPr>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textAlignment w:val="auto"/>
                    <w:rPr>
                      <w:color w:val="auto"/>
                      <w:kern w:val="0"/>
                      <w:szCs w:val="21"/>
                    </w:rPr>
                  </w:pPr>
                  <w:r>
                    <w:rPr>
                      <w:rFonts w:hint="eastAsia"/>
                      <w:color w:val="auto"/>
                      <w:kern w:val="0"/>
                      <w:szCs w:val="21"/>
                    </w:rPr>
                    <w:t>非甲烷总烃排放达到《合成树脂工业污染物排放标准》（GB 31572-2015）中表5大气污染物特别排放限值及</w:t>
                  </w:r>
                  <w:r>
                    <w:rPr>
                      <w:rFonts w:hint="eastAsia"/>
                      <w:color w:val="auto"/>
                      <w:kern w:val="0"/>
                      <w:szCs w:val="21"/>
                      <w:lang w:val="en-US" w:eastAsia="zh-CN"/>
                    </w:rPr>
                    <w:t>广东省</w:t>
                  </w:r>
                  <w:r>
                    <w:rPr>
                      <w:rFonts w:hint="eastAsia"/>
                      <w:color w:val="auto"/>
                      <w:kern w:val="0"/>
                      <w:szCs w:val="21"/>
                    </w:rPr>
                    <w:t>《固定污染源挥发性有机物综合排放标准》（DB44/2367-2022）中表1挥发性有机物排放限值较严者；</w:t>
                  </w:r>
                </w:p>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textAlignment w:val="auto"/>
                    <w:rPr>
                      <w:color w:val="auto"/>
                      <w:kern w:val="0"/>
                      <w:szCs w:val="21"/>
                    </w:rPr>
                  </w:pPr>
                  <w:r>
                    <w:rPr>
                      <w:rFonts w:hint="eastAsia"/>
                      <w:color w:val="auto"/>
                      <w:kern w:val="0"/>
                      <w:szCs w:val="21"/>
                    </w:rPr>
                    <w:t>臭气浓度排放达到</w:t>
                  </w:r>
                  <w:r>
                    <w:rPr>
                      <w:rFonts w:hint="eastAsia"/>
                      <w:color w:val="auto"/>
                      <w:szCs w:val="21"/>
                    </w:rPr>
                    <w:t>《恶臭污染物排放标准》（GB 14554-93）</w:t>
                  </w:r>
                  <w:r>
                    <w:rPr>
                      <w:rFonts w:hint="eastAsia"/>
                      <w:color w:val="auto"/>
                      <w:kern w:val="0"/>
                      <w:szCs w:val="21"/>
                    </w:rPr>
                    <w:t>表2恶臭污染物排放标准值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234" w:hRule="atLeast"/>
                <w:jc w:val="center"/>
              </w:trPr>
              <w:tc>
                <w:tcPr>
                  <w:tcW w:w="383"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p>
              </w:tc>
              <w:tc>
                <w:tcPr>
                  <w:tcW w:w="1195" w:type="pct"/>
                  <w:tcBorders>
                    <w:top w:val="single" w:color="000000" w:sz="4" w:space="0"/>
                    <w:bottom w:val="single" w:color="000000" w:sz="4" w:space="0"/>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破碎、投料废气</w:t>
                  </w:r>
                </w:p>
              </w:tc>
              <w:tc>
                <w:tcPr>
                  <w:tcW w:w="1105" w:type="pct"/>
                  <w:vMerge w:val="restart"/>
                  <w:tcBorders>
                    <w:top w:val="single" w:color="000000" w:sz="4" w:space="0"/>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加强车间通风及厂区内绿化</w:t>
                  </w:r>
                </w:p>
              </w:tc>
              <w:tc>
                <w:tcPr>
                  <w:tcW w:w="444" w:type="pct"/>
                  <w:vMerge w:val="restart"/>
                  <w:tcBorders>
                    <w:top w:val="single" w:color="000000" w:sz="4" w:space="0"/>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w:t>
                  </w:r>
                </w:p>
              </w:tc>
              <w:tc>
                <w:tcPr>
                  <w:tcW w:w="1870" w:type="pct"/>
                  <w:vMerge w:val="restart"/>
                  <w:tcBorders>
                    <w:top w:val="single" w:color="000000" w:sz="4" w:space="0"/>
                    <w:tl2br w:val="nil"/>
                    <w:tr2bl w:val="nil"/>
                  </w:tcBorders>
                  <w:tcMar>
                    <w:top w:w="0" w:type="dxa"/>
                    <w:left w:w="28" w:type="dxa"/>
                    <w:bottom w:w="0" w:type="dxa"/>
                    <w:right w:w="0" w:type="dxa"/>
                  </w:tcMar>
                  <w:vAlign w:val="center"/>
                </w:tcPr>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textAlignment w:val="auto"/>
                    <w:rPr>
                      <w:color w:val="auto"/>
                      <w:kern w:val="0"/>
                      <w:szCs w:val="21"/>
                    </w:rPr>
                  </w:pPr>
                  <w:r>
                    <w:rPr>
                      <w:rFonts w:hint="eastAsia"/>
                      <w:color w:val="auto"/>
                      <w:kern w:val="0"/>
                      <w:szCs w:val="21"/>
                    </w:rPr>
                    <w:t>厂界非甲烷总烃、颗粒物</w:t>
                  </w:r>
                  <w:r>
                    <w:rPr>
                      <w:rFonts w:hint="eastAsia"/>
                      <w:color w:val="auto"/>
                      <w:kern w:val="0"/>
                      <w:szCs w:val="21"/>
                      <w:lang w:eastAsia="zh-CN"/>
                    </w:rPr>
                    <w:t>排放</w:t>
                  </w:r>
                  <w:r>
                    <w:rPr>
                      <w:rFonts w:hint="eastAsia"/>
                      <w:color w:val="auto"/>
                      <w:kern w:val="0"/>
                      <w:szCs w:val="21"/>
                    </w:rPr>
                    <w:t>达到《合成树脂工业污染物排放标准》（GB31572-2015）表9企业边界大气污染物浓度限值；</w:t>
                  </w:r>
                </w:p>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textAlignment w:val="auto"/>
                    <w:rPr>
                      <w:color w:val="auto"/>
                      <w:kern w:val="0"/>
                      <w:szCs w:val="21"/>
                    </w:rPr>
                  </w:pPr>
                  <w:r>
                    <w:rPr>
                      <w:rFonts w:hint="eastAsia"/>
                      <w:color w:val="auto"/>
                      <w:kern w:val="0"/>
                      <w:szCs w:val="21"/>
                    </w:rPr>
                    <w:t>厂界臭气浓度排放达到《恶臭污染物排放标准》（GB 14554-93）表1恶臭污染物厂界标准值；</w:t>
                  </w:r>
                </w:p>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textAlignment w:val="auto"/>
                    <w:rPr>
                      <w:color w:val="auto"/>
                      <w:kern w:val="0"/>
                      <w:szCs w:val="21"/>
                    </w:rPr>
                  </w:pPr>
                  <w:r>
                    <w:rPr>
                      <w:rFonts w:hint="eastAsia"/>
                      <w:color w:val="auto"/>
                      <w:kern w:val="0"/>
                      <w:szCs w:val="21"/>
                    </w:rPr>
                    <w:t>厂界锡及其化合物达到广东省</w:t>
                  </w:r>
                  <w:r>
                    <w:rPr>
                      <w:color w:val="auto"/>
                      <w:kern w:val="0"/>
                      <w:szCs w:val="21"/>
                    </w:rPr>
                    <w:t>《大气污染物排放限值》(DB44/27-2001)</w:t>
                  </w:r>
                  <w:r>
                    <w:rPr>
                      <w:rFonts w:hint="eastAsia"/>
                      <w:color w:val="auto"/>
                      <w:kern w:val="0"/>
                      <w:szCs w:val="21"/>
                    </w:rPr>
                    <w:t>中</w:t>
                  </w:r>
                  <w:r>
                    <w:rPr>
                      <w:color w:val="auto"/>
                      <w:kern w:val="0"/>
                      <w:szCs w:val="21"/>
                    </w:rPr>
                    <w:t>第二时段无组织排放监控浓度限值</w:t>
                  </w:r>
                  <w:r>
                    <w:rPr>
                      <w:rFonts w:hint="eastAsia"/>
                      <w:color w:val="auto"/>
                      <w:kern w:val="0"/>
                      <w:szCs w:val="21"/>
                    </w:rPr>
                    <w:t>；</w:t>
                  </w:r>
                </w:p>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textAlignment w:val="auto"/>
                    <w:rPr>
                      <w:color w:val="auto"/>
                      <w:kern w:val="0"/>
                      <w:szCs w:val="21"/>
                    </w:rPr>
                  </w:pPr>
                  <w:r>
                    <w:rPr>
                      <w:rFonts w:hint="eastAsia"/>
                      <w:color w:val="auto"/>
                      <w:kern w:val="0"/>
                      <w:szCs w:val="21"/>
                    </w:rPr>
                    <w:t>厂区内非甲烷总烃排放达到广东省地方标准</w:t>
                  </w:r>
                  <w:r>
                    <w:rPr>
                      <w:rFonts w:hint="eastAsia"/>
                      <w:color w:val="auto"/>
                      <w:kern w:val="0"/>
                      <w:szCs w:val="21"/>
                      <w:lang w:val="en-US" w:eastAsia="zh-CN"/>
                    </w:rPr>
                    <w:t>广东省</w:t>
                  </w:r>
                  <w:r>
                    <w:rPr>
                      <w:rFonts w:hint="eastAsia"/>
                      <w:color w:val="auto"/>
                      <w:kern w:val="0"/>
                      <w:szCs w:val="21"/>
                    </w:rPr>
                    <w:t>《固定污染源挥发性有机物综合排放标准》（DB44/2367-2022）表3厂区内VOCs无组织排放限值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07" w:hRule="atLeast"/>
                <w:jc w:val="center"/>
              </w:trPr>
              <w:tc>
                <w:tcPr>
                  <w:tcW w:w="383"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p>
              </w:tc>
              <w:tc>
                <w:tcPr>
                  <w:tcW w:w="1195" w:type="pct"/>
                  <w:tcBorders>
                    <w:top w:val="single" w:color="000000" w:sz="4" w:space="0"/>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焊锡废气</w:t>
                  </w:r>
                </w:p>
              </w:tc>
              <w:tc>
                <w:tcPr>
                  <w:tcW w:w="1105"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p>
              </w:tc>
              <w:tc>
                <w:tcPr>
                  <w:tcW w:w="444"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p>
              </w:tc>
              <w:tc>
                <w:tcPr>
                  <w:tcW w:w="1870" w:type="pct"/>
                  <w:vMerge w:val="continue"/>
                  <w:tcBorders>
                    <w:tl2br w:val="nil"/>
                    <w:tr2bl w:val="nil"/>
                  </w:tcBorders>
                  <w:tcMar>
                    <w:top w:w="0" w:type="dxa"/>
                    <w:left w:w="28" w:type="dxa"/>
                    <w:bottom w:w="0" w:type="dxa"/>
                    <w:right w:w="0" w:type="dxa"/>
                  </w:tcMar>
                  <w:vAlign w:val="center"/>
                </w:tcPr>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jc w:val="center"/>
                    <w:textAlignment w:val="auto"/>
                    <w:rPr>
                      <w:color w:val="auto"/>
                      <w:kern w:val="0"/>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83"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p>
              </w:tc>
              <w:tc>
                <w:tcPr>
                  <w:tcW w:w="119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未收集到注塑、挤出废气</w:t>
                  </w:r>
                </w:p>
              </w:tc>
              <w:tc>
                <w:tcPr>
                  <w:tcW w:w="1105"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p>
              </w:tc>
              <w:tc>
                <w:tcPr>
                  <w:tcW w:w="444"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p>
              </w:tc>
              <w:tc>
                <w:tcPr>
                  <w:tcW w:w="1870" w:type="pct"/>
                  <w:vMerge w:val="continue"/>
                  <w:tcBorders>
                    <w:tl2br w:val="nil"/>
                    <w:tr2bl w:val="nil"/>
                  </w:tcBorders>
                  <w:tcMar>
                    <w:top w:w="0" w:type="dxa"/>
                    <w:left w:w="28" w:type="dxa"/>
                    <w:bottom w:w="0" w:type="dxa"/>
                    <w:right w:w="0" w:type="dxa"/>
                  </w:tcMar>
                  <w:vAlign w:val="center"/>
                </w:tcPr>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jc w:val="center"/>
                    <w:textAlignment w:val="auto"/>
                    <w:rPr>
                      <w:color w:val="auto"/>
                      <w:kern w:val="0"/>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83"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噪声</w:t>
                  </w:r>
                </w:p>
              </w:tc>
              <w:tc>
                <w:tcPr>
                  <w:tcW w:w="119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设备噪声</w:t>
                  </w:r>
                </w:p>
              </w:tc>
              <w:tc>
                <w:tcPr>
                  <w:tcW w:w="110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设备设独立厂房、绿化消声</w:t>
                  </w:r>
                </w:p>
              </w:tc>
              <w:tc>
                <w:tcPr>
                  <w:tcW w:w="444"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w:t>
                  </w:r>
                </w:p>
              </w:tc>
              <w:tc>
                <w:tcPr>
                  <w:tcW w:w="1870" w:type="pct"/>
                  <w:tcBorders>
                    <w:tl2br w:val="nil"/>
                    <w:tr2bl w:val="nil"/>
                  </w:tcBorders>
                  <w:tcMar>
                    <w:top w:w="0" w:type="dxa"/>
                    <w:left w:w="28" w:type="dxa"/>
                    <w:bottom w:w="0" w:type="dxa"/>
                    <w:right w:w="0" w:type="dxa"/>
                  </w:tcMar>
                  <w:vAlign w:val="center"/>
                </w:tcPr>
                <w:p>
                  <w:pPr>
                    <w:keepNext w:val="0"/>
                    <w:keepLines w:val="0"/>
                    <w:pageBreakBefore w:val="0"/>
                    <w:widowControl w:val="0"/>
                    <w:kinsoku/>
                    <w:wordWrap/>
                    <w:overflowPunct/>
                    <w:topLinePunct w:val="0"/>
                    <w:autoSpaceDE/>
                    <w:autoSpaceDN/>
                    <w:bidi w:val="0"/>
                    <w:adjustRightInd w:val="0"/>
                    <w:snapToGrid w:val="0"/>
                    <w:spacing w:before="24" w:beforeLines="10" w:after="24" w:afterLines="10" w:line="260" w:lineRule="auto"/>
                    <w:ind w:firstLine="210" w:firstLineChars="100"/>
                    <w:jc w:val="both"/>
                    <w:textAlignment w:val="auto"/>
                    <w:rPr>
                      <w:color w:val="auto"/>
                      <w:kern w:val="0"/>
                      <w:szCs w:val="21"/>
                    </w:rPr>
                  </w:pPr>
                  <w:r>
                    <w:rPr>
                      <w:color w:val="auto"/>
                      <w:kern w:val="0"/>
                      <w:szCs w:val="21"/>
                    </w:rPr>
                    <w:t>达到《工业企业厂界环境噪声排放标准》（GB12348-2008）的3类标准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83" w:type="pct"/>
                  <w:vMerge w:val="restar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固体废物</w:t>
                  </w:r>
                </w:p>
              </w:tc>
              <w:tc>
                <w:tcPr>
                  <w:tcW w:w="119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hint="default" w:eastAsia="宋体"/>
                      <w:color w:val="auto"/>
                      <w:kern w:val="0"/>
                      <w:szCs w:val="21"/>
                      <w:lang w:val="en-US" w:eastAsia="zh-CN"/>
                    </w:rPr>
                  </w:pPr>
                  <w:r>
                    <w:rPr>
                      <w:rFonts w:hint="eastAsia"/>
                      <w:color w:val="auto"/>
                      <w:kern w:val="0"/>
                      <w:szCs w:val="21"/>
                      <w:lang w:val="en-US" w:eastAsia="zh-CN"/>
                    </w:rPr>
                    <w:t>生活垃圾</w:t>
                  </w:r>
                </w:p>
              </w:tc>
              <w:tc>
                <w:tcPr>
                  <w:tcW w:w="110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hint="default" w:eastAsia="宋体"/>
                      <w:color w:val="auto"/>
                      <w:kern w:val="0"/>
                      <w:szCs w:val="21"/>
                      <w:lang w:val="en-US" w:eastAsia="zh-CN"/>
                    </w:rPr>
                  </w:pPr>
                  <w:r>
                    <w:rPr>
                      <w:rFonts w:hint="eastAsia"/>
                      <w:color w:val="auto"/>
                      <w:kern w:val="0"/>
                      <w:szCs w:val="21"/>
                      <w:lang w:val="en-US" w:eastAsia="zh-CN"/>
                    </w:rPr>
                    <w:t>分类收集</w:t>
                  </w:r>
                </w:p>
              </w:tc>
              <w:tc>
                <w:tcPr>
                  <w:tcW w:w="444"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hint="eastAsia" w:eastAsia="宋体"/>
                      <w:color w:val="auto"/>
                      <w:kern w:val="0"/>
                      <w:szCs w:val="21"/>
                      <w:lang w:val="en-US" w:eastAsia="zh-CN"/>
                    </w:rPr>
                  </w:pPr>
                  <w:r>
                    <w:rPr>
                      <w:rFonts w:hint="eastAsia"/>
                      <w:color w:val="auto"/>
                      <w:kern w:val="0"/>
                      <w:szCs w:val="21"/>
                      <w:lang w:val="en-US" w:eastAsia="zh-CN"/>
                    </w:rPr>
                    <w:t>/</w:t>
                  </w:r>
                </w:p>
              </w:tc>
              <w:tc>
                <w:tcPr>
                  <w:tcW w:w="1870"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hint="default" w:eastAsia="宋体"/>
                      <w:color w:val="auto"/>
                      <w:kern w:val="0"/>
                      <w:szCs w:val="21"/>
                      <w:lang w:val="en-US" w:eastAsia="zh-CN"/>
                    </w:rPr>
                  </w:pPr>
                  <w:r>
                    <w:rPr>
                      <w:rFonts w:hint="eastAsia"/>
                      <w:color w:val="auto"/>
                      <w:kern w:val="0"/>
                      <w:szCs w:val="21"/>
                    </w:rPr>
                    <w:t>收集后委托环卫部门</w:t>
                  </w:r>
                  <w:r>
                    <w:rPr>
                      <w:rFonts w:hint="eastAsia"/>
                      <w:color w:val="auto"/>
                      <w:kern w:val="0"/>
                      <w:szCs w:val="21"/>
                      <w:lang w:val="en-US" w:eastAsia="zh-CN"/>
                    </w:rPr>
                    <w:t>清运处理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83"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hint="eastAsia"/>
                      <w:color w:val="auto"/>
                      <w:kern w:val="0"/>
                      <w:szCs w:val="21"/>
                    </w:rPr>
                  </w:pPr>
                </w:p>
              </w:tc>
              <w:tc>
                <w:tcPr>
                  <w:tcW w:w="119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ascii="Times New Roman" w:hAnsi="Times New Roman" w:eastAsia="宋体" w:cs="Times New Roman"/>
                      <w:color w:val="auto"/>
                      <w:kern w:val="0"/>
                      <w:sz w:val="21"/>
                      <w:szCs w:val="21"/>
                      <w:lang w:val="en-US" w:eastAsia="zh-CN" w:bidi="ar-SA"/>
                    </w:rPr>
                  </w:pPr>
                  <w:r>
                    <w:rPr>
                      <w:color w:val="auto"/>
                      <w:kern w:val="0"/>
                      <w:szCs w:val="21"/>
                    </w:rPr>
                    <w:t>一般固废</w:t>
                  </w:r>
                </w:p>
              </w:tc>
              <w:tc>
                <w:tcPr>
                  <w:tcW w:w="110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ascii="Times New Roman" w:hAnsi="Times New Roman" w:eastAsia="宋体" w:cs="Times New Roman"/>
                      <w:color w:val="auto"/>
                      <w:kern w:val="0"/>
                      <w:sz w:val="21"/>
                      <w:szCs w:val="21"/>
                      <w:lang w:val="en-US" w:eastAsia="zh-CN" w:bidi="ar-SA"/>
                    </w:rPr>
                  </w:pPr>
                  <w:r>
                    <w:rPr>
                      <w:color w:val="auto"/>
                      <w:kern w:val="0"/>
                      <w:szCs w:val="21"/>
                    </w:rPr>
                    <w:t>临时垃圾场和存放点分类存放</w:t>
                  </w:r>
                </w:p>
              </w:tc>
              <w:tc>
                <w:tcPr>
                  <w:tcW w:w="444"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ascii="Times New Roman" w:hAnsi="Times New Roman" w:eastAsia="宋体" w:cs="Times New Roman"/>
                      <w:color w:val="auto"/>
                      <w:kern w:val="0"/>
                      <w:sz w:val="21"/>
                      <w:szCs w:val="21"/>
                      <w:lang w:val="en-US" w:eastAsia="zh-CN" w:bidi="ar-SA"/>
                    </w:rPr>
                  </w:pPr>
                  <w:r>
                    <w:rPr>
                      <w:color w:val="auto"/>
                      <w:kern w:val="0"/>
                      <w:szCs w:val="21"/>
                    </w:rPr>
                    <w:t>1个</w:t>
                  </w:r>
                </w:p>
              </w:tc>
              <w:tc>
                <w:tcPr>
                  <w:tcW w:w="1870"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rFonts w:ascii="Times New Roman" w:hAnsi="Times New Roman" w:eastAsia="宋体" w:cs="Times New Roman"/>
                      <w:color w:val="auto"/>
                      <w:kern w:val="0"/>
                      <w:sz w:val="21"/>
                      <w:szCs w:val="21"/>
                      <w:lang w:val="en-US" w:eastAsia="zh-CN" w:bidi="ar-SA"/>
                    </w:rPr>
                  </w:pPr>
                  <w:r>
                    <w:rPr>
                      <w:rFonts w:hint="eastAsia"/>
                      <w:color w:val="auto"/>
                      <w:kern w:val="0"/>
                      <w:szCs w:val="21"/>
                      <w:lang w:bidi="zh-CN"/>
                    </w:rPr>
                    <w:t>定期委托资源回收单位外运处理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383" w:type="pct"/>
                  <w:vMerge w:val="continue"/>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p>
              </w:tc>
              <w:tc>
                <w:tcPr>
                  <w:tcW w:w="119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危险废物</w:t>
                  </w:r>
                </w:p>
              </w:tc>
              <w:tc>
                <w:tcPr>
                  <w:tcW w:w="1105"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rFonts w:hint="eastAsia"/>
                      <w:color w:val="auto"/>
                      <w:kern w:val="0"/>
                      <w:szCs w:val="21"/>
                    </w:rPr>
                    <w:t>危废暂存间</w:t>
                  </w:r>
                </w:p>
              </w:tc>
              <w:tc>
                <w:tcPr>
                  <w:tcW w:w="444"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rPr>
                  </w:pPr>
                  <w:r>
                    <w:rPr>
                      <w:color w:val="auto"/>
                      <w:kern w:val="0"/>
                      <w:szCs w:val="21"/>
                    </w:rPr>
                    <w:t>1个</w:t>
                  </w:r>
                </w:p>
              </w:tc>
              <w:tc>
                <w:tcPr>
                  <w:tcW w:w="1870" w:type="pct"/>
                  <w:tcBorders>
                    <w:tl2br w:val="nil"/>
                    <w:tr2bl w:val="nil"/>
                  </w:tcBorders>
                  <w:tcMar>
                    <w:top w:w="0" w:type="dxa"/>
                    <w:left w:w="28" w:type="dxa"/>
                    <w:bottom w:w="0" w:type="dxa"/>
                    <w:right w:w="0" w:type="dxa"/>
                  </w:tcMar>
                  <w:vAlign w:val="center"/>
                </w:tcPr>
                <w:p>
                  <w:pPr>
                    <w:adjustRightInd w:val="0"/>
                    <w:snapToGrid w:val="0"/>
                    <w:spacing w:before="24" w:beforeLines="10" w:after="24" w:afterLines="10" w:line="259" w:lineRule="auto"/>
                    <w:jc w:val="center"/>
                    <w:rPr>
                      <w:color w:val="auto"/>
                      <w:kern w:val="0"/>
                      <w:szCs w:val="21"/>
                      <w:lang w:bidi="zh-CN"/>
                    </w:rPr>
                  </w:pPr>
                  <w:r>
                    <w:rPr>
                      <w:rFonts w:hint="eastAsia"/>
                      <w:color w:val="auto"/>
                      <w:kern w:val="0"/>
                      <w:szCs w:val="21"/>
                      <w:lang w:bidi="zh-CN"/>
                    </w:rPr>
                    <w:t>定期委托有资质的单位外运处置</w:t>
                  </w:r>
                </w:p>
              </w:tc>
            </w:tr>
          </w:tbl>
          <w:p>
            <w:pPr>
              <w:rPr>
                <w:color w:val="auto"/>
              </w:rPr>
            </w:pPr>
          </w:p>
        </w:tc>
      </w:tr>
    </w:tbl>
    <w:p>
      <w:pPr>
        <w:adjustRightInd w:val="0"/>
        <w:snapToGrid w:val="0"/>
        <w:spacing w:line="360" w:lineRule="auto"/>
        <w:rPr>
          <w:b/>
          <w:color w:val="auto"/>
          <w:kern w:val="0"/>
          <w:sz w:val="28"/>
          <w:szCs w:val="28"/>
        </w:rPr>
        <w:sectPr>
          <w:pgSz w:w="11907" w:h="16840"/>
          <w:pgMar w:top="1701" w:right="1531" w:bottom="2127" w:left="1531" w:header="851" w:footer="851" w:gutter="0"/>
          <w:pgNumType w:fmt="decimal"/>
          <w:cols w:space="720" w:num="1"/>
          <w:docGrid w:linePitch="312" w:charSpace="0"/>
        </w:sectPr>
      </w:pPr>
    </w:p>
    <w:p>
      <w:pPr>
        <w:pStyle w:val="23"/>
        <w:jc w:val="center"/>
        <w:outlineLvl w:val="0"/>
        <w:rPr>
          <w:rFonts w:ascii="Times New Roman" w:hAnsi="Times New Roman" w:eastAsia="黑体"/>
          <w:snapToGrid w:val="0"/>
          <w:color w:val="auto"/>
          <w:sz w:val="30"/>
          <w:szCs w:val="30"/>
        </w:rPr>
      </w:pPr>
      <w:bookmarkStart w:id="74" w:name="_Toc24535"/>
      <w:bookmarkStart w:id="75" w:name="_Toc29339"/>
      <w:r>
        <w:rPr>
          <w:rFonts w:ascii="Times New Roman" w:hAnsi="Times New Roman" w:eastAsia="黑体"/>
          <w:snapToGrid w:val="0"/>
          <w:color w:val="auto"/>
          <w:sz w:val="30"/>
          <w:szCs w:val="30"/>
        </w:rPr>
        <w:t>五、</w:t>
      </w:r>
      <w:bookmarkStart w:id="76" w:name="_Hlk54167917"/>
      <w:r>
        <w:rPr>
          <w:rFonts w:ascii="Times New Roman" w:hAnsi="Times New Roman" w:eastAsia="黑体"/>
          <w:snapToGrid w:val="0"/>
          <w:color w:val="auto"/>
          <w:sz w:val="30"/>
          <w:szCs w:val="30"/>
        </w:rPr>
        <w:t>环境保护措施监督检查清单</w:t>
      </w:r>
      <w:bookmarkEnd w:id="74"/>
      <w:bookmarkEnd w:id="75"/>
      <w:bookmarkEnd w:id="76"/>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18"/>
        <w:gridCol w:w="1568"/>
        <w:gridCol w:w="1497"/>
        <w:gridCol w:w="1582"/>
        <w:gridCol w:w="263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1518" w:type="dxa"/>
            <w:tcBorders>
              <w:tl2br w:val="single" w:color="auto" w:sz="4" w:space="0"/>
            </w:tcBorders>
          </w:tcPr>
          <w:p>
            <w:pPr>
              <w:adjustRightInd w:val="0"/>
              <w:snapToGrid w:val="0"/>
              <w:ind w:firstLine="840"/>
              <w:rPr>
                <w:b/>
                <w:bCs/>
                <w:color w:val="auto"/>
                <w:szCs w:val="21"/>
              </w:rPr>
            </w:pPr>
            <w:r>
              <w:rPr>
                <w:b/>
                <w:bCs/>
                <w:color w:val="auto"/>
                <w:szCs w:val="21"/>
              </w:rPr>
              <w:t>内容</w:t>
            </w:r>
          </w:p>
          <w:p>
            <w:pPr>
              <w:adjustRightInd w:val="0"/>
              <w:snapToGrid w:val="0"/>
              <w:rPr>
                <w:b/>
                <w:bCs/>
                <w:color w:val="auto"/>
                <w:szCs w:val="21"/>
              </w:rPr>
            </w:pPr>
            <w:r>
              <w:rPr>
                <w:b/>
                <w:bCs/>
                <w:color w:val="auto"/>
                <w:szCs w:val="21"/>
              </w:rPr>
              <w:t>要素</w:t>
            </w:r>
          </w:p>
        </w:tc>
        <w:tc>
          <w:tcPr>
            <w:tcW w:w="1568" w:type="dxa"/>
            <w:vAlign w:val="center"/>
          </w:tcPr>
          <w:p>
            <w:pPr>
              <w:adjustRightInd w:val="0"/>
              <w:snapToGrid w:val="0"/>
              <w:jc w:val="center"/>
              <w:rPr>
                <w:b/>
                <w:bCs/>
                <w:color w:val="auto"/>
                <w:szCs w:val="21"/>
              </w:rPr>
            </w:pPr>
            <w:r>
              <w:rPr>
                <w:b/>
                <w:bCs/>
                <w:color w:val="auto"/>
                <w:szCs w:val="21"/>
              </w:rPr>
              <w:t>排放口(编号、</w:t>
            </w:r>
          </w:p>
          <w:p>
            <w:pPr>
              <w:adjustRightInd w:val="0"/>
              <w:snapToGrid w:val="0"/>
              <w:jc w:val="center"/>
              <w:rPr>
                <w:b/>
                <w:bCs/>
                <w:color w:val="auto"/>
                <w:szCs w:val="21"/>
              </w:rPr>
            </w:pPr>
            <w:r>
              <w:rPr>
                <w:b/>
                <w:bCs/>
                <w:color w:val="auto"/>
                <w:szCs w:val="21"/>
              </w:rPr>
              <w:t>名称)/污染源</w:t>
            </w:r>
          </w:p>
        </w:tc>
        <w:tc>
          <w:tcPr>
            <w:tcW w:w="1497" w:type="dxa"/>
            <w:vAlign w:val="center"/>
          </w:tcPr>
          <w:p>
            <w:pPr>
              <w:adjustRightInd w:val="0"/>
              <w:snapToGrid w:val="0"/>
              <w:jc w:val="center"/>
              <w:rPr>
                <w:b/>
                <w:bCs/>
                <w:color w:val="auto"/>
                <w:szCs w:val="21"/>
              </w:rPr>
            </w:pPr>
            <w:r>
              <w:rPr>
                <w:b/>
                <w:bCs/>
                <w:color w:val="auto"/>
                <w:szCs w:val="21"/>
              </w:rPr>
              <w:t>污染物项目</w:t>
            </w:r>
          </w:p>
        </w:tc>
        <w:tc>
          <w:tcPr>
            <w:tcW w:w="1582" w:type="dxa"/>
            <w:vAlign w:val="center"/>
          </w:tcPr>
          <w:p>
            <w:pPr>
              <w:adjustRightInd w:val="0"/>
              <w:snapToGrid w:val="0"/>
              <w:jc w:val="center"/>
              <w:rPr>
                <w:b/>
                <w:bCs/>
                <w:color w:val="auto"/>
                <w:szCs w:val="21"/>
              </w:rPr>
            </w:pPr>
            <w:r>
              <w:rPr>
                <w:b/>
                <w:bCs/>
                <w:color w:val="auto"/>
                <w:szCs w:val="21"/>
              </w:rPr>
              <w:t>环境保护措施</w:t>
            </w:r>
          </w:p>
        </w:tc>
        <w:tc>
          <w:tcPr>
            <w:tcW w:w="2635" w:type="dxa"/>
            <w:vAlign w:val="center"/>
          </w:tcPr>
          <w:p>
            <w:pPr>
              <w:adjustRightInd w:val="0"/>
              <w:snapToGrid w:val="0"/>
              <w:jc w:val="center"/>
              <w:rPr>
                <w:b/>
                <w:bCs/>
                <w:color w:val="auto"/>
                <w:szCs w:val="21"/>
              </w:rPr>
            </w:pPr>
            <w:r>
              <w:rPr>
                <w:b/>
                <w:bCs/>
                <w:color w:val="auto"/>
                <w:szCs w:val="21"/>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1518" w:type="dxa"/>
            <w:vMerge w:val="restart"/>
            <w:vAlign w:val="center"/>
          </w:tcPr>
          <w:p>
            <w:pPr>
              <w:adjustRightInd w:val="0"/>
              <w:snapToGrid w:val="0"/>
              <w:jc w:val="center"/>
              <w:rPr>
                <w:color w:val="auto"/>
                <w:szCs w:val="21"/>
              </w:rPr>
            </w:pPr>
            <w:r>
              <w:rPr>
                <w:rFonts w:hint="eastAsia"/>
                <w:color w:val="auto"/>
                <w:szCs w:val="21"/>
              </w:rPr>
              <w:t>大气环境</w:t>
            </w:r>
          </w:p>
        </w:tc>
        <w:tc>
          <w:tcPr>
            <w:tcW w:w="1568" w:type="dxa"/>
            <w:tcBorders>
              <w:bottom w:val="single" w:color="000000" w:sz="4" w:space="0"/>
            </w:tcBorders>
            <w:vAlign w:val="center"/>
          </w:tcPr>
          <w:p>
            <w:pPr>
              <w:adjustRightInd w:val="0"/>
              <w:snapToGrid w:val="0"/>
              <w:jc w:val="center"/>
              <w:rPr>
                <w:color w:val="auto"/>
                <w:szCs w:val="21"/>
              </w:rPr>
            </w:pPr>
            <w:r>
              <w:rPr>
                <w:rFonts w:hint="eastAsia"/>
                <w:color w:val="auto"/>
                <w:szCs w:val="21"/>
              </w:rPr>
              <w:t>排气筒</w:t>
            </w:r>
            <w:r>
              <w:rPr>
                <w:rFonts w:hint="eastAsia"/>
                <w:color w:val="auto"/>
                <w:szCs w:val="21"/>
                <w:lang w:val="en-US" w:eastAsia="zh-CN"/>
              </w:rPr>
              <w:t>DA00</w:t>
            </w:r>
            <w:r>
              <w:rPr>
                <w:rFonts w:hint="eastAsia"/>
                <w:color w:val="auto"/>
                <w:szCs w:val="21"/>
              </w:rPr>
              <w:t>1（注塑、挤出废气）</w:t>
            </w:r>
          </w:p>
        </w:tc>
        <w:tc>
          <w:tcPr>
            <w:tcW w:w="1497" w:type="dxa"/>
            <w:tcBorders>
              <w:bottom w:val="single" w:color="000000" w:sz="4" w:space="0"/>
            </w:tcBorders>
            <w:vAlign w:val="center"/>
          </w:tcPr>
          <w:p>
            <w:pPr>
              <w:adjustRightInd w:val="0"/>
              <w:snapToGrid w:val="0"/>
              <w:jc w:val="center"/>
              <w:rPr>
                <w:color w:val="auto"/>
                <w:szCs w:val="21"/>
              </w:rPr>
            </w:pPr>
            <w:r>
              <w:rPr>
                <w:rFonts w:hint="eastAsia"/>
                <w:color w:val="auto"/>
                <w:szCs w:val="21"/>
              </w:rPr>
              <w:t>非甲烷总烃、臭气浓度</w:t>
            </w:r>
          </w:p>
        </w:tc>
        <w:tc>
          <w:tcPr>
            <w:tcW w:w="1582" w:type="dxa"/>
            <w:tcBorders>
              <w:bottom w:val="single" w:color="000000" w:sz="4" w:space="0"/>
            </w:tcBorders>
            <w:vAlign w:val="center"/>
          </w:tcPr>
          <w:p>
            <w:pPr>
              <w:adjustRightInd w:val="0"/>
              <w:snapToGrid w:val="0"/>
              <w:jc w:val="center"/>
              <w:rPr>
                <w:color w:val="auto"/>
                <w:szCs w:val="21"/>
              </w:rPr>
            </w:pPr>
            <w:r>
              <w:rPr>
                <w:rFonts w:hint="eastAsia"/>
                <w:color w:val="auto"/>
                <w:szCs w:val="21"/>
              </w:rPr>
              <w:t>采用密闭车间结合集气罩收集，经“二级活性炭吸附装置”处理后由15m高排气筒（DA001）高空排放，设计处理风量20000m</w:t>
            </w:r>
            <w:r>
              <w:rPr>
                <w:rFonts w:hint="eastAsia"/>
                <w:color w:val="auto"/>
                <w:szCs w:val="21"/>
                <w:vertAlign w:val="superscript"/>
              </w:rPr>
              <w:t>3</w:t>
            </w:r>
            <w:r>
              <w:rPr>
                <w:rFonts w:hint="eastAsia"/>
                <w:color w:val="auto"/>
                <w:szCs w:val="21"/>
              </w:rPr>
              <w:t>/h</w:t>
            </w:r>
          </w:p>
        </w:tc>
        <w:tc>
          <w:tcPr>
            <w:tcW w:w="2635" w:type="dxa"/>
            <w:tcBorders>
              <w:bottom w:val="single" w:color="000000" w:sz="4" w:space="0"/>
            </w:tcBorders>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color w:val="auto"/>
                <w:kern w:val="0"/>
                <w:szCs w:val="21"/>
              </w:rPr>
            </w:pPr>
            <w:r>
              <w:rPr>
                <w:rFonts w:hint="eastAsia"/>
                <w:color w:val="auto"/>
                <w:kern w:val="0"/>
                <w:szCs w:val="21"/>
              </w:rPr>
              <w:t>非甲烷总烃排放达到《合成树脂工业污染物排放标准》（GB 31572-2015）中表5大气污染物特别排放限值及</w:t>
            </w:r>
            <w:r>
              <w:rPr>
                <w:rFonts w:hint="eastAsia"/>
                <w:color w:val="auto"/>
                <w:kern w:val="0"/>
                <w:szCs w:val="21"/>
                <w:lang w:val="en-US" w:eastAsia="zh-CN"/>
              </w:rPr>
              <w:t>广东省</w:t>
            </w:r>
            <w:r>
              <w:rPr>
                <w:rFonts w:hint="eastAsia"/>
                <w:color w:val="auto"/>
                <w:kern w:val="0"/>
                <w:szCs w:val="21"/>
              </w:rPr>
              <w:t>《固定污染源挥发性有机物综合排放标准》（DB44/2367-2022）中表1挥发性有机物排放限值较严者；</w:t>
            </w:r>
          </w:p>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color w:val="auto"/>
                <w:kern w:val="0"/>
                <w:szCs w:val="21"/>
              </w:rPr>
            </w:pPr>
            <w:r>
              <w:rPr>
                <w:rFonts w:hint="eastAsia"/>
                <w:color w:val="auto"/>
                <w:kern w:val="0"/>
                <w:szCs w:val="21"/>
              </w:rPr>
              <w:t>臭气浓度排放执行</w:t>
            </w:r>
            <w:r>
              <w:rPr>
                <w:rFonts w:hint="eastAsia"/>
                <w:color w:val="auto"/>
                <w:szCs w:val="21"/>
              </w:rPr>
              <w:t>《恶臭污染物排放标准》（GB 14554-93）表2恶臭污染物排放标准值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1518" w:type="dxa"/>
            <w:vMerge w:val="continue"/>
            <w:vAlign w:val="center"/>
          </w:tcPr>
          <w:p>
            <w:pPr>
              <w:adjustRightInd w:val="0"/>
              <w:snapToGrid w:val="0"/>
              <w:jc w:val="center"/>
              <w:rPr>
                <w:color w:val="auto"/>
                <w:szCs w:val="21"/>
              </w:rPr>
            </w:pPr>
          </w:p>
        </w:tc>
        <w:tc>
          <w:tcPr>
            <w:tcW w:w="1568" w:type="dxa"/>
            <w:tcBorders>
              <w:top w:val="single" w:color="000000" w:sz="4" w:space="0"/>
              <w:bottom w:val="single" w:color="000000" w:sz="4" w:space="0"/>
            </w:tcBorders>
            <w:vAlign w:val="center"/>
          </w:tcPr>
          <w:p>
            <w:pPr>
              <w:adjustRightInd w:val="0"/>
              <w:snapToGrid w:val="0"/>
              <w:jc w:val="center"/>
              <w:rPr>
                <w:color w:val="auto"/>
                <w:szCs w:val="21"/>
              </w:rPr>
            </w:pPr>
            <w:r>
              <w:rPr>
                <w:rFonts w:hint="eastAsia"/>
                <w:color w:val="auto"/>
                <w:szCs w:val="21"/>
              </w:rPr>
              <w:t>厂区内无组织排放</w:t>
            </w:r>
          </w:p>
        </w:tc>
        <w:tc>
          <w:tcPr>
            <w:tcW w:w="1497" w:type="dxa"/>
            <w:tcBorders>
              <w:top w:val="single" w:color="000000" w:sz="4" w:space="0"/>
              <w:bottom w:val="single" w:color="000000" w:sz="4" w:space="0"/>
            </w:tcBorders>
            <w:vAlign w:val="center"/>
          </w:tcPr>
          <w:p>
            <w:pPr>
              <w:adjustRightInd w:val="0"/>
              <w:snapToGrid w:val="0"/>
              <w:jc w:val="center"/>
              <w:rPr>
                <w:color w:val="auto"/>
                <w:szCs w:val="21"/>
              </w:rPr>
            </w:pPr>
            <w:r>
              <w:rPr>
                <w:rFonts w:hint="eastAsia"/>
                <w:color w:val="auto"/>
                <w:szCs w:val="21"/>
              </w:rPr>
              <w:t>非甲烷总烃</w:t>
            </w:r>
          </w:p>
        </w:tc>
        <w:tc>
          <w:tcPr>
            <w:tcW w:w="1582" w:type="dxa"/>
            <w:tcBorders>
              <w:top w:val="single" w:color="000000" w:sz="4" w:space="0"/>
              <w:bottom w:val="single" w:color="000000" w:sz="4" w:space="0"/>
            </w:tcBorders>
            <w:vAlign w:val="center"/>
          </w:tcPr>
          <w:p>
            <w:pPr>
              <w:adjustRightInd w:val="0"/>
              <w:snapToGrid w:val="0"/>
              <w:jc w:val="center"/>
              <w:rPr>
                <w:color w:val="auto"/>
                <w:szCs w:val="21"/>
              </w:rPr>
            </w:pPr>
            <w:r>
              <w:rPr>
                <w:rFonts w:hint="eastAsia"/>
                <w:color w:val="auto"/>
                <w:szCs w:val="21"/>
              </w:rPr>
              <w:t>加强车间通风及厂区内绿化</w:t>
            </w:r>
          </w:p>
        </w:tc>
        <w:tc>
          <w:tcPr>
            <w:tcW w:w="2635" w:type="dxa"/>
            <w:tcBorders>
              <w:top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color w:val="auto"/>
                <w:kern w:val="0"/>
                <w:szCs w:val="21"/>
              </w:rPr>
            </w:pPr>
            <w:r>
              <w:rPr>
                <w:rFonts w:hint="eastAsia"/>
                <w:color w:val="auto"/>
                <w:szCs w:val="21"/>
              </w:rPr>
              <w:t>厂区内非甲烷总烃无组织排放执行</w:t>
            </w:r>
            <w:r>
              <w:rPr>
                <w:rFonts w:hint="eastAsia"/>
                <w:color w:val="auto"/>
                <w:szCs w:val="21"/>
                <w:lang w:val="en-US" w:eastAsia="zh-CN"/>
              </w:rPr>
              <w:t>广东省</w:t>
            </w:r>
            <w:r>
              <w:rPr>
                <w:rFonts w:hint="eastAsia"/>
                <w:color w:val="auto"/>
                <w:kern w:val="0"/>
                <w:szCs w:val="21"/>
              </w:rPr>
              <w:t>《固定污染源挥发性有机物综合排放标准》（DB44/2367-2022）表3厂区内VOCs无组织排放限值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6" w:hRule="atLeast"/>
          <w:jc w:val="center"/>
        </w:trPr>
        <w:tc>
          <w:tcPr>
            <w:tcW w:w="1518" w:type="dxa"/>
            <w:vMerge w:val="continue"/>
            <w:vAlign w:val="center"/>
          </w:tcPr>
          <w:p>
            <w:pPr>
              <w:adjustRightInd w:val="0"/>
              <w:snapToGrid w:val="0"/>
              <w:jc w:val="center"/>
              <w:rPr>
                <w:color w:val="auto"/>
                <w:szCs w:val="21"/>
              </w:rPr>
            </w:pPr>
          </w:p>
        </w:tc>
        <w:tc>
          <w:tcPr>
            <w:tcW w:w="1568" w:type="dxa"/>
            <w:tcBorders>
              <w:top w:val="single" w:color="000000" w:sz="4" w:space="0"/>
            </w:tcBorders>
            <w:vAlign w:val="center"/>
          </w:tcPr>
          <w:p>
            <w:pPr>
              <w:adjustRightInd w:val="0"/>
              <w:snapToGrid w:val="0"/>
              <w:jc w:val="center"/>
              <w:rPr>
                <w:color w:val="auto"/>
                <w:szCs w:val="21"/>
              </w:rPr>
            </w:pPr>
            <w:r>
              <w:rPr>
                <w:rFonts w:hint="eastAsia"/>
                <w:color w:val="auto"/>
                <w:szCs w:val="21"/>
              </w:rPr>
              <w:t>厂界无组织排放</w:t>
            </w:r>
          </w:p>
        </w:tc>
        <w:tc>
          <w:tcPr>
            <w:tcW w:w="1497" w:type="dxa"/>
            <w:tcBorders>
              <w:top w:val="single" w:color="000000" w:sz="4" w:space="0"/>
            </w:tcBorders>
            <w:vAlign w:val="center"/>
          </w:tcPr>
          <w:p>
            <w:pPr>
              <w:adjustRightInd w:val="0"/>
              <w:snapToGrid w:val="0"/>
              <w:jc w:val="center"/>
              <w:rPr>
                <w:color w:val="auto"/>
                <w:szCs w:val="21"/>
              </w:rPr>
            </w:pPr>
            <w:r>
              <w:rPr>
                <w:rFonts w:hint="eastAsia"/>
                <w:color w:val="auto"/>
                <w:szCs w:val="21"/>
              </w:rPr>
              <w:t>颗粒物、非甲烷总烃、臭气浓度、锡及其化合物</w:t>
            </w:r>
          </w:p>
        </w:tc>
        <w:tc>
          <w:tcPr>
            <w:tcW w:w="1582" w:type="dxa"/>
            <w:tcBorders>
              <w:top w:val="single" w:color="000000" w:sz="4" w:space="0"/>
            </w:tcBorders>
            <w:vAlign w:val="center"/>
          </w:tcPr>
          <w:p>
            <w:pPr>
              <w:adjustRightInd w:val="0"/>
              <w:snapToGrid w:val="0"/>
              <w:jc w:val="center"/>
              <w:rPr>
                <w:color w:val="auto"/>
                <w:szCs w:val="21"/>
              </w:rPr>
            </w:pPr>
            <w:r>
              <w:rPr>
                <w:rFonts w:hint="eastAsia"/>
                <w:color w:val="auto"/>
                <w:szCs w:val="21"/>
              </w:rPr>
              <w:t>加强车间通风及厂区内绿化</w:t>
            </w:r>
          </w:p>
        </w:tc>
        <w:tc>
          <w:tcPr>
            <w:tcW w:w="2635" w:type="dxa"/>
            <w:tcBorders>
              <w:top w:val="single" w:color="000000" w:sz="4" w:space="0"/>
            </w:tcBorders>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color w:val="auto"/>
                <w:kern w:val="0"/>
                <w:szCs w:val="21"/>
                <w:lang w:val="en-US" w:eastAsia="zh-CN"/>
              </w:rPr>
            </w:pPr>
            <w:r>
              <w:rPr>
                <w:rFonts w:hint="eastAsia"/>
                <w:color w:val="auto"/>
                <w:szCs w:val="21"/>
              </w:rPr>
              <w:t>厂界颗粒物、非甲烷总烃排放执行</w:t>
            </w:r>
            <w:r>
              <w:rPr>
                <w:rFonts w:hint="eastAsia"/>
                <w:color w:val="auto"/>
                <w:kern w:val="0"/>
                <w:szCs w:val="21"/>
              </w:rPr>
              <w:t>《合成树脂工业污染物排放标准》（GB31572-2015）表9企业边界大气污染物浓度限值</w:t>
            </w:r>
            <w:r>
              <w:rPr>
                <w:rFonts w:hint="eastAsia"/>
                <w:color w:val="auto"/>
                <w:kern w:val="0"/>
                <w:szCs w:val="21"/>
                <w:lang w:val="en-US" w:eastAsia="zh-CN"/>
              </w:rPr>
              <w:t>；</w:t>
            </w:r>
          </w:p>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color w:val="auto"/>
                <w:szCs w:val="21"/>
                <w:lang w:val="en-US" w:eastAsia="zh-CN"/>
              </w:rPr>
            </w:pPr>
            <w:r>
              <w:rPr>
                <w:rFonts w:hint="eastAsia"/>
                <w:color w:val="auto"/>
                <w:kern w:val="0"/>
                <w:szCs w:val="21"/>
              </w:rPr>
              <w:t>臭气浓度排放执行</w:t>
            </w:r>
            <w:r>
              <w:rPr>
                <w:rFonts w:hint="eastAsia"/>
                <w:color w:val="auto"/>
                <w:szCs w:val="21"/>
              </w:rPr>
              <w:t>《恶臭污染物排放标准》（GB 14554-93）表1恶臭污染物厂界标准值</w:t>
            </w:r>
            <w:r>
              <w:rPr>
                <w:rFonts w:hint="eastAsia"/>
                <w:color w:val="auto"/>
                <w:szCs w:val="21"/>
                <w:lang w:val="en-US" w:eastAsia="zh-CN"/>
              </w:rPr>
              <w:t>；</w:t>
            </w:r>
          </w:p>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color w:val="auto"/>
                <w:szCs w:val="21"/>
              </w:rPr>
            </w:pPr>
            <w:r>
              <w:rPr>
                <w:rFonts w:hint="eastAsia"/>
                <w:color w:val="auto"/>
                <w:szCs w:val="21"/>
              </w:rPr>
              <w:t>锡及其化合物排放执行广东省</w:t>
            </w:r>
            <w:r>
              <w:rPr>
                <w:rFonts w:ascii="宋体" w:hAnsi="宋体" w:cs="宋体"/>
                <w:color w:val="auto"/>
                <w:spacing w:val="5"/>
                <w:szCs w:val="21"/>
              </w:rPr>
              <w:t>《大气污染物排放限</w:t>
            </w:r>
            <w:r>
              <w:rPr>
                <w:rFonts w:ascii="宋体" w:hAnsi="宋体" w:cs="宋体"/>
                <w:color w:val="auto"/>
                <w:spacing w:val="6"/>
                <w:szCs w:val="21"/>
              </w:rPr>
              <w:t>值</w:t>
            </w:r>
            <w:r>
              <w:rPr>
                <w:rFonts w:ascii="宋体" w:hAnsi="宋体" w:cs="宋体"/>
                <w:color w:val="auto"/>
                <w:spacing w:val="3"/>
                <w:szCs w:val="21"/>
              </w:rPr>
              <w:t>》(</w:t>
            </w:r>
            <w:r>
              <w:rPr>
                <w:rFonts w:eastAsia="Times New Roman"/>
                <w:color w:val="auto"/>
                <w:szCs w:val="21"/>
              </w:rPr>
              <w:t>DB</w:t>
            </w:r>
            <w:r>
              <w:rPr>
                <w:rFonts w:eastAsia="Times New Roman"/>
                <w:color w:val="auto"/>
                <w:spacing w:val="3"/>
                <w:szCs w:val="21"/>
              </w:rPr>
              <w:t>44/27-2001</w:t>
            </w:r>
            <w:r>
              <w:rPr>
                <w:rFonts w:ascii="宋体" w:hAnsi="宋体" w:cs="宋体"/>
                <w:color w:val="auto"/>
                <w:spacing w:val="3"/>
                <w:szCs w:val="21"/>
              </w:rPr>
              <w:t>)</w:t>
            </w:r>
            <w:r>
              <w:rPr>
                <w:rFonts w:hint="eastAsia" w:ascii="宋体" w:hAnsi="宋体" w:cs="宋体"/>
                <w:color w:val="auto"/>
                <w:spacing w:val="3"/>
                <w:szCs w:val="21"/>
              </w:rPr>
              <w:t>中</w:t>
            </w:r>
            <w:r>
              <w:rPr>
                <w:rFonts w:ascii="宋体" w:hAnsi="宋体" w:cs="宋体"/>
                <w:color w:val="auto"/>
                <w:spacing w:val="3"/>
                <w:szCs w:val="21"/>
              </w:rPr>
              <w:t>第二时段无组织排放监控浓度限值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18" w:type="dxa"/>
            <w:vAlign w:val="center"/>
          </w:tcPr>
          <w:p>
            <w:pPr>
              <w:adjustRightInd w:val="0"/>
              <w:snapToGrid w:val="0"/>
              <w:jc w:val="center"/>
              <w:rPr>
                <w:color w:val="auto"/>
                <w:szCs w:val="21"/>
              </w:rPr>
            </w:pPr>
            <w:r>
              <w:rPr>
                <w:color w:val="auto"/>
                <w:szCs w:val="21"/>
              </w:rPr>
              <w:t>地表水环境</w:t>
            </w:r>
          </w:p>
        </w:tc>
        <w:tc>
          <w:tcPr>
            <w:tcW w:w="1568" w:type="dxa"/>
            <w:vAlign w:val="center"/>
          </w:tcPr>
          <w:p>
            <w:pPr>
              <w:adjustRightInd w:val="0"/>
              <w:snapToGrid w:val="0"/>
              <w:jc w:val="center"/>
              <w:rPr>
                <w:color w:val="auto"/>
                <w:szCs w:val="21"/>
              </w:rPr>
            </w:pPr>
            <w:r>
              <w:rPr>
                <w:rFonts w:hint="eastAsia"/>
                <w:color w:val="auto"/>
                <w:szCs w:val="21"/>
              </w:rPr>
              <w:t>厂区废水总排放口</w:t>
            </w:r>
          </w:p>
        </w:tc>
        <w:tc>
          <w:tcPr>
            <w:tcW w:w="1497" w:type="dxa"/>
            <w:vAlign w:val="center"/>
          </w:tcPr>
          <w:p>
            <w:pPr>
              <w:adjustRightInd w:val="0"/>
              <w:snapToGrid w:val="0"/>
              <w:jc w:val="center"/>
              <w:rPr>
                <w:rFonts w:hint="default"/>
                <w:color w:val="auto"/>
                <w:szCs w:val="21"/>
                <w:lang w:val="en-US"/>
              </w:rPr>
            </w:pPr>
            <w:r>
              <w:rPr>
                <w:rFonts w:hint="eastAsia"/>
                <w:color w:val="auto"/>
                <w:kern w:val="0"/>
                <w:szCs w:val="21"/>
              </w:rPr>
              <w:t>pH值、化学需氧量、五日生化需氧量、悬浮物、氨氮</w:t>
            </w:r>
            <w:r>
              <w:rPr>
                <w:rFonts w:hint="eastAsia"/>
                <w:color w:val="auto"/>
                <w:kern w:val="0"/>
                <w:szCs w:val="21"/>
                <w:lang w:eastAsia="zh-CN"/>
              </w:rPr>
              <w:t>、</w:t>
            </w:r>
            <w:r>
              <w:rPr>
                <w:rFonts w:hint="eastAsia"/>
                <w:color w:val="auto"/>
                <w:kern w:val="0"/>
                <w:szCs w:val="21"/>
                <w:lang w:val="en-US" w:eastAsia="zh-CN"/>
              </w:rPr>
              <w:t>动植物油</w:t>
            </w:r>
          </w:p>
        </w:tc>
        <w:tc>
          <w:tcPr>
            <w:tcW w:w="1582" w:type="dxa"/>
            <w:vAlign w:val="center"/>
          </w:tcPr>
          <w:p>
            <w:pPr>
              <w:adjustRightInd w:val="0"/>
              <w:snapToGrid w:val="0"/>
              <w:jc w:val="center"/>
              <w:rPr>
                <w:color w:val="auto"/>
                <w:szCs w:val="21"/>
              </w:rPr>
            </w:pPr>
            <w:r>
              <w:rPr>
                <w:rFonts w:hint="eastAsia"/>
                <w:color w:val="auto"/>
                <w:szCs w:val="21"/>
              </w:rPr>
              <w:t>三级化粪池</w:t>
            </w:r>
          </w:p>
        </w:tc>
        <w:tc>
          <w:tcPr>
            <w:tcW w:w="2635" w:type="dxa"/>
            <w:vAlign w:val="center"/>
          </w:tcPr>
          <w:p>
            <w:pPr>
              <w:jc w:val="center"/>
              <w:rPr>
                <w:color w:val="auto"/>
                <w:kern w:val="0"/>
                <w:szCs w:val="21"/>
              </w:rPr>
            </w:pPr>
            <w:r>
              <w:rPr>
                <w:rFonts w:hint="eastAsia"/>
                <w:color w:val="auto"/>
                <w:kern w:val="0"/>
                <w:szCs w:val="21"/>
              </w:rPr>
              <w:t>园区处理厂进水水质要求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18" w:type="dxa"/>
            <w:vAlign w:val="center"/>
          </w:tcPr>
          <w:p>
            <w:pPr>
              <w:adjustRightInd w:val="0"/>
              <w:snapToGrid w:val="0"/>
              <w:jc w:val="center"/>
              <w:rPr>
                <w:color w:val="auto"/>
                <w:szCs w:val="21"/>
              </w:rPr>
            </w:pPr>
            <w:r>
              <w:rPr>
                <w:color w:val="auto"/>
                <w:szCs w:val="21"/>
              </w:rPr>
              <w:t>声环境</w:t>
            </w:r>
          </w:p>
        </w:tc>
        <w:tc>
          <w:tcPr>
            <w:tcW w:w="1568" w:type="dxa"/>
            <w:vAlign w:val="center"/>
          </w:tcPr>
          <w:p>
            <w:pPr>
              <w:adjustRightInd w:val="0"/>
              <w:snapToGrid w:val="0"/>
              <w:jc w:val="center"/>
              <w:rPr>
                <w:color w:val="auto"/>
                <w:szCs w:val="21"/>
              </w:rPr>
            </w:pPr>
            <w:r>
              <w:rPr>
                <w:rFonts w:hint="eastAsia"/>
                <w:color w:val="auto"/>
                <w:szCs w:val="21"/>
              </w:rPr>
              <w:t>厂区</w:t>
            </w:r>
          </w:p>
        </w:tc>
        <w:tc>
          <w:tcPr>
            <w:tcW w:w="1497" w:type="dxa"/>
            <w:vAlign w:val="center"/>
          </w:tcPr>
          <w:p>
            <w:pPr>
              <w:adjustRightInd w:val="0"/>
              <w:snapToGrid w:val="0"/>
              <w:jc w:val="center"/>
              <w:rPr>
                <w:color w:val="auto"/>
                <w:szCs w:val="21"/>
              </w:rPr>
            </w:pPr>
            <w:r>
              <w:rPr>
                <w:rFonts w:hint="eastAsia"/>
                <w:color w:val="auto"/>
                <w:szCs w:val="21"/>
              </w:rPr>
              <w:t>机械噪声</w:t>
            </w:r>
          </w:p>
        </w:tc>
        <w:tc>
          <w:tcPr>
            <w:tcW w:w="1582" w:type="dxa"/>
            <w:vAlign w:val="center"/>
          </w:tcPr>
          <w:p>
            <w:pPr>
              <w:adjustRightInd w:val="0"/>
              <w:snapToGrid w:val="0"/>
              <w:jc w:val="center"/>
              <w:rPr>
                <w:color w:val="auto"/>
                <w:szCs w:val="21"/>
              </w:rPr>
            </w:pPr>
            <w:r>
              <w:rPr>
                <w:rFonts w:hint="eastAsia"/>
                <w:color w:val="auto"/>
                <w:szCs w:val="21"/>
              </w:rPr>
              <w:t>合理布置、消声减震、建筑物隔声</w:t>
            </w:r>
          </w:p>
        </w:tc>
        <w:tc>
          <w:tcPr>
            <w:tcW w:w="2635" w:type="dxa"/>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color w:val="auto"/>
                <w:szCs w:val="21"/>
              </w:rPr>
            </w:pPr>
            <w:r>
              <w:rPr>
                <w:rFonts w:hint="eastAsia"/>
                <w:color w:val="auto"/>
              </w:rPr>
              <w:t>《工业企业厂界环境噪声排放标准》（GB12348-2008）中3类排放标准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18" w:type="dxa"/>
            <w:vAlign w:val="center"/>
          </w:tcPr>
          <w:p>
            <w:pPr>
              <w:adjustRightInd w:val="0"/>
              <w:snapToGrid w:val="0"/>
              <w:jc w:val="center"/>
              <w:rPr>
                <w:color w:val="auto"/>
                <w:szCs w:val="21"/>
              </w:rPr>
            </w:pPr>
            <w:r>
              <w:rPr>
                <w:color w:val="auto"/>
                <w:szCs w:val="21"/>
              </w:rPr>
              <w:t>电磁辐射</w:t>
            </w:r>
          </w:p>
        </w:tc>
        <w:tc>
          <w:tcPr>
            <w:tcW w:w="7282" w:type="dxa"/>
            <w:gridSpan w:val="4"/>
            <w:vAlign w:val="center"/>
          </w:tcPr>
          <w:p>
            <w:pPr>
              <w:adjustRightInd w:val="0"/>
              <w:snapToGrid w:val="0"/>
              <w:jc w:val="center"/>
              <w:rPr>
                <w:color w:val="auto"/>
                <w:szCs w:val="21"/>
              </w:rPr>
            </w:pPr>
            <w:r>
              <w:rPr>
                <w:rFonts w:hint="eastAsia"/>
                <w:color w:val="auto"/>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518" w:type="dxa"/>
            <w:vAlign w:val="center"/>
          </w:tcPr>
          <w:p>
            <w:pPr>
              <w:adjustRightInd w:val="0"/>
              <w:snapToGrid w:val="0"/>
              <w:jc w:val="center"/>
              <w:rPr>
                <w:color w:val="auto"/>
                <w:szCs w:val="21"/>
              </w:rPr>
            </w:pPr>
            <w:r>
              <w:rPr>
                <w:color w:val="auto"/>
                <w:szCs w:val="21"/>
              </w:rPr>
              <w:t>固体废物</w:t>
            </w:r>
          </w:p>
        </w:tc>
        <w:tc>
          <w:tcPr>
            <w:tcW w:w="7282" w:type="dxa"/>
            <w:gridSpan w:val="4"/>
            <w:vAlign w:val="center"/>
          </w:tcPr>
          <w:p>
            <w:pPr>
              <w:adjustRightInd w:val="0"/>
              <w:snapToGrid w:val="0"/>
              <w:jc w:val="center"/>
              <w:rPr>
                <w:color w:val="auto"/>
                <w:szCs w:val="21"/>
              </w:rPr>
            </w:pPr>
            <w:r>
              <w:rPr>
                <w:rFonts w:hint="eastAsia"/>
                <w:color w:val="auto"/>
                <w:szCs w:val="21"/>
              </w:rPr>
              <w:t>塑料边角料回用于生产；电线边角料、铜带边角料、废锡渣、废包装材料定期委托资源回收单位外运处理；废活性炭收集后委托有资质的单位外运处置；生活垃圾委托当地环卫部门清运处理。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518" w:type="dxa"/>
            <w:vAlign w:val="center"/>
          </w:tcPr>
          <w:p>
            <w:pPr>
              <w:adjustRightInd w:val="0"/>
              <w:snapToGrid w:val="0"/>
              <w:jc w:val="center"/>
              <w:rPr>
                <w:color w:val="auto"/>
                <w:szCs w:val="21"/>
              </w:rPr>
            </w:pPr>
            <w:r>
              <w:rPr>
                <w:color w:val="auto"/>
                <w:szCs w:val="21"/>
              </w:rPr>
              <w:t>土壤及地下水</w:t>
            </w:r>
          </w:p>
          <w:p>
            <w:pPr>
              <w:adjustRightInd w:val="0"/>
              <w:snapToGrid w:val="0"/>
              <w:jc w:val="center"/>
              <w:rPr>
                <w:color w:val="auto"/>
                <w:szCs w:val="21"/>
              </w:rPr>
            </w:pPr>
            <w:r>
              <w:rPr>
                <w:color w:val="auto"/>
                <w:szCs w:val="21"/>
              </w:rPr>
              <w:t>污染防治措施</w:t>
            </w:r>
          </w:p>
        </w:tc>
        <w:tc>
          <w:tcPr>
            <w:tcW w:w="7282" w:type="dxa"/>
            <w:gridSpan w:val="4"/>
            <w:vAlign w:val="center"/>
          </w:tcPr>
          <w:p>
            <w:pPr>
              <w:adjustRightInd w:val="0"/>
              <w:snapToGrid w:val="0"/>
              <w:jc w:val="center"/>
              <w:rPr>
                <w:color w:val="auto"/>
                <w:szCs w:val="21"/>
              </w:rPr>
            </w:pPr>
            <w:r>
              <w:rPr>
                <w:rFonts w:hint="eastAsia"/>
                <w:color w:val="auto"/>
                <w:szCs w:val="21"/>
              </w:rPr>
              <w:t>厂区地面硬底化设置，废水处理设施进行一般防渗处理，对危废间进行重点防渗处理，做到防扬撒、防流失、防渗漏</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518" w:type="dxa"/>
            <w:vAlign w:val="center"/>
          </w:tcPr>
          <w:p>
            <w:pPr>
              <w:adjustRightInd w:val="0"/>
              <w:snapToGrid w:val="0"/>
              <w:jc w:val="center"/>
              <w:rPr>
                <w:color w:val="auto"/>
                <w:szCs w:val="21"/>
              </w:rPr>
            </w:pPr>
            <w:r>
              <w:rPr>
                <w:color w:val="auto"/>
                <w:szCs w:val="21"/>
              </w:rPr>
              <w:t>生态保护措施</w:t>
            </w:r>
          </w:p>
        </w:tc>
        <w:tc>
          <w:tcPr>
            <w:tcW w:w="7282" w:type="dxa"/>
            <w:gridSpan w:val="4"/>
            <w:vAlign w:val="center"/>
          </w:tcPr>
          <w:p>
            <w:pPr>
              <w:adjustRightInd w:val="0"/>
              <w:snapToGrid w:val="0"/>
              <w:jc w:val="center"/>
              <w:rPr>
                <w:color w:val="auto"/>
                <w:szCs w:val="21"/>
              </w:rPr>
            </w:pPr>
            <w:r>
              <w:rPr>
                <w:rFonts w:hint="eastAsia"/>
                <w:color w:val="auto"/>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518" w:type="dxa"/>
            <w:vAlign w:val="center"/>
          </w:tcPr>
          <w:p>
            <w:pPr>
              <w:adjustRightInd w:val="0"/>
              <w:snapToGrid w:val="0"/>
              <w:jc w:val="center"/>
              <w:rPr>
                <w:color w:val="auto"/>
                <w:szCs w:val="21"/>
              </w:rPr>
            </w:pPr>
            <w:r>
              <w:rPr>
                <w:color w:val="auto"/>
                <w:szCs w:val="21"/>
              </w:rPr>
              <w:t>环境风险</w:t>
            </w:r>
          </w:p>
          <w:p>
            <w:pPr>
              <w:adjustRightInd w:val="0"/>
              <w:snapToGrid w:val="0"/>
              <w:jc w:val="center"/>
              <w:rPr>
                <w:color w:val="auto"/>
                <w:szCs w:val="21"/>
              </w:rPr>
            </w:pPr>
            <w:r>
              <w:rPr>
                <w:color w:val="auto"/>
                <w:szCs w:val="21"/>
              </w:rPr>
              <w:t>防范措施</w:t>
            </w:r>
          </w:p>
        </w:tc>
        <w:tc>
          <w:tcPr>
            <w:tcW w:w="7282" w:type="dxa"/>
            <w:gridSpan w:val="4"/>
            <w:vAlign w:val="center"/>
          </w:tcPr>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color w:val="auto"/>
                <w:szCs w:val="21"/>
                <w:lang w:eastAsia="zh-CN"/>
              </w:rPr>
            </w:pPr>
            <w:r>
              <w:rPr>
                <w:rFonts w:hint="default"/>
                <w:color w:val="auto"/>
                <w:szCs w:val="21"/>
              </w:rPr>
              <w:t>①严格执行安监、消防等相关规范，从总图布置和建筑安全方面进行风险防范，预留疏散通道或安置场所</w:t>
            </w:r>
            <w:r>
              <w:rPr>
                <w:rFonts w:hint="eastAsia"/>
                <w:color w:val="auto"/>
                <w:szCs w:val="21"/>
                <w:lang w:eastAsia="zh-CN"/>
              </w:rPr>
              <w:t>；</w:t>
            </w:r>
          </w:p>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color w:val="auto"/>
                <w:szCs w:val="21"/>
                <w:lang w:eastAsia="zh-CN"/>
              </w:rPr>
            </w:pPr>
            <w:r>
              <w:rPr>
                <w:rFonts w:hint="default"/>
                <w:color w:val="auto"/>
                <w:szCs w:val="21"/>
              </w:rPr>
              <w:t>②减少危险化学品、危险废物的储存量，改善储存条件，多方面降低风险程度</w:t>
            </w:r>
            <w:r>
              <w:rPr>
                <w:rFonts w:hint="eastAsia"/>
                <w:color w:val="auto"/>
                <w:szCs w:val="21"/>
                <w:lang w:eastAsia="zh-CN"/>
              </w:rPr>
              <w:t>；</w:t>
            </w:r>
          </w:p>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rFonts w:hint="eastAsia"/>
                <w:color w:val="auto"/>
                <w:szCs w:val="21"/>
                <w:lang w:eastAsia="zh-CN"/>
              </w:rPr>
            </w:pPr>
            <w:r>
              <w:rPr>
                <w:rFonts w:hint="default"/>
                <w:color w:val="auto"/>
                <w:szCs w:val="21"/>
              </w:rPr>
              <w:t>③加强日常管理，降低管理失误而出现的风险事故，提高员工规范性操作水平，减少误操作引发的风险事故</w:t>
            </w:r>
            <w:r>
              <w:rPr>
                <w:rFonts w:hint="eastAsia"/>
                <w:color w:val="auto"/>
                <w:szCs w:val="21"/>
                <w:lang w:eastAsia="zh-CN"/>
              </w:rPr>
              <w:t>；</w:t>
            </w:r>
          </w:p>
          <w:p>
            <w:pPr>
              <w:keepNext w:val="0"/>
              <w:keepLines w:val="0"/>
              <w:pageBreakBefore w:val="0"/>
              <w:widowControl w:val="0"/>
              <w:kinsoku/>
              <w:wordWrap/>
              <w:overflowPunct/>
              <w:topLinePunct w:val="0"/>
              <w:autoSpaceDE/>
              <w:autoSpaceDN/>
              <w:bidi w:val="0"/>
              <w:adjustRightInd w:val="0"/>
              <w:snapToGrid w:val="0"/>
              <w:ind w:firstLine="210" w:firstLineChars="100"/>
              <w:jc w:val="both"/>
              <w:textAlignment w:val="auto"/>
              <w:rPr>
                <w:color w:val="auto"/>
                <w:szCs w:val="21"/>
              </w:rPr>
            </w:pPr>
            <w:r>
              <w:rPr>
                <w:rFonts w:hint="default"/>
                <w:color w:val="auto"/>
                <w:szCs w:val="21"/>
              </w:rPr>
              <w:t>④根据贮存的相关要求进行贮存、使用，设置满足要求的围堰区。遵循</w:t>
            </w:r>
            <w:r>
              <w:rPr>
                <w:rFonts w:hint="eastAsia"/>
                <w:color w:val="auto"/>
                <w:szCs w:val="21"/>
                <w:lang w:eastAsia="zh-CN"/>
              </w:rPr>
              <w:t>“</w:t>
            </w:r>
            <w:r>
              <w:rPr>
                <w:rFonts w:hint="default"/>
                <w:color w:val="auto"/>
                <w:szCs w:val="21"/>
              </w:rPr>
              <w:t>源头控制，分区防渗</w:t>
            </w:r>
            <w:r>
              <w:rPr>
                <w:rFonts w:hint="eastAsia"/>
                <w:color w:val="auto"/>
                <w:szCs w:val="21"/>
                <w:lang w:eastAsia="zh-CN"/>
              </w:rPr>
              <w:t>”</w:t>
            </w:r>
            <w:r>
              <w:rPr>
                <w:rFonts w:hint="default"/>
                <w:color w:val="auto"/>
                <w:szCs w:val="21"/>
              </w:rPr>
              <w:t>的原则，做好车间、危废暂存间的防渗措施，满足相应标准要求。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51" w:hRule="atLeast"/>
          <w:jc w:val="center"/>
        </w:trPr>
        <w:tc>
          <w:tcPr>
            <w:tcW w:w="1518" w:type="dxa"/>
            <w:vAlign w:val="center"/>
          </w:tcPr>
          <w:p>
            <w:pPr>
              <w:adjustRightInd w:val="0"/>
              <w:snapToGrid w:val="0"/>
              <w:jc w:val="center"/>
              <w:rPr>
                <w:color w:val="auto"/>
                <w:szCs w:val="21"/>
              </w:rPr>
            </w:pPr>
            <w:r>
              <w:rPr>
                <w:color w:val="auto"/>
                <w:szCs w:val="21"/>
              </w:rPr>
              <w:t>其他环境</w:t>
            </w:r>
          </w:p>
          <w:p>
            <w:pPr>
              <w:adjustRightInd w:val="0"/>
              <w:snapToGrid w:val="0"/>
              <w:jc w:val="center"/>
              <w:rPr>
                <w:color w:val="auto"/>
                <w:szCs w:val="21"/>
              </w:rPr>
            </w:pPr>
            <w:r>
              <w:rPr>
                <w:color w:val="auto"/>
                <w:szCs w:val="21"/>
              </w:rPr>
              <w:t>管理要求</w:t>
            </w:r>
          </w:p>
        </w:tc>
        <w:tc>
          <w:tcPr>
            <w:tcW w:w="7282" w:type="dxa"/>
            <w:gridSpan w:val="4"/>
            <w:vAlign w:val="center"/>
          </w:tcPr>
          <w:p>
            <w:pPr>
              <w:adjustRightInd w:val="0"/>
              <w:snapToGrid w:val="0"/>
              <w:jc w:val="center"/>
              <w:rPr>
                <w:color w:val="auto"/>
                <w:szCs w:val="21"/>
              </w:rPr>
            </w:pPr>
            <w:r>
              <w:rPr>
                <w:rFonts w:hint="eastAsia"/>
                <w:color w:val="auto"/>
                <w:szCs w:val="21"/>
              </w:rPr>
              <w:t>落实运营期污染源监测计划要求</w:t>
            </w:r>
          </w:p>
        </w:tc>
      </w:tr>
    </w:tbl>
    <w:p>
      <w:pPr>
        <w:pStyle w:val="23"/>
        <w:jc w:val="center"/>
        <w:outlineLvl w:val="0"/>
        <w:rPr>
          <w:rFonts w:ascii="Times New Roman" w:hAnsi="Times New Roman" w:eastAsia="黑体"/>
          <w:snapToGrid w:val="0"/>
          <w:color w:val="auto"/>
          <w:sz w:val="30"/>
          <w:szCs w:val="30"/>
        </w:rPr>
      </w:pPr>
      <w:r>
        <w:rPr>
          <w:rFonts w:ascii="Times New Roman" w:hAnsi="Times New Roman"/>
          <w:snapToGrid w:val="0"/>
          <w:color w:val="auto"/>
        </w:rPr>
        <w:br w:type="page"/>
      </w:r>
      <w:bookmarkStart w:id="77" w:name="_Toc12307"/>
      <w:bookmarkStart w:id="78" w:name="_Toc3183"/>
      <w:r>
        <w:rPr>
          <w:rFonts w:ascii="Times New Roman" w:hAnsi="Times New Roman" w:eastAsia="黑体"/>
          <w:snapToGrid w:val="0"/>
          <w:color w:val="auto"/>
          <w:sz w:val="30"/>
          <w:szCs w:val="30"/>
        </w:rPr>
        <w:t>六、结论</w:t>
      </w:r>
      <w:bookmarkEnd w:id="77"/>
      <w:bookmarkEnd w:id="78"/>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211" w:hRule="atLeast"/>
          <w:jc w:val="center"/>
        </w:trPr>
        <w:tc>
          <w:tcPr>
            <w:tcW w:w="8865" w:type="dxa"/>
            <w:vAlign w:val="center"/>
          </w:tcPr>
          <w:p>
            <w:pPr>
              <w:adjustRightInd w:val="0"/>
              <w:snapToGrid w:val="0"/>
              <w:spacing w:line="360" w:lineRule="auto"/>
              <w:ind w:firstLine="482" w:firstLineChars="200"/>
              <w:jc w:val="left"/>
              <w:rPr>
                <w:b/>
                <w:color w:val="auto"/>
                <w:sz w:val="24"/>
              </w:rPr>
            </w:pPr>
          </w:p>
          <w:p>
            <w:pPr>
              <w:adjustRightInd w:val="0"/>
              <w:snapToGrid w:val="0"/>
              <w:spacing w:line="360" w:lineRule="auto"/>
              <w:ind w:firstLine="482" w:firstLineChars="200"/>
              <w:jc w:val="left"/>
              <w:rPr>
                <w:b/>
                <w:color w:val="auto"/>
                <w:sz w:val="24"/>
              </w:rPr>
            </w:pPr>
          </w:p>
          <w:p>
            <w:pPr>
              <w:adjustRightInd w:val="0"/>
              <w:snapToGrid w:val="0"/>
              <w:spacing w:line="360" w:lineRule="auto"/>
              <w:ind w:firstLine="482" w:firstLineChars="200"/>
              <w:jc w:val="left"/>
              <w:rPr>
                <w:b/>
                <w:color w:val="auto"/>
                <w:sz w:val="24"/>
              </w:rPr>
            </w:pPr>
          </w:p>
          <w:p>
            <w:pPr>
              <w:adjustRightInd w:val="0"/>
              <w:snapToGrid w:val="0"/>
              <w:spacing w:line="360" w:lineRule="auto"/>
              <w:ind w:firstLine="482" w:firstLineChars="200"/>
              <w:jc w:val="left"/>
              <w:rPr>
                <w:b/>
                <w:color w:val="auto"/>
                <w:sz w:val="24"/>
              </w:rPr>
            </w:pPr>
          </w:p>
          <w:p>
            <w:pPr>
              <w:adjustRightInd w:val="0"/>
              <w:snapToGrid w:val="0"/>
              <w:spacing w:line="360" w:lineRule="auto"/>
              <w:ind w:firstLine="482" w:firstLineChars="200"/>
              <w:jc w:val="left"/>
              <w:rPr>
                <w:b/>
                <w:color w:val="auto"/>
                <w:sz w:val="24"/>
              </w:rPr>
            </w:pPr>
          </w:p>
          <w:p>
            <w:pPr>
              <w:adjustRightInd w:val="0"/>
              <w:snapToGrid w:val="0"/>
              <w:spacing w:line="360" w:lineRule="auto"/>
              <w:ind w:firstLine="482" w:firstLineChars="200"/>
              <w:jc w:val="left"/>
              <w:rPr>
                <w:b/>
                <w:color w:val="auto"/>
                <w:sz w:val="24"/>
              </w:rPr>
            </w:pPr>
          </w:p>
          <w:p>
            <w:pPr>
              <w:adjustRightInd w:val="0"/>
              <w:snapToGrid w:val="0"/>
              <w:spacing w:line="360" w:lineRule="auto"/>
              <w:ind w:firstLine="482" w:firstLineChars="200"/>
              <w:jc w:val="left"/>
              <w:rPr>
                <w:b/>
                <w:color w:val="auto"/>
                <w:sz w:val="24"/>
              </w:rPr>
            </w:pPr>
          </w:p>
          <w:p>
            <w:pPr>
              <w:adjustRightInd w:val="0"/>
              <w:snapToGrid w:val="0"/>
              <w:spacing w:line="360" w:lineRule="auto"/>
              <w:jc w:val="left"/>
              <w:rPr>
                <w:b/>
                <w:color w:val="auto"/>
                <w:sz w:val="24"/>
              </w:rPr>
            </w:pPr>
          </w:p>
          <w:p>
            <w:pPr>
              <w:adjustRightInd w:val="0"/>
              <w:snapToGrid w:val="0"/>
              <w:spacing w:line="360" w:lineRule="auto"/>
              <w:ind w:firstLine="482" w:firstLineChars="200"/>
              <w:jc w:val="left"/>
              <w:rPr>
                <w:b/>
                <w:color w:val="auto"/>
                <w:sz w:val="24"/>
              </w:rPr>
            </w:pPr>
          </w:p>
          <w:p>
            <w:pPr>
              <w:adjustRightInd w:val="0"/>
              <w:snapToGrid w:val="0"/>
              <w:spacing w:line="360" w:lineRule="auto"/>
              <w:ind w:firstLine="480" w:firstLineChars="200"/>
              <w:rPr>
                <w:b w:val="0"/>
                <w:bCs/>
                <w:color w:val="auto"/>
                <w:sz w:val="24"/>
              </w:rPr>
            </w:pPr>
            <w:r>
              <w:rPr>
                <w:rFonts w:hint="eastAsia"/>
                <w:b w:val="0"/>
                <w:bCs/>
                <w:color w:val="auto"/>
                <w:sz w:val="24"/>
              </w:rPr>
              <w:t>广东冠益灯饰有限公司拟投资6000万元人民币，其中环保投资4</w:t>
            </w:r>
            <w:r>
              <w:rPr>
                <w:b w:val="0"/>
                <w:bCs/>
                <w:color w:val="auto"/>
                <w:sz w:val="24"/>
              </w:rPr>
              <w:t>0</w:t>
            </w:r>
            <w:r>
              <w:rPr>
                <w:rFonts w:hint="eastAsia"/>
                <w:b w:val="0"/>
                <w:bCs/>
                <w:color w:val="auto"/>
                <w:sz w:val="24"/>
              </w:rPr>
              <w:t>万元，选址于广东省韶关市乐昌市乐昌产业转移工业园金岭七路三号建设乐昌市莞益电子科技项目</w:t>
            </w:r>
            <w:r>
              <w:rPr>
                <w:b w:val="0"/>
                <w:bCs/>
                <w:color w:val="auto"/>
                <w:sz w:val="24"/>
              </w:rPr>
              <w:t>。该项目符合国家产业政策</w:t>
            </w:r>
            <w:r>
              <w:rPr>
                <w:rFonts w:hint="eastAsia"/>
                <w:b w:val="0"/>
                <w:bCs/>
                <w:color w:val="auto"/>
                <w:sz w:val="24"/>
              </w:rPr>
              <w:t>，</w:t>
            </w:r>
            <w:r>
              <w:rPr>
                <w:b w:val="0"/>
                <w:bCs/>
                <w:color w:val="auto"/>
                <w:sz w:val="24"/>
              </w:rPr>
              <w:t>选址合理</w:t>
            </w:r>
            <w:r>
              <w:rPr>
                <w:rFonts w:hint="eastAsia"/>
                <w:b w:val="0"/>
                <w:bCs/>
                <w:color w:val="auto"/>
                <w:sz w:val="24"/>
              </w:rPr>
              <w:t>，满足“三线一单”各项管控要求</w:t>
            </w:r>
            <w:r>
              <w:rPr>
                <w:b w:val="0"/>
                <w:bCs/>
                <w:color w:val="auto"/>
                <w:sz w:val="24"/>
              </w:rPr>
              <w:t>。</w:t>
            </w:r>
            <w:r>
              <w:rPr>
                <w:rFonts w:hint="eastAsia"/>
                <w:b w:val="0"/>
                <w:bCs/>
                <w:color w:val="auto"/>
                <w:sz w:val="24"/>
              </w:rPr>
              <w:t>对于项目建设期和运营过程中产生的各类污染物，建设单位提出了切实可行有效的治理措施，能做到污染物达标排放，对环境的影响在可接受范围内。</w:t>
            </w:r>
          </w:p>
          <w:p>
            <w:pPr>
              <w:adjustRightInd w:val="0"/>
              <w:snapToGrid w:val="0"/>
              <w:spacing w:line="360" w:lineRule="auto"/>
              <w:ind w:firstLine="480" w:firstLineChars="200"/>
              <w:jc w:val="left"/>
              <w:rPr>
                <w:b w:val="0"/>
                <w:bCs/>
                <w:color w:val="auto"/>
                <w:sz w:val="24"/>
              </w:rPr>
            </w:pPr>
            <w:r>
              <w:rPr>
                <w:b w:val="0"/>
                <w:bCs/>
                <w:color w:val="auto"/>
                <w:sz w:val="24"/>
              </w:rPr>
              <w:t>综上所述，</w:t>
            </w:r>
            <w:r>
              <w:rPr>
                <w:b/>
                <w:bCs w:val="0"/>
                <w:color w:val="auto"/>
                <w:sz w:val="24"/>
              </w:rPr>
              <w:t>从环境保护角度</w:t>
            </w:r>
            <w:r>
              <w:rPr>
                <w:rFonts w:hint="eastAsia"/>
                <w:b/>
                <w:bCs w:val="0"/>
                <w:color w:val="auto"/>
                <w:sz w:val="24"/>
              </w:rPr>
              <w:t>考虑</w:t>
            </w:r>
            <w:r>
              <w:rPr>
                <w:b/>
                <w:bCs w:val="0"/>
                <w:color w:val="auto"/>
                <w:sz w:val="24"/>
              </w:rPr>
              <w:t>，本项目</w:t>
            </w:r>
            <w:r>
              <w:rPr>
                <w:rFonts w:hint="eastAsia"/>
                <w:b/>
                <w:bCs w:val="0"/>
                <w:color w:val="auto"/>
                <w:sz w:val="24"/>
                <w:lang w:val="en-US" w:eastAsia="zh-CN"/>
              </w:rPr>
              <w:t>在选址处建设</w:t>
            </w:r>
            <w:r>
              <w:rPr>
                <w:b/>
                <w:bCs w:val="0"/>
                <w:color w:val="auto"/>
                <w:sz w:val="24"/>
              </w:rPr>
              <w:t>是可行的</w:t>
            </w:r>
            <w:r>
              <w:rPr>
                <w:b w:val="0"/>
                <w:bCs/>
                <w:color w:val="auto"/>
                <w:sz w:val="24"/>
              </w:rPr>
              <w:t>。</w:t>
            </w: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p>
            <w:pPr>
              <w:spacing w:line="360" w:lineRule="auto"/>
              <w:rPr>
                <w:color w:val="auto"/>
                <w:sz w:val="24"/>
              </w:rPr>
            </w:pPr>
          </w:p>
        </w:tc>
      </w:tr>
    </w:tbl>
    <w:p>
      <w:pPr>
        <w:rPr>
          <w:color w:val="auto"/>
        </w:rPr>
        <w:sectPr>
          <w:pgSz w:w="11906" w:h="16838"/>
          <w:pgMar w:top="1701" w:right="1531" w:bottom="1701" w:left="1531" w:header="851" w:footer="851" w:gutter="0"/>
          <w:pgNumType w:fmt="decimal"/>
          <w:cols w:space="720" w:num="1"/>
          <w:docGrid w:linePitch="312" w:charSpace="0"/>
        </w:sectPr>
      </w:pPr>
    </w:p>
    <w:p>
      <w:pPr>
        <w:pStyle w:val="23"/>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textAlignment w:val="auto"/>
        <w:rPr>
          <w:rFonts w:ascii="Times New Roman" w:hAnsi="Times New Roman" w:eastAsia="黑体"/>
          <w:snapToGrid w:val="0"/>
          <w:color w:val="auto"/>
          <w:sz w:val="32"/>
          <w:szCs w:val="32"/>
        </w:rPr>
      </w:pPr>
      <w:bookmarkStart w:id="79" w:name="_Toc12016"/>
      <w:r>
        <w:rPr>
          <w:rFonts w:ascii="Times New Roman" w:hAnsi="Times New Roman" w:eastAsia="黑体"/>
          <w:snapToGrid w:val="0"/>
          <w:color w:val="auto"/>
          <w:sz w:val="32"/>
          <w:szCs w:val="32"/>
        </w:rPr>
        <w:t>附表</w:t>
      </w:r>
    </w:p>
    <w:p>
      <w:pPr>
        <w:pStyle w:val="23"/>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jc w:val="center"/>
        <w:textAlignment w:val="auto"/>
        <w:outlineLvl w:val="0"/>
        <w:rPr>
          <w:rFonts w:ascii="Times New Roman" w:hAnsi="Times New Roman" w:eastAsia="方正小标宋_GBK"/>
          <w:snapToGrid w:val="0"/>
          <w:color w:val="auto"/>
          <w:sz w:val="38"/>
          <w:szCs w:val="38"/>
        </w:rPr>
      </w:pPr>
      <w:bookmarkStart w:id="80" w:name="_Toc10936"/>
      <w:bookmarkStart w:id="81" w:name="_Toc8921"/>
      <w:r>
        <w:rPr>
          <w:rFonts w:ascii="Times New Roman" w:hAnsi="Times New Roman" w:eastAsia="方正小标宋_GBK"/>
          <w:snapToGrid w:val="0"/>
          <w:color w:val="auto"/>
          <w:sz w:val="38"/>
          <w:szCs w:val="38"/>
        </w:rPr>
        <w:t>建设项目污染物排放量汇总表</w:t>
      </w:r>
      <w:bookmarkEnd w:id="80"/>
      <w:bookmarkEnd w:id="81"/>
    </w:p>
    <w:tbl>
      <w:tblPr>
        <w:tblStyle w:val="28"/>
        <w:tblW w:w="13863"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1417"/>
        <w:gridCol w:w="1701"/>
        <w:gridCol w:w="1276"/>
        <w:gridCol w:w="1701"/>
        <w:gridCol w:w="1559"/>
        <w:gridCol w:w="1761"/>
        <w:gridCol w:w="1783"/>
        <w:gridCol w:w="107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588" w:type="dxa"/>
            <w:tcBorders>
              <w:tl2br w:val="single" w:color="auto" w:sz="4" w:space="0"/>
            </w:tcBorders>
            <w:tcMar>
              <w:left w:w="28" w:type="dxa"/>
              <w:right w:w="28" w:type="dxa"/>
            </w:tcMar>
            <w:vAlign w:val="center"/>
          </w:tcPr>
          <w:p>
            <w:pPr>
              <w:pStyle w:val="72"/>
              <w:spacing w:beforeLines="0" w:afterLines="0" w:line="240" w:lineRule="auto"/>
              <w:ind w:firstLine="0" w:firstLineChars="0"/>
              <w:jc w:val="right"/>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项目</w:t>
            </w:r>
          </w:p>
          <w:p>
            <w:pPr>
              <w:pStyle w:val="72"/>
              <w:spacing w:beforeLines="0" w:afterLines="0" w:line="240" w:lineRule="auto"/>
              <w:ind w:firstLine="0" w:firstLineChars="0"/>
              <w:jc w:val="left"/>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分类</w:t>
            </w:r>
          </w:p>
        </w:tc>
        <w:tc>
          <w:tcPr>
            <w:tcW w:w="1417" w:type="dxa"/>
            <w:tcMar>
              <w:left w:w="28" w:type="dxa"/>
              <w:right w:w="28" w:type="dxa"/>
            </w:tcMar>
            <w:vAlign w:val="center"/>
          </w:tcPr>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污染物名称</w:t>
            </w:r>
          </w:p>
        </w:tc>
        <w:tc>
          <w:tcPr>
            <w:tcW w:w="1701" w:type="dxa"/>
            <w:tcMar>
              <w:left w:w="28" w:type="dxa"/>
              <w:right w:w="28" w:type="dxa"/>
            </w:tcMar>
            <w:vAlign w:val="center"/>
          </w:tcPr>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现有工程</w:t>
            </w:r>
          </w:p>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排放量（固体废物产生量）</w:t>
            </w:r>
            <w:r>
              <w:rPr>
                <w:rFonts w:ascii="Times New Roman" w:eastAsiaTheme="minorEastAsia"/>
                <w:b/>
                <w:bCs/>
                <w:snapToGrid w:val="0"/>
                <w:color w:val="auto"/>
                <w:kern w:val="21"/>
                <w:szCs w:val="21"/>
              </w:rPr>
              <w:fldChar w:fldCharType="begin"/>
            </w:r>
            <w:r>
              <w:rPr>
                <w:rFonts w:ascii="Times New Roman" w:eastAsiaTheme="minorEastAsia"/>
                <w:b/>
                <w:bCs/>
                <w:snapToGrid w:val="0"/>
                <w:color w:val="auto"/>
                <w:kern w:val="21"/>
                <w:szCs w:val="21"/>
              </w:rPr>
              <w:instrText xml:space="preserve"> = 1 \* GB3 \* MERGEFORMAT </w:instrText>
            </w:r>
            <w:r>
              <w:rPr>
                <w:rFonts w:ascii="Times New Roman" w:eastAsiaTheme="minorEastAsia"/>
                <w:b/>
                <w:bCs/>
                <w:snapToGrid w:val="0"/>
                <w:color w:val="auto"/>
                <w:kern w:val="21"/>
                <w:szCs w:val="21"/>
              </w:rPr>
              <w:fldChar w:fldCharType="separate"/>
            </w:r>
            <w:r>
              <w:rPr>
                <w:rFonts w:hint="eastAsia" w:hAnsi="宋体" w:cs="宋体"/>
                <w:b/>
                <w:bCs/>
                <w:color w:val="auto"/>
                <w:kern w:val="2"/>
                <w:szCs w:val="21"/>
              </w:rPr>
              <w:t>①</w:t>
            </w:r>
            <w:r>
              <w:rPr>
                <w:rFonts w:ascii="Times New Roman" w:eastAsiaTheme="minorEastAsia"/>
                <w:b/>
                <w:bCs/>
                <w:snapToGrid w:val="0"/>
                <w:color w:val="auto"/>
                <w:kern w:val="21"/>
                <w:szCs w:val="21"/>
              </w:rPr>
              <w:fldChar w:fldCharType="end"/>
            </w:r>
          </w:p>
        </w:tc>
        <w:tc>
          <w:tcPr>
            <w:tcW w:w="1276" w:type="dxa"/>
            <w:tcMar>
              <w:left w:w="28" w:type="dxa"/>
              <w:right w:w="28" w:type="dxa"/>
            </w:tcMar>
            <w:vAlign w:val="center"/>
          </w:tcPr>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现有工程</w:t>
            </w:r>
          </w:p>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许可排放量</w:t>
            </w:r>
          </w:p>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fldChar w:fldCharType="begin"/>
            </w:r>
            <w:r>
              <w:rPr>
                <w:rFonts w:ascii="Times New Roman" w:eastAsiaTheme="minorEastAsia"/>
                <w:b/>
                <w:bCs/>
                <w:snapToGrid w:val="0"/>
                <w:color w:val="auto"/>
                <w:kern w:val="21"/>
                <w:szCs w:val="21"/>
              </w:rPr>
              <w:instrText xml:space="preserve"> = 2 \* GB3 \* MERGEFORMAT </w:instrText>
            </w:r>
            <w:r>
              <w:rPr>
                <w:rFonts w:ascii="Times New Roman" w:eastAsiaTheme="minorEastAsia"/>
                <w:b/>
                <w:bCs/>
                <w:snapToGrid w:val="0"/>
                <w:color w:val="auto"/>
                <w:kern w:val="21"/>
                <w:szCs w:val="21"/>
              </w:rPr>
              <w:fldChar w:fldCharType="separate"/>
            </w:r>
            <w:r>
              <w:rPr>
                <w:rFonts w:hint="eastAsia" w:hAnsi="宋体" w:cs="宋体"/>
                <w:b/>
                <w:bCs/>
                <w:snapToGrid w:val="0"/>
                <w:color w:val="auto"/>
                <w:kern w:val="21"/>
                <w:szCs w:val="21"/>
              </w:rPr>
              <w:t>②</w:t>
            </w:r>
            <w:r>
              <w:rPr>
                <w:rFonts w:ascii="Times New Roman" w:eastAsiaTheme="minorEastAsia"/>
                <w:b/>
                <w:bCs/>
                <w:snapToGrid w:val="0"/>
                <w:color w:val="auto"/>
                <w:kern w:val="21"/>
                <w:szCs w:val="21"/>
              </w:rPr>
              <w:fldChar w:fldCharType="end"/>
            </w:r>
          </w:p>
        </w:tc>
        <w:tc>
          <w:tcPr>
            <w:tcW w:w="1701" w:type="dxa"/>
            <w:tcMar>
              <w:left w:w="28" w:type="dxa"/>
              <w:right w:w="28" w:type="dxa"/>
            </w:tcMar>
            <w:vAlign w:val="center"/>
          </w:tcPr>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在建工程</w:t>
            </w:r>
          </w:p>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排放量（固体废物产生量）</w:t>
            </w:r>
            <w:r>
              <w:rPr>
                <w:rFonts w:ascii="Times New Roman" w:eastAsiaTheme="minorEastAsia"/>
                <w:b/>
                <w:bCs/>
                <w:snapToGrid w:val="0"/>
                <w:color w:val="auto"/>
                <w:kern w:val="21"/>
                <w:szCs w:val="21"/>
              </w:rPr>
              <w:fldChar w:fldCharType="begin"/>
            </w:r>
            <w:r>
              <w:rPr>
                <w:rFonts w:ascii="Times New Roman" w:eastAsiaTheme="minorEastAsia"/>
                <w:b/>
                <w:bCs/>
                <w:snapToGrid w:val="0"/>
                <w:color w:val="auto"/>
                <w:kern w:val="21"/>
                <w:szCs w:val="21"/>
              </w:rPr>
              <w:instrText xml:space="preserve"> = 3 \* GB3 \* MERGEFORMAT </w:instrText>
            </w:r>
            <w:r>
              <w:rPr>
                <w:rFonts w:ascii="Times New Roman" w:eastAsiaTheme="minorEastAsia"/>
                <w:b/>
                <w:bCs/>
                <w:snapToGrid w:val="0"/>
                <w:color w:val="auto"/>
                <w:kern w:val="21"/>
                <w:szCs w:val="21"/>
              </w:rPr>
              <w:fldChar w:fldCharType="separate"/>
            </w:r>
            <w:r>
              <w:rPr>
                <w:rFonts w:hint="eastAsia" w:hAnsi="宋体" w:cs="宋体"/>
                <w:b/>
                <w:bCs/>
                <w:color w:val="auto"/>
                <w:kern w:val="2"/>
                <w:szCs w:val="21"/>
              </w:rPr>
              <w:t>③</w:t>
            </w:r>
            <w:r>
              <w:rPr>
                <w:rFonts w:ascii="Times New Roman" w:eastAsiaTheme="minorEastAsia"/>
                <w:b/>
                <w:bCs/>
                <w:snapToGrid w:val="0"/>
                <w:color w:val="auto"/>
                <w:kern w:val="21"/>
                <w:szCs w:val="21"/>
              </w:rPr>
              <w:fldChar w:fldCharType="end"/>
            </w:r>
          </w:p>
        </w:tc>
        <w:tc>
          <w:tcPr>
            <w:tcW w:w="1559" w:type="dxa"/>
            <w:tcMar>
              <w:left w:w="28" w:type="dxa"/>
              <w:right w:w="28" w:type="dxa"/>
            </w:tcMar>
            <w:vAlign w:val="center"/>
          </w:tcPr>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本项目</w:t>
            </w:r>
          </w:p>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排放量（固体废物产生量）</w:t>
            </w:r>
            <w:r>
              <w:rPr>
                <w:rFonts w:ascii="Times New Roman" w:eastAsiaTheme="minorEastAsia"/>
                <w:b/>
                <w:bCs/>
                <w:snapToGrid w:val="0"/>
                <w:color w:val="auto"/>
                <w:kern w:val="21"/>
                <w:szCs w:val="21"/>
              </w:rPr>
              <w:fldChar w:fldCharType="begin"/>
            </w:r>
            <w:r>
              <w:rPr>
                <w:rFonts w:ascii="Times New Roman" w:eastAsiaTheme="minorEastAsia"/>
                <w:b/>
                <w:bCs/>
                <w:snapToGrid w:val="0"/>
                <w:color w:val="auto"/>
                <w:kern w:val="21"/>
                <w:szCs w:val="21"/>
              </w:rPr>
              <w:instrText xml:space="preserve"> = 4 \* GB3 \* MERGEFORMAT </w:instrText>
            </w:r>
            <w:r>
              <w:rPr>
                <w:rFonts w:ascii="Times New Roman" w:eastAsiaTheme="minorEastAsia"/>
                <w:b/>
                <w:bCs/>
                <w:snapToGrid w:val="0"/>
                <w:color w:val="auto"/>
                <w:kern w:val="21"/>
                <w:szCs w:val="21"/>
              </w:rPr>
              <w:fldChar w:fldCharType="separate"/>
            </w:r>
            <w:r>
              <w:rPr>
                <w:rFonts w:hint="eastAsia" w:hAnsi="宋体" w:cs="宋体"/>
                <w:b/>
                <w:bCs/>
                <w:color w:val="auto"/>
                <w:kern w:val="2"/>
                <w:szCs w:val="21"/>
              </w:rPr>
              <w:t>④</w:t>
            </w:r>
            <w:r>
              <w:rPr>
                <w:rFonts w:ascii="Times New Roman" w:eastAsiaTheme="minorEastAsia"/>
                <w:b/>
                <w:bCs/>
                <w:snapToGrid w:val="0"/>
                <w:color w:val="auto"/>
                <w:kern w:val="21"/>
                <w:szCs w:val="21"/>
              </w:rPr>
              <w:fldChar w:fldCharType="end"/>
            </w:r>
          </w:p>
        </w:tc>
        <w:tc>
          <w:tcPr>
            <w:tcW w:w="1761" w:type="dxa"/>
            <w:tcMar>
              <w:left w:w="28" w:type="dxa"/>
              <w:right w:w="28" w:type="dxa"/>
            </w:tcMar>
            <w:vAlign w:val="center"/>
          </w:tcPr>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以新带老削减量</w:t>
            </w:r>
          </w:p>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（新建项目不填）</w:t>
            </w:r>
            <w:r>
              <w:rPr>
                <w:rFonts w:ascii="Times New Roman" w:eastAsiaTheme="minorEastAsia"/>
                <w:b/>
                <w:bCs/>
                <w:snapToGrid w:val="0"/>
                <w:color w:val="auto"/>
                <w:kern w:val="21"/>
                <w:szCs w:val="21"/>
              </w:rPr>
              <w:fldChar w:fldCharType="begin"/>
            </w:r>
            <w:r>
              <w:rPr>
                <w:rFonts w:ascii="Times New Roman" w:eastAsiaTheme="minorEastAsia"/>
                <w:b/>
                <w:bCs/>
                <w:snapToGrid w:val="0"/>
                <w:color w:val="auto"/>
                <w:kern w:val="21"/>
                <w:szCs w:val="21"/>
              </w:rPr>
              <w:instrText xml:space="preserve"> = 5 \* GB3 \* MERGEFORMAT </w:instrText>
            </w:r>
            <w:r>
              <w:rPr>
                <w:rFonts w:ascii="Times New Roman" w:eastAsiaTheme="minorEastAsia"/>
                <w:b/>
                <w:bCs/>
                <w:snapToGrid w:val="0"/>
                <w:color w:val="auto"/>
                <w:kern w:val="21"/>
                <w:szCs w:val="21"/>
              </w:rPr>
              <w:fldChar w:fldCharType="separate"/>
            </w:r>
            <w:r>
              <w:rPr>
                <w:rFonts w:hint="eastAsia" w:hAnsi="宋体" w:cs="宋体"/>
                <w:b/>
                <w:bCs/>
                <w:color w:val="auto"/>
                <w:kern w:val="2"/>
                <w:szCs w:val="21"/>
              </w:rPr>
              <w:t>⑤</w:t>
            </w:r>
            <w:r>
              <w:rPr>
                <w:rFonts w:ascii="Times New Roman" w:eastAsiaTheme="minorEastAsia"/>
                <w:b/>
                <w:bCs/>
                <w:snapToGrid w:val="0"/>
                <w:color w:val="auto"/>
                <w:kern w:val="21"/>
                <w:szCs w:val="21"/>
              </w:rPr>
              <w:fldChar w:fldCharType="end"/>
            </w:r>
          </w:p>
        </w:tc>
        <w:tc>
          <w:tcPr>
            <w:tcW w:w="1783" w:type="dxa"/>
            <w:tcMar>
              <w:left w:w="28" w:type="dxa"/>
              <w:right w:w="28" w:type="dxa"/>
            </w:tcMar>
            <w:vAlign w:val="center"/>
          </w:tcPr>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本项目建成后</w:t>
            </w:r>
          </w:p>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全厂排放量（固体废物产生量）</w:t>
            </w:r>
            <w:r>
              <w:rPr>
                <w:rFonts w:ascii="Times New Roman" w:eastAsiaTheme="minorEastAsia"/>
                <w:b/>
                <w:bCs/>
                <w:snapToGrid w:val="0"/>
                <w:color w:val="auto"/>
                <w:kern w:val="21"/>
                <w:szCs w:val="21"/>
              </w:rPr>
              <w:fldChar w:fldCharType="begin"/>
            </w:r>
            <w:r>
              <w:rPr>
                <w:rFonts w:ascii="Times New Roman" w:eastAsiaTheme="minorEastAsia"/>
                <w:b/>
                <w:bCs/>
                <w:snapToGrid w:val="0"/>
                <w:color w:val="auto"/>
                <w:kern w:val="21"/>
                <w:szCs w:val="21"/>
              </w:rPr>
              <w:instrText xml:space="preserve"> = 6 \* GB3 \* MERGEFORMAT </w:instrText>
            </w:r>
            <w:r>
              <w:rPr>
                <w:rFonts w:ascii="Times New Roman" w:eastAsiaTheme="minorEastAsia"/>
                <w:b/>
                <w:bCs/>
                <w:snapToGrid w:val="0"/>
                <w:color w:val="auto"/>
                <w:kern w:val="21"/>
                <w:szCs w:val="21"/>
              </w:rPr>
              <w:fldChar w:fldCharType="separate"/>
            </w:r>
            <w:r>
              <w:rPr>
                <w:rFonts w:hint="eastAsia" w:hAnsi="宋体" w:cs="宋体"/>
                <w:b/>
                <w:bCs/>
                <w:color w:val="auto"/>
                <w:kern w:val="2"/>
                <w:szCs w:val="21"/>
              </w:rPr>
              <w:t>⑥</w:t>
            </w:r>
            <w:r>
              <w:rPr>
                <w:rFonts w:ascii="Times New Roman" w:eastAsiaTheme="minorEastAsia"/>
                <w:b/>
                <w:bCs/>
                <w:snapToGrid w:val="0"/>
                <w:color w:val="auto"/>
                <w:kern w:val="21"/>
                <w:szCs w:val="21"/>
              </w:rPr>
              <w:fldChar w:fldCharType="end"/>
            </w:r>
          </w:p>
        </w:tc>
        <w:tc>
          <w:tcPr>
            <w:tcW w:w="1077" w:type="dxa"/>
            <w:tcMar>
              <w:left w:w="28" w:type="dxa"/>
              <w:right w:w="28" w:type="dxa"/>
            </w:tcMar>
            <w:vAlign w:val="center"/>
          </w:tcPr>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t>变化量</w:t>
            </w:r>
          </w:p>
          <w:p>
            <w:pPr>
              <w:pStyle w:val="72"/>
              <w:spacing w:beforeLines="0" w:afterLines="0" w:line="240" w:lineRule="auto"/>
              <w:ind w:firstLine="0" w:firstLineChars="0"/>
              <w:rPr>
                <w:rFonts w:ascii="Times New Roman" w:eastAsiaTheme="minorEastAsia"/>
                <w:b/>
                <w:bCs/>
                <w:snapToGrid w:val="0"/>
                <w:color w:val="auto"/>
                <w:kern w:val="21"/>
                <w:szCs w:val="21"/>
              </w:rPr>
            </w:pPr>
            <w:r>
              <w:rPr>
                <w:rFonts w:ascii="Times New Roman" w:eastAsiaTheme="minorEastAsia"/>
                <w:b/>
                <w:bCs/>
                <w:snapToGrid w:val="0"/>
                <w:color w:val="auto"/>
                <w:kern w:val="21"/>
                <w:szCs w:val="21"/>
              </w:rPr>
              <w:fldChar w:fldCharType="begin"/>
            </w:r>
            <w:r>
              <w:rPr>
                <w:rFonts w:ascii="Times New Roman" w:eastAsiaTheme="minorEastAsia"/>
                <w:b/>
                <w:bCs/>
                <w:snapToGrid w:val="0"/>
                <w:color w:val="auto"/>
                <w:kern w:val="21"/>
                <w:szCs w:val="21"/>
              </w:rPr>
              <w:instrText xml:space="preserve"> = 7 \* GB3 \* MERGEFORMAT </w:instrText>
            </w:r>
            <w:r>
              <w:rPr>
                <w:rFonts w:ascii="Times New Roman" w:eastAsiaTheme="minorEastAsia"/>
                <w:b/>
                <w:bCs/>
                <w:snapToGrid w:val="0"/>
                <w:color w:val="auto"/>
                <w:kern w:val="21"/>
                <w:szCs w:val="21"/>
              </w:rPr>
              <w:fldChar w:fldCharType="separate"/>
            </w:r>
            <w:r>
              <w:rPr>
                <w:rFonts w:hint="eastAsia" w:hAnsi="宋体" w:cs="宋体"/>
                <w:b/>
                <w:bCs/>
                <w:color w:val="auto"/>
                <w:kern w:val="2"/>
                <w:szCs w:val="21"/>
              </w:rPr>
              <w:t>⑦</w:t>
            </w:r>
            <w:r>
              <w:rPr>
                <w:rFonts w:ascii="Times New Roman" w:eastAsiaTheme="minorEastAsia"/>
                <w:b/>
                <w:bCs/>
                <w:snapToGrid w:val="0"/>
                <w:color w:val="auto"/>
                <w:kern w:val="21"/>
                <w:szCs w:val="21"/>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ascii="Times New Roman" w:eastAsiaTheme="minorEastAsia"/>
                <w:snapToGrid w:val="0"/>
                <w:color w:val="auto"/>
                <w:kern w:val="21"/>
                <w:szCs w:val="21"/>
              </w:rPr>
              <w:t>废气</w:t>
            </w: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ascii="Times New Roman" w:eastAsiaTheme="minorEastAsia"/>
                <w:snapToGrid w:val="0"/>
                <w:color w:val="auto"/>
                <w:kern w:val="21"/>
                <w:szCs w:val="21"/>
              </w:rPr>
              <w:t>颗粒物</w:t>
            </w:r>
          </w:p>
        </w:tc>
        <w:tc>
          <w:tcPr>
            <w:tcW w:w="1701"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0.04t/a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0.04t/a</w:t>
            </w:r>
          </w:p>
        </w:tc>
        <w:tc>
          <w:tcPr>
            <w:tcW w:w="107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+0.04t/a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72"/>
              <w:spacing w:beforeLines="0" w:afterLines="0" w:line="240" w:lineRule="auto"/>
              <w:ind w:firstLine="0" w:firstLineChars="0"/>
              <w:rPr>
                <w:rFonts w:ascii="Times New Roman" w:eastAsiaTheme="minorEastAsia"/>
                <w:snapToGrid w:val="0"/>
                <w:color w:val="auto"/>
                <w:kern w:val="21"/>
                <w:szCs w:val="21"/>
              </w:rPr>
            </w:pP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锡及其化合物</w:t>
            </w:r>
          </w:p>
        </w:tc>
        <w:tc>
          <w:tcPr>
            <w:tcW w:w="1701" w:type="dxa"/>
            <w:vAlign w:val="center"/>
          </w:tcPr>
          <w:p>
            <w:pPr>
              <w:pStyle w:val="72"/>
              <w:spacing w:beforeLines="0" w:afterLines="0" w:line="240" w:lineRule="auto"/>
              <w:ind w:firstLine="0" w:firstLineChars="0"/>
              <w:rPr>
                <w:rFonts w:hint="eastAsia" w:ascii="Times New Roman" w:eastAsiaTheme="minorEastAsia"/>
                <w:snapToGrid w:val="0"/>
                <w:color w:val="auto"/>
                <w:kern w:val="21"/>
                <w:szCs w:val="21"/>
              </w:rPr>
            </w:pPr>
            <w:r>
              <w:rPr>
                <w:rFonts w:hint="eastAsia" w:ascii="Times New Roman" w:eastAsiaTheme="minorEastAsia"/>
                <w:snapToGrid w:val="0"/>
                <w:color w:val="auto"/>
                <w:kern w:val="21"/>
                <w:szCs w:val="21"/>
              </w:rPr>
              <w:t>—</w:t>
            </w:r>
          </w:p>
        </w:tc>
        <w:tc>
          <w:tcPr>
            <w:tcW w:w="1276" w:type="dxa"/>
            <w:vAlign w:val="center"/>
          </w:tcPr>
          <w:p>
            <w:pPr>
              <w:adjustRightInd w:val="0"/>
              <w:snapToGrid w:val="0"/>
              <w:jc w:val="center"/>
              <w:rPr>
                <w:rFonts w:hint="eastAsia"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hint="eastAsia"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pStyle w:val="72"/>
              <w:spacing w:beforeLines="0" w:afterLines="0" w:line="240" w:lineRule="auto"/>
              <w:ind w:firstLine="0" w:firstLineChars="0"/>
              <w:rPr>
                <w:rFonts w:hint="eastAsia" w:ascii="Times New Roman" w:eastAsiaTheme="minorEastAsia"/>
                <w:snapToGrid w:val="0"/>
                <w:color w:val="auto"/>
                <w:kern w:val="21"/>
                <w:szCs w:val="21"/>
              </w:rPr>
            </w:pPr>
            <w:r>
              <w:rPr>
                <w:rFonts w:hint="eastAsia" w:ascii="Times New Roman" w:eastAsiaTheme="minorEastAsia"/>
                <w:snapToGrid w:val="0"/>
                <w:color w:val="auto"/>
                <w:kern w:val="21"/>
                <w:szCs w:val="21"/>
              </w:rPr>
              <w:t>0.00023t/a</w:t>
            </w:r>
          </w:p>
        </w:tc>
        <w:tc>
          <w:tcPr>
            <w:tcW w:w="1761" w:type="dxa"/>
            <w:vAlign w:val="center"/>
          </w:tcPr>
          <w:p>
            <w:pPr>
              <w:adjustRightInd w:val="0"/>
              <w:snapToGrid w:val="0"/>
              <w:jc w:val="center"/>
              <w:rPr>
                <w:rFonts w:hint="eastAsia"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pStyle w:val="72"/>
              <w:spacing w:beforeLines="0" w:afterLines="0" w:line="240" w:lineRule="auto"/>
              <w:ind w:firstLine="0" w:firstLineChars="0"/>
              <w:rPr>
                <w:rFonts w:hint="eastAsia" w:ascii="Times New Roman" w:eastAsiaTheme="minorEastAsia"/>
                <w:snapToGrid w:val="0"/>
                <w:color w:val="auto"/>
                <w:kern w:val="21"/>
                <w:szCs w:val="21"/>
              </w:rPr>
            </w:pPr>
            <w:r>
              <w:rPr>
                <w:rFonts w:hint="eastAsia" w:ascii="Times New Roman" w:eastAsiaTheme="minorEastAsia"/>
                <w:snapToGrid w:val="0"/>
                <w:color w:val="auto"/>
                <w:kern w:val="21"/>
                <w:szCs w:val="21"/>
              </w:rPr>
              <w:t>0.00023t/a</w:t>
            </w:r>
          </w:p>
        </w:tc>
        <w:tc>
          <w:tcPr>
            <w:tcW w:w="1077" w:type="dxa"/>
            <w:vAlign w:val="center"/>
          </w:tcPr>
          <w:p>
            <w:pPr>
              <w:pStyle w:val="72"/>
              <w:spacing w:beforeLines="0" w:afterLines="0" w:line="240" w:lineRule="auto"/>
              <w:ind w:firstLine="0" w:firstLineChars="0"/>
              <w:rPr>
                <w:rFonts w:hint="eastAsia" w:ascii="Times New Roman" w:eastAsiaTheme="minorEastAsia"/>
                <w:snapToGrid w:val="0"/>
                <w:color w:val="auto"/>
                <w:kern w:val="21"/>
                <w:szCs w:val="21"/>
                <w:lang w:val="en-US" w:eastAsia="zh-CN"/>
              </w:rPr>
            </w:pPr>
            <w:r>
              <w:rPr>
                <w:rFonts w:hint="eastAsia" w:ascii="Times New Roman" w:eastAsiaTheme="minorEastAsia"/>
                <w:snapToGrid w:val="0"/>
                <w:color w:val="auto"/>
                <w:kern w:val="21"/>
                <w:szCs w:val="21"/>
                <w:lang w:val="en-US" w:eastAsia="zh-CN"/>
              </w:rPr>
              <w:t>+0.00023t/a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72"/>
              <w:spacing w:beforeLines="0" w:afterLines="0" w:line="240" w:lineRule="auto"/>
              <w:ind w:firstLine="0" w:firstLineChars="0"/>
              <w:rPr>
                <w:rFonts w:ascii="Times New Roman" w:eastAsiaTheme="minorEastAsia"/>
                <w:snapToGrid w:val="0"/>
                <w:color w:val="auto"/>
                <w:kern w:val="21"/>
                <w:szCs w:val="21"/>
              </w:rPr>
            </w:pPr>
          </w:p>
        </w:tc>
        <w:tc>
          <w:tcPr>
            <w:tcW w:w="1417" w:type="dxa"/>
            <w:vAlign w:val="center"/>
          </w:tcPr>
          <w:p>
            <w:pPr>
              <w:pStyle w:val="72"/>
              <w:spacing w:beforeLines="0" w:afterLines="0" w:line="240" w:lineRule="auto"/>
              <w:ind w:firstLine="0" w:firstLineChars="0"/>
              <w:rPr>
                <w:rFonts w:hint="default" w:ascii="Times New Roman" w:hAnsi="Times New Roman" w:cs="Times New Roman" w:eastAsiaTheme="minorEastAsia"/>
                <w:snapToGrid w:val="0"/>
                <w:color w:val="auto"/>
                <w:kern w:val="21"/>
                <w:sz w:val="21"/>
                <w:szCs w:val="21"/>
                <w:lang w:val="en-US" w:eastAsia="zh-CN" w:bidi="ar-SA"/>
              </w:rPr>
            </w:pPr>
            <w:r>
              <w:rPr>
                <w:rFonts w:hint="eastAsia" w:ascii="Times New Roman" w:eastAsiaTheme="minorEastAsia"/>
                <w:snapToGrid w:val="0"/>
                <w:color w:val="auto"/>
                <w:kern w:val="21"/>
                <w:szCs w:val="21"/>
                <w:lang w:val="en-US" w:eastAsia="zh-CN"/>
              </w:rPr>
              <w:t>NMHC</w:t>
            </w:r>
          </w:p>
        </w:tc>
        <w:tc>
          <w:tcPr>
            <w:tcW w:w="1701" w:type="dxa"/>
            <w:vAlign w:val="center"/>
          </w:tcPr>
          <w:p>
            <w:pPr>
              <w:adjustRightInd w:val="0"/>
              <w:snapToGrid w:val="0"/>
              <w:jc w:val="center"/>
              <w:rPr>
                <w:rFonts w:hint="eastAsia" w:ascii="Times New Roman" w:hAnsi="Times New Roman" w:cs="Times New Roman" w:eastAsiaTheme="minorEastAsia"/>
                <w:snapToGrid w:val="0"/>
                <w:color w:val="auto"/>
                <w:kern w:val="21"/>
                <w:sz w:val="21"/>
                <w:szCs w:val="21"/>
                <w:lang w:val="en-US" w:eastAsia="zh-CN" w:bidi="ar-SA"/>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hint="eastAsia" w:ascii="Times New Roman" w:hAnsi="Times New Roman" w:cs="Times New Roman" w:eastAsiaTheme="minorEastAsia"/>
                <w:snapToGrid w:val="0"/>
                <w:color w:val="auto"/>
                <w:kern w:val="21"/>
                <w:sz w:val="21"/>
                <w:szCs w:val="21"/>
                <w:lang w:val="en-US" w:eastAsia="zh-CN" w:bidi="ar-SA"/>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hint="eastAsia" w:ascii="Times New Roman" w:hAnsi="Times New Roman" w:cs="Times New Roman" w:eastAsiaTheme="minorEastAsia"/>
                <w:snapToGrid w:val="0"/>
                <w:color w:val="auto"/>
                <w:kern w:val="21"/>
                <w:sz w:val="21"/>
                <w:szCs w:val="21"/>
                <w:lang w:val="en-US" w:eastAsia="zh-CN" w:bidi="ar-SA"/>
              </w:rPr>
            </w:pPr>
            <w:r>
              <w:rPr>
                <w:rFonts w:hint="eastAsia" w:eastAsiaTheme="minorEastAsia"/>
                <w:snapToGrid w:val="0"/>
                <w:color w:val="auto"/>
                <w:kern w:val="21"/>
                <w:szCs w:val="21"/>
              </w:rPr>
              <w:t>—</w:t>
            </w:r>
          </w:p>
        </w:tc>
        <w:tc>
          <w:tcPr>
            <w:tcW w:w="1559" w:type="dxa"/>
            <w:vAlign w:val="center"/>
          </w:tcPr>
          <w:p>
            <w:pPr>
              <w:pStyle w:val="72"/>
              <w:spacing w:beforeLines="0" w:afterLines="0" w:line="240" w:lineRule="auto"/>
              <w:ind w:firstLine="0" w:firstLineChars="0"/>
              <w:rPr>
                <w:rFonts w:hint="eastAsia" w:ascii="Times New Roman" w:hAnsi="Times New Roman" w:cs="Times New Roman" w:eastAsiaTheme="minorEastAsia"/>
                <w:snapToGrid w:val="0"/>
                <w:color w:val="auto"/>
                <w:kern w:val="21"/>
                <w:sz w:val="21"/>
                <w:szCs w:val="21"/>
                <w:lang w:val="en-US" w:eastAsia="zh-CN" w:bidi="ar-SA"/>
              </w:rPr>
            </w:pPr>
            <w:r>
              <w:rPr>
                <w:rFonts w:hint="eastAsia" w:ascii="Times New Roman" w:eastAsiaTheme="minorEastAsia"/>
                <w:snapToGrid w:val="0"/>
                <w:color w:val="auto"/>
                <w:kern w:val="21"/>
                <w:szCs w:val="21"/>
                <w:lang w:eastAsia="zh-CN"/>
              </w:rPr>
              <w:t>0.29</w:t>
            </w:r>
            <w:r>
              <w:rPr>
                <w:rFonts w:hint="eastAsia" w:ascii="Times New Roman" w:eastAsiaTheme="minorEastAsia"/>
                <w:snapToGrid w:val="0"/>
                <w:color w:val="auto"/>
                <w:kern w:val="21"/>
                <w:szCs w:val="21"/>
              </w:rPr>
              <w:t>t/a</w:t>
            </w:r>
          </w:p>
        </w:tc>
        <w:tc>
          <w:tcPr>
            <w:tcW w:w="1761" w:type="dxa"/>
            <w:vAlign w:val="center"/>
          </w:tcPr>
          <w:p>
            <w:pPr>
              <w:adjustRightInd w:val="0"/>
              <w:snapToGrid w:val="0"/>
              <w:jc w:val="center"/>
              <w:rPr>
                <w:rFonts w:hint="eastAsia" w:ascii="Times New Roman" w:hAnsi="Times New Roman" w:cs="Times New Roman" w:eastAsiaTheme="minorEastAsia"/>
                <w:snapToGrid w:val="0"/>
                <w:color w:val="auto"/>
                <w:kern w:val="21"/>
                <w:sz w:val="21"/>
                <w:szCs w:val="21"/>
                <w:lang w:val="en-US" w:eastAsia="zh-CN" w:bidi="ar-SA"/>
              </w:rPr>
            </w:pPr>
            <w:r>
              <w:rPr>
                <w:rFonts w:hint="eastAsia" w:eastAsiaTheme="minorEastAsia"/>
                <w:snapToGrid w:val="0"/>
                <w:color w:val="auto"/>
                <w:kern w:val="21"/>
                <w:szCs w:val="21"/>
              </w:rPr>
              <w:t>—</w:t>
            </w:r>
          </w:p>
        </w:tc>
        <w:tc>
          <w:tcPr>
            <w:tcW w:w="1783" w:type="dxa"/>
            <w:vAlign w:val="center"/>
          </w:tcPr>
          <w:p>
            <w:pPr>
              <w:pStyle w:val="72"/>
              <w:spacing w:beforeLines="0" w:afterLines="0" w:line="240" w:lineRule="auto"/>
              <w:ind w:firstLine="0" w:firstLineChars="0"/>
              <w:rPr>
                <w:rFonts w:hint="eastAsia" w:ascii="Times New Roman" w:hAnsi="Times New Roman" w:cs="Times New Roman" w:eastAsiaTheme="minorEastAsia"/>
                <w:snapToGrid w:val="0"/>
                <w:color w:val="auto"/>
                <w:kern w:val="21"/>
                <w:sz w:val="21"/>
                <w:szCs w:val="21"/>
                <w:lang w:val="en-US" w:eastAsia="zh-CN" w:bidi="ar-SA"/>
              </w:rPr>
            </w:pPr>
            <w:r>
              <w:rPr>
                <w:rFonts w:hint="eastAsia" w:ascii="Times New Roman" w:eastAsiaTheme="minorEastAsia"/>
                <w:snapToGrid w:val="0"/>
                <w:color w:val="auto"/>
                <w:kern w:val="21"/>
                <w:szCs w:val="21"/>
                <w:lang w:eastAsia="zh-CN"/>
              </w:rPr>
              <w:t>0.29</w:t>
            </w:r>
            <w:r>
              <w:rPr>
                <w:rFonts w:hint="eastAsia" w:ascii="Times New Roman" w:eastAsiaTheme="minorEastAsia"/>
                <w:snapToGrid w:val="0"/>
                <w:color w:val="auto"/>
                <w:kern w:val="21"/>
                <w:szCs w:val="21"/>
              </w:rPr>
              <w:t>t/a</w:t>
            </w:r>
          </w:p>
        </w:tc>
        <w:tc>
          <w:tcPr>
            <w:tcW w:w="1077" w:type="dxa"/>
            <w:vAlign w:val="center"/>
          </w:tcPr>
          <w:p>
            <w:pPr>
              <w:pStyle w:val="72"/>
              <w:spacing w:beforeLines="0" w:afterLines="0" w:line="240" w:lineRule="auto"/>
              <w:ind w:firstLine="0" w:firstLineChars="0"/>
              <w:rPr>
                <w:rFonts w:hint="eastAsia" w:ascii="Times New Roman" w:hAnsi="Times New Roman" w:cs="Times New Roman" w:eastAsiaTheme="minorEastAsia"/>
                <w:snapToGrid w:val="0"/>
                <w:color w:val="auto"/>
                <w:kern w:val="21"/>
                <w:sz w:val="21"/>
                <w:szCs w:val="21"/>
                <w:lang w:val="en-US" w:eastAsia="zh-CN" w:bidi="ar-SA"/>
              </w:rPr>
            </w:pPr>
            <w:r>
              <w:rPr>
                <w:rFonts w:hint="eastAsia" w:ascii="Times New Roman" w:eastAsiaTheme="minorEastAsia"/>
                <w:snapToGrid w:val="0"/>
                <w:color w:val="auto"/>
                <w:kern w:val="21"/>
                <w:szCs w:val="21"/>
              </w:rPr>
              <w:t>+</w:t>
            </w:r>
            <w:r>
              <w:rPr>
                <w:rFonts w:hint="eastAsia" w:ascii="Times New Roman" w:eastAsiaTheme="minorEastAsia"/>
                <w:snapToGrid w:val="0"/>
                <w:color w:val="auto"/>
                <w:kern w:val="21"/>
                <w:szCs w:val="21"/>
                <w:lang w:eastAsia="zh-CN"/>
              </w:rPr>
              <w:t>0.29</w:t>
            </w:r>
            <w:r>
              <w:rPr>
                <w:rFonts w:hint="eastAsia" w:ascii="Times New Roman" w:eastAsiaTheme="minorEastAsia"/>
                <w:snapToGrid w:val="0"/>
                <w:color w:val="auto"/>
                <w:kern w:val="21"/>
                <w:szCs w:val="21"/>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72"/>
              <w:spacing w:beforeLines="0" w:afterLines="0" w:line="240" w:lineRule="auto"/>
              <w:ind w:firstLine="0" w:firstLineChars="0"/>
              <w:rPr>
                <w:rFonts w:ascii="Times New Roman" w:eastAsiaTheme="minorEastAsia"/>
                <w:snapToGrid w:val="0"/>
                <w:color w:val="auto"/>
                <w:kern w:val="21"/>
                <w:szCs w:val="21"/>
              </w:rPr>
            </w:pP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臭气浓度</w:t>
            </w:r>
          </w:p>
        </w:tc>
        <w:tc>
          <w:tcPr>
            <w:tcW w:w="1701" w:type="dxa"/>
            <w:vAlign w:val="center"/>
          </w:tcPr>
          <w:p>
            <w:pPr>
              <w:adjustRightInd w:val="0"/>
              <w:snapToGrid w:val="0"/>
              <w:jc w:val="center"/>
              <w:rPr>
                <w:rFonts w:hint="eastAsia" w:ascii="Times New Roman" w:hAnsi="Times New Roman" w:cs="Times New Roman" w:eastAsiaTheme="minorEastAsia"/>
                <w:snapToGrid w:val="0"/>
                <w:color w:val="auto"/>
                <w:kern w:val="21"/>
                <w:sz w:val="21"/>
                <w:szCs w:val="21"/>
                <w:lang w:val="en-US" w:eastAsia="zh-CN" w:bidi="ar-SA"/>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hint="eastAsia" w:ascii="Times New Roman" w:hAnsi="Times New Roman" w:cs="Times New Roman" w:eastAsiaTheme="minorEastAsia"/>
                <w:snapToGrid w:val="0"/>
                <w:color w:val="auto"/>
                <w:kern w:val="21"/>
                <w:sz w:val="21"/>
                <w:szCs w:val="21"/>
                <w:lang w:val="en-US" w:eastAsia="zh-CN" w:bidi="ar-SA"/>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hint="eastAsia" w:ascii="Times New Roman" w:hAnsi="Times New Roman" w:cs="Times New Roman" w:eastAsiaTheme="minorEastAsia"/>
                <w:snapToGrid w:val="0"/>
                <w:color w:val="auto"/>
                <w:kern w:val="21"/>
                <w:sz w:val="21"/>
                <w:szCs w:val="21"/>
                <w:lang w:val="en-US" w:eastAsia="zh-CN" w:bidi="ar-SA"/>
              </w:rPr>
            </w:pPr>
            <w:r>
              <w:rPr>
                <w:rFonts w:hint="eastAsia" w:eastAsiaTheme="minorEastAsia"/>
                <w:snapToGrid w:val="0"/>
                <w:color w:val="auto"/>
                <w:kern w:val="21"/>
                <w:szCs w:val="21"/>
              </w:rPr>
              <w:t>—</w:t>
            </w:r>
          </w:p>
        </w:tc>
        <w:tc>
          <w:tcPr>
            <w:tcW w:w="1559" w:type="dxa"/>
            <w:vAlign w:val="center"/>
          </w:tcPr>
          <w:p>
            <w:pPr>
              <w:pStyle w:val="72"/>
              <w:spacing w:beforeLines="0" w:afterLines="0" w:line="240" w:lineRule="auto"/>
              <w:ind w:firstLine="0" w:firstLineChars="0"/>
              <w:rPr>
                <w:rFonts w:hint="default" w:ascii="Times New Roman" w:eastAsiaTheme="minorEastAsia"/>
                <w:snapToGrid w:val="0"/>
                <w:color w:val="auto"/>
                <w:kern w:val="21"/>
                <w:szCs w:val="21"/>
                <w:lang w:val="en-US" w:eastAsia="zh-CN"/>
              </w:rPr>
            </w:pPr>
            <w:r>
              <w:rPr>
                <w:rFonts w:hint="eastAsia" w:ascii="Times New Roman" w:eastAsiaTheme="minorEastAsia"/>
                <w:snapToGrid w:val="0"/>
                <w:color w:val="auto"/>
                <w:kern w:val="21"/>
                <w:szCs w:val="21"/>
                <w:lang w:val="en-US" w:eastAsia="zh-CN"/>
              </w:rPr>
              <w:t>少量</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lang w:val="en-US" w:eastAsia="zh-CN"/>
              </w:rPr>
              <w:t>少量</w:t>
            </w:r>
          </w:p>
        </w:tc>
        <w:tc>
          <w:tcPr>
            <w:tcW w:w="1077" w:type="dxa"/>
            <w:vAlign w:val="center"/>
          </w:tcPr>
          <w:p>
            <w:pPr>
              <w:pStyle w:val="72"/>
              <w:spacing w:beforeLines="0" w:afterLines="0" w:line="240" w:lineRule="auto"/>
              <w:ind w:firstLine="0" w:firstLineChars="0"/>
              <w:rPr>
                <w:rFonts w:hint="eastAsia" w:ascii="Times New Roman" w:eastAsiaTheme="minorEastAsia"/>
                <w:snapToGrid w:val="0"/>
                <w:color w:val="auto"/>
                <w:kern w:val="21"/>
                <w:szCs w:val="21"/>
                <w:lang w:val="en-US" w:eastAsia="zh-CN"/>
              </w:rPr>
            </w:pPr>
            <w:r>
              <w:rPr>
                <w:rFonts w:hint="eastAsia" w:ascii="Times New Roman" w:eastAsiaTheme="minorEastAsia"/>
                <w:snapToGrid w:val="0"/>
                <w:color w:val="auto"/>
                <w:kern w:val="21"/>
                <w:szCs w:val="21"/>
                <w:lang w:val="en-US" w:eastAsia="zh-CN"/>
              </w:rPr>
              <w:t>+少量</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ascii="Times New Roman" w:eastAsiaTheme="minorEastAsia"/>
                <w:snapToGrid w:val="0"/>
                <w:color w:val="auto"/>
                <w:kern w:val="21"/>
                <w:szCs w:val="21"/>
              </w:rPr>
              <w:t>废水</w:t>
            </w: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ascii="Times New Roman" w:eastAsiaTheme="minorEastAsia"/>
                <w:snapToGrid w:val="0"/>
                <w:color w:val="auto"/>
                <w:kern w:val="21"/>
                <w:szCs w:val="21"/>
              </w:rPr>
              <w:t>COD</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0.16t/a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0.16t/a</w:t>
            </w:r>
          </w:p>
        </w:tc>
        <w:tc>
          <w:tcPr>
            <w:tcW w:w="107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+0.16t/a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72"/>
              <w:spacing w:beforeLines="0" w:afterLines="0" w:line="240" w:lineRule="auto"/>
              <w:ind w:firstLine="0" w:firstLineChars="0"/>
              <w:rPr>
                <w:rFonts w:ascii="Times New Roman" w:eastAsiaTheme="minorEastAsia"/>
                <w:snapToGrid w:val="0"/>
                <w:color w:val="auto"/>
                <w:kern w:val="21"/>
                <w:szCs w:val="21"/>
              </w:rPr>
            </w:pP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ascii="Times New Roman" w:eastAsiaTheme="minorEastAsia"/>
                <w:snapToGrid w:val="0"/>
                <w:color w:val="auto"/>
                <w:kern w:val="21"/>
                <w:szCs w:val="21"/>
              </w:rPr>
              <w:t>NH</w:t>
            </w:r>
            <w:r>
              <w:rPr>
                <w:rFonts w:ascii="Times New Roman" w:eastAsiaTheme="minorEastAsia"/>
                <w:snapToGrid w:val="0"/>
                <w:color w:val="auto"/>
                <w:kern w:val="21"/>
                <w:szCs w:val="21"/>
                <w:vertAlign w:val="subscript"/>
              </w:rPr>
              <w:t>3</w:t>
            </w:r>
            <w:r>
              <w:rPr>
                <w:rFonts w:ascii="Times New Roman" w:eastAsiaTheme="minorEastAsia"/>
                <w:snapToGrid w:val="0"/>
                <w:color w:val="auto"/>
                <w:kern w:val="21"/>
                <w:szCs w:val="21"/>
              </w:rPr>
              <w:t>-N</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0.03t/a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0.03t/a</w:t>
            </w:r>
          </w:p>
        </w:tc>
        <w:tc>
          <w:tcPr>
            <w:tcW w:w="107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+0.03t/a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ascii="Times New Roman" w:eastAsiaTheme="minorEastAsia"/>
                <w:snapToGrid w:val="0"/>
                <w:color w:val="auto"/>
                <w:kern w:val="21"/>
                <w:szCs w:val="21"/>
              </w:rPr>
              <w:t>一般工业</w:t>
            </w:r>
          </w:p>
          <w:p>
            <w:pPr>
              <w:pStyle w:val="72"/>
              <w:spacing w:beforeLines="0" w:afterLines="0" w:line="240" w:lineRule="auto"/>
              <w:ind w:firstLine="0" w:firstLineChars="0"/>
              <w:rPr>
                <w:rFonts w:ascii="Times New Roman" w:eastAsiaTheme="minorEastAsia"/>
                <w:snapToGrid w:val="0"/>
                <w:color w:val="auto"/>
                <w:kern w:val="21"/>
                <w:szCs w:val="21"/>
              </w:rPr>
            </w:pPr>
            <w:r>
              <w:rPr>
                <w:rFonts w:ascii="Times New Roman" w:eastAsiaTheme="minorEastAsia"/>
                <w:snapToGrid w:val="0"/>
                <w:color w:val="auto"/>
                <w:kern w:val="21"/>
                <w:szCs w:val="21"/>
              </w:rPr>
              <w:t>固体废物</w:t>
            </w: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塑料边角料</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pStyle w:val="72"/>
              <w:spacing w:beforeLines="0" w:afterLines="0" w:line="240" w:lineRule="auto"/>
              <w:ind w:firstLine="0" w:firstLineChars="0"/>
              <w:rPr>
                <w:rFonts w:ascii="Times New Roman"/>
                <w:color w:val="auto"/>
                <w:szCs w:val="21"/>
                <w:lang w:bidi="ar"/>
              </w:rPr>
            </w:pPr>
            <w:r>
              <w:rPr>
                <w:rFonts w:hint="eastAsia" w:ascii="Times New Roman" w:eastAsiaTheme="minorEastAsia"/>
                <w:color w:val="auto"/>
                <w:szCs w:val="21"/>
                <w:lang w:val="en-US" w:eastAsia="zh-CN" w:bidi="ar"/>
              </w:rPr>
              <w:t>20</w:t>
            </w:r>
            <w:r>
              <w:rPr>
                <w:rFonts w:hint="eastAsia" w:ascii="Times New Roman" w:eastAsiaTheme="minorEastAsia"/>
                <w:snapToGrid w:val="0"/>
                <w:color w:val="auto"/>
                <w:kern w:val="21"/>
                <w:szCs w:val="21"/>
              </w:rPr>
              <w:t>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color w:val="auto"/>
                <w:szCs w:val="21"/>
                <w:lang w:val="en-US" w:eastAsia="zh-CN" w:bidi="ar"/>
              </w:rPr>
              <w:t>20</w:t>
            </w:r>
            <w:r>
              <w:rPr>
                <w:rFonts w:hint="eastAsia" w:ascii="Times New Roman" w:eastAsiaTheme="minorEastAsia"/>
                <w:snapToGrid w:val="0"/>
                <w:color w:val="auto"/>
                <w:kern w:val="21"/>
                <w:szCs w:val="21"/>
              </w:rPr>
              <w:t>t/a</w:t>
            </w:r>
          </w:p>
        </w:tc>
        <w:tc>
          <w:tcPr>
            <w:tcW w:w="107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color w:val="auto"/>
                <w:szCs w:val="21"/>
                <w:lang w:bidi="ar"/>
              </w:rPr>
              <w:t>+</w:t>
            </w:r>
            <w:r>
              <w:rPr>
                <w:rFonts w:hint="eastAsia" w:ascii="Times New Roman" w:eastAsiaTheme="minorEastAsia"/>
                <w:color w:val="auto"/>
                <w:szCs w:val="21"/>
                <w:lang w:val="en-US" w:eastAsia="zh-CN" w:bidi="ar"/>
              </w:rPr>
              <w:t>20</w:t>
            </w:r>
            <w:r>
              <w:rPr>
                <w:rFonts w:hint="eastAsia" w:ascii="Times New Roman" w:eastAsiaTheme="minorEastAsia"/>
                <w:snapToGrid w:val="0"/>
                <w:color w:val="auto"/>
                <w:kern w:val="21"/>
                <w:szCs w:val="21"/>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72"/>
              <w:spacing w:beforeLines="0" w:afterLines="0" w:line="240" w:lineRule="auto"/>
              <w:ind w:firstLine="0" w:firstLineChars="0"/>
              <w:rPr>
                <w:rFonts w:ascii="Times New Roman" w:eastAsiaTheme="minorEastAsia"/>
                <w:snapToGrid w:val="0"/>
                <w:color w:val="auto"/>
                <w:kern w:val="21"/>
                <w:szCs w:val="21"/>
              </w:rPr>
            </w:pP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电线边角料</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pStyle w:val="72"/>
              <w:spacing w:beforeLines="0" w:afterLines="0" w:line="240" w:lineRule="auto"/>
              <w:ind w:firstLine="0" w:firstLineChars="0"/>
              <w:rPr>
                <w:rFonts w:ascii="Times New Roman"/>
                <w:color w:val="auto"/>
                <w:szCs w:val="21"/>
                <w:lang w:bidi="ar"/>
              </w:rPr>
            </w:pPr>
            <w:r>
              <w:rPr>
                <w:rFonts w:hint="eastAsia" w:ascii="Times New Roman"/>
                <w:color w:val="auto"/>
                <w:szCs w:val="21"/>
                <w:lang w:bidi="ar"/>
              </w:rPr>
              <w:t>2</w:t>
            </w:r>
            <w:r>
              <w:rPr>
                <w:rFonts w:hint="eastAsia" w:ascii="Times New Roman" w:eastAsiaTheme="minorEastAsia"/>
                <w:snapToGrid w:val="0"/>
                <w:color w:val="auto"/>
                <w:kern w:val="21"/>
                <w:szCs w:val="21"/>
              </w:rPr>
              <w:t>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pStyle w:val="72"/>
              <w:spacing w:beforeLines="0" w:afterLines="0" w:line="240" w:lineRule="auto"/>
              <w:ind w:firstLine="0" w:firstLineChars="0"/>
              <w:rPr>
                <w:rFonts w:ascii="Times New Roman"/>
                <w:color w:val="auto"/>
                <w:szCs w:val="21"/>
                <w:lang w:bidi="ar"/>
              </w:rPr>
            </w:pPr>
            <w:r>
              <w:rPr>
                <w:rFonts w:hint="eastAsia" w:ascii="Times New Roman"/>
                <w:color w:val="auto"/>
                <w:szCs w:val="21"/>
                <w:lang w:bidi="ar"/>
              </w:rPr>
              <w:t>2</w:t>
            </w:r>
            <w:r>
              <w:rPr>
                <w:rFonts w:hint="eastAsia" w:ascii="Times New Roman" w:eastAsiaTheme="minorEastAsia"/>
                <w:snapToGrid w:val="0"/>
                <w:color w:val="auto"/>
                <w:kern w:val="21"/>
                <w:szCs w:val="21"/>
              </w:rPr>
              <w:t>t/a</w:t>
            </w:r>
          </w:p>
        </w:tc>
        <w:tc>
          <w:tcPr>
            <w:tcW w:w="1077" w:type="dxa"/>
            <w:vAlign w:val="center"/>
          </w:tcPr>
          <w:p>
            <w:pPr>
              <w:pStyle w:val="72"/>
              <w:spacing w:beforeLines="0" w:afterLines="0" w:line="240" w:lineRule="auto"/>
              <w:ind w:firstLine="0" w:firstLineChars="0"/>
              <w:rPr>
                <w:rFonts w:ascii="Times New Roman"/>
                <w:color w:val="auto"/>
                <w:szCs w:val="21"/>
                <w:lang w:bidi="ar"/>
              </w:rPr>
            </w:pPr>
            <w:r>
              <w:rPr>
                <w:rFonts w:hint="eastAsia" w:ascii="Times New Roman"/>
                <w:color w:val="auto"/>
                <w:szCs w:val="21"/>
                <w:lang w:bidi="ar"/>
              </w:rPr>
              <w:t>+2</w:t>
            </w:r>
            <w:r>
              <w:rPr>
                <w:rFonts w:hint="eastAsia" w:ascii="Times New Roman" w:eastAsiaTheme="minorEastAsia"/>
                <w:snapToGrid w:val="0"/>
                <w:color w:val="auto"/>
                <w:kern w:val="21"/>
                <w:szCs w:val="21"/>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72"/>
              <w:spacing w:beforeLines="0" w:afterLines="0" w:line="240" w:lineRule="auto"/>
              <w:ind w:firstLine="0" w:firstLineChars="0"/>
              <w:rPr>
                <w:rFonts w:ascii="Times New Roman" w:eastAsiaTheme="minorEastAsia"/>
                <w:snapToGrid w:val="0"/>
                <w:color w:val="auto"/>
                <w:kern w:val="21"/>
                <w:szCs w:val="21"/>
              </w:rPr>
            </w:pP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铜带边角料</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jc w:val="center"/>
              <w:rPr>
                <w:color w:val="auto"/>
                <w:szCs w:val="21"/>
                <w:lang w:bidi="ar"/>
              </w:rPr>
            </w:pPr>
            <w:r>
              <w:rPr>
                <w:rFonts w:hint="eastAsia" w:eastAsiaTheme="minorEastAsia"/>
                <w:snapToGrid w:val="0"/>
                <w:color w:val="auto"/>
                <w:kern w:val="21"/>
                <w:szCs w:val="21"/>
              </w:rPr>
              <w:t>2t/a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jc w:val="center"/>
              <w:rPr>
                <w:color w:val="auto"/>
                <w:szCs w:val="21"/>
                <w:lang w:bidi="ar"/>
              </w:rPr>
            </w:pPr>
            <w:r>
              <w:rPr>
                <w:rFonts w:hint="eastAsia" w:eastAsiaTheme="minorEastAsia"/>
                <w:snapToGrid w:val="0"/>
                <w:color w:val="auto"/>
                <w:kern w:val="21"/>
                <w:szCs w:val="21"/>
              </w:rPr>
              <w:t>2t/a</w:t>
            </w:r>
          </w:p>
        </w:tc>
        <w:tc>
          <w:tcPr>
            <w:tcW w:w="1077" w:type="dxa"/>
            <w:vAlign w:val="center"/>
          </w:tcPr>
          <w:p>
            <w:pPr>
              <w:jc w:val="center"/>
              <w:rPr>
                <w:color w:val="auto"/>
                <w:szCs w:val="21"/>
                <w:lang w:bidi="ar"/>
              </w:rPr>
            </w:pPr>
            <w:r>
              <w:rPr>
                <w:rFonts w:hint="eastAsia" w:eastAsiaTheme="minorEastAsia"/>
                <w:snapToGrid w:val="0"/>
                <w:color w:val="auto"/>
                <w:kern w:val="21"/>
                <w:szCs w:val="21"/>
              </w:rPr>
              <w:t>+2t/a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72"/>
              <w:spacing w:beforeLines="0" w:afterLines="0" w:line="240" w:lineRule="auto"/>
              <w:ind w:firstLine="0" w:firstLineChars="0"/>
              <w:rPr>
                <w:rFonts w:ascii="Times New Roman" w:eastAsiaTheme="minorEastAsia"/>
                <w:snapToGrid w:val="0"/>
                <w:color w:val="auto"/>
                <w:kern w:val="21"/>
                <w:szCs w:val="21"/>
              </w:rPr>
            </w:pP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废锡渣</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jc w:val="center"/>
              <w:rPr>
                <w:color w:val="auto"/>
                <w:szCs w:val="21"/>
                <w:lang w:bidi="ar"/>
              </w:rPr>
            </w:pPr>
            <w:r>
              <w:rPr>
                <w:rFonts w:hint="eastAsia" w:eastAsiaTheme="minorEastAsia"/>
                <w:snapToGrid w:val="0"/>
                <w:color w:val="auto"/>
                <w:kern w:val="21"/>
                <w:szCs w:val="21"/>
              </w:rPr>
              <w:t>0.0056t/a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jc w:val="center"/>
              <w:rPr>
                <w:color w:val="auto"/>
                <w:szCs w:val="21"/>
                <w:lang w:bidi="ar"/>
              </w:rPr>
            </w:pPr>
            <w:r>
              <w:rPr>
                <w:rFonts w:hint="eastAsia" w:eastAsiaTheme="minorEastAsia"/>
                <w:snapToGrid w:val="0"/>
                <w:color w:val="auto"/>
                <w:kern w:val="21"/>
                <w:szCs w:val="21"/>
              </w:rPr>
              <w:t>0.0056t/a</w:t>
            </w:r>
          </w:p>
        </w:tc>
        <w:tc>
          <w:tcPr>
            <w:tcW w:w="1077" w:type="dxa"/>
            <w:vAlign w:val="center"/>
          </w:tcPr>
          <w:p>
            <w:pPr>
              <w:jc w:val="center"/>
              <w:rPr>
                <w:color w:val="auto"/>
                <w:szCs w:val="21"/>
                <w:lang w:bidi="ar"/>
              </w:rPr>
            </w:pPr>
            <w:r>
              <w:rPr>
                <w:rFonts w:hint="eastAsia" w:eastAsiaTheme="minorEastAsia"/>
                <w:snapToGrid w:val="0"/>
                <w:color w:val="auto"/>
                <w:kern w:val="21"/>
                <w:szCs w:val="21"/>
              </w:rPr>
              <w:t>+0.0056t/a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vAlign w:val="center"/>
          </w:tcPr>
          <w:p>
            <w:pPr>
              <w:pStyle w:val="72"/>
              <w:spacing w:beforeLines="0" w:afterLines="0" w:line="240" w:lineRule="auto"/>
              <w:ind w:firstLine="0" w:firstLineChars="0"/>
              <w:rPr>
                <w:rFonts w:ascii="Times New Roman" w:eastAsiaTheme="minorEastAsia"/>
                <w:snapToGrid w:val="0"/>
                <w:color w:val="auto"/>
                <w:kern w:val="21"/>
                <w:szCs w:val="21"/>
              </w:rPr>
            </w:pP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废包装材料</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jc w:val="center"/>
              <w:rPr>
                <w:color w:val="auto"/>
                <w:szCs w:val="21"/>
                <w:lang w:bidi="ar"/>
              </w:rPr>
            </w:pPr>
            <w:r>
              <w:rPr>
                <w:rFonts w:hint="eastAsia" w:eastAsiaTheme="minorEastAsia"/>
                <w:snapToGrid w:val="0"/>
                <w:color w:val="auto"/>
                <w:kern w:val="21"/>
                <w:szCs w:val="21"/>
              </w:rPr>
              <w:t>15t/a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jc w:val="center"/>
              <w:rPr>
                <w:color w:val="auto"/>
                <w:szCs w:val="21"/>
                <w:lang w:bidi="ar"/>
              </w:rPr>
            </w:pPr>
            <w:r>
              <w:rPr>
                <w:rFonts w:hint="eastAsia" w:eastAsiaTheme="minorEastAsia"/>
                <w:snapToGrid w:val="0"/>
                <w:color w:val="auto"/>
                <w:kern w:val="21"/>
                <w:szCs w:val="21"/>
              </w:rPr>
              <w:t>15t/a</w:t>
            </w:r>
          </w:p>
        </w:tc>
        <w:tc>
          <w:tcPr>
            <w:tcW w:w="1077" w:type="dxa"/>
            <w:vAlign w:val="center"/>
          </w:tcPr>
          <w:p>
            <w:pPr>
              <w:jc w:val="center"/>
              <w:rPr>
                <w:color w:val="auto"/>
                <w:szCs w:val="21"/>
                <w:lang w:bidi="ar"/>
              </w:rPr>
            </w:pPr>
            <w:r>
              <w:rPr>
                <w:rFonts w:hint="eastAsia" w:eastAsiaTheme="minorEastAsia"/>
                <w:snapToGrid w:val="0"/>
                <w:color w:val="auto"/>
                <w:kern w:val="21"/>
                <w:szCs w:val="21"/>
              </w:rPr>
              <w:t>+15t/a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危险废物</w:t>
            </w:r>
          </w:p>
        </w:tc>
        <w:tc>
          <w:tcPr>
            <w:tcW w:w="1417" w:type="dxa"/>
            <w:vAlign w:val="center"/>
          </w:tcPr>
          <w:p>
            <w:pPr>
              <w:pStyle w:val="72"/>
              <w:spacing w:beforeLines="0" w:afterLines="0" w:line="240" w:lineRule="auto"/>
              <w:ind w:firstLine="0" w:firstLineChars="0"/>
              <w:rPr>
                <w:rFonts w:ascii="Times New Roman" w:eastAsiaTheme="minorEastAsia"/>
                <w:snapToGrid w:val="0"/>
                <w:color w:val="auto"/>
                <w:kern w:val="21"/>
                <w:szCs w:val="21"/>
              </w:rPr>
            </w:pPr>
            <w:r>
              <w:rPr>
                <w:rFonts w:hint="eastAsia" w:ascii="Times New Roman" w:eastAsiaTheme="minorEastAsia"/>
                <w:snapToGrid w:val="0"/>
                <w:color w:val="auto"/>
                <w:kern w:val="21"/>
                <w:szCs w:val="21"/>
              </w:rPr>
              <w:t>废活性炭</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276"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0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559" w:type="dxa"/>
            <w:vAlign w:val="center"/>
          </w:tcPr>
          <w:p>
            <w:pPr>
              <w:jc w:val="center"/>
              <w:rPr>
                <w:color w:val="auto"/>
                <w:szCs w:val="21"/>
                <w:lang w:bidi="ar"/>
              </w:rPr>
            </w:pPr>
            <w:r>
              <w:rPr>
                <w:rFonts w:hint="eastAsia" w:eastAsiaTheme="minorEastAsia"/>
                <w:snapToGrid w:val="0"/>
                <w:color w:val="auto"/>
                <w:kern w:val="21"/>
                <w:szCs w:val="21"/>
                <w:lang w:eastAsia="zh-CN"/>
              </w:rPr>
              <w:t>4.53</w:t>
            </w:r>
            <w:r>
              <w:rPr>
                <w:rFonts w:hint="eastAsia" w:eastAsiaTheme="minorEastAsia"/>
                <w:snapToGrid w:val="0"/>
                <w:color w:val="auto"/>
                <w:kern w:val="21"/>
                <w:szCs w:val="21"/>
              </w:rPr>
              <w:t>t/a</w:t>
            </w:r>
          </w:p>
        </w:tc>
        <w:tc>
          <w:tcPr>
            <w:tcW w:w="1761" w:type="dxa"/>
            <w:vAlign w:val="center"/>
          </w:tcPr>
          <w:p>
            <w:pPr>
              <w:adjustRightInd w:val="0"/>
              <w:snapToGrid w:val="0"/>
              <w:jc w:val="center"/>
              <w:rPr>
                <w:rFonts w:eastAsiaTheme="minorEastAsia"/>
                <w:snapToGrid w:val="0"/>
                <w:color w:val="auto"/>
                <w:kern w:val="21"/>
                <w:szCs w:val="21"/>
              </w:rPr>
            </w:pPr>
            <w:r>
              <w:rPr>
                <w:rFonts w:hint="eastAsia" w:eastAsiaTheme="minorEastAsia"/>
                <w:snapToGrid w:val="0"/>
                <w:color w:val="auto"/>
                <w:kern w:val="21"/>
                <w:szCs w:val="21"/>
              </w:rPr>
              <w:t>—</w:t>
            </w:r>
          </w:p>
        </w:tc>
        <w:tc>
          <w:tcPr>
            <w:tcW w:w="1783" w:type="dxa"/>
            <w:vAlign w:val="center"/>
          </w:tcPr>
          <w:p>
            <w:pPr>
              <w:jc w:val="center"/>
              <w:rPr>
                <w:color w:val="auto"/>
                <w:szCs w:val="21"/>
                <w:lang w:bidi="ar"/>
              </w:rPr>
            </w:pPr>
            <w:r>
              <w:rPr>
                <w:rFonts w:hint="eastAsia" w:eastAsiaTheme="minorEastAsia"/>
                <w:snapToGrid w:val="0"/>
                <w:color w:val="auto"/>
                <w:kern w:val="21"/>
                <w:szCs w:val="21"/>
                <w:lang w:eastAsia="zh-CN"/>
              </w:rPr>
              <w:t>4.53</w:t>
            </w:r>
            <w:r>
              <w:rPr>
                <w:rFonts w:hint="eastAsia" w:eastAsiaTheme="minorEastAsia"/>
                <w:snapToGrid w:val="0"/>
                <w:color w:val="auto"/>
                <w:kern w:val="21"/>
                <w:szCs w:val="21"/>
              </w:rPr>
              <w:t>t/a</w:t>
            </w:r>
          </w:p>
        </w:tc>
        <w:tc>
          <w:tcPr>
            <w:tcW w:w="1077" w:type="dxa"/>
            <w:vAlign w:val="center"/>
          </w:tcPr>
          <w:p>
            <w:pPr>
              <w:jc w:val="center"/>
              <w:rPr>
                <w:color w:val="auto"/>
                <w:szCs w:val="21"/>
                <w:lang w:bidi="ar"/>
              </w:rPr>
            </w:pPr>
            <w:r>
              <w:rPr>
                <w:rFonts w:hint="eastAsia" w:eastAsiaTheme="minorEastAsia"/>
                <w:snapToGrid w:val="0"/>
                <w:color w:val="auto"/>
                <w:kern w:val="21"/>
                <w:szCs w:val="21"/>
              </w:rPr>
              <w:t>+</w:t>
            </w:r>
            <w:r>
              <w:rPr>
                <w:rFonts w:hint="eastAsia" w:eastAsiaTheme="minorEastAsia"/>
                <w:snapToGrid w:val="0"/>
                <w:color w:val="auto"/>
                <w:kern w:val="21"/>
                <w:szCs w:val="21"/>
                <w:lang w:eastAsia="zh-CN"/>
              </w:rPr>
              <w:t>4.53</w:t>
            </w:r>
            <w:r>
              <w:rPr>
                <w:rFonts w:hint="eastAsia" w:eastAsiaTheme="minorEastAsia"/>
                <w:snapToGrid w:val="0"/>
                <w:color w:val="auto"/>
                <w:kern w:val="21"/>
                <w:szCs w:val="21"/>
              </w:rPr>
              <w:t>t/a</w:t>
            </w:r>
          </w:p>
        </w:tc>
      </w:tr>
    </w:tbl>
    <w:p>
      <w:pPr>
        <w:pStyle w:val="72"/>
        <w:spacing w:before="192" w:beforeLines="80" w:after="24"/>
        <w:jc w:val="left"/>
        <w:rPr>
          <w:rFonts w:eastAsia="黑体"/>
          <w:color w:val="auto"/>
        </w:rPr>
      </w:pPr>
      <w:r>
        <w:rPr>
          <w:rFonts w:ascii="Times New Roman"/>
          <w:snapToGrid w:val="0"/>
          <w:color w:val="auto"/>
          <w:kern w:val="21"/>
          <w:szCs w:val="21"/>
        </w:rPr>
        <w:t>注：</w:t>
      </w:r>
      <w:r>
        <w:rPr>
          <w:rFonts w:ascii="Times New Roman"/>
          <w:snapToGrid w:val="0"/>
          <w:color w:val="auto"/>
          <w:spacing w:val="-16"/>
          <w:kern w:val="21"/>
          <w:szCs w:val="21"/>
        </w:rPr>
        <w:fldChar w:fldCharType="begin"/>
      </w:r>
      <w:r>
        <w:rPr>
          <w:rFonts w:ascii="Times New Roman"/>
          <w:snapToGrid w:val="0"/>
          <w:color w:val="auto"/>
          <w:spacing w:val="-16"/>
          <w:kern w:val="21"/>
          <w:szCs w:val="21"/>
        </w:rPr>
        <w:instrText xml:space="preserve"> = 6 \* GB3 \* MERGEFORMAT </w:instrText>
      </w:r>
      <w:r>
        <w:rPr>
          <w:rFonts w:ascii="Times New Roman"/>
          <w:snapToGrid w:val="0"/>
          <w:color w:val="auto"/>
          <w:spacing w:val="-16"/>
          <w:kern w:val="21"/>
          <w:szCs w:val="21"/>
        </w:rPr>
        <w:fldChar w:fldCharType="separate"/>
      </w:r>
      <w:r>
        <w:rPr>
          <w:rFonts w:hint="eastAsia" w:hAnsi="宋体" w:cs="宋体"/>
          <w:color w:val="auto"/>
          <w:szCs w:val="21"/>
        </w:rPr>
        <w:t>⑥</w:t>
      </w:r>
      <w:r>
        <w:rPr>
          <w:rFonts w:ascii="Times New Roman"/>
          <w:snapToGrid w:val="0"/>
          <w:color w:val="auto"/>
          <w:spacing w:val="-16"/>
          <w:kern w:val="21"/>
          <w:szCs w:val="21"/>
        </w:rPr>
        <w:fldChar w:fldCharType="end"/>
      </w:r>
      <w:r>
        <w:rPr>
          <w:rFonts w:ascii="Times New Roman"/>
          <w:snapToGrid w:val="0"/>
          <w:color w:val="auto"/>
          <w:spacing w:val="-1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1 \* GB3 \* MERGEFORMAT </w:instrText>
      </w:r>
      <w:r>
        <w:rPr>
          <w:rFonts w:ascii="Times New Roman"/>
          <w:snapToGrid w:val="0"/>
          <w:color w:val="auto"/>
          <w:spacing w:val="-6"/>
          <w:kern w:val="21"/>
          <w:szCs w:val="21"/>
        </w:rPr>
        <w:fldChar w:fldCharType="separate"/>
      </w:r>
      <w:r>
        <w:rPr>
          <w:rFonts w:hint="eastAsia" w:hAnsi="宋体" w:cs="宋体"/>
          <w:color w:val="auto"/>
          <w:szCs w:val="21"/>
        </w:rPr>
        <w:t>①</w:t>
      </w:r>
      <w:r>
        <w:rPr>
          <w:rFonts w:ascii="Times New Roman"/>
          <w:snapToGrid w:val="0"/>
          <w:color w:val="auto"/>
          <w:spacing w:val="-6"/>
          <w:kern w:val="21"/>
          <w:szCs w:val="21"/>
        </w:rPr>
        <w:fldChar w:fldCharType="end"/>
      </w:r>
      <w:r>
        <w:rPr>
          <w:rFonts w:ascii="Times New Roman"/>
          <w:snapToGrid w:val="0"/>
          <w:color w:val="auto"/>
          <w:spacing w:val="-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3 \* GB3 \* MERGEFORMAT </w:instrText>
      </w:r>
      <w:r>
        <w:rPr>
          <w:rFonts w:ascii="Times New Roman"/>
          <w:snapToGrid w:val="0"/>
          <w:color w:val="auto"/>
          <w:spacing w:val="-6"/>
          <w:kern w:val="21"/>
          <w:szCs w:val="21"/>
        </w:rPr>
        <w:fldChar w:fldCharType="separate"/>
      </w:r>
      <w:r>
        <w:rPr>
          <w:rFonts w:hint="eastAsia" w:hAnsi="宋体" w:cs="宋体"/>
          <w:color w:val="auto"/>
          <w:szCs w:val="21"/>
        </w:rPr>
        <w:t>③</w:t>
      </w:r>
      <w:r>
        <w:rPr>
          <w:rFonts w:ascii="Times New Roman"/>
          <w:snapToGrid w:val="0"/>
          <w:color w:val="auto"/>
          <w:spacing w:val="-6"/>
          <w:kern w:val="21"/>
          <w:szCs w:val="21"/>
        </w:rPr>
        <w:fldChar w:fldCharType="end"/>
      </w:r>
      <w:r>
        <w:rPr>
          <w:rFonts w:ascii="Times New Roman"/>
          <w:snapToGrid w:val="0"/>
          <w:color w:val="auto"/>
          <w:spacing w:val="-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4 \* GB3 \* MERGEFORMAT </w:instrText>
      </w:r>
      <w:r>
        <w:rPr>
          <w:rFonts w:ascii="Times New Roman"/>
          <w:snapToGrid w:val="0"/>
          <w:color w:val="auto"/>
          <w:spacing w:val="-6"/>
          <w:kern w:val="21"/>
          <w:szCs w:val="21"/>
        </w:rPr>
        <w:fldChar w:fldCharType="separate"/>
      </w:r>
      <w:r>
        <w:rPr>
          <w:rFonts w:hint="eastAsia" w:hAnsi="宋体" w:cs="宋体"/>
          <w:color w:val="auto"/>
          <w:szCs w:val="21"/>
        </w:rPr>
        <w:t>④</w:t>
      </w:r>
      <w:r>
        <w:rPr>
          <w:rFonts w:ascii="Times New Roman"/>
          <w:snapToGrid w:val="0"/>
          <w:color w:val="auto"/>
          <w:spacing w:val="-6"/>
          <w:kern w:val="21"/>
          <w:szCs w:val="21"/>
        </w:rPr>
        <w:fldChar w:fldCharType="end"/>
      </w:r>
      <w:r>
        <w:rPr>
          <w:rFonts w:ascii="Times New Roman"/>
          <w:snapToGrid w:val="0"/>
          <w:color w:val="auto"/>
          <w:spacing w:val="-6"/>
          <w:kern w:val="21"/>
          <w:szCs w:val="21"/>
        </w:rPr>
        <w:t>-</w:t>
      </w:r>
      <w:r>
        <w:rPr>
          <w:rFonts w:ascii="Times New Roman"/>
          <w:snapToGrid w:val="0"/>
          <w:color w:val="auto"/>
          <w:spacing w:val="-16"/>
          <w:kern w:val="21"/>
          <w:szCs w:val="21"/>
        </w:rPr>
        <w:fldChar w:fldCharType="begin"/>
      </w:r>
      <w:r>
        <w:rPr>
          <w:rFonts w:ascii="Times New Roman"/>
          <w:snapToGrid w:val="0"/>
          <w:color w:val="auto"/>
          <w:spacing w:val="-16"/>
          <w:kern w:val="21"/>
          <w:szCs w:val="21"/>
        </w:rPr>
        <w:instrText xml:space="preserve"> = 5 \* GB3 \* MERGEFORMAT </w:instrText>
      </w:r>
      <w:r>
        <w:rPr>
          <w:rFonts w:ascii="Times New Roman"/>
          <w:snapToGrid w:val="0"/>
          <w:color w:val="auto"/>
          <w:spacing w:val="-16"/>
          <w:kern w:val="21"/>
          <w:szCs w:val="21"/>
        </w:rPr>
        <w:fldChar w:fldCharType="separate"/>
      </w:r>
      <w:r>
        <w:rPr>
          <w:rFonts w:hint="eastAsia" w:hAnsi="宋体" w:cs="宋体"/>
          <w:color w:val="auto"/>
          <w:szCs w:val="21"/>
        </w:rPr>
        <w:t>⑤</w:t>
      </w:r>
      <w:r>
        <w:rPr>
          <w:rFonts w:ascii="Times New Roman"/>
          <w:snapToGrid w:val="0"/>
          <w:color w:val="auto"/>
          <w:spacing w:val="-16"/>
          <w:kern w:val="21"/>
          <w:szCs w:val="21"/>
        </w:rPr>
        <w:fldChar w:fldCharType="end"/>
      </w:r>
      <w:r>
        <w:rPr>
          <w:rFonts w:ascii="Times New Roman"/>
          <w:snapToGrid w:val="0"/>
          <w:color w:val="auto"/>
          <w:spacing w:val="-1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7 \* GB3 \* MERGEFORMAT </w:instrText>
      </w:r>
      <w:r>
        <w:rPr>
          <w:rFonts w:ascii="Times New Roman"/>
          <w:snapToGrid w:val="0"/>
          <w:color w:val="auto"/>
          <w:spacing w:val="-6"/>
          <w:kern w:val="21"/>
          <w:szCs w:val="21"/>
        </w:rPr>
        <w:fldChar w:fldCharType="separate"/>
      </w:r>
      <w:r>
        <w:rPr>
          <w:rFonts w:hint="eastAsia" w:hAnsi="宋体" w:cs="宋体"/>
          <w:color w:val="auto"/>
          <w:szCs w:val="21"/>
        </w:rPr>
        <w:t>⑦</w:t>
      </w:r>
      <w:r>
        <w:rPr>
          <w:rFonts w:ascii="Times New Roman"/>
          <w:snapToGrid w:val="0"/>
          <w:color w:val="auto"/>
          <w:spacing w:val="-6"/>
          <w:kern w:val="21"/>
          <w:szCs w:val="21"/>
        </w:rPr>
        <w:fldChar w:fldCharType="end"/>
      </w:r>
      <w:r>
        <w:rPr>
          <w:rFonts w:ascii="Times New Roman"/>
          <w:snapToGrid w:val="0"/>
          <w:color w:val="auto"/>
          <w:spacing w:val="-6"/>
          <w:kern w:val="21"/>
          <w:szCs w:val="21"/>
        </w:rPr>
        <w:t>=</w:t>
      </w:r>
      <w:r>
        <w:rPr>
          <w:rFonts w:ascii="Times New Roman"/>
          <w:snapToGrid w:val="0"/>
          <w:color w:val="auto"/>
          <w:spacing w:val="-16"/>
          <w:kern w:val="21"/>
          <w:szCs w:val="21"/>
        </w:rPr>
        <w:fldChar w:fldCharType="begin"/>
      </w:r>
      <w:r>
        <w:rPr>
          <w:rFonts w:ascii="Times New Roman"/>
          <w:snapToGrid w:val="0"/>
          <w:color w:val="auto"/>
          <w:spacing w:val="-16"/>
          <w:kern w:val="21"/>
          <w:szCs w:val="21"/>
        </w:rPr>
        <w:instrText xml:space="preserve"> = 6 \* GB3 \* MERGEFORMAT </w:instrText>
      </w:r>
      <w:r>
        <w:rPr>
          <w:rFonts w:ascii="Times New Roman"/>
          <w:snapToGrid w:val="0"/>
          <w:color w:val="auto"/>
          <w:spacing w:val="-16"/>
          <w:kern w:val="21"/>
          <w:szCs w:val="21"/>
        </w:rPr>
        <w:fldChar w:fldCharType="separate"/>
      </w:r>
      <w:r>
        <w:rPr>
          <w:rFonts w:hint="eastAsia" w:hAnsi="宋体" w:cs="宋体"/>
          <w:color w:val="auto"/>
          <w:szCs w:val="21"/>
        </w:rPr>
        <w:t>⑥</w:t>
      </w:r>
      <w:r>
        <w:rPr>
          <w:rFonts w:ascii="Times New Roman"/>
          <w:snapToGrid w:val="0"/>
          <w:color w:val="auto"/>
          <w:spacing w:val="-16"/>
          <w:kern w:val="21"/>
          <w:szCs w:val="21"/>
        </w:rPr>
        <w:fldChar w:fldCharType="end"/>
      </w:r>
      <w:r>
        <w:rPr>
          <w:rFonts w:ascii="Times New Roman"/>
          <w:snapToGrid w:val="0"/>
          <w:color w:val="auto"/>
          <w:spacing w:val="-1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1 \* GB3 \* MERGEFORMAT </w:instrText>
      </w:r>
      <w:r>
        <w:rPr>
          <w:rFonts w:ascii="Times New Roman"/>
          <w:snapToGrid w:val="0"/>
          <w:color w:val="auto"/>
          <w:spacing w:val="-6"/>
          <w:kern w:val="21"/>
          <w:szCs w:val="21"/>
        </w:rPr>
        <w:fldChar w:fldCharType="separate"/>
      </w:r>
      <w:r>
        <w:rPr>
          <w:rFonts w:hint="eastAsia" w:hAnsi="宋体" w:cs="宋体"/>
          <w:color w:val="auto"/>
          <w:szCs w:val="21"/>
        </w:rPr>
        <w:t>①</w:t>
      </w:r>
      <w:r>
        <w:rPr>
          <w:rFonts w:ascii="Times New Roman"/>
          <w:snapToGrid w:val="0"/>
          <w:color w:val="auto"/>
          <w:spacing w:val="-6"/>
          <w:kern w:val="21"/>
          <w:szCs w:val="21"/>
        </w:rPr>
        <w:fldChar w:fldCharType="end"/>
      </w:r>
    </w:p>
    <w:p>
      <w:pPr>
        <w:pStyle w:val="23"/>
        <w:adjustRightInd w:val="0"/>
        <w:snapToGrid w:val="0"/>
        <w:spacing w:before="0" w:beforeAutospacing="0" w:after="0" w:afterAutospacing="0" w:line="360" w:lineRule="auto"/>
        <w:outlineLvl w:val="0"/>
        <w:rPr>
          <w:rFonts w:ascii="Times New Roman" w:hAnsi="Times New Roman" w:eastAsiaTheme="minorEastAsia"/>
          <w:b/>
          <w:bCs/>
          <w:snapToGrid w:val="0"/>
          <w:color w:val="auto"/>
          <w:szCs w:val="24"/>
        </w:rPr>
        <w:sectPr>
          <w:pgSz w:w="16838" w:h="11906" w:orient="landscape"/>
          <w:pgMar w:top="1531" w:right="1701" w:bottom="1531" w:left="1701" w:header="851" w:footer="851" w:gutter="0"/>
          <w:pgNumType w:fmt="decimal"/>
          <w:cols w:space="720" w:num="1"/>
          <w:docGrid w:linePitch="312" w:charSpace="0"/>
        </w:sectPr>
      </w:pPr>
    </w:p>
    <w:p>
      <w:pPr>
        <w:pStyle w:val="23"/>
        <w:adjustRightInd w:val="0"/>
        <w:snapToGrid w:val="0"/>
        <w:spacing w:before="0" w:beforeAutospacing="0" w:after="0" w:afterAutospacing="0" w:line="360" w:lineRule="auto"/>
        <w:outlineLvl w:val="0"/>
        <w:rPr>
          <w:b/>
          <w:bCs/>
          <w:color w:val="auto"/>
          <w:szCs w:val="21"/>
        </w:rPr>
      </w:pPr>
      <w:bookmarkStart w:id="82" w:name="_Toc32706"/>
      <w:r>
        <w:rPr>
          <w:rFonts w:ascii="Times New Roman" w:hAnsi="Times New Roman" w:eastAsiaTheme="minorEastAsia"/>
          <w:b/>
          <w:bCs/>
          <w:snapToGrid w:val="0"/>
          <w:color w:val="auto"/>
          <w:szCs w:val="24"/>
        </w:rPr>
        <w:t xml:space="preserve">附图1 </w:t>
      </w:r>
      <w:r>
        <w:rPr>
          <w:rFonts w:hint="eastAsia"/>
          <w:b/>
          <w:bCs/>
          <w:color w:val="auto"/>
          <w:szCs w:val="21"/>
        </w:rPr>
        <w:t>项目地理位置图</w:t>
      </w:r>
      <w:bookmarkEnd w:id="79"/>
      <w:bookmarkEnd w:id="82"/>
    </w:p>
    <w:p>
      <w:pPr>
        <w:pStyle w:val="23"/>
        <w:adjustRightInd w:val="0"/>
        <w:snapToGrid w:val="0"/>
        <w:spacing w:before="0" w:beforeAutospacing="0" w:after="0" w:afterAutospacing="0" w:line="360" w:lineRule="auto"/>
        <w:jc w:val="center"/>
        <w:rPr>
          <w:color w:val="auto"/>
          <w:szCs w:val="21"/>
        </w:rPr>
      </w:pPr>
      <w:r>
        <w:rPr>
          <w:color w:val="auto"/>
        </w:rPr>
        <w:drawing>
          <wp:inline distT="0" distB="0" distL="114300" distR="114300">
            <wp:extent cx="7590790" cy="5302885"/>
            <wp:effectExtent l="0" t="0" r="10160" b="12065"/>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16"/>
                    <a:stretch>
                      <a:fillRect/>
                    </a:stretch>
                  </pic:blipFill>
                  <pic:spPr>
                    <a:xfrm>
                      <a:off x="0" y="0"/>
                      <a:ext cx="7590790" cy="5302885"/>
                    </a:xfrm>
                    <a:prstGeom prst="rect">
                      <a:avLst/>
                    </a:prstGeom>
                    <a:noFill/>
                    <a:ln>
                      <a:noFill/>
                    </a:ln>
                  </pic:spPr>
                </pic:pic>
              </a:graphicData>
            </a:graphic>
          </wp:inline>
        </w:drawing>
      </w:r>
    </w:p>
    <w:p>
      <w:pPr>
        <w:pStyle w:val="23"/>
        <w:adjustRightInd w:val="0"/>
        <w:snapToGrid w:val="0"/>
        <w:spacing w:before="0" w:beforeAutospacing="0" w:after="0" w:afterAutospacing="0" w:line="360" w:lineRule="auto"/>
        <w:outlineLvl w:val="0"/>
        <w:rPr>
          <w:b/>
          <w:bCs/>
          <w:color w:val="auto"/>
          <w:szCs w:val="21"/>
        </w:rPr>
      </w:pPr>
      <w:bookmarkStart w:id="83" w:name="_Toc22368"/>
      <w:bookmarkStart w:id="84" w:name="_Toc1053"/>
      <w:r>
        <w:rPr>
          <w:rFonts w:hint="eastAsia" w:ascii="Times New Roman" w:hAnsi="Times New Roman" w:eastAsiaTheme="minorEastAsia"/>
          <w:b/>
          <w:bCs/>
          <w:snapToGrid w:val="0"/>
          <w:color w:val="auto"/>
          <w:szCs w:val="24"/>
        </w:rPr>
        <w:t xml:space="preserve">附图2 </w:t>
      </w:r>
      <w:r>
        <w:rPr>
          <w:rFonts w:hint="eastAsia"/>
          <w:b/>
          <w:bCs/>
          <w:color w:val="auto"/>
          <w:szCs w:val="21"/>
        </w:rPr>
        <w:t>平面布置图</w:t>
      </w:r>
      <w:bookmarkEnd w:id="83"/>
      <w:bookmarkEnd w:id="84"/>
    </w:p>
    <w:p>
      <w:pPr>
        <w:pStyle w:val="23"/>
        <w:adjustRightInd w:val="0"/>
        <w:snapToGrid w:val="0"/>
        <w:spacing w:before="0" w:beforeAutospacing="0" w:after="0" w:afterAutospacing="0" w:line="360" w:lineRule="auto"/>
        <w:jc w:val="center"/>
        <w:rPr>
          <w:color w:val="auto"/>
        </w:rPr>
      </w:pPr>
      <w:r>
        <w:rPr>
          <w:rFonts w:hint="eastAsia"/>
          <w:color w:val="auto"/>
        </w:rPr>
        <w:drawing>
          <wp:inline distT="0" distB="0" distL="114300" distR="114300">
            <wp:extent cx="5719445" cy="5166360"/>
            <wp:effectExtent l="0" t="0" r="14605" b="15240"/>
            <wp:docPr id="6" name="图片 6" descr="图_01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图_01 (2)"/>
                    <pic:cNvPicPr>
                      <a:picLocks noChangeAspect="1"/>
                    </pic:cNvPicPr>
                  </pic:nvPicPr>
                  <pic:blipFill>
                    <a:blip r:embed="rId17"/>
                    <a:stretch>
                      <a:fillRect/>
                    </a:stretch>
                  </pic:blipFill>
                  <pic:spPr>
                    <a:xfrm>
                      <a:off x="0" y="0"/>
                      <a:ext cx="5719445" cy="5166360"/>
                    </a:xfrm>
                    <a:prstGeom prst="rect">
                      <a:avLst/>
                    </a:prstGeom>
                  </pic:spPr>
                </pic:pic>
              </a:graphicData>
            </a:graphic>
          </wp:inline>
        </w:drawing>
      </w:r>
    </w:p>
    <w:p>
      <w:pPr>
        <w:pStyle w:val="23"/>
        <w:adjustRightInd w:val="0"/>
        <w:snapToGrid w:val="0"/>
        <w:spacing w:before="0" w:beforeAutospacing="0" w:after="0" w:afterAutospacing="0" w:line="360" w:lineRule="auto"/>
        <w:outlineLvl w:val="0"/>
        <w:rPr>
          <w:rFonts w:ascii="Times New Roman" w:hAnsi="Times New Roman" w:eastAsiaTheme="minorEastAsia"/>
          <w:b/>
          <w:bCs/>
          <w:snapToGrid w:val="0"/>
          <w:color w:val="auto"/>
          <w:szCs w:val="24"/>
        </w:rPr>
      </w:pPr>
      <w:bookmarkStart w:id="85" w:name="_Toc15356"/>
      <w:bookmarkStart w:id="86" w:name="_Toc22787"/>
      <w:r>
        <w:rPr>
          <w:rFonts w:hint="eastAsia" w:ascii="Times New Roman" w:hAnsi="Times New Roman" w:eastAsiaTheme="minorEastAsia"/>
          <w:b/>
          <w:bCs/>
          <w:snapToGrid w:val="0"/>
          <w:color w:val="auto"/>
          <w:szCs w:val="24"/>
        </w:rPr>
        <w:t>附图3 环境保护目标分布</w:t>
      </w:r>
      <w:bookmarkEnd w:id="85"/>
      <w:r>
        <w:rPr>
          <w:rFonts w:hint="eastAsia" w:ascii="Times New Roman" w:hAnsi="Times New Roman" w:eastAsiaTheme="minorEastAsia"/>
          <w:b/>
          <w:bCs/>
          <w:snapToGrid w:val="0"/>
          <w:color w:val="auto"/>
          <w:szCs w:val="24"/>
        </w:rPr>
        <w:t>图</w:t>
      </w:r>
      <w:bookmarkEnd w:id="86"/>
    </w:p>
    <w:p>
      <w:pPr>
        <w:pStyle w:val="23"/>
        <w:adjustRightInd w:val="0"/>
        <w:snapToGrid w:val="0"/>
        <w:spacing w:before="0" w:beforeAutospacing="0" w:after="0" w:afterAutospacing="0" w:line="360" w:lineRule="auto"/>
        <w:jc w:val="center"/>
        <w:rPr>
          <w:b/>
          <w:bCs/>
          <w:color w:val="auto"/>
        </w:rPr>
      </w:pPr>
      <w:r>
        <w:rPr>
          <w:color w:val="auto"/>
          <w:sz w:val="24"/>
        </w:rPr>
        <mc:AlternateContent>
          <mc:Choice Requires="wps">
            <w:drawing>
              <wp:anchor distT="0" distB="0" distL="114300" distR="114300" simplePos="0" relativeHeight="251670528" behindDoc="0" locked="0" layoutInCell="1" allowOverlap="1">
                <wp:simplePos x="0" y="0"/>
                <wp:positionH relativeFrom="column">
                  <wp:posOffset>6667500</wp:posOffset>
                </wp:positionH>
                <wp:positionV relativeFrom="paragraph">
                  <wp:posOffset>1612265</wp:posOffset>
                </wp:positionV>
                <wp:extent cx="563880" cy="299720"/>
                <wp:effectExtent l="0" t="0" r="0" b="0"/>
                <wp:wrapNone/>
                <wp:docPr id="33" name="文本框 33"/>
                <wp:cNvGraphicFramePr/>
                <a:graphic xmlns:a="http://schemas.openxmlformats.org/drawingml/2006/main">
                  <a:graphicData uri="http://schemas.microsoft.com/office/word/2010/wordprocessingShape">
                    <wps:wsp>
                      <wps:cNvSpPr txBox="1"/>
                      <wps:spPr>
                        <a:xfrm>
                          <a:off x="7868285" y="3086100"/>
                          <a:ext cx="563880" cy="2997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b/>
                                <w:bCs/>
                                <w:color w:val="F9FBFA"/>
                                <w:sz w:val="18"/>
                                <w:szCs w:val="21"/>
                                <w:lang w:val="en-US" w:eastAsia="zh-CN"/>
                              </w:rPr>
                            </w:pPr>
                            <w:r>
                              <w:rPr>
                                <w:rFonts w:hint="eastAsia"/>
                                <w:b/>
                                <w:bCs/>
                                <w:color w:val="F9FBFA"/>
                                <w:sz w:val="18"/>
                                <w:szCs w:val="21"/>
                                <w:lang w:val="en-US" w:eastAsia="zh-CN"/>
                              </w:rPr>
                              <w:t>370m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25pt;margin-top:126.95pt;height:23.6pt;width:44.4pt;z-index:251670528;mso-width-relative:page;mso-height-relative:page;" filled="f" stroked="f" coordsize="21600,21600" o:gfxdata="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yHyDtNwAAAANAQAADwAAAAAA&#10;AAABACAAAAAiAAAAZHJzL2Rvd25yZXYueG1sUEsBAhQAFAAAAAgAh07iQKQVw+1IAgAAcwQAAA4A&#10;AAAAAAAAAQAgAAAAKwEAAGRycy9lMm9Eb2MueG1sUEsFBgAAAAAGAAYAWQEAAOUFAAAAAA==&#10;">
                <v:fill on="f" focussize="0,0"/>
                <v:stroke on="f" weight="0.5pt"/>
                <v:imagedata o:title=""/>
                <o:lock v:ext="edit" aspectratio="f"/>
                <v:textbox>
                  <w:txbxContent>
                    <w:p>
                      <w:pPr>
                        <w:rPr>
                          <w:rFonts w:hint="default" w:eastAsia="宋体"/>
                          <w:b/>
                          <w:bCs/>
                          <w:color w:val="F9FBFA"/>
                          <w:sz w:val="18"/>
                          <w:szCs w:val="21"/>
                          <w:lang w:val="en-US" w:eastAsia="zh-CN"/>
                        </w:rPr>
                      </w:pPr>
                      <w:r>
                        <w:rPr>
                          <w:rFonts w:hint="eastAsia"/>
                          <w:b/>
                          <w:bCs/>
                          <w:color w:val="F9FBFA"/>
                          <w:sz w:val="18"/>
                          <w:szCs w:val="21"/>
                          <w:lang w:val="en-US" w:eastAsia="zh-CN"/>
                        </w:rPr>
                        <w:t>370m</w:t>
                      </w:r>
                    </w:p>
                  </w:txbxContent>
                </v:textbox>
              </v:shape>
            </w:pict>
          </mc:Fallback>
        </mc:AlternateContent>
      </w:r>
      <w:r>
        <w:rPr>
          <w:color w:val="auto"/>
          <w:sz w:val="24"/>
        </w:rPr>
        <mc:AlternateContent>
          <mc:Choice Requires="wps">
            <w:drawing>
              <wp:anchor distT="0" distB="0" distL="114300" distR="114300" simplePos="0" relativeHeight="251669504" behindDoc="0" locked="0" layoutInCell="1" allowOverlap="1">
                <wp:simplePos x="0" y="0"/>
                <wp:positionH relativeFrom="column">
                  <wp:posOffset>6676390</wp:posOffset>
                </wp:positionH>
                <wp:positionV relativeFrom="paragraph">
                  <wp:posOffset>1602105</wp:posOffset>
                </wp:positionV>
                <wp:extent cx="299720" cy="20955"/>
                <wp:effectExtent l="0" t="46990" r="13335" b="60960"/>
                <wp:wrapNone/>
                <wp:docPr id="32" name="直接箭头连接符 32"/>
                <wp:cNvGraphicFramePr/>
                <a:graphic xmlns:a="http://schemas.openxmlformats.org/drawingml/2006/main">
                  <a:graphicData uri="http://schemas.microsoft.com/office/word/2010/wordprocessingShape">
                    <wps:wsp>
                      <wps:cNvCnPr/>
                      <wps:spPr>
                        <a:xfrm flipV="1">
                          <a:off x="7756525" y="2870200"/>
                          <a:ext cx="299720" cy="20955"/>
                        </a:xfrm>
                        <a:prstGeom prst="straightConnector1">
                          <a:avLst/>
                        </a:prstGeom>
                        <a:ln w="19050">
                          <a:solidFill>
                            <a:srgbClr val="CF1DEF"/>
                          </a:solidFill>
                          <a:headEnd type="arrow"/>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flip:y;margin-left:525.7pt;margin-top:126.15pt;height:1.65pt;width:23.6pt;z-index:251669504;mso-width-relative:page;mso-height-relative:page;" filled="f" stroked="t" coordsize="21600,21600" o:gfxdata="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r15TN9oAAAAN&#10;AQAADwAAAAAAAAABACAAAAAiAAAAZHJzL2Rvd25yZXYueG1sUEsBAhQAFAAAAAgAh07iQNjFnE4a&#10;AgAA/AMAAA4AAAAAAAAAAQAgAAAAKQEAAGRycy9lMm9Eb2MueG1sUEsFBgAAAAAGAAYAWQEAALUF&#10;AAAAAA==&#10;">
                <v:fill on="f" focussize="0,0"/>
                <v:stroke weight="1.5pt" color="#CF1DEF [3204]" joinstyle="round" startarrow="open" endarrow="open"/>
                <v:imagedata o:title=""/>
                <o:lock v:ext="edit" aspectratio="f"/>
              </v:shape>
            </w:pict>
          </mc:Fallback>
        </mc:AlternateContent>
      </w:r>
      <w:r>
        <w:rPr>
          <w:color w:val="auto"/>
        </w:rPr>
        <w:drawing>
          <wp:inline distT="0" distB="0" distL="114300" distR="114300">
            <wp:extent cx="7572375" cy="5276850"/>
            <wp:effectExtent l="0" t="0" r="9525" b="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8"/>
                    <a:stretch>
                      <a:fillRect/>
                    </a:stretch>
                  </pic:blipFill>
                  <pic:spPr>
                    <a:xfrm>
                      <a:off x="0" y="0"/>
                      <a:ext cx="7572375" cy="5276850"/>
                    </a:xfrm>
                    <a:prstGeom prst="rect">
                      <a:avLst/>
                    </a:prstGeom>
                    <a:noFill/>
                    <a:ln>
                      <a:noFill/>
                    </a:ln>
                  </pic:spPr>
                </pic:pic>
              </a:graphicData>
            </a:graphic>
          </wp:inline>
        </w:drawing>
      </w:r>
    </w:p>
    <w:p>
      <w:pPr>
        <w:jc w:val="center"/>
        <w:rPr>
          <w:color w:val="auto"/>
        </w:rPr>
        <w:sectPr>
          <w:pgSz w:w="16838" w:h="11906" w:orient="landscape"/>
          <w:pgMar w:top="1531" w:right="1701" w:bottom="1531" w:left="1701" w:header="851" w:footer="851" w:gutter="0"/>
          <w:pgNumType w:fmt="decimal"/>
          <w:cols w:space="720" w:num="1"/>
          <w:docGrid w:linePitch="312" w:charSpace="0"/>
        </w:sectPr>
      </w:pPr>
    </w:p>
    <w:p>
      <w:pPr>
        <w:pStyle w:val="23"/>
        <w:adjustRightInd w:val="0"/>
        <w:snapToGrid w:val="0"/>
        <w:spacing w:before="0" w:beforeAutospacing="0" w:after="0" w:afterAutospacing="0" w:line="360" w:lineRule="auto"/>
        <w:jc w:val="both"/>
        <w:outlineLvl w:val="0"/>
        <w:rPr>
          <w:rFonts w:ascii="Times New Roman" w:hAnsi="Times New Roman" w:eastAsiaTheme="minorEastAsia"/>
          <w:b/>
          <w:bCs/>
          <w:snapToGrid w:val="0"/>
          <w:color w:val="auto"/>
          <w:szCs w:val="24"/>
        </w:rPr>
      </w:pPr>
      <w:bookmarkStart w:id="87" w:name="_Toc10269"/>
      <w:bookmarkStart w:id="88" w:name="_Toc21649"/>
      <w:r>
        <w:rPr>
          <w:rFonts w:hint="eastAsia" w:ascii="Times New Roman" w:hAnsi="Times New Roman" w:eastAsiaTheme="minorEastAsia"/>
          <w:b/>
          <w:bCs/>
          <w:snapToGrid w:val="0"/>
          <w:color w:val="auto"/>
          <w:szCs w:val="24"/>
        </w:rPr>
        <w:t xml:space="preserve">附图4 </w:t>
      </w:r>
      <w:bookmarkEnd w:id="87"/>
      <w:r>
        <w:rPr>
          <w:rFonts w:hint="eastAsia"/>
          <w:b/>
          <w:bCs/>
          <w:color w:val="auto"/>
        </w:rPr>
        <w:t>本项目与乐昌产业园位置关系图</w:t>
      </w:r>
      <w:bookmarkEnd w:id="88"/>
    </w:p>
    <w:p>
      <w:pPr>
        <w:jc w:val="center"/>
        <w:rPr>
          <w:rFonts w:eastAsiaTheme="minorEastAsia"/>
          <w:b/>
          <w:bCs/>
          <w:snapToGrid w:val="0"/>
          <w:color w:val="auto"/>
        </w:rPr>
      </w:pPr>
      <w:r>
        <w:rPr>
          <w:color w:val="auto"/>
        </w:rPr>
        <mc:AlternateContent>
          <mc:Choice Requires="wps">
            <w:drawing>
              <wp:anchor distT="0" distB="0" distL="114300" distR="114300" simplePos="0" relativeHeight="251664384" behindDoc="0" locked="0" layoutInCell="1" allowOverlap="1">
                <wp:simplePos x="0" y="0"/>
                <wp:positionH relativeFrom="column">
                  <wp:posOffset>4723130</wp:posOffset>
                </wp:positionH>
                <wp:positionV relativeFrom="paragraph">
                  <wp:posOffset>6824980</wp:posOffset>
                </wp:positionV>
                <wp:extent cx="514985" cy="207010"/>
                <wp:effectExtent l="8890" t="129540" r="9525" b="6350"/>
                <wp:wrapNone/>
                <wp:docPr id="50" name="对话气泡: 矩形 50"/>
                <wp:cNvGraphicFramePr/>
                <a:graphic xmlns:a="http://schemas.openxmlformats.org/drawingml/2006/main">
                  <a:graphicData uri="http://schemas.microsoft.com/office/word/2010/wordprocessingShape">
                    <wps:wsp>
                      <wps:cNvSpPr/>
                      <wps:spPr>
                        <a:xfrm>
                          <a:off x="0" y="0"/>
                          <a:ext cx="514985" cy="207010"/>
                        </a:xfrm>
                        <a:prstGeom prst="wedgeRectCallout">
                          <a:avLst>
                            <a:gd name="adj1" fmla="val -50863"/>
                            <a:gd name="adj2" fmla="val -110429"/>
                          </a:avLst>
                        </a:prstGeom>
                        <a:noFill/>
                        <a:ln w="6350">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b/>
                                <w:bCs/>
                                <w:color w:val="FF0000"/>
                                <w:sz w:val="6"/>
                                <w:szCs w:val="6"/>
                              </w:rPr>
                            </w:pPr>
                            <w:r>
                              <w:rPr>
                                <w:rFonts w:hint="eastAsia"/>
                                <w:b/>
                                <w:bCs/>
                                <w:color w:val="FF0000"/>
                                <w:sz w:val="16"/>
                                <w:szCs w:val="16"/>
                              </w:rPr>
                              <w:t>本项目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对话气泡: 矩形 50" o:spid="_x0000_s1026" o:spt="61" type="#_x0000_t61" style="position:absolute;left:0pt;margin-left:371.9pt;margin-top:537.4pt;height:16.3pt;width:40.55pt;z-index:251664384;v-text-anchor:middle;mso-width-relative:page;mso-height-relative:page;" filled="f" stroked="t" coordsize="21600,21600" o:gfxdata="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" adj="-186,-13053">
                <v:fill on="f" focussize="0,0"/>
                <v:stroke weight="0.5pt" color="#FFFFFF [3212]" joinstyle="round"/>
                <v:imagedata o:title=""/>
                <o:lock v:ext="edit" aspectratio="f"/>
                <v:textbox>
                  <w:txbxContent>
                    <w:p>
                      <w:pPr>
                        <w:jc w:val="center"/>
                        <w:rPr>
                          <w:b/>
                          <w:bCs/>
                          <w:color w:val="FF0000"/>
                          <w:sz w:val="6"/>
                          <w:szCs w:val="6"/>
                        </w:rPr>
                      </w:pPr>
                      <w:r>
                        <w:rPr>
                          <w:rFonts w:hint="eastAsia"/>
                          <w:b/>
                          <w:bCs/>
                          <w:color w:val="FF0000"/>
                          <w:sz w:val="16"/>
                          <w:szCs w:val="16"/>
                        </w:rPr>
                        <w:t>本项目</w:t>
                      </w:r>
                    </w:p>
                  </w:txbxContent>
                </v:textbox>
              </v:shape>
            </w:pict>
          </mc:Fallback>
        </mc:AlternateContent>
      </w:r>
      <w:r>
        <w:rPr>
          <w:color w:val="auto"/>
        </w:rPr>
        <mc:AlternateContent>
          <mc:Choice Requires="wps">
            <w:drawing>
              <wp:anchor distT="0" distB="0" distL="114300" distR="114300" simplePos="0" relativeHeight="251660288" behindDoc="0" locked="0" layoutInCell="1" allowOverlap="1">
                <wp:simplePos x="0" y="0"/>
                <wp:positionH relativeFrom="column">
                  <wp:posOffset>4579620</wp:posOffset>
                </wp:positionH>
                <wp:positionV relativeFrom="paragraph">
                  <wp:posOffset>6543675</wp:posOffset>
                </wp:positionV>
                <wp:extent cx="226695" cy="220345"/>
                <wp:effectExtent l="0" t="0" r="1905" b="8890"/>
                <wp:wrapNone/>
                <wp:docPr id="62" name="五角星 62"/>
                <wp:cNvGraphicFramePr/>
                <a:graphic xmlns:a="http://schemas.openxmlformats.org/drawingml/2006/main">
                  <a:graphicData uri="http://schemas.microsoft.com/office/word/2010/wordprocessingShape">
                    <wps:wsp>
                      <wps:cNvSpPr/>
                      <wps:spPr>
                        <a:xfrm>
                          <a:off x="0" y="0"/>
                          <a:ext cx="227002" cy="220192"/>
                        </a:xfrm>
                        <a:prstGeom prst="star5">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highlight w:val="red"/>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360.6pt;margin-top:515.25pt;height:17.35pt;width:17.85pt;z-index:251660288;v-text-anchor:middle;mso-width-relative:page;mso-height-relative:page;" fillcolor="#FF0000" filled="t" stroked="f" coordsize="227002,220192" o:gfxdata="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6XzJ8N0AAAANAQAADwAAAAAAAAABACAAAAAiAAAAZHJzL2Rvd25y&#10;ZXYueG1sUEsBAhQAFAAAAAgAh07iQHoucR5rAgAAxAQAAA4AAAAAAAAAAQAgAAAALAEAAGRycy9l&#10;Mm9Eb2MueG1sUEsFBgAAAAAGAAYAWQEAAAkGAAAAAA==&#10;" path="m0,84105l86707,84106,113501,0,140294,84106,227001,84105,156853,136085,183648,220191,113501,168210,43353,220191,70148,136085xe">
                <v:path textboxrect="0,0,227002,220192" o:connectlocs="113501,0;0,84105;43353,220191;183648,220191;227001,84105" o:connectangles="247,164,82,82,0"/>
                <v:fill on="t" focussize="0,0"/>
                <v:stroke on="f" weight="2pt"/>
                <v:imagedata o:title=""/>
                <o:lock v:ext="edit" aspectratio="f"/>
                <v:textbox>
                  <w:txbxContent>
                    <w:p>
                      <w:pPr>
                        <w:jc w:val="center"/>
                        <w:rPr>
                          <w:color w:val="FF0000"/>
                          <w:highlight w:val="red"/>
                        </w:rPr>
                      </w:pPr>
                    </w:p>
                  </w:txbxContent>
                </v:textbox>
              </v:shape>
            </w:pict>
          </mc:Fallback>
        </mc:AlternateContent>
      </w:r>
      <w:r>
        <w:rPr>
          <w:rFonts w:eastAsiaTheme="minorEastAsia"/>
          <w:b/>
          <w:bCs/>
          <w:snapToGrid w:val="0"/>
          <w:color w:val="auto"/>
        </w:rPr>
        <w:drawing>
          <wp:inline distT="0" distB="0" distL="0" distR="0">
            <wp:extent cx="5001895" cy="7976870"/>
            <wp:effectExtent l="0" t="0" r="8255" b="5080"/>
            <wp:docPr id="51"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5015078" cy="7997258"/>
                    </a:xfrm>
                    <a:prstGeom prst="rect">
                      <a:avLst/>
                    </a:prstGeom>
                    <a:noFill/>
                  </pic:spPr>
                </pic:pic>
              </a:graphicData>
            </a:graphic>
          </wp:inline>
        </w:drawing>
      </w:r>
    </w:p>
    <w:p>
      <w:pPr>
        <w:adjustRightInd w:val="0"/>
        <w:snapToGrid w:val="0"/>
        <w:spacing w:line="360" w:lineRule="auto"/>
        <w:jc w:val="center"/>
        <w:rPr>
          <w:color w:val="auto"/>
        </w:rPr>
        <w:sectPr>
          <w:pgSz w:w="11906" w:h="16838"/>
          <w:pgMar w:top="1701" w:right="1531" w:bottom="1701" w:left="1531" w:header="851" w:footer="851" w:gutter="0"/>
          <w:pgNumType w:fmt="decimal"/>
          <w:cols w:space="720" w:num="1"/>
          <w:docGrid w:linePitch="312" w:charSpace="0"/>
        </w:sectPr>
      </w:pPr>
    </w:p>
    <w:p>
      <w:pPr>
        <w:pStyle w:val="23"/>
        <w:adjustRightInd w:val="0"/>
        <w:snapToGrid w:val="0"/>
        <w:spacing w:before="0" w:beforeAutospacing="0" w:after="0" w:afterAutospacing="0" w:line="360" w:lineRule="auto"/>
        <w:jc w:val="both"/>
        <w:outlineLvl w:val="0"/>
        <w:rPr>
          <w:rFonts w:ascii="Times New Roman" w:hAnsi="Times New Roman"/>
          <w:b/>
          <w:bCs/>
          <w:snapToGrid w:val="0"/>
          <w:color w:val="auto"/>
          <w:szCs w:val="24"/>
        </w:rPr>
      </w:pPr>
      <w:bookmarkStart w:id="89" w:name="_Toc21173"/>
      <w:bookmarkStart w:id="90" w:name="_Toc15023"/>
      <w:r>
        <w:rPr>
          <w:rFonts w:hint="eastAsia" w:ascii="Times New Roman" w:hAnsi="Times New Roman" w:eastAsiaTheme="minorEastAsia"/>
          <w:b/>
          <w:bCs/>
          <w:snapToGrid w:val="0"/>
          <w:color w:val="auto"/>
          <w:szCs w:val="24"/>
        </w:rPr>
        <w:t>附图5 项目与园区</w:t>
      </w:r>
      <w:r>
        <w:rPr>
          <w:rFonts w:hint="eastAsia"/>
          <w:b/>
          <w:bCs/>
          <w:color w:val="auto"/>
        </w:rPr>
        <w:t>企业分布图位置关系</w:t>
      </w:r>
      <w:bookmarkEnd w:id="89"/>
    </w:p>
    <w:p>
      <w:pPr>
        <w:rPr>
          <w:rFonts w:hint="eastAsia" w:eastAsia="宋体"/>
          <w:color w:val="auto"/>
          <w:lang w:eastAsia="zh-CN"/>
        </w:rPr>
        <w:sectPr>
          <w:pgSz w:w="11906" w:h="16838"/>
          <w:pgMar w:top="1701" w:right="1531" w:bottom="1701" w:left="1531" w:header="851" w:footer="851" w:gutter="0"/>
          <w:pgNumType w:fmt="decimal"/>
          <w:cols w:space="720" w:num="1"/>
          <w:docGrid w:linePitch="312" w:charSpace="0"/>
        </w:sectPr>
      </w:pPr>
      <w:r>
        <w:rPr>
          <w:rFonts w:hint="eastAsia" w:eastAsia="宋体"/>
          <w:color w:val="auto"/>
          <w:lang w:eastAsia="zh-CN"/>
        </w:rPr>
        <mc:AlternateContent>
          <mc:Choice Requires="wps">
            <w:drawing>
              <wp:anchor distT="0" distB="0" distL="114300" distR="114300" simplePos="0" relativeHeight="251671552" behindDoc="0" locked="0" layoutInCell="1" allowOverlap="1">
                <wp:simplePos x="0" y="0"/>
                <wp:positionH relativeFrom="column">
                  <wp:posOffset>4488180</wp:posOffset>
                </wp:positionH>
                <wp:positionV relativeFrom="paragraph">
                  <wp:posOffset>5611495</wp:posOffset>
                </wp:positionV>
                <wp:extent cx="514985" cy="207010"/>
                <wp:effectExtent l="615315" t="446405" r="11430" b="9525"/>
                <wp:wrapNone/>
                <wp:docPr id="35" name="对话气泡: 矩形 50"/>
                <wp:cNvGraphicFramePr/>
                <a:graphic xmlns:a="http://schemas.openxmlformats.org/drawingml/2006/main">
                  <a:graphicData uri="http://schemas.microsoft.com/office/word/2010/wordprocessingShape">
                    <wps:wsp>
                      <wps:cNvSpPr/>
                      <wps:spPr>
                        <a:xfrm>
                          <a:off x="0" y="0"/>
                          <a:ext cx="514985" cy="207010"/>
                        </a:xfrm>
                        <a:prstGeom prst="wedgeRectCallout">
                          <a:avLst>
                            <a:gd name="adj1" fmla="val -168618"/>
                            <a:gd name="adj2" fmla="val -263496"/>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b/>
                                <w:bCs/>
                                <w:color w:val="F00BF3"/>
                                <w:sz w:val="6"/>
                                <w:szCs w:val="6"/>
                              </w:rPr>
                            </w:pPr>
                            <w:r>
                              <w:rPr>
                                <w:rFonts w:hint="eastAsia"/>
                                <w:b/>
                                <w:bCs/>
                                <w:color w:val="F00BF3"/>
                                <w:sz w:val="16"/>
                                <w:szCs w:val="16"/>
                              </w:rPr>
                              <w:t>本项目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对话气泡: 矩形 50" o:spid="_x0000_s1026" o:spt="61" type="#_x0000_t61" style="position:absolute;left:0pt;margin-left:353.4pt;margin-top:441.85pt;height:16.3pt;width:40.55pt;z-index:251671552;v-text-anchor:middle;mso-width-relative:page;mso-height-relative:page;" filled="f" stroked="t" coordsize="21600,21600" o:gfxdata="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" adj="-25621,-46115">
                <v:fill on="f" focussize="0,0"/>
                <v:stroke weight="0.5pt" color="#000000 [3213]" joinstyle="round"/>
                <v:imagedata o:title=""/>
                <o:lock v:ext="edit" aspectratio="f"/>
                <v:textbox>
                  <w:txbxContent>
                    <w:p>
                      <w:pPr>
                        <w:jc w:val="center"/>
                        <w:rPr>
                          <w:b/>
                          <w:bCs/>
                          <w:color w:val="F00BF3"/>
                          <w:sz w:val="6"/>
                          <w:szCs w:val="6"/>
                        </w:rPr>
                      </w:pPr>
                      <w:r>
                        <w:rPr>
                          <w:rFonts w:hint="eastAsia"/>
                          <w:b/>
                          <w:bCs/>
                          <w:color w:val="F00BF3"/>
                          <w:sz w:val="16"/>
                          <w:szCs w:val="16"/>
                        </w:rPr>
                        <w:t>本项目</w:t>
                      </w:r>
                    </w:p>
                  </w:txbxContent>
                </v:textbox>
              </v:shape>
            </w:pict>
          </mc:Fallback>
        </mc:AlternateContent>
      </w:r>
      <w:r>
        <w:rPr>
          <w:color w:val="auto"/>
          <w:sz w:val="21"/>
        </w:rPr>
        <mc:AlternateContent>
          <mc:Choice Requires="wps">
            <w:drawing>
              <wp:anchor distT="0" distB="0" distL="114300" distR="114300" simplePos="0" relativeHeight="251668480" behindDoc="0" locked="0" layoutInCell="1" allowOverlap="1">
                <wp:simplePos x="0" y="0"/>
                <wp:positionH relativeFrom="column">
                  <wp:posOffset>5123815</wp:posOffset>
                </wp:positionH>
                <wp:positionV relativeFrom="paragraph">
                  <wp:posOffset>5979795</wp:posOffset>
                </wp:positionV>
                <wp:extent cx="353695" cy="790575"/>
                <wp:effectExtent l="8890" t="3810" r="24130" b="15875"/>
                <wp:wrapNone/>
                <wp:docPr id="18" name="直接连接符 18"/>
                <wp:cNvGraphicFramePr/>
                <a:graphic xmlns:a="http://schemas.openxmlformats.org/drawingml/2006/main">
                  <a:graphicData uri="http://schemas.microsoft.com/office/word/2010/wordprocessingShape">
                    <wps:wsp>
                      <wps:cNvCnPr/>
                      <wps:spPr>
                        <a:xfrm flipV="1">
                          <a:off x="6096000" y="7355840"/>
                          <a:ext cx="353695" cy="790575"/>
                        </a:xfrm>
                        <a:prstGeom prst="line">
                          <a:avLst/>
                        </a:prstGeom>
                        <a:ln w="19050">
                          <a:solidFill>
                            <a:srgbClr val="CF1DEF"/>
                          </a:solidFill>
                          <a:headEnd type="none"/>
                          <a:tailEnd type="none"/>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flip:y;margin-left:403.45pt;margin-top:470.85pt;height:62.25pt;width:27.85pt;z-index:251668480;mso-width-relative:page;mso-height-relative:page;" filled="f" stroked="t" coordsize="21600,21600" o:gfxdata="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zr5bPdsAAAAMAQAADwAAAAAAAAABACAA&#10;AAAiAAAAZHJzL2Rvd25yZXYueG1sUEsBAhQAFAAAAAgAh07iQG8AsNUKAgAA5wMAAA4AAAAAAAAA&#10;AQAgAAAAKgEAAGRycy9lMm9Eb2MueG1sUEsFBgAAAAAGAAYAWQEAAKYFAAAAAA==&#10;">
                <v:fill on="f" focussize="0,0"/>
                <v:stroke weight="1.5pt" color="#CF1DEF [3204]" joinstyle="round"/>
                <v:imagedata o:title=""/>
                <o:lock v:ext="edit" aspectratio="f"/>
              </v:line>
            </w:pict>
          </mc:Fallback>
        </mc:AlternateContent>
      </w:r>
      <w:r>
        <w:rPr>
          <w:color w:val="auto"/>
          <w:sz w:val="21"/>
        </w:rPr>
        <mc:AlternateContent>
          <mc:Choice Requires="wps">
            <w:drawing>
              <wp:anchor distT="0" distB="0" distL="114300" distR="114300" simplePos="0" relativeHeight="251667456" behindDoc="0" locked="0" layoutInCell="1" allowOverlap="1">
                <wp:simplePos x="0" y="0"/>
                <wp:positionH relativeFrom="column">
                  <wp:posOffset>2012950</wp:posOffset>
                </wp:positionH>
                <wp:positionV relativeFrom="paragraph">
                  <wp:posOffset>5963285</wp:posOffset>
                </wp:positionV>
                <wp:extent cx="1818005" cy="815340"/>
                <wp:effectExtent l="3810" t="8890" r="19685" b="22860"/>
                <wp:wrapNone/>
                <wp:docPr id="17" name="直接箭头连接符 17"/>
                <wp:cNvGraphicFramePr/>
                <a:graphic xmlns:a="http://schemas.openxmlformats.org/drawingml/2006/main">
                  <a:graphicData uri="http://schemas.microsoft.com/office/word/2010/wordprocessingShape">
                    <wps:wsp>
                      <wps:cNvCnPr/>
                      <wps:spPr>
                        <a:xfrm flipH="1" flipV="1">
                          <a:off x="4886325" y="6692900"/>
                          <a:ext cx="1818005" cy="815340"/>
                        </a:xfrm>
                        <a:prstGeom prst="straightConnector1">
                          <a:avLst/>
                        </a:prstGeom>
                        <a:ln w="19050">
                          <a:solidFill>
                            <a:srgbClr val="CF1DEF"/>
                          </a:solidFill>
                          <a:headEnd type="none"/>
                          <a:tailEnd type="none"/>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flip:x y;margin-left:158.5pt;margin-top:469.55pt;height:64.2pt;width:143.15pt;z-index:251667456;mso-width-relative:page;mso-height-relative:page;" filled="f" stroked="t" coordsize="21600,21600" o:gfxdata="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Ziu5k&#10;2AAAAAwBAAAPAAAAAAAAAAEAIAAAACIAAABkcnMvZG93bnJldi54bWxQSwECFAAUAAAACACHTuJA&#10;nESlqCECAAAGBAAADgAAAAAAAAABACAAAAAnAQAAZHJzL2Uyb0RvYy54bWxQSwUGAAAAAAYABgBZ&#10;AQAAugUAAAAA&#10;">
                <v:fill on="f" focussize="0,0"/>
                <v:stroke weight="1.5pt" color="#CF1DEF [3204]" joinstyle="round"/>
                <v:imagedata o:title=""/>
                <o:lock v:ext="edit" aspectratio="f"/>
              </v:shape>
            </w:pict>
          </mc:Fallback>
        </mc:AlternateContent>
      </w:r>
      <w:r>
        <w:rPr>
          <w:color w:val="auto"/>
          <w:sz w:val="21"/>
        </w:rPr>
        <mc:AlternateContent>
          <mc:Choice Requires="wps">
            <w:drawing>
              <wp:anchor distT="0" distB="0" distL="114300" distR="114300" simplePos="0" relativeHeight="251666432" behindDoc="0" locked="0" layoutInCell="1" allowOverlap="1">
                <wp:simplePos x="0" y="0"/>
                <wp:positionH relativeFrom="column">
                  <wp:posOffset>3830955</wp:posOffset>
                </wp:positionH>
                <wp:positionV relativeFrom="paragraph">
                  <wp:posOffset>6749415</wp:posOffset>
                </wp:positionV>
                <wp:extent cx="1301115" cy="929640"/>
                <wp:effectExtent l="9525" t="9525" r="15240" b="18415"/>
                <wp:wrapNone/>
                <wp:docPr id="16" name="矩形 16"/>
                <wp:cNvGraphicFramePr/>
                <a:graphic xmlns:a="http://schemas.openxmlformats.org/drawingml/2006/main">
                  <a:graphicData uri="http://schemas.microsoft.com/office/word/2010/wordprocessingShape">
                    <wps:wsp>
                      <wps:cNvSpPr/>
                      <wps:spPr>
                        <a:xfrm>
                          <a:off x="4697095" y="8042910"/>
                          <a:ext cx="1301115" cy="929640"/>
                        </a:xfrm>
                        <a:prstGeom prst="rect">
                          <a:avLst/>
                        </a:prstGeom>
                        <a:noFill/>
                        <a:ln w="19050">
                          <a:solidFill>
                            <a:srgbClr val="E20CDF"/>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01.65pt;margin-top:531.45pt;height:73.2pt;width:102.45pt;z-index:251666432;v-text-anchor:middle;mso-width-relative:page;mso-height-relative:page;" filled="f" stroked="t" coordsize="21600,21600" o:gfxdata="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ORQq0NsAAAANAQAADwAAAAAAAAABACAAAAAiAAAAZHJzL2Rvd25y&#10;ZXYueG1sUEsBAhQAFAAAAAgAh07iQFxM92ZtAgAAwgQAAA4AAAAAAAAAAQAgAAAAKgEAAGRycy9l&#10;Mm9Eb2MueG1sUEsFBgAAAAAGAAYAWQEAAAkGAAAAAA==&#10;">
                <v:fill on="f" focussize="0,0"/>
                <v:stroke weight="1.5pt" color="#E20CDF [2404]" joinstyle="round"/>
                <v:imagedata o:title=""/>
                <o:lock v:ext="edit" aspectratio="f"/>
              </v:rect>
            </w:pict>
          </mc:Fallback>
        </mc:AlternateContent>
      </w:r>
      <w:r>
        <w:rPr>
          <w:rFonts w:hint="eastAsia" w:eastAsia="宋体"/>
          <w:color w:val="auto"/>
          <w:lang w:eastAsia="zh-CN"/>
        </w:rPr>
        <w:drawing>
          <wp:anchor distT="0" distB="0" distL="114300" distR="114300" simplePos="0" relativeHeight="251665408" behindDoc="0" locked="0" layoutInCell="1" allowOverlap="1">
            <wp:simplePos x="0" y="0"/>
            <wp:positionH relativeFrom="column">
              <wp:posOffset>2009140</wp:posOffset>
            </wp:positionH>
            <wp:positionV relativeFrom="paragraph">
              <wp:posOffset>3515995</wp:posOffset>
            </wp:positionV>
            <wp:extent cx="3458845" cy="2444750"/>
            <wp:effectExtent l="12700" t="12700" r="27305" b="28575"/>
            <wp:wrapNone/>
            <wp:docPr id="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pic:cNvPicPr>
                      <a:picLocks noChangeAspect="1"/>
                    </pic:cNvPicPr>
                  </pic:nvPicPr>
                  <pic:blipFill>
                    <a:blip r:embed="rId20"/>
                    <a:stretch>
                      <a:fillRect/>
                    </a:stretch>
                  </pic:blipFill>
                  <pic:spPr>
                    <a:xfrm>
                      <a:off x="0" y="0"/>
                      <a:ext cx="3458845" cy="2444750"/>
                    </a:xfrm>
                    <a:prstGeom prst="rect">
                      <a:avLst/>
                    </a:prstGeom>
                    <a:noFill/>
                    <a:ln w="12700">
                      <a:solidFill>
                        <a:srgbClr val="E20CDF"/>
                      </a:solidFill>
                    </a:ln>
                  </pic:spPr>
                </pic:pic>
              </a:graphicData>
            </a:graphic>
          </wp:anchor>
        </w:drawing>
      </w:r>
      <w:r>
        <w:rPr>
          <w:rFonts w:hint="eastAsia" w:eastAsia="宋体"/>
          <w:color w:val="auto"/>
          <w:lang w:eastAsia="zh-CN"/>
        </w:rPr>
        <w:drawing>
          <wp:inline distT="0" distB="0" distL="114300" distR="114300">
            <wp:extent cx="5644515" cy="7985760"/>
            <wp:effectExtent l="0" t="0" r="8890" b="6350"/>
            <wp:docPr id="11" name="图片 11" descr="熟地及储备用地示意图2023.11.15-模型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熟地及储备用地示意图2023.11.15-模型_00"/>
                    <pic:cNvPicPr>
                      <a:picLocks noChangeAspect="1"/>
                    </pic:cNvPicPr>
                  </pic:nvPicPr>
                  <pic:blipFill>
                    <a:blip r:embed="rId21"/>
                    <a:stretch>
                      <a:fillRect/>
                    </a:stretch>
                  </pic:blipFill>
                  <pic:spPr>
                    <a:xfrm>
                      <a:off x="0" y="0"/>
                      <a:ext cx="5644515" cy="7985760"/>
                    </a:xfrm>
                    <a:prstGeom prst="rect">
                      <a:avLst/>
                    </a:prstGeom>
                  </pic:spPr>
                </pic:pic>
              </a:graphicData>
            </a:graphic>
          </wp:inline>
        </w:drawing>
      </w:r>
    </w:p>
    <w:p>
      <w:pPr>
        <w:pStyle w:val="23"/>
        <w:adjustRightInd w:val="0"/>
        <w:snapToGrid w:val="0"/>
        <w:spacing w:before="0" w:beforeAutospacing="0" w:after="0" w:afterAutospacing="0" w:line="360" w:lineRule="auto"/>
        <w:jc w:val="both"/>
        <w:outlineLvl w:val="0"/>
        <w:rPr>
          <w:rFonts w:ascii="Times New Roman" w:hAnsi="Times New Roman" w:eastAsiaTheme="minorEastAsia"/>
          <w:b/>
          <w:bCs/>
          <w:snapToGrid w:val="0"/>
          <w:color w:val="auto"/>
          <w:szCs w:val="24"/>
        </w:rPr>
      </w:pPr>
      <w:bookmarkStart w:id="91" w:name="_Toc28501"/>
      <w:r>
        <w:rPr>
          <w:rFonts w:hint="eastAsia" w:ascii="Times New Roman" w:hAnsi="Times New Roman" w:eastAsiaTheme="minorEastAsia"/>
          <w:b/>
          <w:bCs/>
          <w:snapToGrid w:val="0"/>
          <w:color w:val="auto"/>
          <w:szCs w:val="24"/>
        </w:rPr>
        <w:t xml:space="preserve">附图6 </w:t>
      </w:r>
      <w:r>
        <w:rPr>
          <w:rFonts w:hint="eastAsia"/>
          <w:b/>
          <w:bCs/>
          <w:color w:val="auto"/>
          <w:szCs w:val="24"/>
        </w:rPr>
        <w:t>本项目位置与广东省“三线一单”平台叠置图</w:t>
      </w:r>
      <w:bookmarkEnd w:id="91"/>
    </w:p>
    <w:p>
      <w:pPr>
        <w:jc w:val="center"/>
        <w:rPr>
          <w:color w:val="auto"/>
        </w:rPr>
        <w:sectPr>
          <w:pgSz w:w="16838" w:h="11906" w:orient="landscape"/>
          <w:pgMar w:top="1531" w:right="1701" w:bottom="1531" w:left="1701" w:header="851" w:footer="851" w:gutter="0"/>
          <w:pgNumType w:fmt="decimal"/>
          <w:cols w:space="720" w:num="1"/>
          <w:docGrid w:linePitch="312" w:charSpace="0"/>
        </w:sectPr>
      </w:pPr>
      <w:r>
        <w:rPr>
          <w:color w:val="auto"/>
        </w:rPr>
        <w:drawing>
          <wp:inline distT="0" distB="0" distL="114300" distR="114300">
            <wp:extent cx="8318500" cy="5299075"/>
            <wp:effectExtent l="0" t="0" r="6350" b="15875"/>
            <wp:docPr id="1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7"/>
                    <pic:cNvPicPr>
                      <a:picLocks noChangeAspect="1"/>
                    </pic:cNvPicPr>
                  </pic:nvPicPr>
                  <pic:blipFill>
                    <a:blip r:embed="rId22"/>
                    <a:stretch>
                      <a:fillRect/>
                    </a:stretch>
                  </pic:blipFill>
                  <pic:spPr>
                    <a:xfrm>
                      <a:off x="0" y="0"/>
                      <a:ext cx="8318500" cy="5299075"/>
                    </a:xfrm>
                    <a:prstGeom prst="rect">
                      <a:avLst/>
                    </a:prstGeom>
                    <a:noFill/>
                    <a:ln>
                      <a:noFill/>
                    </a:ln>
                  </pic:spPr>
                </pic:pic>
              </a:graphicData>
            </a:graphic>
          </wp:inline>
        </w:drawing>
      </w:r>
    </w:p>
    <w:p>
      <w:pPr>
        <w:spacing w:before="120" w:beforeLines="50"/>
        <w:outlineLvl w:val="0"/>
        <w:rPr>
          <w:color w:val="auto"/>
        </w:rPr>
      </w:pPr>
      <w:bookmarkStart w:id="92" w:name="_Toc22524"/>
      <w:r>
        <w:rPr>
          <w:rFonts w:hint="eastAsia"/>
          <w:b/>
          <w:bCs/>
          <w:color w:val="auto"/>
          <w:sz w:val="24"/>
          <w:szCs w:val="32"/>
        </w:rPr>
        <w:t>附</w:t>
      </w:r>
      <w:r>
        <w:rPr>
          <w:b/>
          <w:bCs/>
          <w:color w:val="auto"/>
          <w:sz w:val="24"/>
          <w:szCs w:val="32"/>
        </w:rPr>
        <w:t>图</w:t>
      </w:r>
      <w:r>
        <w:rPr>
          <w:rFonts w:hint="eastAsia"/>
          <w:b/>
          <w:bCs/>
          <w:color w:val="auto"/>
          <w:sz w:val="24"/>
          <w:szCs w:val="32"/>
        </w:rPr>
        <w:t>7</w:t>
      </w:r>
      <w:r>
        <w:rPr>
          <w:b/>
          <w:bCs/>
          <w:color w:val="auto"/>
          <w:sz w:val="24"/>
          <w:szCs w:val="32"/>
        </w:rPr>
        <w:t xml:space="preserve"> </w:t>
      </w:r>
      <w:r>
        <w:rPr>
          <w:rFonts w:hint="eastAsia"/>
          <w:b/>
          <w:bCs/>
          <w:color w:val="auto"/>
          <w:sz w:val="24"/>
          <w:szCs w:val="32"/>
        </w:rPr>
        <w:t>环境质量</w:t>
      </w:r>
      <w:r>
        <w:rPr>
          <w:b/>
          <w:bCs/>
          <w:color w:val="auto"/>
          <w:sz w:val="24"/>
          <w:szCs w:val="32"/>
        </w:rPr>
        <w:t>现状</w:t>
      </w:r>
      <w:r>
        <w:rPr>
          <w:rFonts w:hint="eastAsia"/>
          <w:b/>
          <w:bCs/>
          <w:color w:val="auto"/>
          <w:sz w:val="24"/>
          <w:szCs w:val="32"/>
        </w:rPr>
        <w:t>补充</w:t>
      </w:r>
      <w:r>
        <w:rPr>
          <w:b/>
          <w:bCs/>
          <w:color w:val="auto"/>
          <w:sz w:val="24"/>
          <w:szCs w:val="32"/>
        </w:rPr>
        <w:t>监测布点图</w:t>
      </w:r>
      <w:r>
        <w:rPr>
          <w:rFonts w:hint="eastAsia"/>
          <w:b/>
          <w:bCs/>
          <w:color w:val="auto"/>
          <w:sz w:val="24"/>
          <w:szCs w:val="32"/>
        </w:rPr>
        <w:t>（环境空气</w:t>
      </w:r>
      <w:r>
        <w:rPr>
          <w:rFonts w:hint="eastAsia"/>
          <w:b/>
          <w:bCs/>
          <w:color w:val="auto"/>
          <w:sz w:val="24"/>
          <w:szCs w:val="32"/>
          <w:lang w:val="en-US" w:eastAsia="zh-CN"/>
        </w:rPr>
        <w:t>监测点位A1</w:t>
      </w:r>
      <w:r>
        <w:rPr>
          <w:rFonts w:hint="eastAsia"/>
          <w:b/>
          <w:bCs/>
          <w:color w:val="auto"/>
          <w:sz w:val="24"/>
          <w:szCs w:val="32"/>
        </w:rPr>
        <w:t>）</w:t>
      </w:r>
      <w:bookmarkEnd w:id="92"/>
    </w:p>
    <w:p>
      <w:pPr>
        <w:spacing w:before="120" w:beforeLines="50"/>
        <w:jc w:val="center"/>
        <w:rPr>
          <w:color w:val="auto"/>
          <w:szCs w:val="21"/>
        </w:rPr>
      </w:pPr>
      <w:r>
        <w:rPr>
          <w:color w:val="auto"/>
        </w:rPr>
        <w:drawing>
          <wp:inline distT="0" distB="0" distL="114300" distR="114300">
            <wp:extent cx="6324600" cy="5166360"/>
            <wp:effectExtent l="0" t="0" r="0" b="15240"/>
            <wp:docPr id="31"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9"/>
                    <pic:cNvPicPr>
                      <a:picLocks noChangeAspect="1"/>
                    </pic:cNvPicPr>
                  </pic:nvPicPr>
                  <pic:blipFill>
                    <a:blip r:embed="rId23"/>
                    <a:stretch>
                      <a:fillRect/>
                    </a:stretch>
                  </pic:blipFill>
                  <pic:spPr>
                    <a:xfrm>
                      <a:off x="0" y="0"/>
                      <a:ext cx="6324600" cy="5166360"/>
                    </a:xfrm>
                    <a:prstGeom prst="rect">
                      <a:avLst/>
                    </a:prstGeom>
                    <a:noFill/>
                    <a:ln>
                      <a:noFill/>
                    </a:ln>
                  </pic:spPr>
                </pic:pic>
              </a:graphicData>
            </a:graphic>
          </wp:inline>
        </w:drawing>
      </w:r>
    </w:p>
    <w:p>
      <w:pPr>
        <w:pStyle w:val="23"/>
        <w:adjustRightInd w:val="0"/>
        <w:snapToGrid w:val="0"/>
        <w:spacing w:before="0" w:beforeAutospacing="0" w:after="0" w:afterAutospacing="0" w:line="360" w:lineRule="auto"/>
        <w:outlineLvl w:val="0"/>
        <w:rPr>
          <w:rFonts w:ascii="Times New Roman" w:hAnsi="Times New Roman" w:eastAsiaTheme="minorEastAsia"/>
          <w:snapToGrid w:val="0"/>
          <w:color w:val="auto"/>
          <w:szCs w:val="24"/>
        </w:rPr>
        <w:sectPr>
          <w:pgSz w:w="16838" w:h="11906" w:orient="landscape"/>
          <w:pgMar w:top="1531" w:right="1701" w:bottom="1531" w:left="1701" w:header="851" w:footer="851" w:gutter="0"/>
          <w:pgNumType w:fmt="decimal"/>
          <w:cols w:space="720" w:num="1"/>
          <w:docGrid w:linePitch="312" w:charSpace="0"/>
        </w:sectPr>
      </w:pPr>
    </w:p>
    <w:p>
      <w:pPr>
        <w:pStyle w:val="23"/>
        <w:adjustRightInd w:val="0"/>
        <w:snapToGrid w:val="0"/>
        <w:spacing w:before="0" w:beforeAutospacing="0" w:after="0" w:afterAutospacing="0" w:line="360" w:lineRule="auto"/>
        <w:outlineLvl w:val="0"/>
        <w:rPr>
          <w:rFonts w:ascii="Times New Roman" w:hAnsi="Times New Roman" w:eastAsiaTheme="minorEastAsia"/>
          <w:b/>
          <w:bCs/>
          <w:snapToGrid w:val="0"/>
          <w:color w:val="auto"/>
          <w:szCs w:val="24"/>
        </w:rPr>
      </w:pPr>
      <w:bookmarkStart w:id="93" w:name="_Toc5983"/>
      <w:r>
        <w:rPr>
          <w:rFonts w:hint="eastAsia" w:ascii="Times New Roman" w:hAnsi="Times New Roman" w:eastAsiaTheme="minorEastAsia"/>
          <w:b/>
          <w:bCs/>
          <w:snapToGrid w:val="0"/>
          <w:color w:val="auto"/>
          <w:szCs w:val="24"/>
        </w:rPr>
        <w:t xml:space="preserve">附件1 </w:t>
      </w:r>
      <w:bookmarkEnd w:id="90"/>
      <w:r>
        <w:rPr>
          <w:rFonts w:hint="eastAsia" w:ascii="Times New Roman" w:hAnsi="Times New Roman" w:eastAsiaTheme="minorEastAsia"/>
          <w:b/>
          <w:bCs/>
          <w:snapToGrid w:val="0"/>
          <w:color w:val="auto"/>
          <w:szCs w:val="24"/>
        </w:rPr>
        <w:t>项目备案证</w:t>
      </w:r>
      <w:bookmarkEnd w:id="93"/>
    </w:p>
    <w:p>
      <w:pPr>
        <w:jc w:val="center"/>
        <w:rPr>
          <w:snapToGrid w:val="0"/>
          <w:color w:val="auto"/>
        </w:rPr>
      </w:pPr>
      <w:r>
        <w:rPr>
          <w:rFonts w:hint="eastAsia"/>
          <w:snapToGrid w:val="0"/>
          <w:color w:val="auto"/>
        </w:rPr>
        <w:drawing>
          <wp:inline distT="0" distB="0" distL="114300" distR="114300">
            <wp:extent cx="7065645" cy="4996815"/>
            <wp:effectExtent l="0" t="0" r="1905" b="13335"/>
            <wp:docPr id="2" name="图片 2" descr="广东省企业投资项目备案证(2206-440281-04-01-392182)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广东省企业投资项目备案证(2206-440281-04-01-392182)_00"/>
                    <pic:cNvPicPr>
                      <a:picLocks noChangeAspect="1"/>
                    </pic:cNvPicPr>
                  </pic:nvPicPr>
                  <pic:blipFill>
                    <a:blip r:embed="rId24"/>
                    <a:stretch>
                      <a:fillRect/>
                    </a:stretch>
                  </pic:blipFill>
                  <pic:spPr>
                    <a:xfrm>
                      <a:off x="0" y="0"/>
                      <a:ext cx="7065645" cy="4996815"/>
                    </a:xfrm>
                    <a:prstGeom prst="rect">
                      <a:avLst/>
                    </a:prstGeom>
                  </pic:spPr>
                </pic:pic>
              </a:graphicData>
            </a:graphic>
          </wp:inline>
        </w:drawing>
      </w:r>
    </w:p>
    <w:p>
      <w:pPr>
        <w:widowControl/>
        <w:jc w:val="left"/>
        <w:rPr>
          <w:rFonts w:ascii="宋体" w:hAnsi="Calibri" w:cs="宋体"/>
          <w:color w:val="auto"/>
          <w:sz w:val="24"/>
        </w:rPr>
        <w:sectPr>
          <w:footerReference r:id="rId8" w:type="default"/>
          <w:pgSz w:w="16838" w:h="11906" w:orient="landscape"/>
          <w:pgMar w:top="1701" w:right="1531" w:bottom="1701" w:left="1531" w:header="851" w:footer="851" w:gutter="0"/>
          <w:pgNumType w:fmt="decimal"/>
          <w:cols w:space="720" w:num="1"/>
          <w:docGrid w:linePitch="312" w:charSpace="0"/>
        </w:sectPr>
      </w:pPr>
    </w:p>
    <w:p>
      <w:pPr>
        <w:pStyle w:val="23"/>
        <w:adjustRightInd w:val="0"/>
        <w:snapToGrid w:val="0"/>
        <w:spacing w:before="0" w:beforeAutospacing="0" w:after="0" w:afterAutospacing="0" w:line="360" w:lineRule="auto"/>
        <w:outlineLvl w:val="0"/>
        <w:rPr>
          <w:rFonts w:ascii="Times New Roman" w:hAnsi="Times New Roman" w:eastAsiaTheme="minorEastAsia"/>
          <w:b/>
          <w:bCs/>
          <w:snapToGrid w:val="0"/>
          <w:color w:val="auto"/>
          <w:szCs w:val="24"/>
        </w:rPr>
      </w:pPr>
      <w:bookmarkStart w:id="94" w:name="_Toc3682"/>
      <w:r>
        <w:rPr>
          <w:rFonts w:hint="eastAsia" w:ascii="Times New Roman" w:hAnsi="Times New Roman" w:eastAsiaTheme="minorEastAsia"/>
          <w:b/>
          <w:bCs/>
          <w:snapToGrid w:val="0"/>
          <w:color w:val="auto"/>
          <w:szCs w:val="24"/>
        </w:rPr>
        <w:t>附件</w:t>
      </w:r>
      <w:r>
        <w:rPr>
          <w:rFonts w:ascii="Times New Roman" w:hAnsi="Times New Roman" w:eastAsiaTheme="minorEastAsia"/>
          <w:b/>
          <w:bCs/>
          <w:snapToGrid w:val="0"/>
          <w:color w:val="auto"/>
          <w:szCs w:val="24"/>
        </w:rPr>
        <w:t>2</w:t>
      </w:r>
      <w:r>
        <w:rPr>
          <w:rFonts w:hint="eastAsia" w:ascii="Times New Roman" w:hAnsi="Times New Roman" w:eastAsiaTheme="minorEastAsia"/>
          <w:b/>
          <w:bCs/>
          <w:snapToGrid w:val="0"/>
          <w:color w:val="auto"/>
          <w:szCs w:val="24"/>
        </w:rPr>
        <w:t xml:space="preserve"> </w:t>
      </w:r>
      <w:r>
        <w:rPr>
          <w:rFonts w:ascii="Times New Roman" w:hAnsi="Times New Roman"/>
          <w:b/>
          <w:bCs/>
          <w:color w:val="auto"/>
          <w:szCs w:val="24"/>
        </w:rPr>
        <w:t>关于《乐昌产业转移工业园二期规划环境影响报告书审查小组意见》的函（粤环函</w:t>
      </w:r>
      <w:r>
        <w:rPr>
          <w:rFonts w:hint="eastAsia" w:ascii="Times New Roman" w:hAnsi="Times New Roman"/>
          <w:b/>
          <w:bCs/>
          <w:color w:val="auto"/>
          <w:szCs w:val="24"/>
          <w:lang w:eastAsia="zh-CN"/>
        </w:rPr>
        <w:t>〔</w:t>
      </w:r>
      <w:r>
        <w:rPr>
          <w:rFonts w:ascii="Times New Roman" w:hAnsi="Times New Roman"/>
          <w:b/>
          <w:bCs/>
          <w:color w:val="auto"/>
          <w:szCs w:val="24"/>
        </w:rPr>
        <w:t>2016</w:t>
      </w:r>
      <w:r>
        <w:rPr>
          <w:rFonts w:hint="eastAsia" w:ascii="Times New Roman" w:hAnsi="Times New Roman"/>
          <w:b/>
          <w:bCs/>
          <w:color w:val="auto"/>
          <w:szCs w:val="24"/>
          <w:lang w:eastAsia="zh-CN"/>
        </w:rPr>
        <w:t>〕</w:t>
      </w:r>
      <w:r>
        <w:rPr>
          <w:rFonts w:ascii="Times New Roman" w:hAnsi="Times New Roman"/>
          <w:b/>
          <w:bCs/>
          <w:color w:val="auto"/>
          <w:szCs w:val="24"/>
        </w:rPr>
        <w:t>956号）</w:t>
      </w:r>
      <w:bookmarkEnd w:id="94"/>
    </w:p>
    <w:p>
      <w:pPr>
        <w:rPr>
          <w:color w:val="auto"/>
        </w:rPr>
      </w:pPr>
      <w:r>
        <w:rPr>
          <w:rFonts w:hint="eastAsia"/>
          <w:color w:val="auto"/>
          <w:sz w:val="24"/>
        </w:rPr>
        <w:drawing>
          <wp:inline distT="0" distB="0" distL="114300" distR="114300">
            <wp:extent cx="5349240" cy="7577455"/>
            <wp:effectExtent l="0" t="0" r="3810" b="4445"/>
            <wp:docPr id="20" name="图片 10"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0" descr="1"/>
                    <pic:cNvPicPr>
                      <a:picLocks noChangeAspect="1"/>
                    </pic:cNvPicPr>
                  </pic:nvPicPr>
                  <pic:blipFill>
                    <a:blip r:embed="rId25">
                      <a:lum bright="6000"/>
                    </a:blip>
                    <a:srcRect l="10658" t="8400" r="11922" b="9348"/>
                    <a:stretch>
                      <a:fillRect/>
                    </a:stretch>
                  </pic:blipFill>
                  <pic:spPr>
                    <a:xfrm>
                      <a:off x="0" y="0"/>
                      <a:ext cx="5349240" cy="7577455"/>
                    </a:xfrm>
                    <a:prstGeom prst="rect">
                      <a:avLst/>
                    </a:prstGeom>
                    <a:noFill/>
                    <a:ln>
                      <a:noFill/>
                    </a:ln>
                  </pic:spPr>
                </pic:pic>
              </a:graphicData>
            </a:graphic>
          </wp:inline>
        </w:drawing>
      </w:r>
      <w:r>
        <w:rPr>
          <w:rFonts w:hint="eastAsia"/>
          <w:color w:val="auto"/>
          <w:sz w:val="24"/>
        </w:rPr>
        <w:drawing>
          <wp:inline distT="0" distB="0" distL="114300" distR="114300">
            <wp:extent cx="5139690" cy="6602095"/>
            <wp:effectExtent l="0" t="0" r="3810" b="8255"/>
            <wp:docPr id="22" name="图片 1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1" descr="2"/>
                    <pic:cNvPicPr>
                      <a:picLocks noChangeAspect="1"/>
                    </pic:cNvPicPr>
                  </pic:nvPicPr>
                  <pic:blipFill>
                    <a:blip r:embed="rId26">
                      <a:lum bright="6000"/>
                    </a:blip>
                    <a:srcRect l="1265" t="5284" r="1265" b="813"/>
                    <a:stretch>
                      <a:fillRect/>
                    </a:stretch>
                  </pic:blipFill>
                  <pic:spPr>
                    <a:xfrm>
                      <a:off x="0" y="0"/>
                      <a:ext cx="5139690" cy="6602095"/>
                    </a:xfrm>
                    <a:prstGeom prst="rect">
                      <a:avLst/>
                    </a:prstGeom>
                    <a:noFill/>
                    <a:ln>
                      <a:noFill/>
                    </a:ln>
                  </pic:spPr>
                </pic:pic>
              </a:graphicData>
            </a:graphic>
          </wp:inline>
        </w:drawing>
      </w:r>
      <w:r>
        <w:rPr>
          <w:rFonts w:hint="eastAsia"/>
          <w:color w:val="auto"/>
          <w:sz w:val="24"/>
        </w:rPr>
        <w:drawing>
          <wp:inline distT="0" distB="0" distL="114300" distR="114300">
            <wp:extent cx="4815840" cy="6697345"/>
            <wp:effectExtent l="0" t="0" r="3810" b="8255"/>
            <wp:docPr id="23" name="图片 12"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2" descr="3"/>
                    <pic:cNvPicPr>
                      <a:picLocks noChangeAspect="1"/>
                    </pic:cNvPicPr>
                  </pic:nvPicPr>
                  <pic:blipFill>
                    <a:blip r:embed="rId27">
                      <a:lum bright="6000"/>
                    </a:blip>
                    <a:srcRect l="4155" t="4199" r="4517" b="542"/>
                    <a:stretch>
                      <a:fillRect/>
                    </a:stretch>
                  </pic:blipFill>
                  <pic:spPr>
                    <a:xfrm>
                      <a:off x="0" y="0"/>
                      <a:ext cx="4815840" cy="6697345"/>
                    </a:xfrm>
                    <a:prstGeom prst="rect">
                      <a:avLst/>
                    </a:prstGeom>
                    <a:noFill/>
                    <a:ln>
                      <a:noFill/>
                    </a:ln>
                  </pic:spPr>
                </pic:pic>
              </a:graphicData>
            </a:graphic>
          </wp:inline>
        </w:drawing>
      </w:r>
      <w:r>
        <w:rPr>
          <w:rFonts w:hint="eastAsia"/>
          <w:color w:val="auto"/>
          <w:sz w:val="24"/>
        </w:rPr>
        <w:drawing>
          <wp:inline distT="0" distB="0" distL="114300" distR="114300">
            <wp:extent cx="7484745" cy="5397500"/>
            <wp:effectExtent l="0" t="0" r="12700" b="1905"/>
            <wp:docPr id="24" name="图片 13"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3" descr="4"/>
                    <pic:cNvPicPr>
                      <a:picLocks noChangeAspect="1"/>
                    </pic:cNvPicPr>
                  </pic:nvPicPr>
                  <pic:blipFill>
                    <a:blip r:embed="rId28">
                      <a:lum bright="6000"/>
                    </a:blip>
                    <a:srcRect t="1688" b="2170"/>
                    <a:stretch>
                      <a:fillRect/>
                    </a:stretch>
                  </pic:blipFill>
                  <pic:spPr>
                    <a:xfrm rot="5400000">
                      <a:off x="0" y="0"/>
                      <a:ext cx="7484745" cy="5397500"/>
                    </a:xfrm>
                    <a:prstGeom prst="rect">
                      <a:avLst/>
                    </a:prstGeom>
                    <a:noFill/>
                    <a:ln>
                      <a:noFill/>
                    </a:ln>
                  </pic:spPr>
                </pic:pic>
              </a:graphicData>
            </a:graphic>
          </wp:inline>
        </w:drawing>
      </w:r>
      <w:r>
        <w:rPr>
          <w:rFonts w:hint="eastAsia"/>
          <w:color w:val="auto"/>
          <w:sz w:val="24"/>
        </w:rPr>
        <w:drawing>
          <wp:inline distT="0" distB="0" distL="114300" distR="114300">
            <wp:extent cx="7218680" cy="5414010"/>
            <wp:effectExtent l="0" t="0" r="15240" b="1270"/>
            <wp:docPr id="26" name="图片 14"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4" descr="5"/>
                    <pic:cNvPicPr>
                      <a:picLocks noChangeAspect="1"/>
                    </pic:cNvPicPr>
                  </pic:nvPicPr>
                  <pic:blipFill>
                    <a:blip r:embed="rId29">
                      <a:lum bright="6000"/>
                    </a:blip>
                    <a:stretch>
                      <a:fillRect/>
                    </a:stretch>
                  </pic:blipFill>
                  <pic:spPr>
                    <a:xfrm rot="-5400000">
                      <a:off x="0" y="0"/>
                      <a:ext cx="7218680" cy="5414010"/>
                    </a:xfrm>
                    <a:prstGeom prst="rect">
                      <a:avLst/>
                    </a:prstGeom>
                    <a:noFill/>
                    <a:ln>
                      <a:noFill/>
                    </a:ln>
                  </pic:spPr>
                </pic:pic>
              </a:graphicData>
            </a:graphic>
          </wp:inline>
        </w:drawing>
      </w:r>
      <w:r>
        <w:rPr>
          <w:rFonts w:hint="eastAsia"/>
          <w:color w:val="auto"/>
          <w:sz w:val="24"/>
        </w:rPr>
        <w:drawing>
          <wp:inline distT="0" distB="0" distL="114300" distR="114300">
            <wp:extent cx="7533005" cy="5387975"/>
            <wp:effectExtent l="0" t="0" r="3175" b="10795"/>
            <wp:docPr id="27" name="图片 1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5" descr="6"/>
                    <pic:cNvPicPr>
                      <a:picLocks noChangeAspect="1"/>
                    </pic:cNvPicPr>
                  </pic:nvPicPr>
                  <pic:blipFill>
                    <a:blip r:embed="rId30"/>
                    <a:srcRect t="3136" r="6511" b="7716"/>
                    <a:stretch>
                      <a:fillRect/>
                    </a:stretch>
                  </pic:blipFill>
                  <pic:spPr>
                    <a:xfrm rot="-5400000">
                      <a:off x="0" y="0"/>
                      <a:ext cx="7533005" cy="5387975"/>
                    </a:xfrm>
                    <a:prstGeom prst="rect">
                      <a:avLst/>
                    </a:prstGeom>
                    <a:noFill/>
                    <a:ln>
                      <a:noFill/>
                    </a:ln>
                  </pic:spPr>
                </pic:pic>
              </a:graphicData>
            </a:graphic>
          </wp:inline>
        </w:drawing>
      </w:r>
      <w:r>
        <w:rPr>
          <w:rFonts w:hint="eastAsia"/>
          <w:color w:val="auto"/>
          <w:sz w:val="24"/>
        </w:rPr>
        <w:drawing>
          <wp:inline distT="0" distB="0" distL="114300" distR="114300">
            <wp:extent cx="7503795" cy="5384800"/>
            <wp:effectExtent l="0" t="0" r="6350" b="1905"/>
            <wp:docPr id="28" name="图片 16"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6" descr="7"/>
                    <pic:cNvPicPr>
                      <a:picLocks noChangeAspect="1"/>
                    </pic:cNvPicPr>
                  </pic:nvPicPr>
                  <pic:blipFill>
                    <a:blip r:embed="rId31">
                      <a:lum bright="6000"/>
                    </a:blip>
                    <a:srcRect l="5064" t="3377" b="5788"/>
                    <a:stretch>
                      <a:fillRect/>
                    </a:stretch>
                  </pic:blipFill>
                  <pic:spPr>
                    <a:xfrm rot="-5400000">
                      <a:off x="0" y="0"/>
                      <a:ext cx="7503795" cy="5384800"/>
                    </a:xfrm>
                    <a:prstGeom prst="rect">
                      <a:avLst/>
                    </a:prstGeom>
                    <a:noFill/>
                    <a:ln>
                      <a:noFill/>
                    </a:ln>
                  </pic:spPr>
                </pic:pic>
              </a:graphicData>
            </a:graphic>
          </wp:inline>
        </w:drawing>
      </w:r>
      <w:r>
        <w:rPr>
          <w:rFonts w:hint="eastAsia"/>
          <w:color w:val="auto"/>
          <w:sz w:val="24"/>
        </w:rPr>
        <w:drawing>
          <wp:inline distT="0" distB="0" distL="114300" distR="114300">
            <wp:extent cx="7459980" cy="5406390"/>
            <wp:effectExtent l="0" t="0" r="3810" b="7620"/>
            <wp:docPr id="29" name="图片 17"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7" descr="8"/>
                    <pic:cNvPicPr>
                      <a:picLocks noChangeAspect="1"/>
                    </pic:cNvPicPr>
                  </pic:nvPicPr>
                  <pic:blipFill>
                    <a:blip r:embed="rId32"/>
                    <a:srcRect t="3136" r="7236" b="7234"/>
                    <a:stretch>
                      <a:fillRect/>
                    </a:stretch>
                  </pic:blipFill>
                  <pic:spPr>
                    <a:xfrm rot="-5400000">
                      <a:off x="0" y="0"/>
                      <a:ext cx="7459980" cy="5406390"/>
                    </a:xfrm>
                    <a:prstGeom prst="rect">
                      <a:avLst/>
                    </a:prstGeom>
                    <a:noFill/>
                    <a:ln>
                      <a:noFill/>
                    </a:ln>
                  </pic:spPr>
                </pic:pic>
              </a:graphicData>
            </a:graphic>
          </wp:inline>
        </w:drawing>
      </w:r>
      <w:r>
        <w:rPr>
          <w:rFonts w:hint="eastAsia"/>
          <w:color w:val="auto"/>
          <w:sz w:val="24"/>
        </w:rPr>
        <w:drawing>
          <wp:inline distT="0" distB="0" distL="114300" distR="114300">
            <wp:extent cx="7926705" cy="5606415"/>
            <wp:effectExtent l="0" t="0" r="13335" b="17145"/>
            <wp:docPr id="30" name="图片 18"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8" descr="9"/>
                    <pic:cNvPicPr>
                      <a:picLocks noChangeAspect="1"/>
                    </pic:cNvPicPr>
                  </pic:nvPicPr>
                  <pic:blipFill>
                    <a:blip r:embed="rId33">
                      <a:lum bright="6000"/>
                    </a:blip>
                    <a:srcRect l="1628" t="723" b="6511"/>
                    <a:stretch>
                      <a:fillRect/>
                    </a:stretch>
                  </pic:blipFill>
                  <pic:spPr>
                    <a:xfrm rot="-5400000">
                      <a:off x="0" y="0"/>
                      <a:ext cx="7926705" cy="5606415"/>
                    </a:xfrm>
                    <a:prstGeom prst="rect">
                      <a:avLst/>
                    </a:prstGeom>
                    <a:noFill/>
                    <a:ln>
                      <a:noFill/>
                    </a:ln>
                  </pic:spPr>
                </pic:pic>
              </a:graphicData>
            </a:graphic>
          </wp:inline>
        </w:drawing>
      </w:r>
    </w:p>
    <w:p>
      <w:pPr>
        <w:widowControl/>
        <w:jc w:val="left"/>
        <w:rPr>
          <w:color w:val="auto"/>
        </w:rPr>
        <w:sectPr>
          <w:pgSz w:w="11906" w:h="16838"/>
          <w:pgMar w:top="1531" w:right="1701" w:bottom="1531" w:left="1701" w:header="851" w:footer="851" w:gutter="0"/>
          <w:pgNumType w:fmt="decimal"/>
          <w:cols w:space="720" w:num="1"/>
          <w:docGrid w:linePitch="312" w:charSpace="0"/>
        </w:sectPr>
      </w:pPr>
    </w:p>
    <w:p>
      <w:pPr>
        <w:pStyle w:val="26"/>
        <w:ind w:firstLine="0" w:firstLineChars="0"/>
        <w:outlineLvl w:val="0"/>
        <w:rPr>
          <w:rFonts w:hint="default" w:eastAsia="宋体"/>
          <w:b/>
          <w:bCs/>
          <w:snapToGrid w:val="0"/>
          <w:color w:val="auto"/>
          <w:sz w:val="24"/>
          <w:szCs w:val="24"/>
          <w:lang w:val="en-US" w:eastAsia="zh-CN"/>
        </w:rPr>
      </w:pPr>
      <w:bookmarkStart w:id="95" w:name="_Toc21130"/>
      <w:bookmarkStart w:id="96" w:name="_Toc17273"/>
      <w:r>
        <w:rPr>
          <w:b/>
          <w:bCs/>
          <w:snapToGrid w:val="0"/>
          <w:color w:val="auto"/>
          <w:sz w:val="24"/>
          <w:szCs w:val="24"/>
        </w:rPr>
        <w:t>附件</w:t>
      </w:r>
      <w:r>
        <w:rPr>
          <w:rFonts w:hint="eastAsia"/>
          <w:b/>
          <w:bCs/>
          <w:snapToGrid w:val="0"/>
          <w:color w:val="auto"/>
          <w:sz w:val="24"/>
          <w:szCs w:val="24"/>
          <w:lang w:val="en-US" w:eastAsia="zh-CN"/>
        </w:rPr>
        <w:t>3</w:t>
      </w:r>
      <w:r>
        <w:rPr>
          <w:b/>
          <w:bCs/>
          <w:snapToGrid w:val="0"/>
          <w:color w:val="auto"/>
          <w:sz w:val="24"/>
          <w:szCs w:val="24"/>
        </w:rPr>
        <w:t xml:space="preserve"> </w:t>
      </w:r>
      <w:r>
        <w:rPr>
          <w:rFonts w:hint="eastAsia"/>
          <w:b/>
          <w:bCs/>
          <w:snapToGrid w:val="0"/>
          <w:color w:val="auto"/>
          <w:sz w:val="24"/>
          <w:szCs w:val="24"/>
          <w:lang w:val="en-US" w:eastAsia="zh-CN"/>
        </w:rPr>
        <w:t>不动产权证</w:t>
      </w:r>
      <w:bookmarkEnd w:id="95"/>
    </w:p>
    <w:p>
      <w:pPr>
        <w:pStyle w:val="26"/>
        <w:ind w:firstLine="0" w:firstLineChars="0"/>
        <w:jc w:val="center"/>
        <w:outlineLvl w:val="0"/>
        <w:rPr>
          <w:b/>
          <w:bCs/>
          <w:snapToGrid w:val="0"/>
          <w:color w:val="auto"/>
          <w:sz w:val="24"/>
          <w:szCs w:val="24"/>
        </w:rPr>
        <w:sectPr>
          <w:pgSz w:w="16838" w:h="11906" w:orient="landscape"/>
          <w:pgMar w:top="1701" w:right="1531" w:bottom="1701" w:left="1531" w:header="851" w:footer="851" w:gutter="0"/>
          <w:pgNumType w:fmt="decimal"/>
          <w:cols w:space="720" w:num="1"/>
          <w:docGrid w:linePitch="312" w:charSpace="0"/>
        </w:sectPr>
      </w:pPr>
      <w:bookmarkStart w:id="97" w:name="_Toc29149"/>
      <w:r>
        <w:rPr>
          <w:b/>
          <w:bCs/>
          <w:snapToGrid w:val="0"/>
          <w:color w:val="auto"/>
          <w:sz w:val="24"/>
          <w:szCs w:val="24"/>
        </w:rPr>
        <w:drawing>
          <wp:inline distT="0" distB="0" distL="114300" distR="114300">
            <wp:extent cx="7030085" cy="4956810"/>
            <wp:effectExtent l="0" t="0" r="10795" b="11430"/>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34"/>
                    <a:stretch>
                      <a:fillRect/>
                    </a:stretch>
                  </pic:blipFill>
                  <pic:spPr>
                    <a:xfrm>
                      <a:off x="0" y="0"/>
                      <a:ext cx="7030085" cy="4956810"/>
                    </a:xfrm>
                    <a:prstGeom prst="rect">
                      <a:avLst/>
                    </a:prstGeom>
                    <a:noFill/>
                    <a:ln>
                      <a:noFill/>
                    </a:ln>
                  </pic:spPr>
                </pic:pic>
              </a:graphicData>
            </a:graphic>
          </wp:inline>
        </w:drawing>
      </w:r>
      <w:r>
        <w:rPr>
          <w:b/>
          <w:bCs/>
          <w:snapToGrid w:val="0"/>
          <w:color w:val="auto"/>
          <w:sz w:val="24"/>
          <w:szCs w:val="24"/>
        </w:rPr>
        <w:drawing>
          <wp:inline distT="0" distB="0" distL="114300" distR="114300">
            <wp:extent cx="7167880" cy="5351145"/>
            <wp:effectExtent l="0" t="0" r="10160" b="13335"/>
            <wp:docPr id="1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pic:cNvPicPr>
                      <a:picLocks noChangeAspect="1"/>
                    </pic:cNvPicPr>
                  </pic:nvPicPr>
                  <pic:blipFill>
                    <a:blip r:embed="rId35"/>
                    <a:stretch>
                      <a:fillRect/>
                    </a:stretch>
                  </pic:blipFill>
                  <pic:spPr>
                    <a:xfrm>
                      <a:off x="0" y="0"/>
                      <a:ext cx="7167880" cy="5351145"/>
                    </a:xfrm>
                    <a:prstGeom prst="rect">
                      <a:avLst/>
                    </a:prstGeom>
                    <a:noFill/>
                    <a:ln>
                      <a:noFill/>
                    </a:ln>
                  </pic:spPr>
                </pic:pic>
              </a:graphicData>
            </a:graphic>
          </wp:inline>
        </w:drawing>
      </w:r>
      <w:bookmarkEnd w:id="97"/>
    </w:p>
    <w:p>
      <w:pPr>
        <w:pStyle w:val="26"/>
        <w:ind w:firstLine="0" w:firstLineChars="0"/>
        <w:outlineLvl w:val="0"/>
        <w:rPr>
          <w:b/>
          <w:bCs/>
          <w:snapToGrid w:val="0"/>
          <w:color w:val="auto"/>
          <w:sz w:val="24"/>
          <w:szCs w:val="24"/>
        </w:rPr>
      </w:pPr>
      <w:bookmarkStart w:id="98" w:name="_Toc26542"/>
      <w:r>
        <w:rPr>
          <w:rFonts w:hint="eastAsia"/>
          <w:b/>
          <w:bCs/>
          <w:snapToGrid w:val="0"/>
          <w:color w:val="auto"/>
          <w:sz w:val="24"/>
          <w:szCs w:val="24"/>
          <w:lang w:val="en-US" w:eastAsia="zh-CN"/>
        </w:rPr>
        <w:t xml:space="preserve">附件4 </w:t>
      </w:r>
      <w:r>
        <w:rPr>
          <w:b/>
          <w:bCs/>
          <w:snapToGrid w:val="0"/>
          <w:color w:val="auto"/>
          <w:sz w:val="24"/>
          <w:szCs w:val="24"/>
        </w:rPr>
        <w:t>广东省生态环境厅关于VOCs总量申请回</w:t>
      </w:r>
      <w:bookmarkEnd w:id="96"/>
      <w:r>
        <w:rPr>
          <w:b/>
          <w:bCs/>
          <w:snapToGrid w:val="0"/>
          <w:color w:val="auto"/>
          <w:sz w:val="24"/>
          <w:szCs w:val="24"/>
        </w:rPr>
        <w:t>复</w:t>
      </w:r>
      <w:bookmarkEnd w:id="98"/>
    </w:p>
    <w:p>
      <w:pPr>
        <w:pStyle w:val="43"/>
        <w:ind w:firstLine="0" w:firstLineChars="0"/>
        <w:rPr>
          <w:color w:val="auto"/>
        </w:rPr>
      </w:pPr>
      <w:r>
        <w:rPr>
          <w:rFonts w:cs="Times New Roman"/>
          <w:color w:val="auto"/>
        </w:rPr>
        <w:drawing>
          <wp:inline distT="0" distB="0" distL="114300" distR="114300">
            <wp:extent cx="5494020" cy="3229610"/>
            <wp:effectExtent l="9525" t="9525" r="20955" b="18415"/>
            <wp:docPr id="1" name="图片 1" descr="16232446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23244676(1)"/>
                    <pic:cNvPicPr>
                      <a:picLocks noChangeAspect="1"/>
                    </pic:cNvPicPr>
                  </pic:nvPicPr>
                  <pic:blipFill>
                    <a:blip r:embed="rId36"/>
                    <a:stretch>
                      <a:fillRect/>
                    </a:stretch>
                  </pic:blipFill>
                  <pic:spPr>
                    <a:xfrm>
                      <a:off x="0" y="0"/>
                      <a:ext cx="5494020" cy="3229610"/>
                    </a:xfrm>
                    <a:prstGeom prst="rect">
                      <a:avLst/>
                    </a:prstGeom>
                    <a:ln>
                      <a:solidFill>
                        <a:schemeClr val="tx1"/>
                      </a:solidFill>
                    </a:ln>
                  </pic:spPr>
                </pic:pic>
              </a:graphicData>
            </a:graphic>
          </wp:inline>
        </w:drawing>
      </w:r>
    </w:p>
    <w:sectPr>
      <w:pgSz w:w="11906" w:h="16838"/>
      <w:pgMar w:top="1531" w:right="1701" w:bottom="1531" w:left="1701"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方正宋三简体">
    <w:altName w:val="宋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TimesNewRomanPSMT">
    <w:altName w:val="Times New Roman"/>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360" w:firstLine="360"/>
      <w:jc w:val="center"/>
    </w:pPr>
    <w:r>
      <w:rPr>
        <w:sz w:val="1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7"/>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center" w:y="1"/>
      <w:rPr>
        <w:rStyle w:val="33"/>
      </w:rPr>
    </w:pPr>
    <w:r>
      <w:fldChar w:fldCharType="begin"/>
    </w:r>
    <w:r>
      <w:rPr>
        <w:rStyle w:val="33"/>
      </w:rPr>
      <w:instrText xml:space="preserve">PAGE  </w:instrText>
    </w:r>
    <w:r>
      <w:fldChar w:fldCharType="separate"/>
    </w:r>
    <w:r>
      <w:rPr>
        <w:rStyle w:val="33"/>
      </w:rPr>
      <w:t>9</w:t>
    </w:r>
    <w:r>
      <w:fldChar w:fldCharType="end"/>
    </w:r>
  </w:p>
  <w:p>
    <w:pPr>
      <w:pStyle w:val="17"/>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360" w:firstLine="360"/>
      <w:jc w:val="center"/>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rPr>
                              <w:rStyle w:val="33"/>
                              <w:rFonts w:ascii="宋体" w:hAnsi="宋体"/>
                              <w:sz w:val="28"/>
                              <w:szCs w:val="28"/>
                            </w:rPr>
                          </w:pPr>
                          <w:r>
                            <w:rPr>
                              <w:rStyle w:val="33"/>
                              <w:rFonts w:ascii="宋体" w:hAnsi="宋体"/>
                              <w:sz w:val="28"/>
                              <w:szCs w:val="28"/>
                            </w:rPr>
                            <w:t xml:space="preserve">— </w:t>
                          </w:r>
                          <w:r>
                            <w:rPr>
                              <w:rStyle w:val="33"/>
                              <w:rFonts w:ascii="宋体" w:hAnsi="宋体"/>
                              <w:sz w:val="28"/>
                              <w:szCs w:val="28"/>
                            </w:rPr>
                            <w:fldChar w:fldCharType="begin"/>
                          </w:r>
                          <w:r>
                            <w:rPr>
                              <w:rStyle w:val="33"/>
                              <w:rFonts w:ascii="宋体" w:hAnsi="宋体"/>
                              <w:sz w:val="28"/>
                              <w:szCs w:val="28"/>
                            </w:rPr>
                            <w:instrText xml:space="preserve"> PAGE  \* MERGEFORMAT </w:instrText>
                          </w:r>
                          <w:r>
                            <w:rPr>
                              <w:rStyle w:val="33"/>
                              <w:rFonts w:ascii="宋体" w:hAnsi="宋体"/>
                              <w:sz w:val="28"/>
                              <w:szCs w:val="28"/>
                            </w:rPr>
                            <w:fldChar w:fldCharType="separate"/>
                          </w:r>
                          <w:r>
                            <w:rPr>
                              <w:rStyle w:val="33"/>
                              <w:rFonts w:ascii="宋体" w:hAnsi="宋体"/>
                              <w:sz w:val="28"/>
                              <w:szCs w:val="28"/>
                            </w:rPr>
                            <w:t>1</w:t>
                          </w:r>
                          <w:r>
                            <w:rPr>
                              <w:rStyle w:val="33"/>
                              <w:rFonts w:ascii="宋体" w:hAnsi="宋体"/>
                              <w:sz w:val="28"/>
                              <w:szCs w:val="28"/>
                            </w:rPr>
                            <w:fldChar w:fldCharType="end"/>
                          </w:r>
                          <w:r>
                            <w:rPr>
                              <w:rStyle w:val="33"/>
                              <w:rFonts w:ascii="宋体" w:hAnsi="宋体"/>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pPr>
                      <w:pStyle w:val="17"/>
                      <w:rPr>
                        <w:rStyle w:val="33"/>
                        <w:rFonts w:ascii="宋体" w:hAnsi="宋体"/>
                        <w:sz w:val="28"/>
                        <w:szCs w:val="28"/>
                      </w:rPr>
                    </w:pPr>
                    <w:r>
                      <w:rPr>
                        <w:rStyle w:val="33"/>
                        <w:rFonts w:ascii="宋体" w:hAnsi="宋体"/>
                        <w:sz w:val="28"/>
                        <w:szCs w:val="28"/>
                      </w:rPr>
                      <w:t xml:space="preserve">— </w:t>
                    </w:r>
                    <w:r>
                      <w:rPr>
                        <w:rStyle w:val="33"/>
                        <w:rFonts w:ascii="宋体" w:hAnsi="宋体"/>
                        <w:sz w:val="28"/>
                        <w:szCs w:val="28"/>
                      </w:rPr>
                      <w:fldChar w:fldCharType="begin"/>
                    </w:r>
                    <w:r>
                      <w:rPr>
                        <w:rStyle w:val="33"/>
                        <w:rFonts w:ascii="宋体" w:hAnsi="宋体"/>
                        <w:sz w:val="28"/>
                        <w:szCs w:val="28"/>
                      </w:rPr>
                      <w:instrText xml:space="preserve"> PAGE  \* MERGEFORMAT </w:instrText>
                    </w:r>
                    <w:r>
                      <w:rPr>
                        <w:rStyle w:val="33"/>
                        <w:rFonts w:ascii="宋体" w:hAnsi="宋体"/>
                        <w:sz w:val="28"/>
                        <w:szCs w:val="28"/>
                      </w:rPr>
                      <w:fldChar w:fldCharType="separate"/>
                    </w:r>
                    <w:r>
                      <w:rPr>
                        <w:rStyle w:val="33"/>
                        <w:rFonts w:ascii="宋体" w:hAnsi="宋体"/>
                        <w:sz w:val="28"/>
                        <w:szCs w:val="28"/>
                      </w:rPr>
                      <w:t>1</w:t>
                    </w:r>
                    <w:r>
                      <w:rPr>
                        <w:rStyle w:val="33"/>
                        <w:rFonts w:ascii="宋体" w:hAnsi="宋体"/>
                        <w:sz w:val="28"/>
                        <w:szCs w:val="28"/>
                      </w:rPr>
                      <w:fldChar w:fldCharType="end"/>
                    </w:r>
                    <w:r>
                      <w:rPr>
                        <w:rStyle w:val="33"/>
                        <w:rFonts w:ascii="宋体" w:hAnsi="宋体"/>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ofIv8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HyL/KwIAAFcEAAAOAAAAAAAAAAEAIAAAAB8BAABkcnMvZTJvRG9jLnhtbFBLBQYAAAAABgAG&#10;AFkBAAC8BQAAAAA=&#10;">
              <v:fill on="f" focussize="0,0"/>
              <v:stroke on="f" weight="0.5pt"/>
              <v:imagedata o:title=""/>
              <o:lock v:ext="edit" aspectratio="f"/>
              <v:textbox inset="0mm,0mm,0mm,0mm" style="mso-fit-shape-to-text:t;">
                <w:txbxContent>
                  <w:p>
                    <w:pPr>
                      <w:pStyle w:val="17"/>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w:rPr>
        <w:sz w:val="18"/>
      </w:rP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7"/>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360" w:firstLine="360"/>
      <w:jc w:val="center"/>
    </w:pPr>
    <w: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t xml:space="preserve">— </w:t>
                          </w:r>
                          <w:r>
                            <w:fldChar w:fldCharType="begin"/>
                          </w:r>
                          <w:r>
                            <w:instrText xml:space="preserve"> PAGE  \* MERGEFORMAT </w:instrText>
                          </w:r>
                          <w:r>
                            <w:fldChar w:fldCharType="separate"/>
                          </w:r>
                          <w:r>
                            <w:t>65</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svHiU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3V+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svHiUtAgAAVwQAAA4AAAAAAAAAAQAgAAAAHwEAAGRycy9lMm9Eb2MueG1sUEsFBgAAAAAG&#10;AAYAWQEAAL4FAAAAAA==&#10;">
              <v:fill on="f" focussize="0,0"/>
              <v:stroke on="f" weight="0.5pt"/>
              <v:imagedata o:title=""/>
              <o:lock v:ext="edit" aspectratio="f"/>
              <v:textbox inset="0mm,0mm,0mm,0mm" style="mso-fit-shape-to-text:t;">
                <w:txbxContent>
                  <w:p>
                    <w:pPr>
                      <w:pStyle w:val="17"/>
                    </w:pPr>
                    <w:r>
                      <w:t xml:space="preserve">— </w:t>
                    </w:r>
                    <w:r>
                      <w:fldChar w:fldCharType="begin"/>
                    </w:r>
                    <w:r>
                      <w:instrText xml:space="preserve"> PAGE  \* MERGEFORMAT </w:instrText>
                    </w:r>
                    <w:r>
                      <w:fldChar w:fldCharType="separate"/>
                    </w:r>
                    <w:r>
                      <w:t>65</w:t>
                    </w:r>
                    <w:r>
                      <w:fldChar w:fldCharType="end"/>
                    </w:r>
                    <w: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k4MTBjZDA2MDUzZWZkODQ1ZmNlYzA2YzhkMzhiOWQifQ=="/>
  </w:docVars>
  <w:rsids>
    <w:rsidRoot w:val="00172A27"/>
    <w:rsid w:val="000020E9"/>
    <w:rsid w:val="000036B5"/>
    <w:rsid w:val="00003F84"/>
    <w:rsid w:val="000044CE"/>
    <w:rsid w:val="00005C6F"/>
    <w:rsid w:val="000060B3"/>
    <w:rsid w:val="00006812"/>
    <w:rsid w:val="000109FF"/>
    <w:rsid w:val="00011EC8"/>
    <w:rsid w:val="0001309C"/>
    <w:rsid w:val="000130D4"/>
    <w:rsid w:val="00013B1A"/>
    <w:rsid w:val="000154A0"/>
    <w:rsid w:val="000154F6"/>
    <w:rsid w:val="00016BE8"/>
    <w:rsid w:val="00020A45"/>
    <w:rsid w:val="0002142D"/>
    <w:rsid w:val="000227AD"/>
    <w:rsid w:val="000234D3"/>
    <w:rsid w:val="00023B57"/>
    <w:rsid w:val="000242A4"/>
    <w:rsid w:val="00026597"/>
    <w:rsid w:val="00026C91"/>
    <w:rsid w:val="00026FA2"/>
    <w:rsid w:val="00027416"/>
    <w:rsid w:val="0003020E"/>
    <w:rsid w:val="000307BC"/>
    <w:rsid w:val="00030CD3"/>
    <w:rsid w:val="00031425"/>
    <w:rsid w:val="000332A8"/>
    <w:rsid w:val="0004364B"/>
    <w:rsid w:val="00044CA0"/>
    <w:rsid w:val="00044F23"/>
    <w:rsid w:val="000456F3"/>
    <w:rsid w:val="00046192"/>
    <w:rsid w:val="00046832"/>
    <w:rsid w:val="000469BD"/>
    <w:rsid w:val="00046DEB"/>
    <w:rsid w:val="000473E5"/>
    <w:rsid w:val="0004746C"/>
    <w:rsid w:val="00047611"/>
    <w:rsid w:val="00047AAF"/>
    <w:rsid w:val="0005041A"/>
    <w:rsid w:val="00051272"/>
    <w:rsid w:val="00051DB7"/>
    <w:rsid w:val="00052EEB"/>
    <w:rsid w:val="00055C2B"/>
    <w:rsid w:val="000562B0"/>
    <w:rsid w:val="00056653"/>
    <w:rsid w:val="0005706F"/>
    <w:rsid w:val="00061302"/>
    <w:rsid w:val="00061B1F"/>
    <w:rsid w:val="00063098"/>
    <w:rsid w:val="00063503"/>
    <w:rsid w:val="00063E1D"/>
    <w:rsid w:val="00063FC5"/>
    <w:rsid w:val="00064061"/>
    <w:rsid w:val="0006449A"/>
    <w:rsid w:val="00065CB5"/>
    <w:rsid w:val="0006666B"/>
    <w:rsid w:val="000667E1"/>
    <w:rsid w:val="00066F6A"/>
    <w:rsid w:val="00070744"/>
    <w:rsid w:val="00071539"/>
    <w:rsid w:val="00073201"/>
    <w:rsid w:val="000733C4"/>
    <w:rsid w:val="00074783"/>
    <w:rsid w:val="000747C5"/>
    <w:rsid w:val="00076754"/>
    <w:rsid w:val="00076757"/>
    <w:rsid w:val="00076812"/>
    <w:rsid w:val="0008070B"/>
    <w:rsid w:val="000810AC"/>
    <w:rsid w:val="00081A02"/>
    <w:rsid w:val="00082231"/>
    <w:rsid w:val="00083B1F"/>
    <w:rsid w:val="0008535F"/>
    <w:rsid w:val="00086804"/>
    <w:rsid w:val="00090394"/>
    <w:rsid w:val="00090509"/>
    <w:rsid w:val="00091422"/>
    <w:rsid w:val="0009149A"/>
    <w:rsid w:val="00092D38"/>
    <w:rsid w:val="0009377B"/>
    <w:rsid w:val="00093AB9"/>
    <w:rsid w:val="00096F54"/>
    <w:rsid w:val="00097887"/>
    <w:rsid w:val="00097D06"/>
    <w:rsid w:val="000A120E"/>
    <w:rsid w:val="000A20C9"/>
    <w:rsid w:val="000A2FA2"/>
    <w:rsid w:val="000A3C6F"/>
    <w:rsid w:val="000A49F9"/>
    <w:rsid w:val="000A522D"/>
    <w:rsid w:val="000A53CB"/>
    <w:rsid w:val="000A5E3E"/>
    <w:rsid w:val="000A65FE"/>
    <w:rsid w:val="000A6FD4"/>
    <w:rsid w:val="000A7416"/>
    <w:rsid w:val="000A7519"/>
    <w:rsid w:val="000B052F"/>
    <w:rsid w:val="000B058F"/>
    <w:rsid w:val="000B3245"/>
    <w:rsid w:val="000B4467"/>
    <w:rsid w:val="000B47E8"/>
    <w:rsid w:val="000B4DB9"/>
    <w:rsid w:val="000B62EE"/>
    <w:rsid w:val="000B63F0"/>
    <w:rsid w:val="000B7ADD"/>
    <w:rsid w:val="000C0755"/>
    <w:rsid w:val="000C09AC"/>
    <w:rsid w:val="000C26DA"/>
    <w:rsid w:val="000C2DC7"/>
    <w:rsid w:val="000C31F6"/>
    <w:rsid w:val="000C3B67"/>
    <w:rsid w:val="000C66C5"/>
    <w:rsid w:val="000C6F2A"/>
    <w:rsid w:val="000C767F"/>
    <w:rsid w:val="000C7DA4"/>
    <w:rsid w:val="000D031E"/>
    <w:rsid w:val="000D426E"/>
    <w:rsid w:val="000D497A"/>
    <w:rsid w:val="000D55B8"/>
    <w:rsid w:val="000D5A44"/>
    <w:rsid w:val="000D5FDB"/>
    <w:rsid w:val="000D642E"/>
    <w:rsid w:val="000D7127"/>
    <w:rsid w:val="000E0C4F"/>
    <w:rsid w:val="000E0C91"/>
    <w:rsid w:val="000E131B"/>
    <w:rsid w:val="000E2C43"/>
    <w:rsid w:val="000E32FF"/>
    <w:rsid w:val="000E3ED2"/>
    <w:rsid w:val="000E5ED5"/>
    <w:rsid w:val="000E6F5D"/>
    <w:rsid w:val="000E7291"/>
    <w:rsid w:val="000F00C0"/>
    <w:rsid w:val="000F01C1"/>
    <w:rsid w:val="000F0F2C"/>
    <w:rsid w:val="000F235C"/>
    <w:rsid w:val="000F2C4F"/>
    <w:rsid w:val="000F31E4"/>
    <w:rsid w:val="000F327B"/>
    <w:rsid w:val="000F36A6"/>
    <w:rsid w:val="000F38D6"/>
    <w:rsid w:val="000F3FEB"/>
    <w:rsid w:val="000F7E43"/>
    <w:rsid w:val="00101C4E"/>
    <w:rsid w:val="00102FB4"/>
    <w:rsid w:val="00103979"/>
    <w:rsid w:val="00107A76"/>
    <w:rsid w:val="00107B37"/>
    <w:rsid w:val="0011072B"/>
    <w:rsid w:val="001112AE"/>
    <w:rsid w:val="00112863"/>
    <w:rsid w:val="00112E30"/>
    <w:rsid w:val="001142F7"/>
    <w:rsid w:val="00116344"/>
    <w:rsid w:val="001219EA"/>
    <w:rsid w:val="00121B4A"/>
    <w:rsid w:val="00130F48"/>
    <w:rsid w:val="00131EC5"/>
    <w:rsid w:val="00131F42"/>
    <w:rsid w:val="00132ABC"/>
    <w:rsid w:val="00133357"/>
    <w:rsid w:val="001357F1"/>
    <w:rsid w:val="00136CD7"/>
    <w:rsid w:val="00140CB0"/>
    <w:rsid w:val="00140FA8"/>
    <w:rsid w:val="00142FEB"/>
    <w:rsid w:val="00143A2D"/>
    <w:rsid w:val="00144B6F"/>
    <w:rsid w:val="00145A41"/>
    <w:rsid w:val="001467A2"/>
    <w:rsid w:val="00151675"/>
    <w:rsid w:val="0015358F"/>
    <w:rsid w:val="00153725"/>
    <w:rsid w:val="001537B6"/>
    <w:rsid w:val="00157435"/>
    <w:rsid w:val="00161C36"/>
    <w:rsid w:val="00162657"/>
    <w:rsid w:val="00163418"/>
    <w:rsid w:val="00163FD1"/>
    <w:rsid w:val="00164361"/>
    <w:rsid w:val="001656F4"/>
    <w:rsid w:val="00167009"/>
    <w:rsid w:val="001676FD"/>
    <w:rsid w:val="00167C4B"/>
    <w:rsid w:val="001709BF"/>
    <w:rsid w:val="00173793"/>
    <w:rsid w:val="00174025"/>
    <w:rsid w:val="0017504D"/>
    <w:rsid w:val="001761EA"/>
    <w:rsid w:val="0017671A"/>
    <w:rsid w:val="00176787"/>
    <w:rsid w:val="00177422"/>
    <w:rsid w:val="00177FEA"/>
    <w:rsid w:val="0018004B"/>
    <w:rsid w:val="001828CB"/>
    <w:rsid w:val="001837F1"/>
    <w:rsid w:val="0018429E"/>
    <w:rsid w:val="00184590"/>
    <w:rsid w:val="00184EDE"/>
    <w:rsid w:val="00185257"/>
    <w:rsid w:val="00186354"/>
    <w:rsid w:val="001870D1"/>
    <w:rsid w:val="0018781E"/>
    <w:rsid w:val="00191EAD"/>
    <w:rsid w:val="0019262D"/>
    <w:rsid w:val="00192DCE"/>
    <w:rsid w:val="001942ED"/>
    <w:rsid w:val="001948A0"/>
    <w:rsid w:val="0019571B"/>
    <w:rsid w:val="00196976"/>
    <w:rsid w:val="001970A7"/>
    <w:rsid w:val="001971AB"/>
    <w:rsid w:val="001A1B35"/>
    <w:rsid w:val="001A3466"/>
    <w:rsid w:val="001A3B1C"/>
    <w:rsid w:val="001A48A2"/>
    <w:rsid w:val="001A57EF"/>
    <w:rsid w:val="001A5F7A"/>
    <w:rsid w:val="001A6796"/>
    <w:rsid w:val="001A6F61"/>
    <w:rsid w:val="001A7A0B"/>
    <w:rsid w:val="001B0162"/>
    <w:rsid w:val="001B09EC"/>
    <w:rsid w:val="001B4370"/>
    <w:rsid w:val="001B6C51"/>
    <w:rsid w:val="001B7110"/>
    <w:rsid w:val="001B72B8"/>
    <w:rsid w:val="001B7EED"/>
    <w:rsid w:val="001C0BA1"/>
    <w:rsid w:val="001C24B4"/>
    <w:rsid w:val="001C29ED"/>
    <w:rsid w:val="001C3FE8"/>
    <w:rsid w:val="001C5ACE"/>
    <w:rsid w:val="001C65C4"/>
    <w:rsid w:val="001C69B3"/>
    <w:rsid w:val="001C720E"/>
    <w:rsid w:val="001C7F4A"/>
    <w:rsid w:val="001D0516"/>
    <w:rsid w:val="001D0C12"/>
    <w:rsid w:val="001D232D"/>
    <w:rsid w:val="001D27C5"/>
    <w:rsid w:val="001D288D"/>
    <w:rsid w:val="001D370E"/>
    <w:rsid w:val="001D3750"/>
    <w:rsid w:val="001D5595"/>
    <w:rsid w:val="001D5F0E"/>
    <w:rsid w:val="001D6D61"/>
    <w:rsid w:val="001D7874"/>
    <w:rsid w:val="001D7F22"/>
    <w:rsid w:val="001E12D2"/>
    <w:rsid w:val="001E34F7"/>
    <w:rsid w:val="001E3E75"/>
    <w:rsid w:val="001E4EF9"/>
    <w:rsid w:val="001E58C4"/>
    <w:rsid w:val="001E6365"/>
    <w:rsid w:val="001E6E6C"/>
    <w:rsid w:val="001E71CE"/>
    <w:rsid w:val="001E7EA2"/>
    <w:rsid w:val="001F0F17"/>
    <w:rsid w:val="001F2905"/>
    <w:rsid w:val="001F301B"/>
    <w:rsid w:val="001F3347"/>
    <w:rsid w:val="001F69E4"/>
    <w:rsid w:val="001F70DA"/>
    <w:rsid w:val="001F796C"/>
    <w:rsid w:val="001F7ADF"/>
    <w:rsid w:val="001F7CC6"/>
    <w:rsid w:val="002007EE"/>
    <w:rsid w:val="002021B3"/>
    <w:rsid w:val="00203FAE"/>
    <w:rsid w:val="00204FB2"/>
    <w:rsid w:val="00206247"/>
    <w:rsid w:val="002108F4"/>
    <w:rsid w:val="00211533"/>
    <w:rsid w:val="002118DD"/>
    <w:rsid w:val="00211E85"/>
    <w:rsid w:val="002120D9"/>
    <w:rsid w:val="002125B4"/>
    <w:rsid w:val="0021373E"/>
    <w:rsid w:val="00214A5C"/>
    <w:rsid w:val="00215405"/>
    <w:rsid w:val="002155B8"/>
    <w:rsid w:val="002160DE"/>
    <w:rsid w:val="00216D73"/>
    <w:rsid w:val="0021793B"/>
    <w:rsid w:val="00217D6E"/>
    <w:rsid w:val="00217FFD"/>
    <w:rsid w:val="00220E93"/>
    <w:rsid w:val="00222BAE"/>
    <w:rsid w:val="00224839"/>
    <w:rsid w:val="002249B2"/>
    <w:rsid w:val="00224F66"/>
    <w:rsid w:val="002255CA"/>
    <w:rsid w:val="00226366"/>
    <w:rsid w:val="00226574"/>
    <w:rsid w:val="002278EC"/>
    <w:rsid w:val="00231A03"/>
    <w:rsid w:val="0023280E"/>
    <w:rsid w:val="00233D8B"/>
    <w:rsid w:val="002377D1"/>
    <w:rsid w:val="00240EB8"/>
    <w:rsid w:val="0024153B"/>
    <w:rsid w:val="00241CDB"/>
    <w:rsid w:val="00243143"/>
    <w:rsid w:val="00245E25"/>
    <w:rsid w:val="002506BC"/>
    <w:rsid w:val="00250729"/>
    <w:rsid w:val="00253385"/>
    <w:rsid w:val="002542F3"/>
    <w:rsid w:val="00254345"/>
    <w:rsid w:val="0025448B"/>
    <w:rsid w:val="002547BF"/>
    <w:rsid w:val="002555D5"/>
    <w:rsid w:val="002565C8"/>
    <w:rsid w:val="00257E41"/>
    <w:rsid w:val="002600E6"/>
    <w:rsid w:val="002601F8"/>
    <w:rsid w:val="00260230"/>
    <w:rsid w:val="00264384"/>
    <w:rsid w:val="00264557"/>
    <w:rsid w:val="002646B3"/>
    <w:rsid w:val="002653EE"/>
    <w:rsid w:val="0026765D"/>
    <w:rsid w:val="00270724"/>
    <w:rsid w:val="00270C48"/>
    <w:rsid w:val="002712A8"/>
    <w:rsid w:val="00272746"/>
    <w:rsid w:val="00272D1E"/>
    <w:rsid w:val="00274811"/>
    <w:rsid w:val="0027631A"/>
    <w:rsid w:val="00276518"/>
    <w:rsid w:val="002805AB"/>
    <w:rsid w:val="0028085F"/>
    <w:rsid w:val="002820F3"/>
    <w:rsid w:val="002840F2"/>
    <w:rsid w:val="00284204"/>
    <w:rsid w:val="00284827"/>
    <w:rsid w:val="002856DD"/>
    <w:rsid w:val="0028692B"/>
    <w:rsid w:val="00286DB7"/>
    <w:rsid w:val="00291061"/>
    <w:rsid w:val="00291176"/>
    <w:rsid w:val="00291773"/>
    <w:rsid w:val="00291FB8"/>
    <w:rsid w:val="0029322A"/>
    <w:rsid w:val="002944EB"/>
    <w:rsid w:val="002962BE"/>
    <w:rsid w:val="0029764C"/>
    <w:rsid w:val="002A06AC"/>
    <w:rsid w:val="002A0CF2"/>
    <w:rsid w:val="002A153A"/>
    <w:rsid w:val="002A168C"/>
    <w:rsid w:val="002A3390"/>
    <w:rsid w:val="002A3DC7"/>
    <w:rsid w:val="002A5762"/>
    <w:rsid w:val="002A7060"/>
    <w:rsid w:val="002A7F82"/>
    <w:rsid w:val="002B0EFB"/>
    <w:rsid w:val="002B1335"/>
    <w:rsid w:val="002B302F"/>
    <w:rsid w:val="002B49E2"/>
    <w:rsid w:val="002B51E0"/>
    <w:rsid w:val="002B5E31"/>
    <w:rsid w:val="002B7380"/>
    <w:rsid w:val="002B7668"/>
    <w:rsid w:val="002B7987"/>
    <w:rsid w:val="002B7B00"/>
    <w:rsid w:val="002B7C44"/>
    <w:rsid w:val="002C084F"/>
    <w:rsid w:val="002C2B17"/>
    <w:rsid w:val="002C2C79"/>
    <w:rsid w:val="002C566F"/>
    <w:rsid w:val="002D01CF"/>
    <w:rsid w:val="002D25AD"/>
    <w:rsid w:val="002D278E"/>
    <w:rsid w:val="002D3522"/>
    <w:rsid w:val="002D3C6C"/>
    <w:rsid w:val="002D3DD0"/>
    <w:rsid w:val="002D62FC"/>
    <w:rsid w:val="002E16C3"/>
    <w:rsid w:val="002E1F3A"/>
    <w:rsid w:val="002E298A"/>
    <w:rsid w:val="002E3E53"/>
    <w:rsid w:val="002E6884"/>
    <w:rsid w:val="002E718B"/>
    <w:rsid w:val="002F0B0D"/>
    <w:rsid w:val="002F3079"/>
    <w:rsid w:val="002F34D4"/>
    <w:rsid w:val="002F3B95"/>
    <w:rsid w:val="002F4F7D"/>
    <w:rsid w:val="002F583E"/>
    <w:rsid w:val="002F7C79"/>
    <w:rsid w:val="00300631"/>
    <w:rsid w:val="00301373"/>
    <w:rsid w:val="00301978"/>
    <w:rsid w:val="003024FE"/>
    <w:rsid w:val="003032B9"/>
    <w:rsid w:val="0030332C"/>
    <w:rsid w:val="00304562"/>
    <w:rsid w:val="003048BB"/>
    <w:rsid w:val="00304BBE"/>
    <w:rsid w:val="0030511B"/>
    <w:rsid w:val="003051C2"/>
    <w:rsid w:val="003057D4"/>
    <w:rsid w:val="00306A51"/>
    <w:rsid w:val="003077E7"/>
    <w:rsid w:val="00310894"/>
    <w:rsid w:val="00311C90"/>
    <w:rsid w:val="00312296"/>
    <w:rsid w:val="00312D3B"/>
    <w:rsid w:val="0031398C"/>
    <w:rsid w:val="00314F0E"/>
    <w:rsid w:val="003152F6"/>
    <w:rsid w:val="003173BD"/>
    <w:rsid w:val="003175A6"/>
    <w:rsid w:val="00317805"/>
    <w:rsid w:val="003212AC"/>
    <w:rsid w:val="00321D8E"/>
    <w:rsid w:val="003222B7"/>
    <w:rsid w:val="00322D52"/>
    <w:rsid w:val="00322F73"/>
    <w:rsid w:val="00324E6E"/>
    <w:rsid w:val="00325928"/>
    <w:rsid w:val="00327340"/>
    <w:rsid w:val="00330BA5"/>
    <w:rsid w:val="00331556"/>
    <w:rsid w:val="00331CC7"/>
    <w:rsid w:val="0033269C"/>
    <w:rsid w:val="00332863"/>
    <w:rsid w:val="00334106"/>
    <w:rsid w:val="00335129"/>
    <w:rsid w:val="0033684D"/>
    <w:rsid w:val="00337023"/>
    <w:rsid w:val="003372FF"/>
    <w:rsid w:val="00337B42"/>
    <w:rsid w:val="003401AD"/>
    <w:rsid w:val="00340C63"/>
    <w:rsid w:val="00341B42"/>
    <w:rsid w:val="003428D9"/>
    <w:rsid w:val="0034348F"/>
    <w:rsid w:val="003434B0"/>
    <w:rsid w:val="00344211"/>
    <w:rsid w:val="00347CA7"/>
    <w:rsid w:val="00350722"/>
    <w:rsid w:val="00352077"/>
    <w:rsid w:val="003535FE"/>
    <w:rsid w:val="00353D0F"/>
    <w:rsid w:val="00356653"/>
    <w:rsid w:val="0035743F"/>
    <w:rsid w:val="00357BE2"/>
    <w:rsid w:val="0036170C"/>
    <w:rsid w:val="00361DCF"/>
    <w:rsid w:val="00362596"/>
    <w:rsid w:val="003632FE"/>
    <w:rsid w:val="003633A1"/>
    <w:rsid w:val="00366E0F"/>
    <w:rsid w:val="00367A73"/>
    <w:rsid w:val="0037040B"/>
    <w:rsid w:val="003706A6"/>
    <w:rsid w:val="003713C1"/>
    <w:rsid w:val="003714BC"/>
    <w:rsid w:val="0037286C"/>
    <w:rsid w:val="00372AF7"/>
    <w:rsid w:val="00373F19"/>
    <w:rsid w:val="003753E6"/>
    <w:rsid w:val="00375518"/>
    <w:rsid w:val="00377D9F"/>
    <w:rsid w:val="003813AF"/>
    <w:rsid w:val="00381A72"/>
    <w:rsid w:val="00381DC4"/>
    <w:rsid w:val="00384676"/>
    <w:rsid w:val="00385239"/>
    <w:rsid w:val="00385332"/>
    <w:rsid w:val="00385C8C"/>
    <w:rsid w:val="00390857"/>
    <w:rsid w:val="00390C24"/>
    <w:rsid w:val="00391327"/>
    <w:rsid w:val="00393FFD"/>
    <w:rsid w:val="00394ED0"/>
    <w:rsid w:val="003978CD"/>
    <w:rsid w:val="003A1500"/>
    <w:rsid w:val="003A1617"/>
    <w:rsid w:val="003A1896"/>
    <w:rsid w:val="003A2709"/>
    <w:rsid w:val="003A39FD"/>
    <w:rsid w:val="003A4BF3"/>
    <w:rsid w:val="003A4D68"/>
    <w:rsid w:val="003A5077"/>
    <w:rsid w:val="003A517E"/>
    <w:rsid w:val="003A6BD4"/>
    <w:rsid w:val="003A73E0"/>
    <w:rsid w:val="003A758F"/>
    <w:rsid w:val="003B0C13"/>
    <w:rsid w:val="003B24BC"/>
    <w:rsid w:val="003B30A6"/>
    <w:rsid w:val="003B399F"/>
    <w:rsid w:val="003B420D"/>
    <w:rsid w:val="003B46E0"/>
    <w:rsid w:val="003C02AF"/>
    <w:rsid w:val="003C0A43"/>
    <w:rsid w:val="003C1AE5"/>
    <w:rsid w:val="003C1FCF"/>
    <w:rsid w:val="003C2080"/>
    <w:rsid w:val="003C298B"/>
    <w:rsid w:val="003C39C5"/>
    <w:rsid w:val="003C5321"/>
    <w:rsid w:val="003C5B0B"/>
    <w:rsid w:val="003C6C16"/>
    <w:rsid w:val="003C749B"/>
    <w:rsid w:val="003D0AC2"/>
    <w:rsid w:val="003D13B7"/>
    <w:rsid w:val="003D18C3"/>
    <w:rsid w:val="003D19D4"/>
    <w:rsid w:val="003D1CB4"/>
    <w:rsid w:val="003D2117"/>
    <w:rsid w:val="003D3D3E"/>
    <w:rsid w:val="003D4E7A"/>
    <w:rsid w:val="003D5AA4"/>
    <w:rsid w:val="003D5D8C"/>
    <w:rsid w:val="003D6A56"/>
    <w:rsid w:val="003D6EBD"/>
    <w:rsid w:val="003D7899"/>
    <w:rsid w:val="003D794D"/>
    <w:rsid w:val="003D7B55"/>
    <w:rsid w:val="003E0B63"/>
    <w:rsid w:val="003E1699"/>
    <w:rsid w:val="003E247E"/>
    <w:rsid w:val="003E2F81"/>
    <w:rsid w:val="003E3058"/>
    <w:rsid w:val="003E306F"/>
    <w:rsid w:val="003E76A9"/>
    <w:rsid w:val="003F0809"/>
    <w:rsid w:val="003F14B0"/>
    <w:rsid w:val="003F19FD"/>
    <w:rsid w:val="003F223A"/>
    <w:rsid w:val="003F32C3"/>
    <w:rsid w:val="003F33C8"/>
    <w:rsid w:val="003F4C5D"/>
    <w:rsid w:val="003F5030"/>
    <w:rsid w:val="003F6A8C"/>
    <w:rsid w:val="003F755C"/>
    <w:rsid w:val="003F7D7F"/>
    <w:rsid w:val="003F7FBD"/>
    <w:rsid w:val="00400056"/>
    <w:rsid w:val="00400111"/>
    <w:rsid w:val="004006D8"/>
    <w:rsid w:val="00401E77"/>
    <w:rsid w:val="00402DD3"/>
    <w:rsid w:val="00403374"/>
    <w:rsid w:val="00403A60"/>
    <w:rsid w:val="00404582"/>
    <w:rsid w:val="00406F01"/>
    <w:rsid w:val="00410300"/>
    <w:rsid w:val="00410D2F"/>
    <w:rsid w:val="00412EDE"/>
    <w:rsid w:val="0041378C"/>
    <w:rsid w:val="004143F7"/>
    <w:rsid w:val="00414F0F"/>
    <w:rsid w:val="004165FE"/>
    <w:rsid w:val="00416D50"/>
    <w:rsid w:val="00416F72"/>
    <w:rsid w:val="00416FD5"/>
    <w:rsid w:val="00417772"/>
    <w:rsid w:val="004179E3"/>
    <w:rsid w:val="00420238"/>
    <w:rsid w:val="0042046C"/>
    <w:rsid w:val="00420E6A"/>
    <w:rsid w:val="0042580D"/>
    <w:rsid w:val="00425A9E"/>
    <w:rsid w:val="00426445"/>
    <w:rsid w:val="00426D6B"/>
    <w:rsid w:val="00427E9E"/>
    <w:rsid w:val="004310C4"/>
    <w:rsid w:val="004318A0"/>
    <w:rsid w:val="00431E6C"/>
    <w:rsid w:val="00432895"/>
    <w:rsid w:val="00433CE7"/>
    <w:rsid w:val="004346F7"/>
    <w:rsid w:val="0043479D"/>
    <w:rsid w:val="0044078E"/>
    <w:rsid w:val="004444A0"/>
    <w:rsid w:val="004457F6"/>
    <w:rsid w:val="00445A7B"/>
    <w:rsid w:val="00447228"/>
    <w:rsid w:val="00450DD5"/>
    <w:rsid w:val="00450ECD"/>
    <w:rsid w:val="00452738"/>
    <w:rsid w:val="00454825"/>
    <w:rsid w:val="004552F9"/>
    <w:rsid w:val="0045548C"/>
    <w:rsid w:val="00456091"/>
    <w:rsid w:val="00456AE6"/>
    <w:rsid w:val="00457861"/>
    <w:rsid w:val="00457D93"/>
    <w:rsid w:val="0046134F"/>
    <w:rsid w:val="00461EC1"/>
    <w:rsid w:val="00461EE0"/>
    <w:rsid w:val="00462722"/>
    <w:rsid w:val="00464639"/>
    <w:rsid w:val="00465E88"/>
    <w:rsid w:val="00465F3F"/>
    <w:rsid w:val="00466321"/>
    <w:rsid w:val="00467F33"/>
    <w:rsid w:val="00470D2B"/>
    <w:rsid w:val="00470DD3"/>
    <w:rsid w:val="00471406"/>
    <w:rsid w:val="00472E61"/>
    <w:rsid w:val="004744B5"/>
    <w:rsid w:val="004761C5"/>
    <w:rsid w:val="00476E09"/>
    <w:rsid w:val="004803B5"/>
    <w:rsid w:val="00481EBA"/>
    <w:rsid w:val="00481F39"/>
    <w:rsid w:val="00482210"/>
    <w:rsid w:val="00482DF3"/>
    <w:rsid w:val="00484B9B"/>
    <w:rsid w:val="00485196"/>
    <w:rsid w:val="004855F6"/>
    <w:rsid w:val="0048661E"/>
    <w:rsid w:val="0048696E"/>
    <w:rsid w:val="004877CF"/>
    <w:rsid w:val="00487F45"/>
    <w:rsid w:val="0049126D"/>
    <w:rsid w:val="0049135C"/>
    <w:rsid w:val="004916D0"/>
    <w:rsid w:val="004922BD"/>
    <w:rsid w:val="004943B5"/>
    <w:rsid w:val="00494670"/>
    <w:rsid w:val="00494FFB"/>
    <w:rsid w:val="00495017"/>
    <w:rsid w:val="004A0395"/>
    <w:rsid w:val="004A3473"/>
    <w:rsid w:val="004A3823"/>
    <w:rsid w:val="004A3F43"/>
    <w:rsid w:val="004A45EE"/>
    <w:rsid w:val="004A495A"/>
    <w:rsid w:val="004A53BB"/>
    <w:rsid w:val="004A6E72"/>
    <w:rsid w:val="004A766C"/>
    <w:rsid w:val="004B090F"/>
    <w:rsid w:val="004B1367"/>
    <w:rsid w:val="004B170C"/>
    <w:rsid w:val="004B1760"/>
    <w:rsid w:val="004B26AE"/>
    <w:rsid w:val="004B274C"/>
    <w:rsid w:val="004B3E0A"/>
    <w:rsid w:val="004B4227"/>
    <w:rsid w:val="004B581C"/>
    <w:rsid w:val="004B6F46"/>
    <w:rsid w:val="004B7110"/>
    <w:rsid w:val="004C1F59"/>
    <w:rsid w:val="004C1FCF"/>
    <w:rsid w:val="004C3148"/>
    <w:rsid w:val="004C77B6"/>
    <w:rsid w:val="004D0785"/>
    <w:rsid w:val="004D0A0C"/>
    <w:rsid w:val="004D1165"/>
    <w:rsid w:val="004D5686"/>
    <w:rsid w:val="004D7BEE"/>
    <w:rsid w:val="004D7BFC"/>
    <w:rsid w:val="004E05A2"/>
    <w:rsid w:val="004E4E51"/>
    <w:rsid w:val="004E6946"/>
    <w:rsid w:val="004E7C00"/>
    <w:rsid w:val="004F063A"/>
    <w:rsid w:val="004F1575"/>
    <w:rsid w:val="004F1AD8"/>
    <w:rsid w:val="004F1C86"/>
    <w:rsid w:val="004F212F"/>
    <w:rsid w:val="004F25AB"/>
    <w:rsid w:val="004F3AAA"/>
    <w:rsid w:val="004F3C73"/>
    <w:rsid w:val="004F4CB7"/>
    <w:rsid w:val="004F4D4F"/>
    <w:rsid w:val="004F6C6D"/>
    <w:rsid w:val="005006CD"/>
    <w:rsid w:val="00500CC7"/>
    <w:rsid w:val="005012D3"/>
    <w:rsid w:val="00501AB4"/>
    <w:rsid w:val="005039CB"/>
    <w:rsid w:val="00503E9C"/>
    <w:rsid w:val="0050558F"/>
    <w:rsid w:val="0050580F"/>
    <w:rsid w:val="00505FC1"/>
    <w:rsid w:val="00506286"/>
    <w:rsid w:val="00507C9D"/>
    <w:rsid w:val="00510813"/>
    <w:rsid w:val="005109B2"/>
    <w:rsid w:val="00511450"/>
    <w:rsid w:val="00511990"/>
    <w:rsid w:val="00511DE0"/>
    <w:rsid w:val="00514870"/>
    <w:rsid w:val="00514B9B"/>
    <w:rsid w:val="00515081"/>
    <w:rsid w:val="00517F02"/>
    <w:rsid w:val="00521E37"/>
    <w:rsid w:val="00524303"/>
    <w:rsid w:val="005258A2"/>
    <w:rsid w:val="005266BF"/>
    <w:rsid w:val="005347E2"/>
    <w:rsid w:val="005359CC"/>
    <w:rsid w:val="00536F41"/>
    <w:rsid w:val="00537977"/>
    <w:rsid w:val="005401AE"/>
    <w:rsid w:val="005406B3"/>
    <w:rsid w:val="00541F90"/>
    <w:rsid w:val="005426E2"/>
    <w:rsid w:val="00542916"/>
    <w:rsid w:val="00542E07"/>
    <w:rsid w:val="0054422A"/>
    <w:rsid w:val="00545424"/>
    <w:rsid w:val="00551005"/>
    <w:rsid w:val="005524D5"/>
    <w:rsid w:val="00554A7B"/>
    <w:rsid w:val="0055572C"/>
    <w:rsid w:val="00555CA3"/>
    <w:rsid w:val="0055656C"/>
    <w:rsid w:val="00556B60"/>
    <w:rsid w:val="005576DD"/>
    <w:rsid w:val="005605FE"/>
    <w:rsid w:val="0056071F"/>
    <w:rsid w:val="0056106A"/>
    <w:rsid w:val="00561FDA"/>
    <w:rsid w:val="005620AE"/>
    <w:rsid w:val="00562B45"/>
    <w:rsid w:val="005630AC"/>
    <w:rsid w:val="00563E83"/>
    <w:rsid w:val="00564994"/>
    <w:rsid w:val="0056672C"/>
    <w:rsid w:val="00566CD3"/>
    <w:rsid w:val="0056778A"/>
    <w:rsid w:val="005705E4"/>
    <w:rsid w:val="005720AE"/>
    <w:rsid w:val="00572757"/>
    <w:rsid w:val="00572860"/>
    <w:rsid w:val="005732D6"/>
    <w:rsid w:val="00573AF0"/>
    <w:rsid w:val="00573D3A"/>
    <w:rsid w:val="005749FA"/>
    <w:rsid w:val="005752C8"/>
    <w:rsid w:val="0058060A"/>
    <w:rsid w:val="0058094A"/>
    <w:rsid w:val="00581B46"/>
    <w:rsid w:val="00584693"/>
    <w:rsid w:val="005847EA"/>
    <w:rsid w:val="00586C26"/>
    <w:rsid w:val="00587801"/>
    <w:rsid w:val="00587DDC"/>
    <w:rsid w:val="0059011A"/>
    <w:rsid w:val="0059020A"/>
    <w:rsid w:val="00591BC5"/>
    <w:rsid w:val="0059278D"/>
    <w:rsid w:val="00593E38"/>
    <w:rsid w:val="00594D77"/>
    <w:rsid w:val="00594FF7"/>
    <w:rsid w:val="0059510D"/>
    <w:rsid w:val="005969E4"/>
    <w:rsid w:val="00596CA0"/>
    <w:rsid w:val="005A011A"/>
    <w:rsid w:val="005A0226"/>
    <w:rsid w:val="005A06B7"/>
    <w:rsid w:val="005A1759"/>
    <w:rsid w:val="005A1E01"/>
    <w:rsid w:val="005A269B"/>
    <w:rsid w:val="005A37BA"/>
    <w:rsid w:val="005A4071"/>
    <w:rsid w:val="005A4BC9"/>
    <w:rsid w:val="005A525E"/>
    <w:rsid w:val="005A5B6F"/>
    <w:rsid w:val="005A63E6"/>
    <w:rsid w:val="005A68A7"/>
    <w:rsid w:val="005A6ABD"/>
    <w:rsid w:val="005A6F8A"/>
    <w:rsid w:val="005B1D4D"/>
    <w:rsid w:val="005B3CF4"/>
    <w:rsid w:val="005B5119"/>
    <w:rsid w:val="005B7A70"/>
    <w:rsid w:val="005B7C8C"/>
    <w:rsid w:val="005C1431"/>
    <w:rsid w:val="005C2B84"/>
    <w:rsid w:val="005C3432"/>
    <w:rsid w:val="005C36C7"/>
    <w:rsid w:val="005C5AE9"/>
    <w:rsid w:val="005C5B41"/>
    <w:rsid w:val="005C7319"/>
    <w:rsid w:val="005C7947"/>
    <w:rsid w:val="005D0161"/>
    <w:rsid w:val="005D068F"/>
    <w:rsid w:val="005D0C1A"/>
    <w:rsid w:val="005D1949"/>
    <w:rsid w:val="005D2044"/>
    <w:rsid w:val="005D2F24"/>
    <w:rsid w:val="005D36AB"/>
    <w:rsid w:val="005D3C36"/>
    <w:rsid w:val="005E16C8"/>
    <w:rsid w:val="005E23AE"/>
    <w:rsid w:val="005E314D"/>
    <w:rsid w:val="005E320C"/>
    <w:rsid w:val="005E5561"/>
    <w:rsid w:val="005E66AC"/>
    <w:rsid w:val="005E736B"/>
    <w:rsid w:val="005F07A8"/>
    <w:rsid w:val="005F0E9C"/>
    <w:rsid w:val="005F11E5"/>
    <w:rsid w:val="005F2867"/>
    <w:rsid w:val="005F36BE"/>
    <w:rsid w:val="005F38B2"/>
    <w:rsid w:val="005F38F2"/>
    <w:rsid w:val="005F3E37"/>
    <w:rsid w:val="005F3E5F"/>
    <w:rsid w:val="005F5AE6"/>
    <w:rsid w:val="005F635F"/>
    <w:rsid w:val="005F6819"/>
    <w:rsid w:val="005F76B8"/>
    <w:rsid w:val="005F7B4E"/>
    <w:rsid w:val="0060482E"/>
    <w:rsid w:val="00605DFA"/>
    <w:rsid w:val="006074A1"/>
    <w:rsid w:val="006108F4"/>
    <w:rsid w:val="0061146A"/>
    <w:rsid w:val="00612EAE"/>
    <w:rsid w:val="00617232"/>
    <w:rsid w:val="00617CC3"/>
    <w:rsid w:val="0062517A"/>
    <w:rsid w:val="00625B6E"/>
    <w:rsid w:val="00625DE4"/>
    <w:rsid w:val="006303CE"/>
    <w:rsid w:val="00632730"/>
    <w:rsid w:val="00635303"/>
    <w:rsid w:val="006377A6"/>
    <w:rsid w:val="00637A3D"/>
    <w:rsid w:val="00637E38"/>
    <w:rsid w:val="006411EF"/>
    <w:rsid w:val="00641A46"/>
    <w:rsid w:val="0064370B"/>
    <w:rsid w:val="0064508E"/>
    <w:rsid w:val="0065038A"/>
    <w:rsid w:val="00652C8E"/>
    <w:rsid w:val="00652DEA"/>
    <w:rsid w:val="00653DFF"/>
    <w:rsid w:val="0065542A"/>
    <w:rsid w:val="006554F9"/>
    <w:rsid w:val="0065785E"/>
    <w:rsid w:val="00660152"/>
    <w:rsid w:val="00664858"/>
    <w:rsid w:val="00664D20"/>
    <w:rsid w:val="00666D8B"/>
    <w:rsid w:val="00667102"/>
    <w:rsid w:val="006678F8"/>
    <w:rsid w:val="00667FFA"/>
    <w:rsid w:val="006704E1"/>
    <w:rsid w:val="00670C7F"/>
    <w:rsid w:val="006728CD"/>
    <w:rsid w:val="00672F0C"/>
    <w:rsid w:val="006748B8"/>
    <w:rsid w:val="0067548A"/>
    <w:rsid w:val="00675930"/>
    <w:rsid w:val="006763C1"/>
    <w:rsid w:val="0067644D"/>
    <w:rsid w:val="006775C3"/>
    <w:rsid w:val="00680083"/>
    <w:rsid w:val="006835AA"/>
    <w:rsid w:val="00683ADF"/>
    <w:rsid w:val="00683BC8"/>
    <w:rsid w:val="006865CC"/>
    <w:rsid w:val="00686C3F"/>
    <w:rsid w:val="00686D48"/>
    <w:rsid w:val="00687AD8"/>
    <w:rsid w:val="00687D3E"/>
    <w:rsid w:val="00690BF6"/>
    <w:rsid w:val="00690C38"/>
    <w:rsid w:val="00691226"/>
    <w:rsid w:val="00691FC4"/>
    <w:rsid w:val="0069290A"/>
    <w:rsid w:val="00693227"/>
    <w:rsid w:val="006968F3"/>
    <w:rsid w:val="006973F0"/>
    <w:rsid w:val="0069775A"/>
    <w:rsid w:val="00697813"/>
    <w:rsid w:val="006A0DE7"/>
    <w:rsid w:val="006A11DD"/>
    <w:rsid w:val="006A2221"/>
    <w:rsid w:val="006A3EE8"/>
    <w:rsid w:val="006A4B08"/>
    <w:rsid w:val="006A4B16"/>
    <w:rsid w:val="006A50FB"/>
    <w:rsid w:val="006A5412"/>
    <w:rsid w:val="006A591F"/>
    <w:rsid w:val="006A72BF"/>
    <w:rsid w:val="006A7ED5"/>
    <w:rsid w:val="006B02B4"/>
    <w:rsid w:val="006B03E2"/>
    <w:rsid w:val="006B03F2"/>
    <w:rsid w:val="006B0678"/>
    <w:rsid w:val="006B076E"/>
    <w:rsid w:val="006B0987"/>
    <w:rsid w:val="006B0E36"/>
    <w:rsid w:val="006B0F63"/>
    <w:rsid w:val="006B10A4"/>
    <w:rsid w:val="006B1B8C"/>
    <w:rsid w:val="006B21A8"/>
    <w:rsid w:val="006B2CDE"/>
    <w:rsid w:val="006B37DC"/>
    <w:rsid w:val="006B4F68"/>
    <w:rsid w:val="006B5975"/>
    <w:rsid w:val="006B6A5D"/>
    <w:rsid w:val="006C0592"/>
    <w:rsid w:val="006C1AF7"/>
    <w:rsid w:val="006C2511"/>
    <w:rsid w:val="006C272E"/>
    <w:rsid w:val="006C38CD"/>
    <w:rsid w:val="006C5479"/>
    <w:rsid w:val="006C5848"/>
    <w:rsid w:val="006D0908"/>
    <w:rsid w:val="006D136E"/>
    <w:rsid w:val="006D13B5"/>
    <w:rsid w:val="006D1526"/>
    <w:rsid w:val="006D2CF2"/>
    <w:rsid w:val="006D3947"/>
    <w:rsid w:val="006D4D05"/>
    <w:rsid w:val="006D5246"/>
    <w:rsid w:val="006D52E8"/>
    <w:rsid w:val="006D54FC"/>
    <w:rsid w:val="006D6149"/>
    <w:rsid w:val="006D65D5"/>
    <w:rsid w:val="006E0095"/>
    <w:rsid w:val="006E12FF"/>
    <w:rsid w:val="006E607E"/>
    <w:rsid w:val="006F1625"/>
    <w:rsid w:val="006F2232"/>
    <w:rsid w:val="006F223E"/>
    <w:rsid w:val="006F4485"/>
    <w:rsid w:val="006F46FE"/>
    <w:rsid w:val="007020E7"/>
    <w:rsid w:val="00702D90"/>
    <w:rsid w:val="0070437B"/>
    <w:rsid w:val="00705A30"/>
    <w:rsid w:val="00706A07"/>
    <w:rsid w:val="00706C5D"/>
    <w:rsid w:val="00706EEE"/>
    <w:rsid w:val="00710CD0"/>
    <w:rsid w:val="00711C16"/>
    <w:rsid w:val="0071386B"/>
    <w:rsid w:val="00713BFF"/>
    <w:rsid w:val="00716462"/>
    <w:rsid w:val="007178BF"/>
    <w:rsid w:val="00717D0F"/>
    <w:rsid w:val="007211A0"/>
    <w:rsid w:val="00722524"/>
    <w:rsid w:val="00722A54"/>
    <w:rsid w:val="007234DF"/>
    <w:rsid w:val="00723DB4"/>
    <w:rsid w:val="00724F54"/>
    <w:rsid w:val="0072532D"/>
    <w:rsid w:val="00725520"/>
    <w:rsid w:val="0072664E"/>
    <w:rsid w:val="00732922"/>
    <w:rsid w:val="00732B49"/>
    <w:rsid w:val="00733258"/>
    <w:rsid w:val="00734FCE"/>
    <w:rsid w:val="0073556D"/>
    <w:rsid w:val="00735C57"/>
    <w:rsid w:val="00736C5C"/>
    <w:rsid w:val="00736CAE"/>
    <w:rsid w:val="00737654"/>
    <w:rsid w:val="00741EF5"/>
    <w:rsid w:val="007421F6"/>
    <w:rsid w:val="00742A42"/>
    <w:rsid w:val="00742DE9"/>
    <w:rsid w:val="00742E28"/>
    <w:rsid w:val="00744053"/>
    <w:rsid w:val="007469C9"/>
    <w:rsid w:val="00751127"/>
    <w:rsid w:val="00751449"/>
    <w:rsid w:val="0075162E"/>
    <w:rsid w:val="00753D60"/>
    <w:rsid w:val="00754034"/>
    <w:rsid w:val="00754CDA"/>
    <w:rsid w:val="00755101"/>
    <w:rsid w:val="00755611"/>
    <w:rsid w:val="007562D8"/>
    <w:rsid w:val="00756556"/>
    <w:rsid w:val="0075682F"/>
    <w:rsid w:val="00756CFB"/>
    <w:rsid w:val="007618C4"/>
    <w:rsid w:val="00761A7D"/>
    <w:rsid w:val="00762F62"/>
    <w:rsid w:val="007630B1"/>
    <w:rsid w:val="007633E9"/>
    <w:rsid w:val="007636F3"/>
    <w:rsid w:val="00767980"/>
    <w:rsid w:val="007679C2"/>
    <w:rsid w:val="00767FE8"/>
    <w:rsid w:val="00770B19"/>
    <w:rsid w:val="007722A3"/>
    <w:rsid w:val="00773A10"/>
    <w:rsid w:val="00773A83"/>
    <w:rsid w:val="00773C0D"/>
    <w:rsid w:val="0077463F"/>
    <w:rsid w:val="007748EE"/>
    <w:rsid w:val="00774E64"/>
    <w:rsid w:val="00775CC6"/>
    <w:rsid w:val="00776D59"/>
    <w:rsid w:val="0077742D"/>
    <w:rsid w:val="0078103C"/>
    <w:rsid w:val="0078115C"/>
    <w:rsid w:val="007819E6"/>
    <w:rsid w:val="0078251E"/>
    <w:rsid w:val="007830C7"/>
    <w:rsid w:val="007831F4"/>
    <w:rsid w:val="007836EA"/>
    <w:rsid w:val="00783826"/>
    <w:rsid w:val="00784849"/>
    <w:rsid w:val="00784CDA"/>
    <w:rsid w:val="00786541"/>
    <w:rsid w:val="00786654"/>
    <w:rsid w:val="007867F9"/>
    <w:rsid w:val="00786B98"/>
    <w:rsid w:val="00786BF1"/>
    <w:rsid w:val="007906C4"/>
    <w:rsid w:val="00791FEB"/>
    <w:rsid w:val="007922E7"/>
    <w:rsid w:val="00793264"/>
    <w:rsid w:val="00793B4A"/>
    <w:rsid w:val="007940EA"/>
    <w:rsid w:val="007967E8"/>
    <w:rsid w:val="007A150C"/>
    <w:rsid w:val="007A191D"/>
    <w:rsid w:val="007A2170"/>
    <w:rsid w:val="007A22BF"/>
    <w:rsid w:val="007A2B1A"/>
    <w:rsid w:val="007A32FE"/>
    <w:rsid w:val="007A3323"/>
    <w:rsid w:val="007A46F7"/>
    <w:rsid w:val="007A5874"/>
    <w:rsid w:val="007A5F70"/>
    <w:rsid w:val="007A71A9"/>
    <w:rsid w:val="007B00E1"/>
    <w:rsid w:val="007B172B"/>
    <w:rsid w:val="007B1D1E"/>
    <w:rsid w:val="007B291C"/>
    <w:rsid w:val="007B2E65"/>
    <w:rsid w:val="007B3527"/>
    <w:rsid w:val="007B3B6A"/>
    <w:rsid w:val="007B3EBD"/>
    <w:rsid w:val="007B4074"/>
    <w:rsid w:val="007B416F"/>
    <w:rsid w:val="007B44BD"/>
    <w:rsid w:val="007B48C1"/>
    <w:rsid w:val="007B4E81"/>
    <w:rsid w:val="007B4EB6"/>
    <w:rsid w:val="007B72B8"/>
    <w:rsid w:val="007B73AE"/>
    <w:rsid w:val="007B775F"/>
    <w:rsid w:val="007B7A58"/>
    <w:rsid w:val="007C0D4E"/>
    <w:rsid w:val="007C21B2"/>
    <w:rsid w:val="007C21B5"/>
    <w:rsid w:val="007C33E5"/>
    <w:rsid w:val="007C3CB5"/>
    <w:rsid w:val="007C508C"/>
    <w:rsid w:val="007C53CD"/>
    <w:rsid w:val="007C6498"/>
    <w:rsid w:val="007D0075"/>
    <w:rsid w:val="007D1C59"/>
    <w:rsid w:val="007D20E0"/>
    <w:rsid w:val="007D388A"/>
    <w:rsid w:val="007D4F9F"/>
    <w:rsid w:val="007D542D"/>
    <w:rsid w:val="007D66D2"/>
    <w:rsid w:val="007D6E28"/>
    <w:rsid w:val="007D7065"/>
    <w:rsid w:val="007E01F7"/>
    <w:rsid w:val="007E190F"/>
    <w:rsid w:val="007E2580"/>
    <w:rsid w:val="007E29A2"/>
    <w:rsid w:val="007E29F8"/>
    <w:rsid w:val="007E2CA9"/>
    <w:rsid w:val="007E3B52"/>
    <w:rsid w:val="007E4A12"/>
    <w:rsid w:val="007E4BD2"/>
    <w:rsid w:val="007E6596"/>
    <w:rsid w:val="007E6F6F"/>
    <w:rsid w:val="007E7971"/>
    <w:rsid w:val="007F0A1A"/>
    <w:rsid w:val="007F1567"/>
    <w:rsid w:val="007F1C00"/>
    <w:rsid w:val="007F3973"/>
    <w:rsid w:val="007F3BF6"/>
    <w:rsid w:val="007F4ABE"/>
    <w:rsid w:val="007F7743"/>
    <w:rsid w:val="007F7F30"/>
    <w:rsid w:val="00800ADC"/>
    <w:rsid w:val="00801393"/>
    <w:rsid w:val="00801755"/>
    <w:rsid w:val="00801F7F"/>
    <w:rsid w:val="00802144"/>
    <w:rsid w:val="0080228A"/>
    <w:rsid w:val="00802DE1"/>
    <w:rsid w:val="00802F88"/>
    <w:rsid w:val="00804526"/>
    <w:rsid w:val="008124B1"/>
    <w:rsid w:val="0081293E"/>
    <w:rsid w:val="008132E0"/>
    <w:rsid w:val="00813CAF"/>
    <w:rsid w:val="00815465"/>
    <w:rsid w:val="00815F8A"/>
    <w:rsid w:val="00817E9A"/>
    <w:rsid w:val="00821F37"/>
    <w:rsid w:val="008232E9"/>
    <w:rsid w:val="00823573"/>
    <w:rsid w:val="00825B9F"/>
    <w:rsid w:val="00830162"/>
    <w:rsid w:val="0083049E"/>
    <w:rsid w:val="008306BD"/>
    <w:rsid w:val="008312DF"/>
    <w:rsid w:val="00831A80"/>
    <w:rsid w:val="00832DCA"/>
    <w:rsid w:val="00833628"/>
    <w:rsid w:val="00833743"/>
    <w:rsid w:val="00833FA2"/>
    <w:rsid w:val="0083403F"/>
    <w:rsid w:val="008340A4"/>
    <w:rsid w:val="00834104"/>
    <w:rsid w:val="0083424B"/>
    <w:rsid w:val="008354F4"/>
    <w:rsid w:val="008355A5"/>
    <w:rsid w:val="00835BFA"/>
    <w:rsid w:val="00842085"/>
    <w:rsid w:val="008424BF"/>
    <w:rsid w:val="008434BB"/>
    <w:rsid w:val="0085082A"/>
    <w:rsid w:val="00851409"/>
    <w:rsid w:val="0085235C"/>
    <w:rsid w:val="008524CF"/>
    <w:rsid w:val="008545C1"/>
    <w:rsid w:val="008545E3"/>
    <w:rsid w:val="00854F50"/>
    <w:rsid w:val="008563AF"/>
    <w:rsid w:val="00860B2C"/>
    <w:rsid w:val="008610FE"/>
    <w:rsid w:val="008624FB"/>
    <w:rsid w:val="00862880"/>
    <w:rsid w:val="00862AE1"/>
    <w:rsid w:val="008636D7"/>
    <w:rsid w:val="00863909"/>
    <w:rsid w:val="008647D5"/>
    <w:rsid w:val="00865283"/>
    <w:rsid w:val="00865CA4"/>
    <w:rsid w:val="00866140"/>
    <w:rsid w:val="0087135F"/>
    <w:rsid w:val="00872CA9"/>
    <w:rsid w:val="00872D94"/>
    <w:rsid w:val="00875013"/>
    <w:rsid w:val="00876909"/>
    <w:rsid w:val="00876AC2"/>
    <w:rsid w:val="00877399"/>
    <w:rsid w:val="00877536"/>
    <w:rsid w:val="00880364"/>
    <w:rsid w:val="0088458B"/>
    <w:rsid w:val="00890BB0"/>
    <w:rsid w:val="008910EF"/>
    <w:rsid w:val="00891592"/>
    <w:rsid w:val="00891DCD"/>
    <w:rsid w:val="00891E9E"/>
    <w:rsid w:val="008927CD"/>
    <w:rsid w:val="008931E7"/>
    <w:rsid w:val="0089673F"/>
    <w:rsid w:val="008971CA"/>
    <w:rsid w:val="00897398"/>
    <w:rsid w:val="00897957"/>
    <w:rsid w:val="00897FFA"/>
    <w:rsid w:val="008A0D44"/>
    <w:rsid w:val="008A23EF"/>
    <w:rsid w:val="008A2F68"/>
    <w:rsid w:val="008A3767"/>
    <w:rsid w:val="008A3E3A"/>
    <w:rsid w:val="008A64DF"/>
    <w:rsid w:val="008A689A"/>
    <w:rsid w:val="008A721D"/>
    <w:rsid w:val="008A7BAB"/>
    <w:rsid w:val="008B2254"/>
    <w:rsid w:val="008B29A8"/>
    <w:rsid w:val="008B4A37"/>
    <w:rsid w:val="008B4FA6"/>
    <w:rsid w:val="008B5282"/>
    <w:rsid w:val="008B5DAE"/>
    <w:rsid w:val="008B73C2"/>
    <w:rsid w:val="008B7C17"/>
    <w:rsid w:val="008C0E33"/>
    <w:rsid w:val="008C2B64"/>
    <w:rsid w:val="008C2D01"/>
    <w:rsid w:val="008C3145"/>
    <w:rsid w:val="008C40E6"/>
    <w:rsid w:val="008C4C3C"/>
    <w:rsid w:val="008C6605"/>
    <w:rsid w:val="008C6E1A"/>
    <w:rsid w:val="008C79FC"/>
    <w:rsid w:val="008D00CF"/>
    <w:rsid w:val="008D0A38"/>
    <w:rsid w:val="008D0F7A"/>
    <w:rsid w:val="008D2D95"/>
    <w:rsid w:val="008D5DDA"/>
    <w:rsid w:val="008D68E4"/>
    <w:rsid w:val="008E0506"/>
    <w:rsid w:val="008E0CFF"/>
    <w:rsid w:val="008E188B"/>
    <w:rsid w:val="008E210D"/>
    <w:rsid w:val="008E4D3E"/>
    <w:rsid w:val="008E4E3A"/>
    <w:rsid w:val="008E5D6B"/>
    <w:rsid w:val="008E5FE1"/>
    <w:rsid w:val="008E700E"/>
    <w:rsid w:val="008E734F"/>
    <w:rsid w:val="008E76F0"/>
    <w:rsid w:val="008F1012"/>
    <w:rsid w:val="008F15FE"/>
    <w:rsid w:val="008F1900"/>
    <w:rsid w:val="008F2D29"/>
    <w:rsid w:val="008F3301"/>
    <w:rsid w:val="008F4510"/>
    <w:rsid w:val="008F4EEB"/>
    <w:rsid w:val="008F5187"/>
    <w:rsid w:val="008F5528"/>
    <w:rsid w:val="008F577E"/>
    <w:rsid w:val="008F60D8"/>
    <w:rsid w:val="008F713B"/>
    <w:rsid w:val="009001D1"/>
    <w:rsid w:val="009014AC"/>
    <w:rsid w:val="009026A9"/>
    <w:rsid w:val="00902727"/>
    <w:rsid w:val="00902A92"/>
    <w:rsid w:val="00902C6F"/>
    <w:rsid w:val="0090312B"/>
    <w:rsid w:val="00903298"/>
    <w:rsid w:val="0090332D"/>
    <w:rsid w:val="0090444D"/>
    <w:rsid w:val="00904954"/>
    <w:rsid w:val="00907837"/>
    <w:rsid w:val="00911020"/>
    <w:rsid w:val="00911921"/>
    <w:rsid w:val="0091276B"/>
    <w:rsid w:val="00915E39"/>
    <w:rsid w:val="009160AE"/>
    <w:rsid w:val="0091736D"/>
    <w:rsid w:val="00917C30"/>
    <w:rsid w:val="009204F9"/>
    <w:rsid w:val="00923D9A"/>
    <w:rsid w:val="00925EDE"/>
    <w:rsid w:val="00926F48"/>
    <w:rsid w:val="00927C54"/>
    <w:rsid w:val="0093037A"/>
    <w:rsid w:val="0093122B"/>
    <w:rsid w:val="009313E0"/>
    <w:rsid w:val="00931F76"/>
    <w:rsid w:val="00932CFB"/>
    <w:rsid w:val="0093369D"/>
    <w:rsid w:val="00934745"/>
    <w:rsid w:val="00934775"/>
    <w:rsid w:val="00935148"/>
    <w:rsid w:val="00935553"/>
    <w:rsid w:val="00940D81"/>
    <w:rsid w:val="0094154D"/>
    <w:rsid w:val="00941565"/>
    <w:rsid w:val="00943398"/>
    <w:rsid w:val="00944923"/>
    <w:rsid w:val="009449AB"/>
    <w:rsid w:val="00945A4C"/>
    <w:rsid w:val="0094603F"/>
    <w:rsid w:val="00946098"/>
    <w:rsid w:val="00946200"/>
    <w:rsid w:val="009504F7"/>
    <w:rsid w:val="00950AA3"/>
    <w:rsid w:val="00950AE5"/>
    <w:rsid w:val="0095155F"/>
    <w:rsid w:val="00951833"/>
    <w:rsid w:val="00953011"/>
    <w:rsid w:val="00954429"/>
    <w:rsid w:val="0095469B"/>
    <w:rsid w:val="009563CE"/>
    <w:rsid w:val="0096022A"/>
    <w:rsid w:val="00960E7C"/>
    <w:rsid w:val="00961183"/>
    <w:rsid w:val="0096127A"/>
    <w:rsid w:val="009636FF"/>
    <w:rsid w:val="00965518"/>
    <w:rsid w:val="009705CC"/>
    <w:rsid w:val="00970ADD"/>
    <w:rsid w:val="00972E7A"/>
    <w:rsid w:val="0097344B"/>
    <w:rsid w:val="0097345B"/>
    <w:rsid w:val="00973FFC"/>
    <w:rsid w:val="0097421C"/>
    <w:rsid w:val="00975428"/>
    <w:rsid w:val="00976328"/>
    <w:rsid w:val="00976426"/>
    <w:rsid w:val="0097680D"/>
    <w:rsid w:val="00976A49"/>
    <w:rsid w:val="00977EA0"/>
    <w:rsid w:val="00977ED7"/>
    <w:rsid w:val="00981D10"/>
    <w:rsid w:val="00982438"/>
    <w:rsid w:val="00982A58"/>
    <w:rsid w:val="00982FE0"/>
    <w:rsid w:val="0098404C"/>
    <w:rsid w:val="00984820"/>
    <w:rsid w:val="00984946"/>
    <w:rsid w:val="00985283"/>
    <w:rsid w:val="009864C6"/>
    <w:rsid w:val="0098668D"/>
    <w:rsid w:val="0098738B"/>
    <w:rsid w:val="009876DA"/>
    <w:rsid w:val="0098776C"/>
    <w:rsid w:val="00990043"/>
    <w:rsid w:val="00992379"/>
    <w:rsid w:val="00992A8B"/>
    <w:rsid w:val="00995992"/>
    <w:rsid w:val="00995B20"/>
    <w:rsid w:val="00996ECF"/>
    <w:rsid w:val="00996FDF"/>
    <w:rsid w:val="009A03E5"/>
    <w:rsid w:val="009A0672"/>
    <w:rsid w:val="009A0891"/>
    <w:rsid w:val="009A0C22"/>
    <w:rsid w:val="009A0F3B"/>
    <w:rsid w:val="009A1BB4"/>
    <w:rsid w:val="009A2628"/>
    <w:rsid w:val="009A3163"/>
    <w:rsid w:val="009A3200"/>
    <w:rsid w:val="009A3979"/>
    <w:rsid w:val="009A4A77"/>
    <w:rsid w:val="009A512D"/>
    <w:rsid w:val="009B03FC"/>
    <w:rsid w:val="009B0897"/>
    <w:rsid w:val="009B0B1D"/>
    <w:rsid w:val="009B14A4"/>
    <w:rsid w:val="009B16D4"/>
    <w:rsid w:val="009B1926"/>
    <w:rsid w:val="009B26CD"/>
    <w:rsid w:val="009B2A4A"/>
    <w:rsid w:val="009B3E47"/>
    <w:rsid w:val="009B4435"/>
    <w:rsid w:val="009B4ACC"/>
    <w:rsid w:val="009B7BD9"/>
    <w:rsid w:val="009C0727"/>
    <w:rsid w:val="009C15DF"/>
    <w:rsid w:val="009C307B"/>
    <w:rsid w:val="009C33B1"/>
    <w:rsid w:val="009C436C"/>
    <w:rsid w:val="009C7DD5"/>
    <w:rsid w:val="009D0091"/>
    <w:rsid w:val="009D0A4E"/>
    <w:rsid w:val="009D19AB"/>
    <w:rsid w:val="009D2112"/>
    <w:rsid w:val="009D296B"/>
    <w:rsid w:val="009D46F8"/>
    <w:rsid w:val="009D54DE"/>
    <w:rsid w:val="009D597E"/>
    <w:rsid w:val="009D67E1"/>
    <w:rsid w:val="009D7827"/>
    <w:rsid w:val="009E02F3"/>
    <w:rsid w:val="009E227D"/>
    <w:rsid w:val="009E38D6"/>
    <w:rsid w:val="009E447A"/>
    <w:rsid w:val="009E5019"/>
    <w:rsid w:val="009E5CDC"/>
    <w:rsid w:val="009E6146"/>
    <w:rsid w:val="009F0BDF"/>
    <w:rsid w:val="009F376C"/>
    <w:rsid w:val="009F40A9"/>
    <w:rsid w:val="009F4294"/>
    <w:rsid w:val="00A01D2B"/>
    <w:rsid w:val="00A02E9F"/>
    <w:rsid w:val="00A0432A"/>
    <w:rsid w:val="00A04F1B"/>
    <w:rsid w:val="00A0501B"/>
    <w:rsid w:val="00A144A9"/>
    <w:rsid w:val="00A14947"/>
    <w:rsid w:val="00A15C11"/>
    <w:rsid w:val="00A17742"/>
    <w:rsid w:val="00A201DD"/>
    <w:rsid w:val="00A22AF4"/>
    <w:rsid w:val="00A22E50"/>
    <w:rsid w:val="00A24710"/>
    <w:rsid w:val="00A27221"/>
    <w:rsid w:val="00A27351"/>
    <w:rsid w:val="00A27EBC"/>
    <w:rsid w:val="00A30094"/>
    <w:rsid w:val="00A304C0"/>
    <w:rsid w:val="00A309E4"/>
    <w:rsid w:val="00A3175A"/>
    <w:rsid w:val="00A31766"/>
    <w:rsid w:val="00A31A82"/>
    <w:rsid w:val="00A32A83"/>
    <w:rsid w:val="00A33FDC"/>
    <w:rsid w:val="00A359B8"/>
    <w:rsid w:val="00A368DB"/>
    <w:rsid w:val="00A40055"/>
    <w:rsid w:val="00A423AA"/>
    <w:rsid w:val="00A424C3"/>
    <w:rsid w:val="00A42BDD"/>
    <w:rsid w:val="00A43D48"/>
    <w:rsid w:val="00A45321"/>
    <w:rsid w:val="00A458D4"/>
    <w:rsid w:val="00A46AE8"/>
    <w:rsid w:val="00A51191"/>
    <w:rsid w:val="00A51235"/>
    <w:rsid w:val="00A524E6"/>
    <w:rsid w:val="00A5262C"/>
    <w:rsid w:val="00A531D1"/>
    <w:rsid w:val="00A53EC6"/>
    <w:rsid w:val="00A54821"/>
    <w:rsid w:val="00A5491E"/>
    <w:rsid w:val="00A55C0F"/>
    <w:rsid w:val="00A562BB"/>
    <w:rsid w:val="00A60722"/>
    <w:rsid w:val="00A6125F"/>
    <w:rsid w:val="00A6200B"/>
    <w:rsid w:val="00A636E1"/>
    <w:rsid w:val="00A638E3"/>
    <w:rsid w:val="00A6474F"/>
    <w:rsid w:val="00A655E2"/>
    <w:rsid w:val="00A65832"/>
    <w:rsid w:val="00A6746E"/>
    <w:rsid w:val="00A67ABD"/>
    <w:rsid w:val="00A67F3C"/>
    <w:rsid w:val="00A70395"/>
    <w:rsid w:val="00A70577"/>
    <w:rsid w:val="00A7130B"/>
    <w:rsid w:val="00A71927"/>
    <w:rsid w:val="00A72851"/>
    <w:rsid w:val="00A72B20"/>
    <w:rsid w:val="00A73E31"/>
    <w:rsid w:val="00A75551"/>
    <w:rsid w:val="00A75D9F"/>
    <w:rsid w:val="00A77D53"/>
    <w:rsid w:val="00A77EB8"/>
    <w:rsid w:val="00A80A07"/>
    <w:rsid w:val="00A81AD6"/>
    <w:rsid w:val="00A81CA1"/>
    <w:rsid w:val="00A8324E"/>
    <w:rsid w:val="00A83761"/>
    <w:rsid w:val="00A850E6"/>
    <w:rsid w:val="00A86172"/>
    <w:rsid w:val="00A8713F"/>
    <w:rsid w:val="00A872A8"/>
    <w:rsid w:val="00A873D0"/>
    <w:rsid w:val="00A9048E"/>
    <w:rsid w:val="00A90BA1"/>
    <w:rsid w:val="00A92E00"/>
    <w:rsid w:val="00A9474F"/>
    <w:rsid w:val="00A97A9A"/>
    <w:rsid w:val="00A97E12"/>
    <w:rsid w:val="00A97EFD"/>
    <w:rsid w:val="00AA0671"/>
    <w:rsid w:val="00AA2531"/>
    <w:rsid w:val="00AA51C7"/>
    <w:rsid w:val="00AA52A3"/>
    <w:rsid w:val="00AA597B"/>
    <w:rsid w:val="00AA5D99"/>
    <w:rsid w:val="00AA6BD4"/>
    <w:rsid w:val="00AB1A3D"/>
    <w:rsid w:val="00AB1E09"/>
    <w:rsid w:val="00AB35F3"/>
    <w:rsid w:val="00AB528F"/>
    <w:rsid w:val="00AB5330"/>
    <w:rsid w:val="00AB59DC"/>
    <w:rsid w:val="00AB7747"/>
    <w:rsid w:val="00AC14CE"/>
    <w:rsid w:val="00AC2A56"/>
    <w:rsid w:val="00AC38E3"/>
    <w:rsid w:val="00AC6CDF"/>
    <w:rsid w:val="00AC7552"/>
    <w:rsid w:val="00AC7BA6"/>
    <w:rsid w:val="00AD055E"/>
    <w:rsid w:val="00AD0F6D"/>
    <w:rsid w:val="00AD12DE"/>
    <w:rsid w:val="00AD1623"/>
    <w:rsid w:val="00AD215C"/>
    <w:rsid w:val="00AD2227"/>
    <w:rsid w:val="00AD39E4"/>
    <w:rsid w:val="00AD3D0F"/>
    <w:rsid w:val="00AD47A7"/>
    <w:rsid w:val="00AD4ACF"/>
    <w:rsid w:val="00AD6306"/>
    <w:rsid w:val="00AD6BF3"/>
    <w:rsid w:val="00AD7054"/>
    <w:rsid w:val="00AE57E5"/>
    <w:rsid w:val="00AE757B"/>
    <w:rsid w:val="00AF0CBF"/>
    <w:rsid w:val="00AF13DD"/>
    <w:rsid w:val="00AF17E7"/>
    <w:rsid w:val="00AF1AFF"/>
    <w:rsid w:val="00AF257F"/>
    <w:rsid w:val="00AF2CEA"/>
    <w:rsid w:val="00AF33CF"/>
    <w:rsid w:val="00AF418A"/>
    <w:rsid w:val="00AF4D50"/>
    <w:rsid w:val="00AF5022"/>
    <w:rsid w:val="00AF6179"/>
    <w:rsid w:val="00AF681D"/>
    <w:rsid w:val="00AF69A6"/>
    <w:rsid w:val="00AF7377"/>
    <w:rsid w:val="00B010A3"/>
    <w:rsid w:val="00B0210E"/>
    <w:rsid w:val="00B0254F"/>
    <w:rsid w:val="00B049DC"/>
    <w:rsid w:val="00B07528"/>
    <w:rsid w:val="00B1295A"/>
    <w:rsid w:val="00B1461D"/>
    <w:rsid w:val="00B15636"/>
    <w:rsid w:val="00B15E58"/>
    <w:rsid w:val="00B16942"/>
    <w:rsid w:val="00B20A45"/>
    <w:rsid w:val="00B21315"/>
    <w:rsid w:val="00B22566"/>
    <w:rsid w:val="00B2260C"/>
    <w:rsid w:val="00B22C5C"/>
    <w:rsid w:val="00B22DB4"/>
    <w:rsid w:val="00B24115"/>
    <w:rsid w:val="00B24F30"/>
    <w:rsid w:val="00B259E2"/>
    <w:rsid w:val="00B25E61"/>
    <w:rsid w:val="00B26654"/>
    <w:rsid w:val="00B305E5"/>
    <w:rsid w:val="00B31087"/>
    <w:rsid w:val="00B31ABF"/>
    <w:rsid w:val="00B32D82"/>
    <w:rsid w:val="00B33BE3"/>
    <w:rsid w:val="00B36487"/>
    <w:rsid w:val="00B36FA7"/>
    <w:rsid w:val="00B376E2"/>
    <w:rsid w:val="00B41CDB"/>
    <w:rsid w:val="00B428CE"/>
    <w:rsid w:val="00B43E25"/>
    <w:rsid w:val="00B447E2"/>
    <w:rsid w:val="00B45DB5"/>
    <w:rsid w:val="00B46351"/>
    <w:rsid w:val="00B476DD"/>
    <w:rsid w:val="00B47762"/>
    <w:rsid w:val="00B47E3C"/>
    <w:rsid w:val="00B51C85"/>
    <w:rsid w:val="00B53B5D"/>
    <w:rsid w:val="00B542CA"/>
    <w:rsid w:val="00B55606"/>
    <w:rsid w:val="00B5606C"/>
    <w:rsid w:val="00B57B44"/>
    <w:rsid w:val="00B6055E"/>
    <w:rsid w:val="00B62007"/>
    <w:rsid w:val="00B63133"/>
    <w:rsid w:val="00B6317D"/>
    <w:rsid w:val="00B64454"/>
    <w:rsid w:val="00B64794"/>
    <w:rsid w:val="00B65B64"/>
    <w:rsid w:val="00B67FC1"/>
    <w:rsid w:val="00B716FF"/>
    <w:rsid w:val="00B71CFC"/>
    <w:rsid w:val="00B736FD"/>
    <w:rsid w:val="00B73DBC"/>
    <w:rsid w:val="00B74D3C"/>
    <w:rsid w:val="00B7723F"/>
    <w:rsid w:val="00B80534"/>
    <w:rsid w:val="00B81A96"/>
    <w:rsid w:val="00B82575"/>
    <w:rsid w:val="00B8433C"/>
    <w:rsid w:val="00B87491"/>
    <w:rsid w:val="00B87E0B"/>
    <w:rsid w:val="00B87E8E"/>
    <w:rsid w:val="00B906D8"/>
    <w:rsid w:val="00B9175C"/>
    <w:rsid w:val="00B92D93"/>
    <w:rsid w:val="00B93775"/>
    <w:rsid w:val="00B93787"/>
    <w:rsid w:val="00B93C60"/>
    <w:rsid w:val="00B93E7F"/>
    <w:rsid w:val="00B94427"/>
    <w:rsid w:val="00B95088"/>
    <w:rsid w:val="00B95434"/>
    <w:rsid w:val="00B9599B"/>
    <w:rsid w:val="00B96B2C"/>
    <w:rsid w:val="00B96E4B"/>
    <w:rsid w:val="00B96F09"/>
    <w:rsid w:val="00B97244"/>
    <w:rsid w:val="00BA0802"/>
    <w:rsid w:val="00BA0A8B"/>
    <w:rsid w:val="00BA29E9"/>
    <w:rsid w:val="00BA4957"/>
    <w:rsid w:val="00BA6242"/>
    <w:rsid w:val="00BA7142"/>
    <w:rsid w:val="00BB0B65"/>
    <w:rsid w:val="00BB17E1"/>
    <w:rsid w:val="00BB237C"/>
    <w:rsid w:val="00BB41A3"/>
    <w:rsid w:val="00BB4A0D"/>
    <w:rsid w:val="00BB59F5"/>
    <w:rsid w:val="00BB714E"/>
    <w:rsid w:val="00BB7218"/>
    <w:rsid w:val="00BB7BB6"/>
    <w:rsid w:val="00BC08BA"/>
    <w:rsid w:val="00BC1CED"/>
    <w:rsid w:val="00BC1DA6"/>
    <w:rsid w:val="00BC32DC"/>
    <w:rsid w:val="00BC3359"/>
    <w:rsid w:val="00BC35B6"/>
    <w:rsid w:val="00BC377D"/>
    <w:rsid w:val="00BC3AB6"/>
    <w:rsid w:val="00BC4A55"/>
    <w:rsid w:val="00BC6153"/>
    <w:rsid w:val="00BC6BD5"/>
    <w:rsid w:val="00BC6F15"/>
    <w:rsid w:val="00BD0978"/>
    <w:rsid w:val="00BD17D1"/>
    <w:rsid w:val="00BD1B51"/>
    <w:rsid w:val="00BD2D43"/>
    <w:rsid w:val="00BD3AA5"/>
    <w:rsid w:val="00BD3EA9"/>
    <w:rsid w:val="00BD4596"/>
    <w:rsid w:val="00BD5EF1"/>
    <w:rsid w:val="00BD6BC5"/>
    <w:rsid w:val="00BD7696"/>
    <w:rsid w:val="00BE0643"/>
    <w:rsid w:val="00BE0A0D"/>
    <w:rsid w:val="00BE1067"/>
    <w:rsid w:val="00BE1405"/>
    <w:rsid w:val="00BE2095"/>
    <w:rsid w:val="00BE29B5"/>
    <w:rsid w:val="00BE3024"/>
    <w:rsid w:val="00BE312D"/>
    <w:rsid w:val="00BE50C4"/>
    <w:rsid w:val="00BE73F6"/>
    <w:rsid w:val="00BE7D32"/>
    <w:rsid w:val="00BF19B8"/>
    <w:rsid w:val="00BF1C20"/>
    <w:rsid w:val="00BF32E5"/>
    <w:rsid w:val="00BF3332"/>
    <w:rsid w:val="00BF33ED"/>
    <w:rsid w:val="00BF3E1E"/>
    <w:rsid w:val="00BF63AD"/>
    <w:rsid w:val="00BF7B5E"/>
    <w:rsid w:val="00C02070"/>
    <w:rsid w:val="00C02146"/>
    <w:rsid w:val="00C03EE4"/>
    <w:rsid w:val="00C076DC"/>
    <w:rsid w:val="00C1038F"/>
    <w:rsid w:val="00C10578"/>
    <w:rsid w:val="00C108C2"/>
    <w:rsid w:val="00C11C4C"/>
    <w:rsid w:val="00C135BC"/>
    <w:rsid w:val="00C140DA"/>
    <w:rsid w:val="00C150BD"/>
    <w:rsid w:val="00C15C95"/>
    <w:rsid w:val="00C15E26"/>
    <w:rsid w:val="00C1620F"/>
    <w:rsid w:val="00C17C23"/>
    <w:rsid w:val="00C2254A"/>
    <w:rsid w:val="00C2298D"/>
    <w:rsid w:val="00C23E8C"/>
    <w:rsid w:val="00C2596A"/>
    <w:rsid w:val="00C27537"/>
    <w:rsid w:val="00C3036F"/>
    <w:rsid w:val="00C30EDF"/>
    <w:rsid w:val="00C31EAE"/>
    <w:rsid w:val="00C324A0"/>
    <w:rsid w:val="00C325ED"/>
    <w:rsid w:val="00C328FE"/>
    <w:rsid w:val="00C32984"/>
    <w:rsid w:val="00C33507"/>
    <w:rsid w:val="00C3375F"/>
    <w:rsid w:val="00C33829"/>
    <w:rsid w:val="00C34B5C"/>
    <w:rsid w:val="00C34CFD"/>
    <w:rsid w:val="00C35CFD"/>
    <w:rsid w:val="00C36DBC"/>
    <w:rsid w:val="00C37F53"/>
    <w:rsid w:val="00C4069F"/>
    <w:rsid w:val="00C40D54"/>
    <w:rsid w:val="00C4409D"/>
    <w:rsid w:val="00C448A7"/>
    <w:rsid w:val="00C44E72"/>
    <w:rsid w:val="00C45A06"/>
    <w:rsid w:val="00C46514"/>
    <w:rsid w:val="00C47E5B"/>
    <w:rsid w:val="00C52116"/>
    <w:rsid w:val="00C57A95"/>
    <w:rsid w:val="00C61636"/>
    <w:rsid w:val="00C61E4B"/>
    <w:rsid w:val="00C62637"/>
    <w:rsid w:val="00C62FA7"/>
    <w:rsid w:val="00C63B1E"/>
    <w:rsid w:val="00C64BFF"/>
    <w:rsid w:val="00C704E9"/>
    <w:rsid w:val="00C70D47"/>
    <w:rsid w:val="00C74660"/>
    <w:rsid w:val="00C763C9"/>
    <w:rsid w:val="00C7739D"/>
    <w:rsid w:val="00C77C9E"/>
    <w:rsid w:val="00C80057"/>
    <w:rsid w:val="00C814E8"/>
    <w:rsid w:val="00C81EBA"/>
    <w:rsid w:val="00C82214"/>
    <w:rsid w:val="00C82232"/>
    <w:rsid w:val="00C82913"/>
    <w:rsid w:val="00C83D81"/>
    <w:rsid w:val="00C84FFC"/>
    <w:rsid w:val="00C85CC7"/>
    <w:rsid w:val="00C85D47"/>
    <w:rsid w:val="00C86A0D"/>
    <w:rsid w:val="00C906E7"/>
    <w:rsid w:val="00C90E2F"/>
    <w:rsid w:val="00C92C30"/>
    <w:rsid w:val="00C95EBB"/>
    <w:rsid w:val="00C972B1"/>
    <w:rsid w:val="00CA2CCE"/>
    <w:rsid w:val="00CA3D76"/>
    <w:rsid w:val="00CA43FD"/>
    <w:rsid w:val="00CA5256"/>
    <w:rsid w:val="00CA6392"/>
    <w:rsid w:val="00CA7C2F"/>
    <w:rsid w:val="00CA7D09"/>
    <w:rsid w:val="00CA7EF8"/>
    <w:rsid w:val="00CB10C0"/>
    <w:rsid w:val="00CB1B33"/>
    <w:rsid w:val="00CB2722"/>
    <w:rsid w:val="00CB57A0"/>
    <w:rsid w:val="00CB652F"/>
    <w:rsid w:val="00CC0200"/>
    <w:rsid w:val="00CC1E3D"/>
    <w:rsid w:val="00CC4820"/>
    <w:rsid w:val="00CC489B"/>
    <w:rsid w:val="00CC69F4"/>
    <w:rsid w:val="00CC6CE1"/>
    <w:rsid w:val="00CC7D23"/>
    <w:rsid w:val="00CD0106"/>
    <w:rsid w:val="00CD1211"/>
    <w:rsid w:val="00CD2BCD"/>
    <w:rsid w:val="00CD3A4C"/>
    <w:rsid w:val="00CD47E8"/>
    <w:rsid w:val="00CD561F"/>
    <w:rsid w:val="00CD5D27"/>
    <w:rsid w:val="00CD616F"/>
    <w:rsid w:val="00CE0104"/>
    <w:rsid w:val="00CE10E9"/>
    <w:rsid w:val="00CE18CD"/>
    <w:rsid w:val="00CE1940"/>
    <w:rsid w:val="00CE2910"/>
    <w:rsid w:val="00CE2921"/>
    <w:rsid w:val="00CE33FD"/>
    <w:rsid w:val="00CE343F"/>
    <w:rsid w:val="00CE3B13"/>
    <w:rsid w:val="00CE400D"/>
    <w:rsid w:val="00CE5393"/>
    <w:rsid w:val="00CE6A1C"/>
    <w:rsid w:val="00CE6DD0"/>
    <w:rsid w:val="00CF06E3"/>
    <w:rsid w:val="00CF08B2"/>
    <w:rsid w:val="00CF1831"/>
    <w:rsid w:val="00CF22C9"/>
    <w:rsid w:val="00CF3049"/>
    <w:rsid w:val="00CF36BE"/>
    <w:rsid w:val="00CF4DFF"/>
    <w:rsid w:val="00CF6000"/>
    <w:rsid w:val="00CF70E5"/>
    <w:rsid w:val="00D003F3"/>
    <w:rsid w:val="00D0300A"/>
    <w:rsid w:val="00D0364F"/>
    <w:rsid w:val="00D06370"/>
    <w:rsid w:val="00D06834"/>
    <w:rsid w:val="00D06AD2"/>
    <w:rsid w:val="00D13C3C"/>
    <w:rsid w:val="00D1467C"/>
    <w:rsid w:val="00D14C83"/>
    <w:rsid w:val="00D1640C"/>
    <w:rsid w:val="00D17A85"/>
    <w:rsid w:val="00D2227D"/>
    <w:rsid w:val="00D238E1"/>
    <w:rsid w:val="00D23985"/>
    <w:rsid w:val="00D24CFC"/>
    <w:rsid w:val="00D269F2"/>
    <w:rsid w:val="00D26C5A"/>
    <w:rsid w:val="00D26E35"/>
    <w:rsid w:val="00D27C2D"/>
    <w:rsid w:val="00D308D0"/>
    <w:rsid w:val="00D308ED"/>
    <w:rsid w:val="00D316FE"/>
    <w:rsid w:val="00D325F3"/>
    <w:rsid w:val="00D33382"/>
    <w:rsid w:val="00D337F1"/>
    <w:rsid w:val="00D34795"/>
    <w:rsid w:val="00D34ABF"/>
    <w:rsid w:val="00D364EA"/>
    <w:rsid w:val="00D36D86"/>
    <w:rsid w:val="00D405AE"/>
    <w:rsid w:val="00D40A6A"/>
    <w:rsid w:val="00D428AA"/>
    <w:rsid w:val="00D43DAC"/>
    <w:rsid w:val="00D50783"/>
    <w:rsid w:val="00D50A34"/>
    <w:rsid w:val="00D514CC"/>
    <w:rsid w:val="00D51EB2"/>
    <w:rsid w:val="00D53EFA"/>
    <w:rsid w:val="00D56169"/>
    <w:rsid w:val="00D563F2"/>
    <w:rsid w:val="00D6035D"/>
    <w:rsid w:val="00D61335"/>
    <w:rsid w:val="00D62BEE"/>
    <w:rsid w:val="00D63EBB"/>
    <w:rsid w:val="00D64BBC"/>
    <w:rsid w:val="00D6535D"/>
    <w:rsid w:val="00D67757"/>
    <w:rsid w:val="00D70030"/>
    <w:rsid w:val="00D7137F"/>
    <w:rsid w:val="00D71552"/>
    <w:rsid w:val="00D71D96"/>
    <w:rsid w:val="00D72650"/>
    <w:rsid w:val="00D73068"/>
    <w:rsid w:val="00D744B1"/>
    <w:rsid w:val="00D770E1"/>
    <w:rsid w:val="00D77259"/>
    <w:rsid w:val="00D823B7"/>
    <w:rsid w:val="00D836B7"/>
    <w:rsid w:val="00D85138"/>
    <w:rsid w:val="00D858D0"/>
    <w:rsid w:val="00D85DE0"/>
    <w:rsid w:val="00D86253"/>
    <w:rsid w:val="00D86D64"/>
    <w:rsid w:val="00D87708"/>
    <w:rsid w:val="00D87953"/>
    <w:rsid w:val="00D900CB"/>
    <w:rsid w:val="00D94A7C"/>
    <w:rsid w:val="00D95896"/>
    <w:rsid w:val="00D9592E"/>
    <w:rsid w:val="00D95ABA"/>
    <w:rsid w:val="00D97914"/>
    <w:rsid w:val="00DA22FF"/>
    <w:rsid w:val="00DA4DD3"/>
    <w:rsid w:val="00DA6636"/>
    <w:rsid w:val="00DB038A"/>
    <w:rsid w:val="00DB1294"/>
    <w:rsid w:val="00DB163A"/>
    <w:rsid w:val="00DB1EF2"/>
    <w:rsid w:val="00DB1F76"/>
    <w:rsid w:val="00DB2130"/>
    <w:rsid w:val="00DB2384"/>
    <w:rsid w:val="00DB2983"/>
    <w:rsid w:val="00DB4E9E"/>
    <w:rsid w:val="00DB53CC"/>
    <w:rsid w:val="00DB6AB3"/>
    <w:rsid w:val="00DB740E"/>
    <w:rsid w:val="00DB7FFA"/>
    <w:rsid w:val="00DC02E2"/>
    <w:rsid w:val="00DC0573"/>
    <w:rsid w:val="00DC089C"/>
    <w:rsid w:val="00DC1257"/>
    <w:rsid w:val="00DC1603"/>
    <w:rsid w:val="00DC28B6"/>
    <w:rsid w:val="00DC3DC0"/>
    <w:rsid w:val="00DC3F41"/>
    <w:rsid w:val="00DC4746"/>
    <w:rsid w:val="00DC5AC9"/>
    <w:rsid w:val="00DC5B2B"/>
    <w:rsid w:val="00DC6D26"/>
    <w:rsid w:val="00DD0B16"/>
    <w:rsid w:val="00DD17A6"/>
    <w:rsid w:val="00DD318D"/>
    <w:rsid w:val="00DD675E"/>
    <w:rsid w:val="00DE0695"/>
    <w:rsid w:val="00DE2A2E"/>
    <w:rsid w:val="00DE2C42"/>
    <w:rsid w:val="00DE3071"/>
    <w:rsid w:val="00DE6D35"/>
    <w:rsid w:val="00DF0663"/>
    <w:rsid w:val="00DF11BC"/>
    <w:rsid w:val="00DF13BB"/>
    <w:rsid w:val="00DF260C"/>
    <w:rsid w:val="00DF280B"/>
    <w:rsid w:val="00DF2E12"/>
    <w:rsid w:val="00DF307F"/>
    <w:rsid w:val="00DF3B44"/>
    <w:rsid w:val="00DF3D0C"/>
    <w:rsid w:val="00DF4B33"/>
    <w:rsid w:val="00DF514A"/>
    <w:rsid w:val="00DF6690"/>
    <w:rsid w:val="00DF6804"/>
    <w:rsid w:val="00DF681D"/>
    <w:rsid w:val="00DF6A41"/>
    <w:rsid w:val="00DF7329"/>
    <w:rsid w:val="00E0079E"/>
    <w:rsid w:val="00E01DD8"/>
    <w:rsid w:val="00E032AE"/>
    <w:rsid w:val="00E0358D"/>
    <w:rsid w:val="00E03656"/>
    <w:rsid w:val="00E03E50"/>
    <w:rsid w:val="00E03FBC"/>
    <w:rsid w:val="00E040FC"/>
    <w:rsid w:val="00E04323"/>
    <w:rsid w:val="00E04F8B"/>
    <w:rsid w:val="00E05728"/>
    <w:rsid w:val="00E070A2"/>
    <w:rsid w:val="00E10980"/>
    <w:rsid w:val="00E10999"/>
    <w:rsid w:val="00E11119"/>
    <w:rsid w:val="00E11EC8"/>
    <w:rsid w:val="00E1205E"/>
    <w:rsid w:val="00E144CA"/>
    <w:rsid w:val="00E1469A"/>
    <w:rsid w:val="00E1476C"/>
    <w:rsid w:val="00E14EEC"/>
    <w:rsid w:val="00E1583E"/>
    <w:rsid w:val="00E16BC8"/>
    <w:rsid w:val="00E17C1B"/>
    <w:rsid w:val="00E20409"/>
    <w:rsid w:val="00E208D5"/>
    <w:rsid w:val="00E22334"/>
    <w:rsid w:val="00E238F8"/>
    <w:rsid w:val="00E26229"/>
    <w:rsid w:val="00E2656A"/>
    <w:rsid w:val="00E30A8C"/>
    <w:rsid w:val="00E30B0C"/>
    <w:rsid w:val="00E33370"/>
    <w:rsid w:val="00E34864"/>
    <w:rsid w:val="00E34B85"/>
    <w:rsid w:val="00E3713A"/>
    <w:rsid w:val="00E40622"/>
    <w:rsid w:val="00E412D0"/>
    <w:rsid w:val="00E41426"/>
    <w:rsid w:val="00E445DA"/>
    <w:rsid w:val="00E47303"/>
    <w:rsid w:val="00E47781"/>
    <w:rsid w:val="00E47D86"/>
    <w:rsid w:val="00E5125A"/>
    <w:rsid w:val="00E54668"/>
    <w:rsid w:val="00E556D2"/>
    <w:rsid w:val="00E55A45"/>
    <w:rsid w:val="00E55B4B"/>
    <w:rsid w:val="00E55E65"/>
    <w:rsid w:val="00E56322"/>
    <w:rsid w:val="00E57B5D"/>
    <w:rsid w:val="00E60982"/>
    <w:rsid w:val="00E61C33"/>
    <w:rsid w:val="00E62C62"/>
    <w:rsid w:val="00E63E2C"/>
    <w:rsid w:val="00E647C0"/>
    <w:rsid w:val="00E64F10"/>
    <w:rsid w:val="00E654C1"/>
    <w:rsid w:val="00E65C9D"/>
    <w:rsid w:val="00E65D08"/>
    <w:rsid w:val="00E65D97"/>
    <w:rsid w:val="00E670FA"/>
    <w:rsid w:val="00E727F1"/>
    <w:rsid w:val="00E72A5A"/>
    <w:rsid w:val="00E73354"/>
    <w:rsid w:val="00E73E39"/>
    <w:rsid w:val="00E7641E"/>
    <w:rsid w:val="00E80634"/>
    <w:rsid w:val="00E809F0"/>
    <w:rsid w:val="00E8151F"/>
    <w:rsid w:val="00E83A4D"/>
    <w:rsid w:val="00E83A91"/>
    <w:rsid w:val="00E84CFA"/>
    <w:rsid w:val="00E85679"/>
    <w:rsid w:val="00E90036"/>
    <w:rsid w:val="00E904D2"/>
    <w:rsid w:val="00E909C3"/>
    <w:rsid w:val="00E9242D"/>
    <w:rsid w:val="00E92495"/>
    <w:rsid w:val="00E92C16"/>
    <w:rsid w:val="00E93FE0"/>
    <w:rsid w:val="00E9570C"/>
    <w:rsid w:val="00E97EFC"/>
    <w:rsid w:val="00EA011C"/>
    <w:rsid w:val="00EA1691"/>
    <w:rsid w:val="00EA3179"/>
    <w:rsid w:val="00EA3A6D"/>
    <w:rsid w:val="00EA6746"/>
    <w:rsid w:val="00EB0522"/>
    <w:rsid w:val="00EB1D01"/>
    <w:rsid w:val="00EB2FB9"/>
    <w:rsid w:val="00EB37BE"/>
    <w:rsid w:val="00EB42AC"/>
    <w:rsid w:val="00EB518B"/>
    <w:rsid w:val="00EB5255"/>
    <w:rsid w:val="00EB5C47"/>
    <w:rsid w:val="00EB6A21"/>
    <w:rsid w:val="00EB7676"/>
    <w:rsid w:val="00EC0C57"/>
    <w:rsid w:val="00EC2F37"/>
    <w:rsid w:val="00ED0639"/>
    <w:rsid w:val="00ED39CD"/>
    <w:rsid w:val="00ED43BF"/>
    <w:rsid w:val="00ED442C"/>
    <w:rsid w:val="00ED463D"/>
    <w:rsid w:val="00ED4775"/>
    <w:rsid w:val="00ED793B"/>
    <w:rsid w:val="00EE0D7B"/>
    <w:rsid w:val="00EE1C11"/>
    <w:rsid w:val="00EE4E5C"/>
    <w:rsid w:val="00EE7221"/>
    <w:rsid w:val="00EE7BF3"/>
    <w:rsid w:val="00EF2C29"/>
    <w:rsid w:val="00EF4755"/>
    <w:rsid w:val="00EF5955"/>
    <w:rsid w:val="00EF6ABE"/>
    <w:rsid w:val="00EF7135"/>
    <w:rsid w:val="00EF7E50"/>
    <w:rsid w:val="00F005ED"/>
    <w:rsid w:val="00F02088"/>
    <w:rsid w:val="00F027DA"/>
    <w:rsid w:val="00F027DB"/>
    <w:rsid w:val="00F03F0E"/>
    <w:rsid w:val="00F047CE"/>
    <w:rsid w:val="00F0482D"/>
    <w:rsid w:val="00F0680B"/>
    <w:rsid w:val="00F107B3"/>
    <w:rsid w:val="00F107C3"/>
    <w:rsid w:val="00F12696"/>
    <w:rsid w:val="00F12D9D"/>
    <w:rsid w:val="00F13285"/>
    <w:rsid w:val="00F14A7A"/>
    <w:rsid w:val="00F15D9D"/>
    <w:rsid w:val="00F169A0"/>
    <w:rsid w:val="00F1751E"/>
    <w:rsid w:val="00F20A33"/>
    <w:rsid w:val="00F20E07"/>
    <w:rsid w:val="00F21366"/>
    <w:rsid w:val="00F21E6D"/>
    <w:rsid w:val="00F21FE9"/>
    <w:rsid w:val="00F22985"/>
    <w:rsid w:val="00F22B54"/>
    <w:rsid w:val="00F22E97"/>
    <w:rsid w:val="00F24909"/>
    <w:rsid w:val="00F25F6D"/>
    <w:rsid w:val="00F26471"/>
    <w:rsid w:val="00F273FE"/>
    <w:rsid w:val="00F30C12"/>
    <w:rsid w:val="00F317DF"/>
    <w:rsid w:val="00F32A9A"/>
    <w:rsid w:val="00F3383E"/>
    <w:rsid w:val="00F339F1"/>
    <w:rsid w:val="00F35BE5"/>
    <w:rsid w:val="00F36532"/>
    <w:rsid w:val="00F41149"/>
    <w:rsid w:val="00F415D5"/>
    <w:rsid w:val="00F41A7A"/>
    <w:rsid w:val="00F41E5F"/>
    <w:rsid w:val="00F425DD"/>
    <w:rsid w:val="00F4509D"/>
    <w:rsid w:val="00F45E77"/>
    <w:rsid w:val="00F465A7"/>
    <w:rsid w:val="00F46F33"/>
    <w:rsid w:val="00F504A6"/>
    <w:rsid w:val="00F504F7"/>
    <w:rsid w:val="00F50630"/>
    <w:rsid w:val="00F50B7C"/>
    <w:rsid w:val="00F54123"/>
    <w:rsid w:val="00F550E6"/>
    <w:rsid w:val="00F55CB7"/>
    <w:rsid w:val="00F570C7"/>
    <w:rsid w:val="00F57913"/>
    <w:rsid w:val="00F57B80"/>
    <w:rsid w:val="00F63BCE"/>
    <w:rsid w:val="00F655AE"/>
    <w:rsid w:val="00F6609A"/>
    <w:rsid w:val="00F66ED6"/>
    <w:rsid w:val="00F66F10"/>
    <w:rsid w:val="00F728CD"/>
    <w:rsid w:val="00F73E62"/>
    <w:rsid w:val="00F74345"/>
    <w:rsid w:val="00F75DA3"/>
    <w:rsid w:val="00F77DDD"/>
    <w:rsid w:val="00F80097"/>
    <w:rsid w:val="00F80318"/>
    <w:rsid w:val="00F80A0A"/>
    <w:rsid w:val="00F80D30"/>
    <w:rsid w:val="00F823D0"/>
    <w:rsid w:val="00F82B19"/>
    <w:rsid w:val="00F83780"/>
    <w:rsid w:val="00F837C3"/>
    <w:rsid w:val="00F83BA0"/>
    <w:rsid w:val="00F845B6"/>
    <w:rsid w:val="00F8473B"/>
    <w:rsid w:val="00F8504E"/>
    <w:rsid w:val="00F861D7"/>
    <w:rsid w:val="00F86BA9"/>
    <w:rsid w:val="00F90021"/>
    <w:rsid w:val="00F913CC"/>
    <w:rsid w:val="00F9212D"/>
    <w:rsid w:val="00F93F58"/>
    <w:rsid w:val="00F94073"/>
    <w:rsid w:val="00F95912"/>
    <w:rsid w:val="00F95965"/>
    <w:rsid w:val="00F965DA"/>
    <w:rsid w:val="00FA35A8"/>
    <w:rsid w:val="00FA36A1"/>
    <w:rsid w:val="00FA406A"/>
    <w:rsid w:val="00FA465F"/>
    <w:rsid w:val="00FA4945"/>
    <w:rsid w:val="00FA4E67"/>
    <w:rsid w:val="00FA6DB6"/>
    <w:rsid w:val="00FB503A"/>
    <w:rsid w:val="00FB516C"/>
    <w:rsid w:val="00FB7646"/>
    <w:rsid w:val="00FB7F1D"/>
    <w:rsid w:val="00FC161E"/>
    <w:rsid w:val="00FC216D"/>
    <w:rsid w:val="00FC5D45"/>
    <w:rsid w:val="00FC6102"/>
    <w:rsid w:val="00FC6710"/>
    <w:rsid w:val="00FC6B68"/>
    <w:rsid w:val="00FC7BAA"/>
    <w:rsid w:val="00FD0236"/>
    <w:rsid w:val="00FD18F4"/>
    <w:rsid w:val="00FD2004"/>
    <w:rsid w:val="00FD2702"/>
    <w:rsid w:val="00FD3908"/>
    <w:rsid w:val="00FD3BC0"/>
    <w:rsid w:val="00FD3F2F"/>
    <w:rsid w:val="00FD48A7"/>
    <w:rsid w:val="00FD4F3B"/>
    <w:rsid w:val="00FD54DB"/>
    <w:rsid w:val="00FD5658"/>
    <w:rsid w:val="00FD619F"/>
    <w:rsid w:val="00FD71F8"/>
    <w:rsid w:val="00FD7C4D"/>
    <w:rsid w:val="00FD7F91"/>
    <w:rsid w:val="00FE0842"/>
    <w:rsid w:val="00FE13B2"/>
    <w:rsid w:val="00FE2F99"/>
    <w:rsid w:val="00FE3B1C"/>
    <w:rsid w:val="00FE3DC0"/>
    <w:rsid w:val="00FE53B7"/>
    <w:rsid w:val="00FE55AF"/>
    <w:rsid w:val="00FE5C27"/>
    <w:rsid w:val="00FE642D"/>
    <w:rsid w:val="00FE6C56"/>
    <w:rsid w:val="00FE70D5"/>
    <w:rsid w:val="00FE770E"/>
    <w:rsid w:val="00FE786E"/>
    <w:rsid w:val="00FF0679"/>
    <w:rsid w:val="00FF1AF3"/>
    <w:rsid w:val="00FF34E8"/>
    <w:rsid w:val="00FF3577"/>
    <w:rsid w:val="00FF5CD8"/>
    <w:rsid w:val="00FF5F71"/>
    <w:rsid w:val="01062EEC"/>
    <w:rsid w:val="011614FB"/>
    <w:rsid w:val="01290F7E"/>
    <w:rsid w:val="0146559A"/>
    <w:rsid w:val="014E5C37"/>
    <w:rsid w:val="014F7969"/>
    <w:rsid w:val="015D1E09"/>
    <w:rsid w:val="01763BCE"/>
    <w:rsid w:val="018D0F17"/>
    <w:rsid w:val="0196372D"/>
    <w:rsid w:val="019E7426"/>
    <w:rsid w:val="01A95995"/>
    <w:rsid w:val="01B3097E"/>
    <w:rsid w:val="01C17A5F"/>
    <w:rsid w:val="01C82346"/>
    <w:rsid w:val="01CB4C06"/>
    <w:rsid w:val="01FA47FF"/>
    <w:rsid w:val="020B711C"/>
    <w:rsid w:val="02697903"/>
    <w:rsid w:val="02B93DCD"/>
    <w:rsid w:val="02D171A5"/>
    <w:rsid w:val="02F96569"/>
    <w:rsid w:val="032338E1"/>
    <w:rsid w:val="036C5334"/>
    <w:rsid w:val="03952C8B"/>
    <w:rsid w:val="03A43975"/>
    <w:rsid w:val="03C84229"/>
    <w:rsid w:val="03EA7B21"/>
    <w:rsid w:val="04263861"/>
    <w:rsid w:val="04506958"/>
    <w:rsid w:val="045D0457"/>
    <w:rsid w:val="04601085"/>
    <w:rsid w:val="04A802A0"/>
    <w:rsid w:val="04EE6171"/>
    <w:rsid w:val="04F65079"/>
    <w:rsid w:val="051C4A8C"/>
    <w:rsid w:val="05574F84"/>
    <w:rsid w:val="05600E1D"/>
    <w:rsid w:val="05746676"/>
    <w:rsid w:val="059565ED"/>
    <w:rsid w:val="05A86320"/>
    <w:rsid w:val="05B44CC5"/>
    <w:rsid w:val="05CA19A1"/>
    <w:rsid w:val="05D37841"/>
    <w:rsid w:val="05DB5C29"/>
    <w:rsid w:val="05F83EAE"/>
    <w:rsid w:val="063E7D85"/>
    <w:rsid w:val="06466AD0"/>
    <w:rsid w:val="06A713BE"/>
    <w:rsid w:val="06B26072"/>
    <w:rsid w:val="06B55198"/>
    <w:rsid w:val="06BC5432"/>
    <w:rsid w:val="06E25862"/>
    <w:rsid w:val="071D4718"/>
    <w:rsid w:val="07293586"/>
    <w:rsid w:val="07295285"/>
    <w:rsid w:val="072C74FF"/>
    <w:rsid w:val="07353622"/>
    <w:rsid w:val="0754226E"/>
    <w:rsid w:val="07571D54"/>
    <w:rsid w:val="07636392"/>
    <w:rsid w:val="076C76C7"/>
    <w:rsid w:val="07770C56"/>
    <w:rsid w:val="077E23C9"/>
    <w:rsid w:val="07837045"/>
    <w:rsid w:val="07941252"/>
    <w:rsid w:val="07941EA7"/>
    <w:rsid w:val="07CB4548"/>
    <w:rsid w:val="07D57351"/>
    <w:rsid w:val="07EC365D"/>
    <w:rsid w:val="08145EEF"/>
    <w:rsid w:val="083B2549"/>
    <w:rsid w:val="086B4B50"/>
    <w:rsid w:val="088E43D0"/>
    <w:rsid w:val="0892638B"/>
    <w:rsid w:val="089A4646"/>
    <w:rsid w:val="089F7EAE"/>
    <w:rsid w:val="08A01E00"/>
    <w:rsid w:val="090B72F2"/>
    <w:rsid w:val="092217DD"/>
    <w:rsid w:val="093A7294"/>
    <w:rsid w:val="094D04E3"/>
    <w:rsid w:val="09536963"/>
    <w:rsid w:val="09570789"/>
    <w:rsid w:val="096D58B6"/>
    <w:rsid w:val="0A03621B"/>
    <w:rsid w:val="0A263993"/>
    <w:rsid w:val="0A2D3AC2"/>
    <w:rsid w:val="0A327C2F"/>
    <w:rsid w:val="0A346A3D"/>
    <w:rsid w:val="0A397E8E"/>
    <w:rsid w:val="0A52249F"/>
    <w:rsid w:val="0A760DAC"/>
    <w:rsid w:val="0AA03A6A"/>
    <w:rsid w:val="0AA74DF8"/>
    <w:rsid w:val="0AA755DF"/>
    <w:rsid w:val="0AA83F2A"/>
    <w:rsid w:val="0AB91C74"/>
    <w:rsid w:val="0AD33047"/>
    <w:rsid w:val="0ADA7D31"/>
    <w:rsid w:val="0B0540B1"/>
    <w:rsid w:val="0B120D44"/>
    <w:rsid w:val="0B2F5EE6"/>
    <w:rsid w:val="0B337E22"/>
    <w:rsid w:val="0B8312C2"/>
    <w:rsid w:val="0BD27BF6"/>
    <w:rsid w:val="0C360E8F"/>
    <w:rsid w:val="0C3B3C7D"/>
    <w:rsid w:val="0C4F74F5"/>
    <w:rsid w:val="0C525237"/>
    <w:rsid w:val="0C9413AC"/>
    <w:rsid w:val="0CAA0BCF"/>
    <w:rsid w:val="0CAB2EAE"/>
    <w:rsid w:val="0CCD48BE"/>
    <w:rsid w:val="0D1B1ACD"/>
    <w:rsid w:val="0D2A677A"/>
    <w:rsid w:val="0D2F1F90"/>
    <w:rsid w:val="0D311D19"/>
    <w:rsid w:val="0D621C7D"/>
    <w:rsid w:val="0DB00467"/>
    <w:rsid w:val="0DCE2374"/>
    <w:rsid w:val="0DDE0627"/>
    <w:rsid w:val="0E146C48"/>
    <w:rsid w:val="0E63197E"/>
    <w:rsid w:val="0E6A58CC"/>
    <w:rsid w:val="0E73034D"/>
    <w:rsid w:val="0E745939"/>
    <w:rsid w:val="0E7D7DAF"/>
    <w:rsid w:val="0E7E4443"/>
    <w:rsid w:val="0E8F459B"/>
    <w:rsid w:val="0E924011"/>
    <w:rsid w:val="0EAF5946"/>
    <w:rsid w:val="0EEC4872"/>
    <w:rsid w:val="0F0B1F42"/>
    <w:rsid w:val="0F13775A"/>
    <w:rsid w:val="0F290D35"/>
    <w:rsid w:val="0F5B19C8"/>
    <w:rsid w:val="0F5F45FE"/>
    <w:rsid w:val="0F9A112B"/>
    <w:rsid w:val="0F9F4455"/>
    <w:rsid w:val="0FB57FB7"/>
    <w:rsid w:val="0FEC3659"/>
    <w:rsid w:val="101822F4"/>
    <w:rsid w:val="10363685"/>
    <w:rsid w:val="104A77B2"/>
    <w:rsid w:val="104C4D72"/>
    <w:rsid w:val="104D76E4"/>
    <w:rsid w:val="10533B3A"/>
    <w:rsid w:val="106D2F64"/>
    <w:rsid w:val="10747381"/>
    <w:rsid w:val="109C25E5"/>
    <w:rsid w:val="10B63710"/>
    <w:rsid w:val="10BF5F42"/>
    <w:rsid w:val="10C632C6"/>
    <w:rsid w:val="10CD526B"/>
    <w:rsid w:val="10E13746"/>
    <w:rsid w:val="10F10820"/>
    <w:rsid w:val="111C2F7A"/>
    <w:rsid w:val="113106E6"/>
    <w:rsid w:val="11665CA1"/>
    <w:rsid w:val="117874EE"/>
    <w:rsid w:val="1179502E"/>
    <w:rsid w:val="11964B54"/>
    <w:rsid w:val="11B440E0"/>
    <w:rsid w:val="11C40F9F"/>
    <w:rsid w:val="11EF4D08"/>
    <w:rsid w:val="11F80825"/>
    <w:rsid w:val="12353631"/>
    <w:rsid w:val="125765EE"/>
    <w:rsid w:val="1271168C"/>
    <w:rsid w:val="127F48AC"/>
    <w:rsid w:val="12990A14"/>
    <w:rsid w:val="129A3494"/>
    <w:rsid w:val="129F5A18"/>
    <w:rsid w:val="12B46304"/>
    <w:rsid w:val="12E00EC8"/>
    <w:rsid w:val="12E7309A"/>
    <w:rsid w:val="133833D9"/>
    <w:rsid w:val="133B6A25"/>
    <w:rsid w:val="134E6759"/>
    <w:rsid w:val="13951726"/>
    <w:rsid w:val="13973391"/>
    <w:rsid w:val="13A3554D"/>
    <w:rsid w:val="13ED5818"/>
    <w:rsid w:val="141F2522"/>
    <w:rsid w:val="142967C9"/>
    <w:rsid w:val="14396509"/>
    <w:rsid w:val="14411E19"/>
    <w:rsid w:val="149363ED"/>
    <w:rsid w:val="14953635"/>
    <w:rsid w:val="14DD2C3C"/>
    <w:rsid w:val="14F03FB4"/>
    <w:rsid w:val="151840CA"/>
    <w:rsid w:val="15364E95"/>
    <w:rsid w:val="15447178"/>
    <w:rsid w:val="156129B3"/>
    <w:rsid w:val="15653560"/>
    <w:rsid w:val="15A9236C"/>
    <w:rsid w:val="15C3172B"/>
    <w:rsid w:val="15E74C42"/>
    <w:rsid w:val="1600567C"/>
    <w:rsid w:val="16041350"/>
    <w:rsid w:val="16087E1D"/>
    <w:rsid w:val="160962F8"/>
    <w:rsid w:val="164B3423"/>
    <w:rsid w:val="16857815"/>
    <w:rsid w:val="169D3553"/>
    <w:rsid w:val="16DE4297"/>
    <w:rsid w:val="16F471C7"/>
    <w:rsid w:val="1753147B"/>
    <w:rsid w:val="17701D14"/>
    <w:rsid w:val="17735226"/>
    <w:rsid w:val="1796247C"/>
    <w:rsid w:val="17C3523B"/>
    <w:rsid w:val="180B6AE5"/>
    <w:rsid w:val="182D6EA3"/>
    <w:rsid w:val="18383533"/>
    <w:rsid w:val="18475E6C"/>
    <w:rsid w:val="187229F5"/>
    <w:rsid w:val="189F624C"/>
    <w:rsid w:val="18AD2173"/>
    <w:rsid w:val="18CA5D34"/>
    <w:rsid w:val="191F64A1"/>
    <w:rsid w:val="192866A0"/>
    <w:rsid w:val="192D0BBE"/>
    <w:rsid w:val="192E7B16"/>
    <w:rsid w:val="193F08F1"/>
    <w:rsid w:val="1993645F"/>
    <w:rsid w:val="19A1335A"/>
    <w:rsid w:val="19A370D2"/>
    <w:rsid w:val="1A045DC3"/>
    <w:rsid w:val="1A1A3838"/>
    <w:rsid w:val="1A1C66C0"/>
    <w:rsid w:val="1A1F0E4F"/>
    <w:rsid w:val="1A42393B"/>
    <w:rsid w:val="1AAD45DE"/>
    <w:rsid w:val="1AF31F23"/>
    <w:rsid w:val="1AFE6CB6"/>
    <w:rsid w:val="1B046F80"/>
    <w:rsid w:val="1B202FF2"/>
    <w:rsid w:val="1B3267B5"/>
    <w:rsid w:val="1B40161D"/>
    <w:rsid w:val="1B441859"/>
    <w:rsid w:val="1B6606B1"/>
    <w:rsid w:val="1B6C00C4"/>
    <w:rsid w:val="1B926813"/>
    <w:rsid w:val="1B9F178D"/>
    <w:rsid w:val="1BA33762"/>
    <w:rsid w:val="1BB71917"/>
    <w:rsid w:val="1BC676A1"/>
    <w:rsid w:val="1BE7774A"/>
    <w:rsid w:val="1C183DA8"/>
    <w:rsid w:val="1C3330F1"/>
    <w:rsid w:val="1C3D79C4"/>
    <w:rsid w:val="1C5E7925"/>
    <w:rsid w:val="1C6074FD"/>
    <w:rsid w:val="1C784846"/>
    <w:rsid w:val="1CFD070F"/>
    <w:rsid w:val="1D301D07"/>
    <w:rsid w:val="1D3554AB"/>
    <w:rsid w:val="1D482544"/>
    <w:rsid w:val="1D4E498C"/>
    <w:rsid w:val="1D5F6196"/>
    <w:rsid w:val="1D6132A5"/>
    <w:rsid w:val="1D715F27"/>
    <w:rsid w:val="1D8E56D5"/>
    <w:rsid w:val="1DA376A1"/>
    <w:rsid w:val="1DCA7323"/>
    <w:rsid w:val="1DEE47E1"/>
    <w:rsid w:val="1E0B1979"/>
    <w:rsid w:val="1E12255C"/>
    <w:rsid w:val="1E234C86"/>
    <w:rsid w:val="1E4D0B27"/>
    <w:rsid w:val="1E592455"/>
    <w:rsid w:val="1E722AF8"/>
    <w:rsid w:val="1E7A43DA"/>
    <w:rsid w:val="1E80781D"/>
    <w:rsid w:val="1EC10726"/>
    <w:rsid w:val="1EEB57A3"/>
    <w:rsid w:val="1F054EAE"/>
    <w:rsid w:val="1F6317DE"/>
    <w:rsid w:val="1F8E1E73"/>
    <w:rsid w:val="1FE7539E"/>
    <w:rsid w:val="1FF97222"/>
    <w:rsid w:val="201C373B"/>
    <w:rsid w:val="2058178A"/>
    <w:rsid w:val="20671BE0"/>
    <w:rsid w:val="207C67A1"/>
    <w:rsid w:val="20963CB8"/>
    <w:rsid w:val="209B1957"/>
    <w:rsid w:val="20A14077"/>
    <w:rsid w:val="20A81A1B"/>
    <w:rsid w:val="20B07FB6"/>
    <w:rsid w:val="20B147CB"/>
    <w:rsid w:val="20B646FB"/>
    <w:rsid w:val="20C444FE"/>
    <w:rsid w:val="20C65325"/>
    <w:rsid w:val="20CC7D6A"/>
    <w:rsid w:val="20D70DE1"/>
    <w:rsid w:val="213B74B1"/>
    <w:rsid w:val="215A2310"/>
    <w:rsid w:val="218C3F99"/>
    <w:rsid w:val="21B856E5"/>
    <w:rsid w:val="21C17804"/>
    <w:rsid w:val="21DE318A"/>
    <w:rsid w:val="21EF5B80"/>
    <w:rsid w:val="21F06A08"/>
    <w:rsid w:val="220C6A8E"/>
    <w:rsid w:val="2210107D"/>
    <w:rsid w:val="222114DC"/>
    <w:rsid w:val="223F29DA"/>
    <w:rsid w:val="22576990"/>
    <w:rsid w:val="227635D6"/>
    <w:rsid w:val="22945FA8"/>
    <w:rsid w:val="22A55AA4"/>
    <w:rsid w:val="22A55C69"/>
    <w:rsid w:val="22B91715"/>
    <w:rsid w:val="22F47480"/>
    <w:rsid w:val="22FB7F7F"/>
    <w:rsid w:val="23051A6C"/>
    <w:rsid w:val="234433FA"/>
    <w:rsid w:val="234707DC"/>
    <w:rsid w:val="235356C5"/>
    <w:rsid w:val="235D2D3F"/>
    <w:rsid w:val="237066FD"/>
    <w:rsid w:val="2393640A"/>
    <w:rsid w:val="23A71C02"/>
    <w:rsid w:val="23BB2348"/>
    <w:rsid w:val="23BF0FAD"/>
    <w:rsid w:val="23C14D25"/>
    <w:rsid w:val="23D30DD6"/>
    <w:rsid w:val="23DE1C48"/>
    <w:rsid w:val="23F20755"/>
    <w:rsid w:val="240210CD"/>
    <w:rsid w:val="241A5B05"/>
    <w:rsid w:val="24286B52"/>
    <w:rsid w:val="24290B68"/>
    <w:rsid w:val="242F108C"/>
    <w:rsid w:val="24305A06"/>
    <w:rsid w:val="24757CA7"/>
    <w:rsid w:val="248A3369"/>
    <w:rsid w:val="2497155D"/>
    <w:rsid w:val="24BA380A"/>
    <w:rsid w:val="24BF09F7"/>
    <w:rsid w:val="24C26FA6"/>
    <w:rsid w:val="24CC572F"/>
    <w:rsid w:val="24D06DDB"/>
    <w:rsid w:val="24F45DA8"/>
    <w:rsid w:val="252D53FE"/>
    <w:rsid w:val="253F05F7"/>
    <w:rsid w:val="25C32FD6"/>
    <w:rsid w:val="25D858CA"/>
    <w:rsid w:val="25E00D32"/>
    <w:rsid w:val="25EC2D81"/>
    <w:rsid w:val="260809E9"/>
    <w:rsid w:val="260F621B"/>
    <w:rsid w:val="261E645E"/>
    <w:rsid w:val="26591322"/>
    <w:rsid w:val="26881B2A"/>
    <w:rsid w:val="26AA7CF2"/>
    <w:rsid w:val="26B642B9"/>
    <w:rsid w:val="26CA0394"/>
    <w:rsid w:val="26CA1907"/>
    <w:rsid w:val="26D26AC4"/>
    <w:rsid w:val="26E75260"/>
    <w:rsid w:val="270A11E2"/>
    <w:rsid w:val="277057A2"/>
    <w:rsid w:val="27822A1D"/>
    <w:rsid w:val="27860658"/>
    <w:rsid w:val="279B3AEB"/>
    <w:rsid w:val="27D95B33"/>
    <w:rsid w:val="280D15A8"/>
    <w:rsid w:val="28171131"/>
    <w:rsid w:val="28250497"/>
    <w:rsid w:val="28924EE2"/>
    <w:rsid w:val="28A6273B"/>
    <w:rsid w:val="28DF2C9D"/>
    <w:rsid w:val="28F356F3"/>
    <w:rsid w:val="290D743F"/>
    <w:rsid w:val="29206EB8"/>
    <w:rsid w:val="29445CA9"/>
    <w:rsid w:val="29595666"/>
    <w:rsid w:val="29606D8E"/>
    <w:rsid w:val="296F1C9B"/>
    <w:rsid w:val="2978318F"/>
    <w:rsid w:val="29793BED"/>
    <w:rsid w:val="29874881"/>
    <w:rsid w:val="29940939"/>
    <w:rsid w:val="29B92D70"/>
    <w:rsid w:val="29E325E0"/>
    <w:rsid w:val="2A085D57"/>
    <w:rsid w:val="2A175D5C"/>
    <w:rsid w:val="2A2B114A"/>
    <w:rsid w:val="2A452503"/>
    <w:rsid w:val="2A6D5F33"/>
    <w:rsid w:val="2B053749"/>
    <w:rsid w:val="2B367540"/>
    <w:rsid w:val="2B9952EB"/>
    <w:rsid w:val="2B9B462F"/>
    <w:rsid w:val="2BA936A8"/>
    <w:rsid w:val="2BCA28C4"/>
    <w:rsid w:val="2BE9306B"/>
    <w:rsid w:val="2BF67536"/>
    <w:rsid w:val="2BFA0BB2"/>
    <w:rsid w:val="2BFA7026"/>
    <w:rsid w:val="2C3047F6"/>
    <w:rsid w:val="2C315A5A"/>
    <w:rsid w:val="2C3E6198"/>
    <w:rsid w:val="2C4B1C25"/>
    <w:rsid w:val="2C63754C"/>
    <w:rsid w:val="2CD5539D"/>
    <w:rsid w:val="2D0B13C9"/>
    <w:rsid w:val="2D236C2E"/>
    <w:rsid w:val="2D3445D2"/>
    <w:rsid w:val="2D442947"/>
    <w:rsid w:val="2D4F514F"/>
    <w:rsid w:val="2D5B5FD2"/>
    <w:rsid w:val="2D630BFB"/>
    <w:rsid w:val="2D6A3D37"/>
    <w:rsid w:val="2D6A5656"/>
    <w:rsid w:val="2D8A7365"/>
    <w:rsid w:val="2D9E56F5"/>
    <w:rsid w:val="2DC937E7"/>
    <w:rsid w:val="2DD438A6"/>
    <w:rsid w:val="2DD549CB"/>
    <w:rsid w:val="2DDC3A06"/>
    <w:rsid w:val="2E667F96"/>
    <w:rsid w:val="2E722C2F"/>
    <w:rsid w:val="2E8226AB"/>
    <w:rsid w:val="2E916316"/>
    <w:rsid w:val="2E9E39BF"/>
    <w:rsid w:val="2EC1626D"/>
    <w:rsid w:val="2EFC1424"/>
    <w:rsid w:val="2F2A7C22"/>
    <w:rsid w:val="2F635888"/>
    <w:rsid w:val="2F884949"/>
    <w:rsid w:val="2F9037FD"/>
    <w:rsid w:val="2F9652B7"/>
    <w:rsid w:val="2FD065E6"/>
    <w:rsid w:val="2FD66D94"/>
    <w:rsid w:val="2FD96870"/>
    <w:rsid w:val="2FE02BB4"/>
    <w:rsid w:val="30580BC9"/>
    <w:rsid w:val="306C6CE9"/>
    <w:rsid w:val="30AD6122"/>
    <w:rsid w:val="30F32296"/>
    <w:rsid w:val="311346E6"/>
    <w:rsid w:val="311E2ED7"/>
    <w:rsid w:val="315619EE"/>
    <w:rsid w:val="315C449C"/>
    <w:rsid w:val="31706C39"/>
    <w:rsid w:val="3172765E"/>
    <w:rsid w:val="318A0E4C"/>
    <w:rsid w:val="31B82709"/>
    <w:rsid w:val="31D05482"/>
    <w:rsid w:val="31D73965"/>
    <w:rsid w:val="31D9148B"/>
    <w:rsid w:val="31E340B8"/>
    <w:rsid w:val="31EF775C"/>
    <w:rsid w:val="321E7E15"/>
    <w:rsid w:val="322B2502"/>
    <w:rsid w:val="322D6727"/>
    <w:rsid w:val="322E7A29"/>
    <w:rsid w:val="32400B34"/>
    <w:rsid w:val="3253616A"/>
    <w:rsid w:val="329E6876"/>
    <w:rsid w:val="32A464FC"/>
    <w:rsid w:val="32A57EEC"/>
    <w:rsid w:val="32AE2918"/>
    <w:rsid w:val="32EB37B8"/>
    <w:rsid w:val="332D5F33"/>
    <w:rsid w:val="333015F2"/>
    <w:rsid w:val="334B6320"/>
    <w:rsid w:val="335923E4"/>
    <w:rsid w:val="335B466F"/>
    <w:rsid w:val="33995376"/>
    <w:rsid w:val="33D30C84"/>
    <w:rsid w:val="33D934D4"/>
    <w:rsid w:val="33E660E2"/>
    <w:rsid w:val="33F3227E"/>
    <w:rsid w:val="33FE2F6A"/>
    <w:rsid w:val="34081806"/>
    <w:rsid w:val="34092595"/>
    <w:rsid w:val="340E07E5"/>
    <w:rsid w:val="34235BF7"/>
    <w:rsid w:val="34272982"/>
    <w:rsid w:val="34377D48"/>
    <w:rsid w:val="34391009"/>
    <w:rsid w:val="345B262C"/>
    <w:rsid w:val="34BD32E6"/>
    <w:rsid w:val="34D16D92"/>
    <w:rsid w:val="34E24AFB"/>
    <w:rsid w:val="35253ED2"/>
    <w:rsid w:val="35327830"/>
    <w:rsid w:val="358501B0"/>
    <w:rsid w:val="358C5FA8"/>
    <w:rsid w:val="359D56A6"/>
    <w:rsid w:val="35C15DF1"/>
    <w:rsid w:val="35E054DE"/>
    <w:rsid w:val="35E26834"/>
    <w:rsid w:val="35F8561C"/>
    <w:rsid w:val="36074A7F"/>
    <w:rsid w:val="3608233F"/>
    <w:rsid w:val="36405CDF"/>
    <w:rsid w:val="366516A8"/>
    <w:rsid w:val="366A1A04"/>
    <w:rsid w:val="36817492"/>
    <w:rsid w:val="3685018D"/>
    <w:rsid w:val="36923549"/>
    <w:rsid w:val="36A85F96"/>
    <w:rsid w:val="36B75FBF"/>
    <w:rsid w:val="36BD0C45"/>
    <w:rsid w:val="36C95F72"/>
    <w:rsid w:val="36CC7996"/>
    <w:rsid w:val="36D45D69"/>
    <w:rsid w:val="36DB5CA6"/>
    <w:rsid w:val="36E36908"/>
    <w:rsid w:val="36F515A5"/>
    <w:rsid w:val="373A27AD"/>
    <w:rsid w:val="37460F28"/>
    <w:rsid w:val="37532ECF"/>
    <w:rsid w:val="375D7A2B"/>
    <w:rsid w:val="37647A49"/>
    <w:rsid w:val="37991DE9"/>
    <w:rsid w:val="37DE4C43"/>
    <w:rsid w:val="37E00298"/>
    <w:rsid w:val="37EB4AC3"/>
    <w:rsid w:val="381C3434"/>
    <w:rsid w:val="381D4A00"/>
    <w:rsid w:val="38353194"/>
    <w:rsid w:val="38572645"/>
    <w:rsid w:val="38775503"/>
    <w:rsid w:val="387C0D7A"/>
    <w:rsid w:val="38B14F10"/>
    <w:rsid w:val="38B302F9"/>
    <w:rsid w:val="38B3480F"/>
    <w:rsid w:val="38F12CD3"/>
    <w:rsid w:val="38F94775"/>
    <w:rsid w:val="39036063"/>
    <w:rsid w:val="392971ED"/>
    <w:rsid w:val="39325651"/>
    <w:rsid w:val="39477622"/>
    <w:rsid w:val="39546F6A"/>
    <w:rsid w:val="39550CC1"/>
    <w:rsid w:val="397D7BC9"/>
    <w:rsid w:val="39CD7B28"/>
    <w:rsid w:val="39E13895"/>
    <w:rsid w:val="39E555E1"/>
    <w:rsid w:val="39EF3F42"/>
    <w:rsid w:val="3A1C460B"/>
    <w:rsid w:val="3A83468A"/>
    <w:rsid w:val="3A872856"/>
    <w:rsid w:val="3AC916C0"/>
    <w:rsid w:val="3B3763D1"/>
    <w:rsid w:val="3B3C5A5D"/>
    <w:rsid w:val="3B555A62"/>
    <w:rsid w:val="3B8A7CB4"/>
    <w:rsid w:val="3BAF2DFE"/>
    <w:rsid w:val="3BC6175E"/>
    <w:rsid w:val="3C0D6901"/>
    <w:rsid w:val="3C0E3715"/>
    <w:rsid w:val="3C2107A2"/>
    <w:rsid w:val="3C2F6E1E"/>
    <w:rsid w:val="3C4F64BA"/>
    <w:rsid w:val="3C7A2C44"/>
    <w:rsid w:val="3CC86CCC"/>
    <w:rsid w:val="3CDA245A"/>
    <w:rsid w:val="3D1E06B7"/>
    <w:rsid w:val="3D5045E3"/>
    <w:rsid w:val="3D6F4D56"/>
    <w:rsid w:val="3D790B6F"/>
    <w:rsid w:val="3E0D0E3B"/>
    <w:rsid w:val="3E1201FF"/>
    <w:rsid w:val="3E3E53CD"/>
    <w:rsid w:val="3E5F0F6A"/>
    <w:rsid w:val="3E622809"/>
    <w:rsid w:val="3ECF7E9E"/>
    <w:rsid w:val="3EDA0523"/>
    <w:rsid w:val="3EE871B2"/>
    <w:rsid w:val="3EF20826"/>
    <w:rsid w:val="3F1B30E3"/>
    <w:rsid w:val="3F4D5267"/>
    <w:rsid w:val="3F4E6612"/>
    <w:rsid w:val="3FDF05B5"/>
    <w:rsid w:val="3FE83D4E"/>
    <w:rsid w:val="4004034E"/>
    <w:rsid w:val="402527D9"/>
    <w:rsid w:val="402B23F3"/>
    <w:rsid w:val="405C4B8C"/>
    <w:rsid w:val="40642868"/>
    <w:rsid w:val="407A6407"/>
    <w:rsid w:val="408301EA"/>
    <w:rsid w:val="40F005A0"/>
    <w:rsid w:val="40FE4575"/>
    <w:rsid w:val="41720FB5"/>
    <w:rsid w:val="4177478C"/>
    <w:rsid w:val="417B20D5"/>
    <w:rsid w:val="417E62D1"/>
    <w:rsid w:val="41882D34"/>
    <w:rsid w:val="419E624E"/>
    <w:rsid w:val="41E73751"/>
    <w:rsid w:val="4200449D"/>
    <w:rsid w:val="421B164C"/>
    <w:rsid w:val="423A3BCC"/>
    <w:rsid w:val="424E57D2"/>
    <w:rsid w:val="428401E2"/>
    <w:rsid w:val="429168A6"/>
    <w:rsid w:val="42B26C49"/>
    <w:rsid w:val="42F017F5"/>
    <w:rsid w:val="432D5ADB"/>
    <w:rsid w:val="433A6FE6"/>
    <w:rsid w:val="433C187A"/>
    <w:rsid w:val="434370AD"/>
    <w:rsid w:val="43480868"/>
    <w:rsid w:val="4350713C"/>
    <w:rsid w:val="43573721"/>
    <w:rsid w:val="436037BB"/>
    <w:rsid w:val="43652622"/>
    <w:rsid w:val="436653E0"/>
    <w:rsid w:val="4396542E"/>
    <w:rsid w:val="43AD2778"/>
    <w:rsid w:val="43BA2010"/>
    <w:rsid w:val="43C27FD1"/>
    <w:rsid w:val="43C33D49"/>
    <w:rsid w:val="43C4431A"/>
    <w:rsid w:val="43C74413"/>
    <w:rsid w:val="43E07618"/>
    <w:rsid w:val="43F72CBA"/>
    <w:rsid w:val="43F77E52"/>
    <w:rsid w:val="440542A5"/>
    <w:rsid w:val="442D2382"/>
    <w:rsid w:val="44384737"/>
    <w:rsid w:val="443A4160"/>
    <w:rsid w:val="44613EB6"/>
    <w:rsid w:val="446256C2"/>
    <w:rsid w:val="44650015"/>
    <w:rsid w:val="448E07FB"/>
    <w:rsid w:val="44B951CC"/>
    <w:rsid w:val="44CD14E0"/>
    <w:rsid w:val="44F20B0B"/>
    <w:rsid w:val="452E5F4C"/>
    <w:rsid w:val="45612018"/>
    <w:rsid w:val="456E3094"/>
    <w:rsid w:val="456E7868"/>
    <w:rsid w:val="458946E9"/>
    <w:rsid w:val="45A47C0E"/>
    <w:rsid w:val="45E36D54"/>
    <w:rsid w:val="45EE1552"/>
    <w:rsid w:val="4613720A"/>
    <w:rsid w:val="461D1E37"/>
    <w:rsid w:val="461E78CE"/>
    <w:rsid w:val="4641436E"/>
    <w:rsid w:val="465359B4"/>
    <w:rsid w:val="465515D1"/>
    <w:rsid w:val="46577FD6"/>
    <w:rsid w:val="466730B2"/>
    <w:rsid w:val="46963997"/>
    <w:rsid w:val="469A4D19"/>
    <w:rsid w:val="46D2615A"/>
    <w:rsid w:val="46D955A7"/>
    <w:rsid w:val="46F77347"/>
    <w:rsid w:val="470D35C2"/>
    <w:rsid w:val="47133957"/>
    <w:rsid w:val="47441188"/>
    <w:rsid w:val="47513B2B"/>
    <w:rsid w:val="47906638"/>
    <w:rsid w:val="4798012D"/>
    <w:rsid w:val="47A07E0C"/>
    <w:rsid w:val="47AB175E"/>
    <w:rsid w:val="47B623FD"/>
    <w:rsid w:val="47CB7671"/>
    <w:rsid w:val="47D14C87"/>
    <w:rsid w:val="47D5580F"/>
    <w:rsid w:val="47FF3922"/>
    <w:rsid w:val="480706A9"/>
    <w:rsid w:val="482E2CDE"/>
    <w:rsid w:val="486C71BB"/>
    <w:rsid w:val="4870272E"/>
    <w:rsid w:val="488E0DCA"/>
    <w:rsid w:val="48EF29DC"/>
    <w:rsid w:val="494D67D1"/>
    <w:rsid w:val="496929A0"/>
    <w:rsid w:val="49724454"/>
    <w:rsid w:val="49A63EF1"/>
    <w:rsid w:val="49C12AD9"/>
    <w:rsid w:val="49CD147E"/>
    <w:rsid w:val="49DC7715"/>
    <w:rsid w:val="49E165CD"/>
    <w:rsid w:val="4A023139"/>
    <w:rsid w:val="4A1E1CDA"/>
    <w:rsid w:val="4A3F58A0"/>
    <w:rsid w:val="4A5120AF"/>
    <w:rsid w:val="4A523CEF"/>
    <w:rsid w:val="4A7B576F"/>
    <w:rsid w:val="4AA96466"/>
    <w:rsid w:val="4AB611F6"/>
    <w:rsid w:val="4AB64608"/>
    <w:rsid w:val="4ADD50C2"/>
    <w:rsid w:val="4AF561A9"/>
    <w:rsid w:val="4B1E0620"/>
    <w:rsid w:val="4B313C8F"/>
    <w:rsid w:val="4B732C27"/>
    <w:rsid w:val="4B975913"/>
    <w:rsid w:val="4B991F60"/>
    <w:rsid w:val="4BA86FF6"/>
    <w:rsid w:val="4BDD5BE0"/>
    <w:rsid w:val="4BF663FF"/>
    <w:rsid w:val="4C425966"/>
    <w:rsid w:val="4C4A0649"/>
    <w:rsid w:val="4C6A4C94"/>
    <w:rsid w:val="4C7E5ECA"/>
    <w:rsid w:val="4C876AA5"/>
    <w:rsid w:val="4C8A5CE1"/>
    <w:rsid w:val="4C9605AA"/>
    <w:rsid w:val="4C974388"/>
    <w:rsid w:val="4C9A1B49"/>
    <w:rsid w:val="4CA85525"/>
    <w:rsid w:val="4CDF6854"/>
    <w:rsid w:val="4CFB18E4"/>
    <w:rsid w:val="4D0E00FB"/>
    <w:rsid w:val="4D114890"/>
    <w:rsid w:val="4D176606"/>
    <w:rsid w:val="4D392E53"/>
    <w:rsid w:val="4D4A3F4B"/>
    <w:rsid w:val="4D545287"/>
    <w:rsid w:val="4D5F2EC1"/>
    <w:rsid w:val="4D5F7B8A"/>
    <w:rsid w:val="4DE60D38"/>
    <w:rsid w:val="4DEB69B8"/>
    <w:rsid w:val="4DEC4FB0"/>
    <w:rsid w:val="4DFA480C"/>
    <w:rsid w:val="4E075D8A"/>
    <w:rsid w:val="4E151645"/>
    <w:rsid w:val="4EA36C51"/>
    <w:rsid w:val="4EA52076"/>
    <w:rsid w:val="4EC00FAD"/>
    <w:rsid w:val="4F5543EF"/>
    <w:rsid w:val="4F9843DC"/>
    <w:rsid w:val="4FA03191"/>
    <w:rsid w:val="4FC62A8C"/>
    <w:rsid w:val="4FCE5F50"/>
    <w:rsid w:val="4FD25A40"/>
    <w:rsid w:val="4FE20F0D"/>
    <w:rsid w:val="4FE51552"/>
    <w:rsid w:val="4FE63299"/>
    <w:rsid w:val="50175B49"/>
    <w:rsid w:val="501F4AD6"/>
    <w:rsid w:val="502255BC"/>
    <w:rsid w:val="502E13FF"/>
    <w:rsid w:val="50504C4B"/>
    <w:rsid w:val="508B466C"/>
    <w:rsid w:val="508C2093"/>
    <w:rsid w:val="50971843"/>
    <w:rsid w:val="509A5205"/>
    <w:rsid w:val="509C6E7C"/>
    <w:rsid w:val="50B60EBE"/>
    <w:rsid w:val="50D46B08"/>
    <w:rsid w:val="50DB26D2"/>
    <w:rsid w:val="50DF6147"/>
    <w:rsid w:val="50FD4DCD"/>
    <w:rsid w:val="50FF60A5"/>
    <w:rsid w:val="51113494"/>
    <w:rsid w:val="51264FF3"/>
    <w:rsid w:val="512A365A"/>
    <w:rsid w:val="5162104E"/>
    <w:rsid w:val="51744C0F"/>
    <w:rsid w:val="51890380"/>
    <w:rsid w:val="51F55A16"/>
    <w:rsid w:val="52042867"/>
    <w:rsid w:val="52262073"/>
    <w:rsid w:val="52362032"/>
    <w:rsid w:val="524E5126"/>
    <w:rsid w:val="529B216E"/>
    <w:rsid w:val="52B3321E"/>
    <w:rsid w:val="52BF5663"/>
    <w:rsid w:val="52CA40EC"/>
    <w:rsid w:val="52DA4CA0"/>
    <w:rsid w:val="531D5224"/>
    <w:rsid w:val="53446C55"/>
    <w:rsid w:val="53461D1F"/>
    <w:rsid w:val="537F5ED5"/>
    <w:rsid w:val="53A039CC"/>
    <w:rsid w:val="53A1505A"/>
    <w:rsid w:val="53D00327"/>
    <w:rsid w:val="53ED36AB"/>
    <w:rsid w:val="53FE5872"/>
    <w:rsid w:val="54063E08"/>
    <w:rsid w:val="54333EEA"/>
    <w:rsid w:val="543437E8"/>
    <w:rsid w:val="545A7BC2"/>
    <w:rsid w:val="54F73313"/>
    <w:rsid w:val="54F80955"/>
    <w:rsid w:val="550310E3"/>
    <w:rsid w:val="55050191"/>
    <w:rsid w:val="55083CB2"/>
    <w:rsid w:val="550C7B92"/>
    <w:rsid w:val="55205E4C"/>
    <w:rsid w:val="55480552"/>
    <w:rsid w:val="555170A7"/>
    <w:rsid w:val="55872E29"/>
    <w:rsid w:val="5587536D"/>
    <w:rsid w:val="559B174B"/>
    <w:rsid w:val="55A92D02"/>
    <w:rsid w:val="55AA2FBB"/>
    <w:rsid w:val="55C37BD9"/>
    <w:rsid w:val="55CE0CF4"/>
    <w:rsid w:val="55D1178E"/>
    <w:rsid w:val="55F21091"/>
    <w:rsid w:val="55FA3400"/>
    <w:rsid w:val="56452D72"/>
    <w:rsid w:val="56634E48"/>
    <w:rsid w:val="566F3207"/>
    <w:rsid w:val="569704DD"/>
    <w:rsid w:val="56B03FC2"/>
    <w:rsid w:val="56B22A9C"/>
    <w:rsid w:val="56CF464C"/>
    <w:rsid w:val="56DD0018"/>
    <w:rsid w:val="570C069F"/>
    <w:rsid w:val="5717642E"/>
    <w:rsid w:val="5719573D"/>
    <w:rsid w:val="5737262D"/>
    <w:rsid w:val="574E5F12"/>
    <w:rsid w:val="576378C6"/>
    <w:rsid w:val="577C0690"/>
    <w:rsid w:val="578E7459"/>
    <w:rsid w:val="57B72A76"/>
    <w:rsid w:val="57BD741E"/>
    <w:rsid w:val="57C3426C"/>
    <w:rsid w:val="57CE1F93"/>
    <w:rsid w:val="57EE4C94"/>
    <w:rsid w:val="58845D45"/>
    <w:rsid w:val="588743D1"/>
    <w:rsid w:val="5887701A"/>
    <w:rsid w:val="58A957AC"/>
    <w:rsid w:val="58AA7A75"/>
    <w:rsid w:val="58F702C5"/>
    <w:rsid w:val="590F3531"/>
    <w:rsid w:val="5941768C"/>
    <w:rsid w:val="59462FFB"/>
    <w:rsid w:val="594E066E"/>
    <w:rsid w:val="59736FAA"/>
    <w:rsid w:val="59785E74"/>
    <w:rsid w:val="598F6750"/>
    <w:rsid w:val="59C0439F"/>
    <w:rsid w:val="59DE2C83"/>
    <w:rsid w:val="59EB60D5"/>
    <w:rsid w:val="59ED6419"/>
    <w:rsid w:val="5A191CBD"/>
    <w:rsid w:val="5A3D7F5A"/>
    <w:rsid w:val="5A571B7B"/>
    <w:rsid w:val="5A6F1FD2"/>
    <w:rsid w:val="5AA315B9"/>
    <w:rsid w:val="5AAF63E5"/>
    <w:rsid w:val="5ABE2233"/>
    <w:rsid w:val="5AC62645"/>
    <w:rsid w:val="5AD00DCE"/>
    <w:rsid w:val="5AFD10EF"/>
    <w:rsid w:val="5B2744C6"/>
    <w:rsid w:val="5B3D5232"/>
    <w:rsid w:val="5B53055A"/>
    <w:rsid w:val="5B5A2D8E"/>
    <w:rsid w:val="5B844CC2"/>
    <w:rsid w:val="5BCE7A03"/>
    <w:rsid w:val="5BD40DE5"/>
    <w:rsid w:val="5BDF5D95"/>
    <w:rsid w:val="5BFE7528"/>
    <w:rsid w:val="5C007491"/>
    <w:rsid w:val="5C0425D7"/>
    <w:rsid w:val="5C2734EA"/>
    <w:rsid w:val="5C3E620B"/>
    <w:rsid w:val="5C5E6955"/>
    <w:rsid w:val="5C613C10"/>
    <w:rsid w:val="5C9517E0"/>
    <w:rsid w:val="5CB5480D"/>
    <w:rsid w:val="5CBB20B1"/>
    <w:rsid w:val="5CCF017E"/>
    <w:rsid w:val="5D164E5A"/>
    <w:rsid w:val="5D4F6922"/>
    <w:rsid w:val="5DBB0C54"/>
    <w:rsid w:val="5DCB117F"/>
    <w:rsid w:val="5DD07451"/>
    <w:rsid w:val="5E0B0CDE"/>
    <w:rsid w:val="5E2002BE"/>
    <w:rsid w:val="5E23390B"/>
    <w:rsid w:val="5E2467F1"/>
    <w:rsid w:val="5E747D57"/>
    <w:rsid w:val="5ED0758E"/>
    <w:rsid w:val="5EEC4125"/>
    <w:rsid w:val="5EF711F7"/>
    <w:rsid w:val="5F0A3E4D"/>
    <w:rsid w:val="5F1A2B43"/>
    <w:rsid w:val="5F3764EB"/>
    <w:rsid w:val="5F3B3F6F"/>
    <w:rsid w:val="5F77344F"/>
    <w:rsid w:val="5FB837BB"/>
    <w:rsid w:val="5FC93991"/>
    <w:rsid w:val="5FF56158"/>
    <w:rsid w:val="60093361"/>
    <w:rsid w:val="602148C2"/>
    <w:rsid w:val="603A13F6"/>
    <w:rsid w:val="60CC405A"/>
    <w:rsid w:val="60D233B9"/>
    <w:rsid w:val="60D31618"/>
    <w:rsid w:val="6121742C"/>
    <w:rsid w:val="613A3445"/>
    <w:rsid w:val="614A3BDD"/>
    <w:rsid w:val="61561708"/>
    <w:rsid w:val="6166668B"/>
    <w:rsid w:val="61783F6D"/>
    <w:rsid w:val="61856FB1"/>
    <w:rsid w:val="618925DC"/>
    <w:rsid w:val="619863BE"/>
    <w:rsid w:val="61E215D8"/>
    <w:rsid w:val="61F835BA"/>
    <w:rsid w:val="620C011F"/>
    <w:rsid w:val="621B3775"/>
    <w:rsid w:val="621C616D"/>
    <w:rsid w:val="62261CE7"/>
    <w:rsid w:val="622D198B"/>
    <w:rsid w:val="62364782"/>
    <w:rsid w:val="623C4BE8"/>
    <w:rsid w:val="624260A0"/>
    <w:rsid w:val="625B231C"/>
    <w:rsid w:val="6276245D"/>
    <w:rsid w:val="627B6C58"/>
    <w:rsid w:val="62EA010E"/>
    <w:rsid w:val="63383375"/>
    <w:rsid w:val="635A392B"/>
    <w:rsid w:val="63690012"/>
    <w:rsid w:val="636F1A26"/>
    <w:rsid w:val="6394356A"/>
    <w:rsid w:val="639D174A"/>
    <w:rsid w:val="63A72533"/>
    <w:rsid w:val="63C61B2C"/>
    <w:rsid w:val="63D40BE9"/>
    <w:rsid w:val="63FD4E67"/>
    <w:rsid w:val="64102431"/>
    <w:rsid w:val="64485E79"/>
    <w:rsid w:val="644F5080"/>
    <w:rsid w:val="648D0FC1"/>
    <w:rsid w:val="64970BAF"/>
    <w:rsid w:val="64A5243A"/>
    <w:rsid w:val="64AA6B34"/>
    <w:rsid w:val="64B0235E"/>
    <w:rsid w:val="64BF7663"/>
    <w:rsid w:val="64CE46E0"/>
    <w:rsid w:val="64EE7DB2"/>
    <w:rsid w:val="64F531DE"/>
    <w:rsid w:val="65373578"/>
    <w:rsid w:val="65385EEE"/>
    <w:rsid w:val="655C1D30"/>
    <w:rsid w:val="65640A91"/>
    <w:rsid w:val="659401D2"/>
    <w:rsid w:val="65B81500"/>
    <w:rsid w:val="65D46EEA"/>
    <w:rsid w:val="6621614C"/>
    <w:rsid w:val="662B3AF6"/>
    <w:rsid w:val="66384398"/>
    <w:rsid w:val="666037D8"/>
    <w:rsid w:val="669E73DD"/>
    <w:rsid w:val="671F0390"/>
    <w:rsid w:val="671F124A"/>
    <w:rsid w:val="67295AA8"/>
    <w:rsid w:val="67310E46"/>
    <w:rsid w:val="676206D4"/>
    <w:rsid w:val="677A33C6"/>
    <w:rsid w:val="67D10D71"/>
    <w:rsid w:val="67D77C40"/>
    <w:rsid w:val="681F6961"/>
    <w:rsid w:val="684E2EEF"/>
    <w:rsid w:val="685E5C6B"/>
    <w:rsid w:val="68610A2F"/>
    <w:rsid w:val="687731D1"/>
    <w:rsid w:val="687B3792"/>
    <w:rsid w:val="68805514"/>
    <w:rsid w:val="689306AB"/>
    <w:rsid w:val="68A23436"/>
    <w:rsid w:val="68B95627"/>
    <w:rsid w:val="68E00366"/>
    <w:rsid w:val="69316E2F"/>
    <w:rsid w:val="693E784B"/>
    <w:rsid w:val="694E2071"/>
    <w:rsid w:val="695F613F"/>
    <w:rsid w:val="69666C5E"/>
    <w:rsid w:val="69766163"/>
    <w:rsid w:val="697A3B33"/>
    <w:rsid w:val="697B546B"/>
    <w:rsid w:val="69A750B6"/>
    <w:rsid w:val="69AB1384"/>
    <w:rsid w:val="69C362BC"/>
    <w:rsid w:val="69D44760"/>
    <w:rsid w:val="6A387554"/>
    <w:rsid w:val="6A4E61B3"/>
    <w:rsid w:val="6A520EC7"/>
    <w:rsid w:val="6A520F40"/>
    <w:rsid w:val="6A5A7287"/>
    <w:rsid w:val="6A6634FD"/>
    <w:rsid w:val="6A6A4910"/>
    <w:rsid w:val="6A732863"/>
    <w:rsid w:val="6A8571AD"/>
    <w:rsid w:val="6A9737B1"/>
    <w:rsid w:val="6AA61B4B"/>
    <w:rsid w:val="6AB853DB"/>
    <w:rsid w:val="6ACA6D60"/>
    <w:rsid w:val="6AE672A8"/>
    <w:rsid w:val="6AF428B7"/>
    <w:rsid w:val="6AF87E20"/>
    <w:rsid w:val="6B2807B2"/>
    <w:rsid w:val="6B322639"/>
    <w:rsid w:val="6B347C24"/>
    <w:rsid w:val="6B361121"/>
    <w:rsid w:val="6B536809"/>
    <w:rsid w:val="6B741C4A"/>
    <w:rsid w:val="6B817EFA"/>
    <w:rsid w:val="6BD66007"/>
    <w:rsid w:val="6C330ADC"/>
    <w:rsid w:val="6C4909E0"/>
    <w:rsid w:val="6C4E5FF7"/>
    <w:rsid w:val="6C625DD2"/>
    <w:rsid w:val="6C636C38"/>
    <w:rsid w:val="6C787517"/>
    <w:rsid w:val="6C8B724B"/>
    <w:rsid w:val="6C9500C9"/>
    <w:rsid w:val="6CA471F9"/>
    <w:rsid w:val="6CD72490"/>
    <w:rsid w:val="6CDB408D"/>
    <w:rsid w:val="6CE150BD"/>
    <w:rsid w:val="6CE33294"/>
    <w:rsid w:val="6D1A412B"/>
    <w:rsid w:val="6D3C1BE4"/>
    <w:rsid w:val="6D5939A1"/>
    <w:rsid w:val="6DB34098"/>
    <w:rsid w:val="6DB545B6"/>
    <w:rsid w:val="6DC72505"/>
    <w:rsid w:val="6DE02FB4"/>
    <w:rsid w:val="6DEA2307"/>
    <w:rsid w:val="6DF57072"/>
    <w:rsid w:val="6E2D397D"/>
    <w:rsid w:val="6E377392"/>
    <w:rsid w:val="6E403811"/>
    <w:rsid w:val="6E514CED"/>
    <w:rsid w:val="6E6733A0"/>
    <w:rsid w:val="6EA0768D"/>
    <w:rsid w:val="6EA165BF"/>
    <w:rsid w:val="6EB14D2E"/>
    <w:rsid w:val="6EB563D5"/>
    <w:rsid w:val="6ED92677"/>
    <w:rsid w:val="6EE93CEA"/>
    <w:rsid w:val="6EFE0EE7"/>
    <w:rsid w:val="6F225983"/>
    <w:rsid w:val="6FD1796D"/>
    <w:rsid w:val="6FE4739E"/>
    <w:rsid w:val="6FFC5590"/>
    <w:rsid w:val="70025A76"/>
    <w:rsid w:val="70074E3A"/>
    <w:rsid w:val="70573415"/>
    <w:rsid w:val="705F5A20"/>
    <w:rsid w:val="70680521"/>
    <w:rsid w:val="706C4498"/>
    <w:rsid w:val="706D1DD0"/>
    <w:rsid w:val="70856B87"/>
    <w:rsid w:val="70D527EE"/>
    <w:rsid w:val="70F22B5B"/>
    <w:rsid w:val="70FE623D"/>
    <w:rsid w:val="711A0B9D"/>
    <w:rsid w:val="712B3FC7"/>
    <w:rsid w:val="712C1690"/>
    <w:rsid w:val="7140061E"/>
    <w:rsid w:val="71566515"/>
    <w:rsid w:val="715B5300"/>
    <w:rsid w:val="71663DE2"/>
    <w:rsid w:val="71B0505E"/>
    <w:rsid w:val="71D27F8A"/>
    <w:rsid w:val="71F52A4A"/>
    <w:rsid w:val="72553024"/>
    <w:rsid w:val="7266066E"/>
    <w:rsid w:val="726769CA"/>
    <w:rsid w:val="727E6C74"/>
    <w:rsid w:val="72B13232"/>
    <w:rsid w:val="72CA7D3C"/>
    <w:rsid w:val="72DF3E4C"/>
    <w:rsid w:val="72FF004B"/>
    <w:rsid w:val="73011ED7"/>
    <w:rsid w:val="73122968"/>
    <w:rsid w:val="731D6723"/>
    <w:rsid w:val="731F5D5E"/>
    <w:rsid w:val="7358775B"/>
    <w:rsid w:val="735D3CB2"/>
    <w:rsid w:val="736866A0"/>
    <w:rsid w:val="736D76AA"/>
    <w:rsid w:val="736E6F7E"/>
    <w:rsid w:val="73A630A7"/>
    <w:rsid w:val="73BD19E6"/>
    <w:rsid w:val="73C51AD5"/>
    <w:rsid w:val="73DB2866"/>
    <w:rsid w:val="74026044"/>
    <w:rsid w:val="740826CF"/>
    <w:rsid w:val="741E793C"/>
    <w:rsid w:val="742F0089"/>
    <w:rsid w:val="745E3944"/>
    <w:rsid w:val="7481243A"/>
    <w:rsid w:val="74BD1F6B"/>
    <w:rsid w:val="74C37743"/>
    <w:rsid w:val="74CC0400"/>
    <w:rsid w:val="74FC6E41"/>
    <w:rsid w:val="751A1793"/>
    <w:rsid w:val="751C1388"/>
    <w:rsid w:val="75271ADB"/>
    <w:rsid w:val="753D12FE"/>
    <w:rsid w:val="753D30AC"/>
    <w:rsid w:val="755503F6"/>
    <w:rsid w:val="756D63F2"/>
    <w:rsid w:val="758807CB"/>
    <w:rsid w:val="75A1363B"/>
    <w:rsid w:val="75CC1A33"/>
    <w:rsid w:val="761A519B"/>
    <w:rsid w:val="76235385"/>
    <w:rsid w:val="762F450D"/>
    <w:rsid w:val="7635099D"/>
    <w:rsid w:val="7682521B"/>
    <w:rsid w:val="76A41635"/>
    <w:rsid w:val="76A70496"/>
    <w:rsid w:val="76AD0551"/>
    <w:rsid w:val="76B312F7"/>
    <w:rsid w:val="76CF5F86"/>
    <w:rsid w:val="76F36118"/>
    <w:rsid w:val="770542FE"/>
    <w:rsid w:val="77204A34"/>
    <w:rsid w:val="774B0C86"/>
    <w:rsid w:val="77762421"/>
    <w:rsid w:val="77784870"/>
    <w:rsid w:val="779D7E32"/>
    <w:rsid w:val="77B56B1F"/>
    <w:rsid w:val="77CE3823"/>
    <w:rsid w:val="77DC4DFE"/>
    <w:rsid w:val="77ED0DBA"/>
    <w:rsid w:val="77F31C02"/>
    <w:rsid w:val="780F09F4"/>
    <w:rsid w:val="781E5417"/>
    <w:rsid w:val="78662CC0"/>
    <w:rsid w:val="786A065C"/>
    <w:rsid w:val="78A90480"/>
    <w:rsid w:val="792378F4"/>
    <w:rsid w:val="793B3DA7"/>
    <w:rsid w:val="796326D9"/>
    <w:rsid w:val="79646E59"/>
    <w:rsid w:val="799343D6"/>
    <w:rsid w:val="7993773F"/>
    <w:rsid w:val="799676B2"/>
    <w:rsid w:val="79A731E3"/>
    <w:rsid w:val="79B05CE2"/>
    <w:rsid w:val="79CF368F"/>
    <w:rsid w:val="7A364017"/>
    <w:rsid w:val="7A384466"/>
    <w:rsid w:val="7A3C7DD6"/>
    <w:rsid w:val="7A8265E1"/>
    <w:rsid w:val="7ACA3634"/>
    <w:rsid w:val="7AF83CFD"/>
    <w:rsid w:val="7AFD1314"/>
    <w:rsid w:val="7B686D42"/>
    <w:rsid w:val="7B841746"/>
    <w:rsid w:val="7BB35E76"/>
    <w:rsid w:val="7BC65BA9"/>
    <w:rsid w:val="7BEA5AB0"/>
    <w:rsid w:val="7C2154D6"/>
    <w:rsid w:val="7C6C5AC7"/>
    <w:rsid w:val="7C982539"/>
    <w:rsid w:val="7CC6544B"/>
    <w:rsid w:val="7CE3278B"/>
    <w:rsid w:val="7D0239FF"/>
    <w:rsid w:val="7D161692"/>
    <w:rsid w:val="7D1A3AB9"/>
    <w:rsid w:val="7D2C26A6"/>
    <w:rsid w:val="7D311748"/>
    <w:rsid w:val="7D46694F"/>
    <w:rsid w:val="7D473855"/>
    <w:rsid w:val="7D5E40CD"/>
    <w:rsid w:val="7D6E474B"/>
    <w:rsid w:val="7D875974"/>
    <w:rsid w:val="7D913F95"/>
    <w:rsid w:val="7DA24D76"/>
    <w:rsid w:val="7DCD56F2"/>
    <w:rsid w:val="7E0431BE"/>
    <w:rsid w:val="7E301F90"/>
    <w:rsid w:val="7E374B3D"/>
    <w:rsid w:val="7E5F5E41"/>
    <w:rsid w:val="7E631DD5"/>
    <w:rsid w:val="7E8C4045"/>
    <w:rsid w:val="7EA83C8C"/>
    <w:rsid w:val="7ECC1BA5"/>
    <w:rsid w:val="7EEB3B79"/>
    <w:rsid w:val="7F001CE7"/>
    <w:rsid w:val="7F032C71"/>
    <w:rsid w:val="7F245F60"/>
    <w:rsid w:val="7F29191F"/>
    <w:rsid w:val="7F453289"/>
    <w:rsid w:val="7F6000C3"/>
    <w:rsid w:val="7F7B66D1"/>
    <w:rsid w:val="7F7E2439"/>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39" w:semiHidden="0" w:name="toc 1" w:locked="1"/>
    <w:lsdException w:unhideWhenUsed="0" w:uiPriority="0" w:semiHidden="0" w:name="toc 2" w:locked="1"/>
    <w:lsdException w:qFormat="1" w:uiPriority="39"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ocked="1"/>
    <w:lsdException w:unhideWhenUsed="0" w:uiPriority="0" w:semiHidden="0" w:name="footnote text" w:locked="1"/>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nhideWhenUsed="0" w:uiPriority="0" w:semiHidden="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qFormat="1"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qFormat="1" w:unhideWhenUsed="0" w:uiPriority="0" w:semiHidden="0" w:name="Body Text First Indent 2" w:locked="1"/>
    <w:lsdException w:unhideWhenUsed="0" w:uiPriority="0" w:semiHidden="0" w:name="Note Heading" w:locked="1"/>
    <w:lsdException w:unhideWhenUsed="0" w:uiPriority="0" w:semiHidden="0" w:name="Body Text 2" w:locked="1"/>
    <w:lsdException w:qFormat="1" w:uiPriority="0" w:semiHidden="0" w:name="Body Text 3" w:locked="1"/>
    <w:lsdException w:qFormat="1" w:unhideWhenUsed="0" w:uiPriority="0" w:semiHidden="0" w:name="Body Text Indent 2" w:locked="1"/>
    <w:lsdException w:unhideWhenUsed="0" w:uiPriority="0" w:semiHidden="0" w:name="Body Text Indent 3" w:locked="1"/>
    <w:lsdException w:unhideWhenUsed="0" w:uiPriority="0" w:semiHidden="0" w:name="Block Text" w:locked="1"/>
    <w:lsdException w:qFormat="1" w:unhideWhenUsed="0" w:uiPriority="99"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qFormat="1" w:unhideWhenUsed="0" w:uiPriority="0" w:semiHidden="0" w:name="Document Map" w:locked="1"/>
    <w:lsdException w:qFormat="1" w:unhideWhenUsed="0" w:uiPriority="99"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qFormat="1" w:unhideWhenUsed="0" w:uiPriority="0" w:semiHidden="0" w:name="HTML Preformatted" w:locked="1"/>
    <w:lsdException w:unhideWhenUsed="0" w:uiPriority="0" w:semiHidden="0" w:name="HTML Sample" w:locked="1"/>
    <w:lsdException w:qFormat="1" w:unhideWhenUsed="0" w:uiPriority="0" w:semiHidden="0" w:name="HTML Typewriter" w:locked="1"/>
    <w:lsdException w:unhideWhenUsed="0" w:uiPriority="0" w:semiHidden="0" w:name="HTML Variable" w:locked="1"/>
    <w:lsdException w:qFormat="1" w:uiPriority="99" w:name="Normal Table"/>
    <w:lsdException w:qFormat="1" w:unhideWhenUsed="0" w:uiPriority="0" w:name="annotation subject"/>
    <w:lsdException w:uiPriority="0" w:name="Table Simple 1" w:locked="1"/>
    <w:lsdException w:uiPriority="0" w:name="Table Simple 2" w:locked="1"/>
    <w:lsdException w:uiPriority="0" w:name="Table Simple 3" w:locked="1"/>
    <w:lsdException w:uiPriority="0" w:name="Table Classic 1" w:locked="1"/>
    <w:lsdException w:uiPriority="0" w:name="Table Classic 2" w:locked="1"/>
    <w:lsdException w:uiPriority="0" w:name="Table Classic 3" w:locked="1"/>
    <w:lsdException w:uiPriority="0" w:name="Table Classic 4" w:locked="1"/>
    <w:lsdException w:uiPriority="0" w:name="Table Colorful 1" w:locked="1"/>
    <w:lsdException w:uiPriority="0" w:name="Table Colorful 2" w:locked="1"/>
    <w:lsdException w:uiPriority="0" w:name="Table Colorful 3" w:locked="1"/>
    <w:lsdException w:uiPriority="0" w:name="Table Columns 1" w:locked="1"/>
    <w:lsdException w:uiPriority="0" w:name="Table Columns 2" w:locked="1"/>
    <w:lsdException w:uiPriority="0" w:name="Table Columns 3" w:locked="1"/>
    <w:lsdException w:uiPriority="0" w:name="Table Columns 4" w:locked="1"/>
    <w:lsdException w:uiPriority="0" w:name="Table Columns 5" w:locked="1"/>
    <w:lsdException w:uiPriority="0" w:name="Table Grid 1" w:locked="1"/>
    <w:lsdException w:uiPriority="0" w:name="Table Grid 2" w:locked="1"/>
    <w:lsdException w:uiPriority="0" w:name="Table Grid 3" w:locked="1"/>
    <w:lsdException w:uiPriority="0" w:name="Table Grid 4" w:locked="1"/>
    <w:lsdException w:uiPriority="0" w:name="Table Grid 5" w:locked="1"/>
    <w:lsdException w:uiPriority="0" w:name="Table Grid 6" w:locked="1"/>
    <w:lsdException w:uiPriority="0" w:name="Table Grid 7" w:locked="1"/>
    <w:lsdException w:uiPriority="0" w:name="Table Grid 8" w:locked="1"/>
    <w:lsdException w:uiPriority="0" w:name="Table List 1" w:locked="1"/>
    <w:lsdException w:uiPriority="0" w:name="Table List 2" w:locked="1"/>
    <w:lsdException w:uiPriority="0" w:name="Table List 3" w:locked="1"/>
    <w:lsdException w:uiPriority="0" w:name="Table List 4" w:locked="1"/>
    <w:lsdException w:uiPriority="0" w:name="Table List 5" w:locked="1"/>
    <w:lsdException w:uiPriority="0" w:name="Table List 6" w:locked="1"/>
    <w:lsdException w:uiPriority="0" w:name="Table List 7" w:locked="1"/>
    <w:lsdException w:uiPriority="0" w:name="Table List 8" w:locked="1"/>
    <w:lsdException w:uiPriority="0" w:name="Table 3D effects 1" w:locked="1"/>
    <w:lsdException w:uiPriority="0" w:name="Table 3D effects 2" w:locked="1"/>
    <w:lsdException w:uiPriority="0" w:name="Table 3D effects 3" w:locked="1"/>
    <w:lsdException w:uiPriority="0" w:name="Table Contemporary" w:locked="1"/>
    <w:lsdException w:uiPriority="0" w:name="Table Elegant" w:locked="1"/>
    <w:lsdException w:uiPriority="0" w:name="Table Professional" w:locked="1"/>
    <w:lsdException w:uiPriority="0" w:name="Table Subtle 1" w:locked="1"/>
    <w:lsdException w:uiPriority="0" w:name="Table Subtle 2" w:locked="1"/>
    <w:lsdException w:uiPriority="0" w:name="Table Web 1" w:locked="1"/>
    <w:lsdException w:uiPriority="0" w:name="Table Web 2" w:locked="1"/>
    <w:lsdException w:uiPriority="0" w:name="Table Web 3" w:locked="1"/>
    <w:lsdException w:qFormat="1" w:unhideWhenUsed="0" w:uiPriority="0" w:semiHidden="0" w:name="Balloon Text"/>
    <w:lsdException w:qFormat="1" w:unhideWhenUsed="0" w:uiPriority="99" w:semiHidden="0" w:name="Table Grid"/>
    <w:lsdException w:qFormat="1" w:unhideWhenUsed="0" w:uiPriority="0" w:semiHidden="0" w:name="Table Theme" w:locked="1"/>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9"/>
    <w:autoRedefine/>
    <w:qFormat/>
    <w:locked/>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link w:val="47"/>
    <w:autoRedefine/>
    <w:qFormat/>
    <w:locked/>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48"/>
    <w:autoRedefine/>
    <w:semiHidden/>
    <w:unhideWhenUsed/>
    <w:qFormat/>
    <w:locked/>
    <w:uiPriority w:val="0"/>
    <w:pPr>
      <w:keepNext/>
      <w:keepLines/>
      <w:spacing w:before="260" w:after="260" w:line="416" w:lineRule="auto"/>
      <w:outlineLvl w:val="2"/>
    </w:pPr>
    <w:rPr>
      <w:b/>
      <w:bCs/>
      <w:sz w:val="32"/>
      <w:szCs w:val="32"/>
    </w:rPr>
  </w:style>
  <w:style w:type="character" w:default="1" w:styleId="31">
    <w:name w:val="Default Paragraph Font"/>
    <w:autoRedefine/>
    <w:semiHidden/>
    <w:unhideWhenUsed/>
    <w:qFormat/>
    <w:uiPriority w:val="1"/>
  </w:style>
  <w:style w:type="table" w:default="1" w:styleId="28">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50"/>
    <w:autoRedefine/>
    <w:qFormat/>
    <w:locked/>
    <w:uiPriority w:val="0"/>
    <w:pPr>
      <w:ind w:firstLine="420" w:firstLineChars="200"/>
    </w:pPr>
  </w:style>
  <w:style w:type="paragraph" w:styleId="6">
    <w:name w:val="caption"/>
    <w:basedOn w:val="1"/>
    <w:next w:val="1"/>
    <w:link w:val="51"/>
    <w:autoRedefine/>
    <w:qFormat/>
    <w:locked/>
    <w:uiPriority w:val="0"/>
    <w:pPr>
      <w:widowControl/>
      <w:spacing w:before="152" w:after="160"/>
      <w:jc w:val="center"/>
    </w:pPr>
    <w:rPr>
      <w:rFonts w:ascii="黑体" w:hAnsi="宋体" w:eastAsia="黑体" w:cs="Arial"/>
      <w:kern w:val="0"/>
      <w:sz w:val="24"/>
      <w:szCs w:val="20"/>
    </w:rPr>
  </w:style>
  <w:style w:type="paragraph" w:styleId="7">
    <w:name w:val="Document Map"/>
    <w:basedOn w:val="1"/>
    <w:link w:val="52"/>
    <w:autoRedefine/>
    <w:qFormat/>
    <w:locked/>
    <w:uiPriority w:val="0"/>
    <w:pPr>
      <w:shd w:val="clear" w:color="auto" w:fill="000080"/>
    </w:pPr>
    <w:rPr>
      <w:szCs w:val="20"/>
    </w:rPr>
  </w:style>
  <w:style w:type="paragraph" w:styleId="8">
    <w:name w:val="annotation text"/>
    <w:basedOn w:val="1"/>
    <w:link w:val="53"/>
    <w:autoRedefine/>
    <w:qFormat/>
    <w:uiPriority w:val="0"/>
    <w:pPr>
      <w:jc w:val="left"/>
    </w:pPr>
    <w:rPr>
      <w:kern w:val="0"/>
      <w:sz w:val="24"/>
      <w:szCs w:val="20"/>
    </w:rPr>
  </w:style>
  <w:style w:type="paragraph" w:styleId="9">
    <w:name w:val="Body Text 3"/>
    <w:basedOn w:val="1"/>
    <w:link w:val="54"/>
    <w:autoRedefine/>
    <w:unhideWhenUsed/>
    <w:qFormat/>
    <w:locked/>
    <w:uiPriority w:val="0"/>
    <w:pPr>
      <w:spacing w:after="120"/>
    </w:pPr>
    <w:rPr>
      <w:sz w:val="16"/>
      <w:szCs w:val="16"/>
    </w:rPr>
  </w:style>
  <w:style w:type="paragraph" w:styleId="10">
    <w:name w:val="Body Text"/>
    <w:basedOn w:val="1"/>
    <w:link w:val="55"/>
    <w:autoRedefine/>
    <w:qFormat/>
    <w:uiPriority w:val="0"/>
    <w:pPr>
      <w:widowControl/>
      <w:snapToGrid w:val="0"/>
      <w:spacing w:before="60" w:after="160" w:line="259" w:lineRule="auto"/>
      <w:ind w:right="113"/>
    </w:pPr>
    <w:rPr>
      <w:kern w:val="0"/>
      <w:sz w:val="18"/>
      <w:szCs w:val="20"/>
    </w:rPr>
  </w:style>
  <w:style w:type="paragraph" w:styleId="11">
    <w:name w:val="Body Text Indent"/>
    <w:basedOn w:val="1"/>
    <w:link w:val="56"/>
    <w:autoRedefine/>
    <w:qFormat/>
    <w:uiPriority w:val="0"/>
    <w:pPr>
      <w:spacing w:after="120"/>
      <w:ind w:left="420" w:leftChars="200"/>
    </w:pPr>
    <w:rPr>
      <w:kern w:val="0"/>
      <w:sz w:val="24"/>
      <w:szCs w:val="20"/>
    </w:rPr>
  </w:style>
  <w:style w:type="paragraph" w:styleId="12">
    <w:name w:val="toc 3"/>
    <w:basedOn w:val="1"/>
    <w:next w:val="1"/>
    <w:autoRedefine/>
    <w:unhideWhenUsed/>
    <w:qFormat/>
    <w:locked/>
    <w:uiPriority w:val="39"/>
    <w:pPr>
      <w:ind w:left="840" w:leftChars="400"/>
    </w:pPr>
    <w:rPr>
      <w:szCs w:val="20"/>
    </w:rPr>
  </w:style>
  <w:style w:type="paragraph" w:styleId="13">
    <w:name w:val="Plain Text"/>
    <w:basedOn w:val="1"/>
    <w:next w:val="1"/>
    <w:link w:val="57"/>
    <w:autoRedefine/>
    <w:qFormat/>
    <w:locked/>
    <w:uiPriority w:val="99"/>
    <w:rPr>
      <w:rFonts w:ascii="宋体" w:hAnsi="Courier New" w:cs="Courier New"/>
      <w:szCs w:val="21"/>
    </w:rPr>
  </w:style>
  <w:style w:type="paragraph" w:styleId="14">
    <w:name w:val="Date"/>
    <w:basedOn w:val="1"/>
    <w:next w:val="1"/>
    <w:link w:val="58"/>
    <w:autoRedefine/>
    <w:qFormat/>
    <w:uiPriority w:val="0"/>
    <w:pPr>
      <w:ind w:left="100" w:leftChars="2500"/>
    </w:pPr>
    <w:rPr>
      <w:kern w:val="0"/>
      <w:sz w:val="24"/>
      <w:szCs w:val="20"/>
    </w:rPr>
  </w:style>
  <w:style w:type="paragraph" w:styleId="15">
    <w:name w:val="Body Text Indent 2"/>
    <w:basedOn w:val="1"/>
    <w:link w:val="59"/>
    <w:autoRedefine/>
    <w:qFormat/>
    <w:locked/>
    <w:uiPriority w:val="0"/>
    <w:pPr>
      <w:spacing w:after="120" w:line="480" w:lineRule="auto"/>
      <w:ind w:left="420" w:leftChars="200"/>
    </w:pPr>
  </w:style>
  <w:style w:type="paragraph" w:styleId="16">
    <w:name w:val="Balloon Text"/>
    <w:basedOn w:val="1"/>
    <w:link w:val="60"/>
    <w:autoRedefine/>
    <w:qFormat/>
    <w:uiPriority w:val="0"/>
    <w:rPr>
      <w:kern w:val="0"/>
      <w:sz w:val="18"/>
      <w:szCs w:val="20"/>
    </w:rPr>
  </w:style>
  <w:style w:type="paragraph" w:styleId="17">
    <w:name w:val="footer"/>
    <w:basedOn w:val="1"/>
    <w:link w:val="61"/>
    <w:autoRedefine/>
    <w:qFormat/>
    <w:uiPriority w:val="99"/>
    <w:pPr>
      <w:tabs>
        <w:tab w:val="center" w:pos="4153"/>
        <w:tab w:val="right" w:pos="8306"/>
      </w:tabs>
      <w:snapToGrid w:val="0"/>
      <w:jc w:val="left"/>
    </w:pPr>
    <w:rPr>
      <w:kern w:val="0"/>
      <w:sz w:val="18"/>
      <w:szCs w:val="20"/>
    </w:rPr>
  </w:style>
  <w:style w:type="paragraph" w:styleId="18">
    <w:name w:val="header"/>
    <w:basedOn w:val="1"/>
    <w:link w:val="62"/>
    <w:autoRedefine/>
    <w:qFormat/>
    <w:uiPriority w:val="0"/>
    <w:pPr>
      <w:pBdr>
        <w:bottom w:val="single" w:color="auto" w:sz="6" w:space="1"/>
      </w:pBdr>
      <w:tabs>
        <w:tab w:val="center" w:pos="4153"/>
        <w:tab w:val="right" w:pos="8306"/>
      </w:tabs>
      <w:snapToGrid w:val="0"/>
      <w:jc w:val="center"/>
    </w:pPr>
    <w:rPr>
      <w:kern w:val="0"/>
      <w:sz w:val="18"/>
      <w:szCs w:val="20"/>
    </w:rPr>
  </w:style>
  <w:style w:type="paragraph" w:styleId="19">
    <w:name w:val="toc 1"/>
    <w:basedOn w:val="1"/>
    <w:next w:val="1"/>
    <w:autoRedefine/>
    <w:qFormat/>
    <w:locked/>
    <w:uiPriority w:val="39"/>
    <w:rPr>
      <w:szCs w:val="20"/>
    </w:rPr>
  </w:style>
  <w:style w:type="paragraph" w:styleId="20">
    <w:name w:val="Subtitle"/>
    <w:basedOn w:val="1"/>
    <w:next w:val="1"/>
    <w:autoRedefine/>
    <w:qFormat/>
    <w:locked/>
    <w:uiPriority w:val="0"/>
    <w:pPr>
      <w:ind w:firstLine="200" w:firstLineChars="200"/>
      <w:outlineLvl w:val="1"/>
    </w:pPr>
    <w:rPr>
      <w:bCs/>
      <w:kern w:val="28"/>
      <w:szCs w:val="32"/>
    </w:rPr>
  </w:style>
  <w:style w:type="paragraph" w:styleId="21">
    <w:name w:val="List"/>
    <w:basedOn w:val="1"/>
    <w:autoRedefine/>
    <w:qFormat/>
    <w:locked/>
    <w:uiPriority w:val="0"/>
    <w:pPr>
      <w:ind w:left="200" w:hanging="200" w:hangingChars="200"/>
      <w:contextualSpacing/>
    </w:pPr>
  </w:style>
  <w:style w:type="paragraph" w:styleId="22">
    <w:name w:val="HTML Preformatted"/>
    <w:basedOn w:val="1"/>
    <w:link w:val="63"/>
    <w:autoRedefine/>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23">
    <w:name w:val="Normal (Web)"/>
    <w:basedOn w:val="1"/>
    <w:link w:val="64"/>
    <w:autoRedefine/>
    <w:qFormat/>
    <w:uiPriority w:val="0"/>
    <w:pPr>
      <w:widowControl/>
      <w:spacing w:before="100" w:beforeAutospacing="1" w:after="100" w:afterAutospacing="1"/>
      <w:jc w:val="left"/>
    </w:pPr>
    <w:rPr>
      <w:rFonts w:ascii="宋体" w:hAnsi="宋体"/>
      <w:kern w:val="0"/>
      <w:sz w:val="24"/>
      <w:szCs w:val="20"/>
    </w:rPr>
  </w:style>
  <w:style w:type="paragraph" w:styleId="24">
    <w:name w:val="Title"/>
    <w:basedOn w:val="1"/>
    <w:next w:val="1"/>
    <w:link w:val="65"/>
    <w:autoRedefine/>
    <w:qFormat/>
    <w:locked/>
    <w:uiPriority w:val="0"/>
    <w:pPr>
      <w:spacing w:before="240" w:after="60"/>
      <w:jc w:val="center"/>
      <w:outlineLvl w:val="0"/>
    </w:pPr>
    <w:rPr>
      <w:rFonts w:asciiTheme="majorHAnsi" w:hAnsiTheme="majorHAnsi" w:cstheme="majorBidi"/>
      <w:b/>
      <w:bCs/>
      <w:sz w:val="32"/>
      <w:szCs w:val="32"/>
    </w:rPr>
  </w:style>
  <w:style w:type="paragraph" w:styleId="25">
    <w:name w:val="annotation subject"/>
    <w:basedOn w:val="8"/>
    <w:next w:val="8"/>
    <w:link w:val="66"/>
    <w:autoRedefine/>
    <w:semiHidden/>
    <w:qFormat/>
    <w:uiPriority w:val="0"/>
    <w:rPr>
      <w:b/>
    </w:rPr>
  </w:style>
  <w:style w:type="paragraph" w:styleId="26">
    <w:name w:val="Body Text First Indent"/>
    <w:basedOn w:val="10"/>
    <w:next w:val="1"/>
    <w:link w:val="67"/>
    <w:autoRedefine/>
    <w:qFormat/>
    <w:locked/>
    <w:uiPriority w:val="0"/>
    <w:pPr>
      <w:widowControl w:val="0"/>
      <w:snapToGrid/>
      <w:spacing w:before="0" w:after="120" w:line="240" w:lineRule="auto"/>
      <w:ind w:right="0" w:firstLine="420" w:firstLineChars="100"/>
    </w:pPr>
    <w:rPr>
      <w:kern w:val="2"/>
      <w:sz w:val="21"/>
    </w:rPr>
  </w:style>
  <w:style w:type="paragraph" w:styleId="27">
    <w:name w:val="Body Text First Indent 2"/>
    <w:basedOn w:val="11"/>
    <w:next w:val="26"/>
    <w:link w:val="68"/>
    <w:autoRedefine/>
    <w:qFormat/>
    <w:locked/>
    <w:uiPriority w:val="0"/>
    <w:pPr>
      <w:ind w:firstLine="420" w:firstLineChars="200"/>
    </w:pPr>
    <w:rPr>
      <w:kern w:val="2"/>
      <w:sz w:val="21"/>
    </w:rPr>
  </w:style>
  <w:style w:type="table" w:styleId="29">
    <w:name w:val="Table Grid"/>
    <w:basedOn w:val="28"/>
    <w:autoRedefine/>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0">
    <w:name w:val="Table Theme"/>
    <w:basedOn w:val="28"/>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blStylePr w:type="firstRow">
      <w:tcPr>
        <w:tcBorders>
          <w:top w:val="single" w:color="auto" w:sz="12" w:space="0"/>
          <w:left w:val="nil"/>
          <w:bottom w:val="nil"/>
          <w:right w:val="nil"/>
          <w:insideH w:val="nil"/>
          <w:insideV w:val="nil"/>
          <w:tl2br w:val="nil"/>
          <w:tr2bl w:val="nil"/>
        </w:tcBorders>
      </w:tcPr>
    </w:tblStylePr>
    <w:tblStylePr w:type="lastRow">
      <w:tcPr>
        <w:tcBorders>
          <w:top w:val="nil"/>
          <w:left w:val="nil"/>
          <w:bottom w:val="single" w:color="auto" w:sz="12" w:space="0"/>
          <w:right w:val="nil"/>
          <w:insideH w:val="nil"/>
          <w:insideV w:val="nil"/>
          <w:tl2br w:val="nil"/>
          <w:tr2bl w:val="nil"/>
        </w:tcBorders>
      </w:tcPr>
    </w:tblStylePr>
    <w:tblStylePr w:type="firstCol">
      <w:tcPr>
        <w:tcBorders>
          <w:top w:val="nil"/>
          <w:left w:val="nil"/>
          <w:bottom w:val="nil"/>
          <w:right w:val="nil"/>
          <w:insideH w:val="nil"/>
          <w:insideV w:val="nil"/>
          <w:tl2br w:val="nil"/>
          <w:tr2bl w:val="nil"/>
        </w:tcBorders>
      </w:tcPr>
    </w:tblStylePr>
    <w:tblStylePr w:type="lastCol">
      <w:tcPr>
        <w:tcBorders>
          <w:top w:val="nil"/>
          <w:left w:val="nil"/>
          <w:bottom w:val="nil"/>
          <w:right w:val="nil"/>
          <w:insideH w:val="nil"/>
          <w:insideV w:val="nil"/>
          <w:tl2br w:val="nil"/>
          <w:tr2bl w:val="nil"/>
        </w:tcBorders>
      </w:tcPr>
    </w:tblStylePr>
  </w:style>
  <w:style w:type="character" w:styleId="32">
    <w:name w:val="Strong"/>
    <w:basedOn w:val="31"/>
    <w:qFormat/>
    <w:locked/>
    <w:uiPriority w:val="0"/>
    <w:rPr>
      <w:b/>
      <w:bCs/>
    </w:rPr>
  </w:style>
  <w:style w:type="character" w:styleId="33">
    <w:name w:val="page number"/>
    <w:basedOn w:val="31"/>
    <w:qFormat/>
    <w:locked/>
    <w:uiPriority w:val="0"/>
  </w:style>
  <w:style w:type="character" w:styleId="34">
    <w:name w:val="Emphasis"/>
    <w:qFormat/>
    <w:locked/>
    <w:uiPriority w:val="0"/>
    <w:rPr>
      <w:rFonts w:ascii="宋体" w:hAnsi="宋体" w:eastAsia="Times New Roman"/>
      <w:i/>
      <w:sz w:val="21"/>
    </w:rPr>
  </w:style>
  <w:style w:type="character" w:styleId="35">
    <w:name w:val="HTML Typewriter"/>
    <w:autoRedefine/>
    <w:qFormat/>
    <w:locked/>
    <w:uiPriority w:val="0"/>
    <w:rPr>
      <w:rFonts w:ascii="宋体" w:hAnsi="宋体" w:eastAsia="宋体"/>
      <w:sz w:val="24"/>
    </w:rPr>
  </w:style>
  <w:style w:type="character" w:styleId="36">
    <w:name w:val="Hyperlink"/>
    <w:basedOn w:val="31"/>
    <w:autoRedefine/>
    <w:qFormat/>
    <w:locked/>
    <w:uiPriority w:val="99"/>
    <w:rPr>
      <w:color w:val="136EC2"/>
      <w:u w:val="single"/>
    </w:rPr>
  </w:style>
  <w:style w:type="character" w:styleId="37">
    <w:name w:val="annotation reference"/>
    <w:semiHidden/>
    <w:qFormat/>
    <w:uiPriority w:val="0"/>
    <w:rPr>
      <w:sz w:val="21"/>
    </w:rPr>
  </w:style>
  <w:style w:type="paragraph" w:customStyle="1" w:styleId="38">
    <w:name w:val="Default"/>
    <w:basedOn w:val="39"/>
    <w:next w:val="40"/>
    <w:autoRedefine/>
    <w:qFormat/>
    <w:uiPriority w:val="0"/>
    <w:pPr>
      <w:autoSpaceDE w:val="0"/>
      <w:autoSpaceDN w:val="0"/>
    </w:pPr>
    <w:rPr>
      <w:rFonts w:hAnsi="Calibri" w:cs="宋体"/>
      <w:color w:val="000000"/>
      <w:sz w:val="24"/>
      <w:szCs w:val="24"/>
    </w:rPr>
  </w:style>
  <w:style w:type="paragraph" w:customStyle="1" w:styleId="39">
    <w:name w:val="纯文本1"/>
    <w:basedOn w:val="1"/>
    <w:next w:val="1"/>
    <w:semiHidden/>
    <w:qFormat/>
    <w:uiPriority w:val="0"/>
    <w:pPr>
      <w:adjustRightInd w:val="0"/>
      <w:textAlignment w:val="baseline"/>
    </w:pPr>
    <w:rPr>
      <w:rFonts w:ascii="宋体" w:hAnsi="Courier New"/>
      <w:szCs w:val="20"/>
    </w:rPr>
  </w:style>
  <w:style w:type="paragraph" w:customStyle="1" w:styleId="40">
    <w:name w:val="正文文字 6"/>
    <w:basedOn w:val="41"/>
    <w:next w:val="1"/>
    <w:qFormat/>
    <w:uiPriority w:val="0"/>
    <w:pPr>
      <w:widowControl w:val="0"/>
      <w:ind w:left="240"/>
      <w:jc w:val="both"/>
    </w:pPr>
    <w:rPr>
      <w:rFonts w:ascii="宋体"/>
      <w:b/>
      <w:bCs/>
      <w:sz w:val="32"/>
      <w:szCs w:val="32"/>
    </w:rPr>
  </w:style>
  <w:style w:type="paragraph" w:customStyle="1" w:styleId="41">
    <w:name w:val="图位置"/>
    <w:next w:val="42"/>
    <w:autoRedefine/>
    <w:qFormat/>
    <w:uiPriority w:val="0"/>
    <w:pPr>
      <w:jc w:val="center"/>
    </w:pPr>
    <w:rPr>
      <w:rFonts w:ascii="Times New Roman" w:hAnsi="Times New Roman" w:eastAsia="宋体" w:cs="Times New Roman"/>
      <w:kern w:val="2"/>
      <w:sz w:val="24"/>
      <w:szCs w:val="21"/>
      <w:lang w:val="en-US" w:eastAsia="zh-CN" w:bidi="ar-SA"/>
    </w:rPr>
  </w:style>
  <w:style w:type="paragraph" w:customStyle="1" w:styleId="42">
    <w:name w:val="图题"/>
    <w:basedOn w:val="1"/>
    <w:next w:val="1"/>
    <w:qFormat/>
    <w:uiPriority w:val="0"/>
    <w:pPr>
      <w:jc w:val="center"/>
    </w:pPr>
    <w:rPr>
      <w:rFonts w:ascii="宋体" w:hAnsi="宋体" w:eastAsia="黑体"/>
      <w:b/>
    </w:rPr>
  </w:style>
  <w:style w:type="paragraph" w:customStyle="1" w:styleId="43">
    <w:name w:val="正文 首行缩进:  2 字符"/>
    <w:basedOn w:val="1"/>
    <w:qFormat/>
    <w:uiPriority w:val="0"/>
    <w:pPr>
      <w:ind w:firstLine="579" w:firstLineChars="200"/>
    </w:pPr>
    <w:rPr>
      <w:rFonts w:cs="宋体"/>
      <w:sz w:val="28"/>
      <w:szCs w:val="20"/>
    </w:rPr>
  </w:style>
  <w:style w:type="paragraph" w:customStyle="1" w:styleId="44">
    <w:name w:val="Default2"/>
    <w:basedOn w:val="45"/>
    <w:next w:val="1"/>
    <w:autoRedefine/>
    <w:semiHidden/>
    <w:qFormat/>
    <w:uiPriority w:val="0"/>
    <w:pPr>
      <w:autoSpaceDE w:val="0"/>
      <w:autoSpaceDN w:val="0"/>
    </w:pPr>
    <w:rPr>
      <w:rFonts w:ascii="楷体_GB2312" w:cs="楷体_GB2312"/>
      <w:color w:val="000000"/>
      <w:sz w:val="24"/>
      <w:szCs w:val="24"/>
    </w:rPr>
  </w:style>
  <w:style w:type="paragraph" w:customStyle="1" w:styleId="45">
    <w:name w:val="纯文本11"/>
    <w:basedOn w:val="1"/>
    <w:autoRedefine/>
    <w:semiHidden/>
    <w:qFormat/>
    <w:uiPriority w:val="0"/>
    <w:pPr>
      <w:adjustRightInd w:val="0"/>
      <w:textAlignment w:val="baseline"/>
    </w:pPr>
    <w:rPr>
      <w:rFonts w:ascii="宋体" w:hAnsi="Courier New"/>
      <w:szCs w:val="20"/>
    </w:rPr>
  </w:style>
  <w:style w:type="paragraph" w:customStyle="1" w:styleId="46">
    <w:name w:val="ZW"/>
    <w:basedOn w:val="1"/>
    <w:autoRedefine/>
    <w:qFormat/>
    <w:uiPriority w:val="0"/>
    <w:pPr>
      <w:spacing w:line="360" w:lineRule="auto"/>
      <w:ind w:firstLine="512" w:firstLineChars="200"/>
    </w:pPr>
    <w:rPr>
      <w:spacing w:val="6"/>
      <w:kern w:val="0"/>
      <w:sz w:val="24"/>
    </w:rPr>
  </w:style>
  <w:style w:type="character" w:customStyle="1" w:styleId="47">
    <w:name w:val="标题 2 字符"/>
    <w:basedOn w:val="31"/>
    <w:link w:val="3"/>
    <w:qFormat/>
    <w:uiPriority w:val="0"/>
    <w:rPr>
      <w:rFonts w:ascii="Arial" w:hAnsi="Arial" w:eastAsia="黑体"/>
      <w:b/>
      <w:bCs/>
      <w:kern w:val="2"/>
      <w:sz w:val="32"/>
      <w:szCs w:val="32"/>
    </w:rPr>
  </w:style>
  <w:style w:type="character" w:customStyle="1" w:styleId="48">
    <w:name w:val="标题 3 字符"/>
    <w:basedOn w:val="31"/>
    <w:link w:val="4"/>
    <w:semiHidden/>
    <w:qFormat/>
    <w:uiPriority w:val="0"/>
    <w:rPr>
      <w:b/>
      <w:bCs/>
      <w:kern w:val="2"/>
      <w:sz w:val="32"/>
      <w:szCs w:val="32"/>
    </w:rPr>
  </w:style>
  <w:style w:type="character" w:customStyle="1" w:styleId="49">
    <w:name w:val="标题 1 字符"/>
    <w:basedOn w:val="31"/>
    <w:link w:val="2"/>
    <w:qFormat/>
    <w:uiPriority w:val="0"/>
    <w:rPr>
      <w:rFonts w:eastAsia="黑体"/>
      <w:b/>
      <w:bCs/>
      <w:color w:val="000000"/>
      <w:kern w:val="44"/>
      <w:sz w:val="30"/>
      <w:szCs w:val="30"/>
    </w:rPr>
  </w:style>
  <w:style w:type="character" w:customStyle="1" w:styleId="50">
    <w:name w:val="正文缩进 字符"/>
    <w:link w:val="5"/>
    <w:qFormat/>
    <w:uiPriority w:val="0"/>
    <w:rPr>
      <w:kern w:val="2"/>
      <w:sz w:val="21"/>
      <w:szCs w:val="24"/>
    </w:rPr>
  </w:style>
  <w:style w:type="character" w:customStyle="1" w:styleId="51">
    <w:name w:val="题注 字符"/>
    <w:link w:val="6"/>
    <w:qFormat/>
    <w:uiPriority w:val="0"/>
    <w:rPr>
      <w:rFonts w:ascii="黑体" w:hAnsi="宋体" w:eastAsia="黑体" w:cs="Arial"/>
      <w:sz w:val="24"/>
    </w:rPr>
  </w:style>
  <w:style w:type="character" w:customStyle="1" w:styleId="52">
    <w:name w:val="文档结构图 字符"/>
    <w:basedOn w:val="31"/>
    <w:link w:val="7"/>
    <w:qFormat/>
    <w:uiPriority w:val="0"/>
    <w:rPr>
      <w:kern w:val="2"/>
      <w:sz w:val="21"/>
      <w:shd w:val="clear" w:color="auto" w:fill="000080"/>
    </w:rPr>
  </w:style>
  <w:style w:type="character" w:customStyle="1" w:styleId="53">
    <w:name w:val="批注文字 字符"/>
    <w:link w:val="8"/>
    <w:autoRedefine/>
    <w:qFormat/>
    <w:locked/>
    <w:uiPriority w:val="0"/>
    <w:rPr>
      <w:rFonts w:ascii="Times New Roman" w:hAnsi="Times New Roman" w:eastAsia="宋体"/>
      <w:sz w:val="24"/>
    </w:rPr>
  </w:style>
  <w:style w:type="character" w:customStyle="1" w:styleId="54">
    <w:name w:val="正文文本 3 字符"/>
    <w:basedOn w:val="31"/>
    <w:link w:val="9"/>
    <w:autoRedefine/>
    <w:qFormat/>
    <w:uiPriority w:val="0"/>
    <w:rPr>
      <w:kern w:val="2"/>
      <w:sz w:val="16"/>
      <w:szCs w:val="16"/>
    </w:rPr>
  </w:style>
  <w:style w:type="character" w:customStyle="1" w:styleId="55">
    <w:name w:val="正文文本 字符"/>
    <w:link w:val="10"/>
    <w:qFormat/>
    <w:locked/>
    <w:uiPriority w:val="0"/>
    <w:rPr>
      <w:sz w:val="18"/>
    </w:rPr>
  </w:style>
  <w:style w:type="character" w:customStyle="1" w:styleId="56">
    <w:name w:val="正文文本缩进 字符"/>
    <w:link w:val="11"/>
    <w:autoRedefine/>
    <w:qFormat/>
    <w:locked/>
    <w:uiPriority w:val="0"/>
    <w:rPr>
      <w:rFonts w:ascii="Times New Roman" w:hAnsi="Times New Roman" w:eastAsia="宋体"/>
      <w:sz w:val="24"/>
    </w:rPr>
  </w:style>
  <w:style w:type="character" w:customStyle="1" w:styleId="57">
    <w:name w:val="纯文本 字符1"/>
    <w:link w:val="13"/>
    <w:qFormat/>
    <w:uiPriority w:val="99"/>
    <w:rPr>
      <w:rFonts w:ascii="宋体" w:hAnsi="Courier New" w:cs="Courier New"/>
      <w:kern w:val="2"/>
      <w:sz w:val="21"/>
      <w:szCs w:val="21"/>
    </w:rPr>
  </w:style>
  <w:style w:type="character" w:customStyle="1" w:styleId="58">
    <w:name w:val="日期 字符1"/>
    <w:link w:val="14"/>
    <w:autoRedefine/>
    <w:qFormat/>
    <w:locked/>
    <w:uiPriority w:val="0"/>
    <w:rPr>
      <w:rFonts w:ascii="Times New Roman" w:hAnsi="Times New Roman" w:eastAsia="宋体"/>
      <w:sz w:val="24"/>
    </w:rPr>
  </w:style>
  <w:style w:type="character" w:customStyle="1" w:styleId="59">
    <w:name w:val="正文文本缩进 2 字符"/>
    <w:basedOn w:val="31"/>
    <w:link w:val="15"/>
    <w:autoRedefine/>
    <w:qFormat/>
    <w:uiPriority w:val="0"/>
    <w:rPr>
      <w:kern w:val="2"/>
      <w:sz w:val="21"/>
      <w:szCs w:val="24"/>
    </w:rPr>
  </w:style>
  <w:style w:type="character" w:customStyle="1" w:styleId="60">
    <w:name w:val="批注框文本 字符"/>
    <w:link w:val="16"/>
    <w:autoRedefine/>
    <w:qFormat/>
    <w:locked/>
    <w:uiPriority w:val="0"/>
    <w:rPr>
      <w:rFonts w:ascii="Times New Roman" w:hAnsi="Times New Roman" w:eastAsia="宋体"/>
      <w:sz w:val="18"/>
    </w:rPr>
  </w:style>
  <w:style w:type="character" w:customStyle="1" w:styleId="61">
    <w:name w:val="页脚 字符1"/>
    <w:link w:val="17"/>
    <w:autoRedefine/>
    <w:qFormat/>
    <w:locked/>
    <w:uiPriority w:val="99"/>
    <w:rPr>
      <w:sz w:val="18"/>
    </w:rPr>
  </w:style>
  <w:style w:type="character" w:customStyle="1" w:styleId="62">
    <w:name w:val="页眉 字符"/>
    <w:link w:val="18"/>
    <w:autoRedefine/>
    <w:qFormat/>
    <w:locked/>
    <w:uiPriority w:val="0"/>
    <w:rPr>
      <w:sz w:val="18"/>
    </w:rPr>
  </w:style>
  <w:style w:type="character" w:customStyle="1" w:styleId="63">
    <w:name w:val="HTML 预设格式 字符"/>
    <w:basedOn w:val="31"/>
    <w:link w:val="22"/>
    <w:autoRedefine/>
    <w:qFormat/>
    <w:uiPriority w:val="0"/>
    <w:rPr>
      <w:rFonts w:ascii="黑体" w:hAnsi="Courier New" w:eastAsia="黑体" w:cs="Courier New"/>
    </w:rPr>
  </w:style>
  <w:style w:type="character" w:customStyle="1" w:styleId="64">
    <w:name w:val="普通(网站) 字符"/>
    <w:link w:val="23"/>
    <w:qFormat/>
    <w:locked/>
    <w:uiPriority w:val="0"/>
    <w:rPr>
      <w:rFonts w:ascii="宋体" w:hAnsi="宋体" w:eastAsia="宋体"/>
      <w:sz w:val="24"/>
    </w:rPr>
  </w:style>
  <w:style w:type="character" w:customStyle="1" w:styleId="65">
    <w:name w:val="标题 字符"/>
    <w:basedOn w:val="31"/>
    <w:link w:val="24"/>
    <w:autoRedefine/>
    <w:qFormat/>
    <w:uiPriority w:val="0"/>
    <w:rPr>
      <w:rFonts w:asciiTheme="majorHAnsi" w:hAnsiTheme="majorHAnsi" w:cstheme="majorBidi"/>
      <w:b/>
      <w:bCs/>
      <w:kern w:val="2"/>
      <w:sz w:val="32"/>
      <w:szCs w:val="32"/>
    </w:rPr>
  </w:style>
  <w:style w:type="character" w:customStyle="1" w:styleId="66">
    <w:name w:val="批注主题 字符"/>
    <w:link w:val="25"/>
    <w:autoRedefine/>
    <w:semiHidden/>
    <w:qFormat/>
    <w:locked/>
    <w:uiPriority w:val="0"/>
    <w:rPr>
      <w:rFonts w:ascii="Times New Roman" w:hAnsi="Times New Roman" w:eastAsia="宋体"/>
      <w:b/>
      <w:kern w:val="2"/>
      <w:sz w:val="24"/>
    </w:rPr>
  </w:style>
  <w:style w:type="character" w:customStyle="1" w:styleId="67">
    <w:name w:val="正文文本首行缩进 字符"/>
    <w:link w:val="26"/>
    <w:qFormat/>
    <w:uiPriority w:val="0"/>
    <w:rPr>
      <w:kern w:val="2"/>
      <w:sz w:val="21"/>
    </w:rPr>
  </w:style>
  <w:style w:type="character" w:customStyle="1" w:styleId="68">
    <w:name w:val="正文文本首行缩进 2 字符"/>
    <w:basedOn w:val="56"/>
    <w:link w:val="27"/>
    <w:autoRedefine/>
    <w:qFormat/>
    <w:uiPriority w:val="0"/>
    <w:rPr>
      <w:rFonts w:ascii="Times New Roman" w:hAnsi="Times New Roman" w:eastAsia="宋体"/>
      <w:kern w:val="2"/>
      <w:sz w:val="21"/>
    </w:rPr>
  </w:style>
  <w:style w:type="character" w:customStyle="1" w:styleId="69">
    <w:name w:val="页脚 字符"/>
    <w:basedOn w:val="31"/>
    <w:autoRedefine/>
    <w:qFormat/>
    <w:uiPriority w:val="99"/>
  </w:style>
  <w:style w:type="character" w:customStyle="1" w:styleId="70">
    <w:name w:val="正文文本 字符1"/>
    <w:autoRedefine/>
    <w:semiHidden/>
    <w:qFormat/>
    <w:uiPriority w:val="0"/>
    <w:rPr>
      <w:rFonts w:ascii="Times New Roman" w:hAnsi="Times New Roman" w:eastAsia="宋体"/>
      <w:sz w:val="24"/>
    </w:rPr>
  </w:style>
  <w:style w:type="character" w:customStyle="1" w:styleId="71">
    <w:name w:val="表格 Char"/>
    <w:link w:val="72"/>
    <w:autoRedefine/>
    <w:qFormat/>
    <w:locked/>
    <w:uiPriority w:val="0"/>
    <w:rPr>
      <w:rFonts w:ascii="宋体"/>
      <w:sz w:val="21"/>
    </w:rPr>
  </w:style>
  <w:style w:type="paragraph" w:customStyle="1" w:styleId="72">
    <w:name w:val="表格"/>
    <w:basedOn w:val="5"/>
    <w:next w:val="1"/>
    <w:link w:val="71"/>
    <w:autoRedefine/>
    <w:qFormat/>
    <w:uiPriority w:val="0"/>
    <w:pPr>
      <w:adjustRightInd w:val="0"/>
      <w:snapToGrid w:val="0"/>
      <w:spacing w:beforeLines="10" w:afterLines="10" w:line="259" w:lineRule="auto"/>
      <w:jc w:val="center"/>
    </w:pPr>
    <w:rPr>
      <w:rFonts w:ascii="宋体"/>
      <w:kern w:val="0"/>
      <w:szCs w:val="20"/>
    </w:rPr>
  </w:style>
  <w:style w:type="character" w:customStyle="1" w:styleId="73">
    <w:name w:val="日期 字符"/>
    <w:autoRedefine/>
    <w:semiHidden/>
    <w:qFormat/>
    <w:uiPriority w:val="0"/>
    <w:rPr>
      <w:rFonts w:ascii="Times New Roman" w:hAnsi="Times New Roman" w:eastAsia="宋体"/>
      <w:sz w:val="24"/>
    </w:rPr>
  </w:style>
  <w:style w:type="character" w:customStyle="1" w:styleId="74">
    <w:name w:val="批注文字 字符1"/>
    <w:autoRedefine/>
    <w:semiHidden/>
    <w:qFormat/>
    <w:uiPriority w:val="0"/>
    <w:rPr>
      <w:rFonts w:ascii="Times New Roman" w:hAnsi="Times New Roman" w:eastAsia="宋体"/>
      <w:sz w:val="24"/>
    </w:rPr>
  </w:style>
  <w:style w:type="paragraph" w:customStyle="1" w:styleId="75">
    <w:name w:val="正文_1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
    <w:name w:val="普通(网站)2"/>
    <w:basedOn w:val="1"/>
    <w:autoRedefine/>
    <w:qFormat/>
    <w:uiPriority w:val="0"/>
    <w:pPr>
      <w:widowControl/>
      <w:spacing w:before="100" w:beforeAutospacing="1" w:after="100" w:afterAutospacing="1"/>
      <w:jc w:val="left"/>
    </w:pPr>
    <w:rPr>
      <w:rFonts w:ascii="宋体" w:hAnsi="宋体"/>
      <w:sz w:val="24"/>
      <w:szCs w:val="20"/>
    </w:rPr>
  </w:style>
  <w:style w:type="paragraph" w:customStyle="1" w:styleId="77">
    <w:name w:val="BBB"/>
    <w:basedOn w:val="1"/>
    <w:autoRedefine/>
    <w:qFormat/>
    <w:uiPriority w:val="99"/>
    <w:pPr>
      <w:widowControl/>
      <w:jc w:val="center"/>
    </w:pPr>
    <w:rPr>
      <w:rFonts w:ascii="宋体" w:hAnsi="宋体" w:eastAsiaTheme="minorEastAsia" w:cstheme="minorBidi"/>
      <w:color w:val="000000"/>
      <w:kern w:val="0"/>
      <w:szCs w:val="20"/>
    </w:rPr>
  </w:style>
  <w:style w:type="paragraph" w:customStyle="1" w:styleId="78">
    <w:name w:val="AAA"/>
    <w:basedOn w:val="1"/>
    <w:autoRedefine/>
    <w:qFormat/>
    <w:uiPriority w:val="0"/>
    <w:pPr>
      <w:ind w:firstLine="200" w:firstLineChars="200"/>
      <w:contextualSpacing/>
    </w:pPr>
    <w:rPr>
      <w:rFonts w:ascii="宋体" w:hAnsi="宋体" w:eastAsiaTheme="minorEastAsia" w:cstheme="minorBidi"/>
      <w:snapToGrid w:val="0"/>
      <w:color w:val="000000"/>
      <w:kern w:val="0"/>
      <w:sz w:val="24"/>
      <w:szCs w:val="20"/>
    </w:rPr>
  </w:style>
  <w:style w:type="character" w:customStyle="1" w:styleId="79">
    <w:name w:val="纯文本 Char1"/>
    <w:basedOn w:val="31"/>
    <w:autoRedefine/>
    <w:qFormat/>
    <w:uiPriority w:val="0"/>
    <w:rPr>
      <w:rFonts w:ascii="宋体" w:hAnsi="Courier New" w:cs="Courier New"/>
      <w:kern w:val="2"/>
      <w:sz w:val="21"/>
      <w:szCs w:val="21"/>
    </w:rPr>
  </w:style>
  <w:style w:type="table" w:customStyle="1" w:styleId="80">
    <w:name w:val="报告书标准表格"/>
    <w:basedOn w:val="28"/>
    <w:autoRedefine/>
    <w:qFormat/>
    <w:uiPriority w:val="0"/>
    <w:pPr>
      <w:jc w:val="center"/>
    </w:pPr>
    <w:rPr>
      <w:rFonts w:eastAsia="Times New Roman"/>
      <w:sz w:val="21"/>
    </w:rPr>
    <w:tblPr>
      <w:tblBorders>
        <w:top w:val="single" w:color="auto" w:sz="12" w:space="0"/>
        <w:bottom w:val="single" w:color="auto" w:sz="12" w:space="0"/>
        <w:insideH w:val="single" w:color="auto" w:sz="4" w:space="0"/>
        <w:insideV w:val="single" w:color="auto" w:sz="4" w:space="0"/>
      </w:tblBorders>
    </w:tblPr>
    <w:tcPr>
      <w:vAlign w:val="center"/>
    </w:tcPr>
  </w:style>
  <w:style w:type="character" w:customStyle="1" w:styleId="81">
    <w:name w:val="font61"/>
    <w:autoRedefine/>
    <w:qFormat/>
    <w:uiPriority w:val="0"/>
    <w:rPr>
      <w:rFonts w:hint="eastAsia" w:ascii="宋体" w:hAnsi="宋体" w:eastAsia="宋体" w:cs="宋体"/>
      <w:b/>
      <w:color w:val="000000"/>
      <w:sz w:val="21"/>
      <w:szCs w:val="21"/>
      <w:u w:val="none"/>
    </w:rPr>
  </w:style>
  <w:style w:type="character" w:customStyle="1" w:styleId="82">
    <w:name w:val="0-Meng Char"/>
    <w:basedOn w:val="31"/>
    <w:link w:val="83"/>
    <w:autoRedefine/>
    <w:qFormat/>
    <w:uiPriority w:val="0"/>
    <w:rPr>
      <w:rFonts w:ascii="方正宋三简体" w:hAnsi="方正宋三简体" w:cs="方正宋三简体"/>
      <w:sz w:val="24"/>
      <w:szCs w:val="24"/>
    </w:rPr>
  </w:style>
  <w:style w:type="paragraph" w:customStyle="1" w:styleId="83">
    <w:name w:val="0-Meng"/>
    <w:basedOn w:val="84"/>
    <w:next w:val="1"/>
    <w:link w:val="82"/>
    <w:autoRedefine/>
    <w:qFormat/>
    <w:uiPriority w:val="0"/>
    <w:pPr>
      <w:ind w:firstLine="200"/>
    </w:pPr>
    <w:rPr>
      <w:rFonts w:ascii="方正宋三简体" w:hAnsi="方正宋三简体" w:cs="方正宋三简体"/>
      <w:b w:val="0"/>
      <w:kern w:val="0"/>
      <w:sz w:val="24"/>
      <w:szCs w:val="24"/>
    </w:rPr>
  </w:style>
  <w:style w:type="paragraph" w:customStyle="1" w:styleId="84">
    <w:name w:val="Char1"/>
    <w:basedOn w:val="1"/>
    <w:autoRedefine/>
    <w:qFormat/>
    <w:uiPriority w:val="0"/>
    <w:pPr>
      <w:snapToGrid w:val="0"/>
      <w:spacing w:line="360" w:lineRule="auto"/>
      <w:ind w:firstLine="529" w:firstLineChars="200"/>
    </w:pPr>
    <w:rPr>
      <w:rFonts w:ascii="宋体" w:hAnsi="宋体"/>
      <w:b/>
      <w:szCs w:val="20"/>
    </w:rPr>
  </w:style>
  <w:style w:type="character" w:customStyle="1" w:styleId="85">
    <w:name w:val="font11"/>
    <w:autoRedefine/>
    <w:qFormat/>
    <w:uiPriority w:val="0"/>
    <w:rPr>
      <w:rFonts w:hint="default" w:ascii="Times New Roman" w:hAnsi="Times New Roman" w:cs="Times New Roman"/>
      <w:b/>
      <w:color w:val="000000"/>
      <w:sz w:val="21"/>
      <w:szCs w:val="21"/>
      <w:u w:val="none"/>
      <w:vertAlign w:val="subscript"/>
    </w:rPr>
  </w:style>
  <w:style w:type="character" w:customStyle="1" w:styleId="86">
    <w:name w:val="Meng Char"/>
    <w:link w:val="87"/>
    <w:autoRedefine/>
    <w:qFormat/>
    <w:uiPriority w:val="0"/>
    <w:rPr>
      <w:rFonts w:hAnsi="宋体"/>
      <w:sz w:val="24"/>
      <w:szCs w:val="24"/>
    </w:rPr>
  </w:style>
  <w:style w:type="paragraph" w:customStyle="1" w:styleId="87">
    <w:name w:val="Meng"/>
    <w:basedOn w:val="1"/>
    <w:link w:val="86"/>
    <w:autoRedefine/>
    <w:qFormat/>
    <w:uiPriority w:val="0"/>
    <w:pPr>
      <w:spacing w:line="360" w:lineRule="auto"/>
      <w:ind w:firstLine="200" w:firstLineChars="200"/>
    </w:pPr>
    <w:rPr>
      <w:rFonts w:hAnsi="宋体"/>
      <w:kern w:val="0"/>
      <w:sz w:val="24"/>
    </w:rPr>
  </w:style>
  <w:style w:type="character" w:customStyle="1" w:styleId="88">
    <w:name w:val="size13"/>
    <w:basedOn w:val="31"/>
    <w:autoRedefine/>
    <w:qFormat/>
    <w:uiPriority w:val="0"/>
    <w:rPr>
      <w:sz w:val="24"/>
      <w:szCs w:val="20"/>
    </w:rPr>
  </w:style>
  <w:style w:type="character" w:customStyle="1" w:styleId="89">
    <w:name w:val="font51"/>
    <w:autoRedefine/>
    <w:qFormat/>
    <w:uiPriority w:val="0"/>
    <w:rPr>
      <w:rFonts w:hint="default" w:ascii="Times New Roman" w:hAnsi="Times New Roman" w:cs="Times New Roman"/>
      <w:b/>
      <w:color w:val="000000"/>
      <w:sz w:val="21"/>
      <w:szCs w:val="21"/>
      <w:u w:val="none"/>
    </w:rPr>
  </w:style>
  <w:style w:type="paragraph" w:customStyle="1" w:styleId="90">
    <w:name w:val="中文报告书样式"/>
    <w:basedOn w:val="1"/>
    <w:autoRedefine/>
    <w:qFormat/>
    <w:uiPriority w:val="0"/>
    <w:pPr>
      <w:adjustRightInd w:val="0"/>
      <w:spacing w:line="420" w:lineRule="atLeast"/>
      <w:textAlignment w:val="baseline"/>
    </w:pPr>
    <w:rPr>
      <w:kern w:val="24"/>
      <w:sz w:val="24"/>
      <w:szCs w:val="20"/>
    </w:rPr>
  </w:style>
  <w:style w:type="paragraph" w:customStyle="1" w:styleId="91">
    <w:name w:val="Char"/>
    <w:basedOn w:val="1"/>
    <w:qFormat/>
    <w:uiPriority w:val="0"/>
  </w:style>
  <w:style w:type="paragraph" w:customStyle="1" w:styleId="92">
    <w:name w:val="Char Char Char Char"/>
    <w:basedOn w:val="1"/>
    <w:autoRedefine/>
    <w:qFormat/>
    <w:uiPriority w:val="0"/>
    <w:pPr>
      <w:ind w:firstLine="480" w:firstLineChars="200"/>
    </w:pPr>
    <w:rPr>
      <w:rFonts w:ascii="宋体"/>
      <w:sz w:val="28"/>
    </w:rPr>
  </w:style>
  <w:style w:type="paragraph" w:customStyle="1" w:styleId="93">
    <w:name w:val="Char1 Char Char Char Char Char Char"/>
    <w:basedOn w:val="1"/>
    <w:autoRedefine/>
    <w:semiHidden/>
    <w:qFormat/>
    <w:uiPriority w:val="0"/>
    <w:pPr>
      <w:spacing w:before="50" w:beforeLines="50" w:after="50" w:afterLines="50" w:line="360" w:lineRule="auto"/>
      <w:ind w:firstLine="200" w:firstLineChars="200"/>
    </w:pPr>
    <w:rPr>
      <w:rFonts w:ascii="宋体" w:hAnsi="宋体" w:cs="宋体"/>
      <w:sz w:val="24"/>
    </w:rPr>
  </w:style>
  <w:style w:type="paragraph" w:customStyle="1" w:styleId="94">
    <w:name w:val="样式 首行缩进"/>
    <w:basedOn w:val="1"/>
    <w:qFormat/>
    <w:uiPriority w:val="0"/>
    <w:pPr>
      <w:ind w:firstLine="551"/>
    </w:pPr>
    <w:rPr>
      <w:rFonts w:ascii="仿宋_GB2312" w:eastAsia="仿宋_GB2312" w:cs="宋体"/>
      <w:sz w:val="28"/>
      <w:szCs w:val="20"/>
    </w:rPr>
  </w:style>
  <w:style w:type="paragraph" w:customStyle="1" w:styleId="95">
    <w:name w:val="正文（韶关规划）"/>
    <w:basedOn w:val="27"/>
    <w:autoRedefine/>
    <w:qFormat/>
    <w:uiPriority w:val="0"/>
    <w:pPr>
      <w:tabs>
        <w:tab w:val="left" w:pos="7996"/>
      </w:tabs>
      <w:autoSpaceDE w:val="0"/>
      <w:autoSpaceDN w:val="0"/>
      <w:adjustRightInd w:val="0"/>
      <w:snapToGrid w:val="0"/>
      <w:spacing w:before="156" w:beforeLines="50" w:line="360" w:lineRule="auto"/>
      <w:ind w:left="0" w:leftChars="0" w:firstLine="480"/>
      <w:jc w:val="left"/>
    </w:pPr>
    <w:rPr>
      <w:rFonts w:ascii="宋体" w:hAnsi="宋体"/>
      <w:kern w:val="0"/>
      <w:sz w:val="24"/>
      <w:szCs w:val="24"/>
    </w:rPr>
  </w:style>
  <w:style w:type="paragraph" w:customStyle="1" w:styleId="96">
    <w:name w:val="font7"/>
    <w:basedOn w:val="1"/>
    <w:qFormat/>
    <w:uiPriority w:val="0"/>
    <w:pPr>
      <w:widowControl/>
      <w:spacing w:before="100" w:beforeAutospacing="1" w:after="100" w:afterAutospacing="1"/>
      <w:jc w:val="left"/>
    </w:pPr>
    <w:rPr>
      <w:rFonts w:hint="eastAsia" w:ascii="仿宋_GB2312" w:hAnsi="宋体" w:eastAsia="仿宋_GB2312"/>
      <w:kern w:val="0"/>
      <w:sz w:val="20"/>
      <w:szCs w:val="20"/>
    </w:rPr>
  </w:style>
  <w:style w:type="paragraph" w:customStyle="1" w:styleId="97">
    <w:name w:val="Char1 Char Char1 Char"/>
    <w:basedOn w:val="1"/>
    <w:autoRedefine/>
    <w:qFormat/>
    <w:uiPriority w:val="0"/>
    <w:pPr>
      <w:adjustRightInd w:val="0"/>
      <w:snapToGrid w:val="0"/>
      <w:spacing w:line="400" w:lineRule="exact"/>
      <w:ind w:firstLine="200" w:firstLineChars="200"/>
    </w:pPr>
    <w:rPr>
      <w:sz w:val="24"/>
      <w:szCs w:val="20"/>
    </w:rPr>
  </w:style>
  <w:style w:type="paragraph" w:customStyle="1" w:styleId="98">
    <w:name w:val="xl24"/>
    <w:basedOn w:val="1"/>
    <w:autoRedefine/>
    <w:qFormat/>
    <w:uiPriority w:val="0"/>
    <w:pPr>
      <w:widowControl/>
      <w:spacing w:before="100" w:beforeAutospacing="1" w:after="100" w:afterAutospacing="1"/>
      <w:jc w:val="center"/>
    </w:pPr>
    <w:rPr>
      <w:rFonts w:ascii="Arial Unicode MS" w:hAnsi="Arial Unicode MS" w:eastAsia="Arial Unicode MS" w:cs="Arial Unicode MS"/>
      <w:kern w:val="0"/>
      <w:sz w:val="24"/>
    </w:rPr>
  </w:style>
  <w:style w:type="paragraph" w:customStyle="1" w:styleId="99">
    <w:name w:val="表格内容（左）"/>
    <w:basedOn w:val="1"/>
    <w:autoRedefine/>
    <w:qFormat/>
    <w:uiPriority w:val="0"/>
    <w:pPr>
      <w:spacing w:line="0" w:lineRule="atLeast"/>
      <w:jc w:val="left"/>
    </w:pPr>
    <w:rPr>
      <w:rFonts w:ascii="仿宋_GB2312" w:eastAsia="仿宋_GB2312" w:cs="宋体"/>
      <w:szCs w:val="21"/>
    </w:rPr>
  </w:style>
  <w:style w:type="table" w:customStyle="1" w:styleId="100">
    <w:name w:val="表格样式1"/>
    <w:basedOn w:val="29"/>
    <w:autoRedefine/>
    <w:qFormat/>
    <w:uiPriority w:val="0"/>
    <w:pPr>
      <w:widowControl w:val="0"/>
      <w:jc w:val="both"/>
    </w:pPr>
    <w:tblPr>
      <w:tblBorders>
        <w:top w:val="single" w:color="auto" w:sz="12" w:space="0"/>
        <w:left w:val="single" w:color="auto" w:sz="12" w:space="0"/>
        <w:bottom w:val="single" w:color="auto" w:sz="12" w:space="0"/>
        <w:right w:val="single" w:color="auto" w:sz="12" w:space="0"/>
      </w:tblBorders>
    </w:tblPr>
  </w:style>
  <w:style w:type="character" w:styleId="101">
    <w:name w:val="Placeholder Text"/>
    <w:basedOn w:val="31"/>
    <w:autoRedefine/>
    <w:unhideWhenUsed/>
    <w:qFormat/>
    <w:uiPriority w:val="99"/>
    <w:rPr>
      <w:color w:val="808080"/>
    </w:rPr>
  </w:style>
  <w:style w:type="paragraph" w:customStyle="1" w:styleId="102">
    <w:name w:val="正文1"/>
    <w:basedOn w:val="1"/>
    <w:link w:val="103"/>
    <w:qFormat/>
    <w:uiPriority w:val="0"/>
    <w:pPr>
      <w:adjustRightInd w:val="0"/>
      <w:spacing w:line="480" w:lineRule="exact"/>
      <w:textAlignment w:val="baseline"/>
    </w:pPr>
    <w:rPr>
      <w:spacing w:val="-2"/>
      <w:kern w:val="0"/>
      <w:sz w:val="28"/>
      <w:szCs w:val="20"/>
    </w:rPr>
  </w:style>
  <w:style w:type="character" w:customStyle="1" w:styleId="103">
    <w:name w:val="正文 Char"/>
    <w:link w:val="102"/>
    <w:autoRedefine/>
    <w:qFormat/>
    <w:uiPriority w:val="0"/>
    <w:rPr>
      <w:spacing w:val="-2"/>
      <w:sz w:val="28"/>
    </w:rPr>
  </w:style>
  <w:style w:type="character" w:customStyle="1" w:styleId="104">
    <w:name w:val="正文首行缩进 Char1"/>
    <w:basedOn w:val="55"/>
    <w:autoRedefine/>
    <w:qFormat/>
    <w:uiPriority w:val="0"/>
    <w:rPr>
      <w:kern w:val="2"/>
      <w:sz w:val="21"/>
      <w:szCs w:val="24"/>
    </w:rPr>
  </w:style>
  <w:style w:type="paragraph" w:customStyle="1" w:styleId="105">
    <w:name w:val="黏贴"/>
    <w:autoRedefine/>
    <w:qFormat/>
    <w:uiPriority w:val="0"/>
    <w:rPr>
      <w:rFonts w:ascii="方正宋三简体" w:hAnsi="方正宋三简体" w:eastAsia="楷体_GB2312" w:cs="方正宋三简体"/>
      <w:kern w:val="2"/>
      <w:sz w:val="18"/>
      <w:szCs w:val="24"/>
      <w:lang w:val="en-US" w:eastAsia="zh-CN" w:bidi="ar-SA"/>
    </w:rPr>
  </w:style>
  <w:style w:type="paragraph" w:customStyle="1" w:styleId="106">
    <w:name w:val="普通(网站)1"/>
    <w:basedOn w:val="1"/>
    <w:autoRedefine/>
    <w:qFormat/>
    <w:uiPriority w:val="0"/>
    <w:pPr>
      <w:widowControl/>
      <w:spacing w:before="100" w:beforeAutospacing="1" w:after="100" w:afterAutospacing="1" w:line="360" w:lineRule="auto"/>
      <w:ind w:firstLine="506" w:firstLineChars="200"/>
      <w:jc w:val="left"/>
    </w:pPr>
    <w:rPr>
      <w:rFonts w:ascii="宋体" w:hAnsi="宋体"/>
      <w:kern w:val="0"/>
      <w:sz w:val="24"/>
    </w:rPr>
  </w:style>
  <w:style w:type="paragraph" w:customStyle="1" w:styleId="107">
    <w:name w:val="样式 表格 32 + 首行缩进:  2 字符"/>
    <w:basedOn w:val="1"/>
    <w:autoRedefine/>
    <w:qFormat/>
    <w:uiPriority w:val="0"/>
    <w:pPr>
      <w:autoSpaceDE w:val="0"/>
      <w:autoSpaceDN w:val="0"/>
      <w:adjustRightInd w:val="0"/>
      <w:spacing w:line="0" w:lineRule="atLeast"/>
      <w:jc w:val="center"/>
      <w:textAlignment w:val="baseline"/>
    </w:pPr>
    <w:rPr>
      <w:rFonts w:ascii="Calibri" w:hAnsi="Calibri"/>
      <w:kern w:val="0"/>
      <w:szCs w:val="21"/>
    </w:rPr>
  </w:style>
  <w:style w:type="character" w:customStyle="1" w:styleId="108">
    <w:name w:val="font111"/>
    <w:basedOn w:val="31"/>
    <w:autoRedefine/>
    <w:qFormat/>
    <w:uiPriority w:val="0"/>
    <w:rPr>
      <w:rFonts w:hint="eastAsia" w:ascii="宋体" w:hAnsi="宋体" w:eastAsia="宋体" w:cs="宋体"/>
      <w:color w:val="000000"/>
      <w:sz w:val="21"/>
      <w:szCs w:val="21"/>
      <w:u w:val="none"/>
    </w:rPr>
  </w:style>
  <w:style w:type="character" w:customStyle="1" w:styleId="109">
    <w:name w:val="font101"/>
    <w:basedOn w:val="31"/>
    <w:autoRedefine/>
    <w:qFormat/>
    <w:uiPriority w:val="0"/>
    <w:rPr>
      <w:rFonts w:hint="eastAsia" w:ascii="宋体" w:hAnsi="宋体" w:eastAsia="宋体" w:cs="宋体"/>
      <w:color w:val="000000"/>
      <w:sz w:val="21"/>
      <w:szCs w:val="21"/>
      <w:u w:val="none"/>
    </w:rPr>
  </w:style>
  <w:style w:type="paragraph" w:customStyle="1" w:styleId="110">
    <w:name w:val="0-表、图头"/>
    <w:basedOn w:val="1"/>
    <w:link w:val="111"/>
    <w:autoRedefine/>
    <w:qFormat/>
    <w:uiPriority w:val="0"/>
    <w:pPr>
      <w:jc w:val="center"/>
    </w:pPr>
    <w:rPr>
      <w:rFonts w:ascii="Calibri" w:hAnsi="Calibri" w:cs="Tahoma"/>
      <w:b/>
      <w:sz w:val="24"/>
    </w:rPr>
  </w:style>
  <w:style w:type="character" w:customStyle="1" w:styleId="111">
    <w:name w:val="0-表、图头 Char"/>
    <w:link w:val="110"/>
    <w:qFormat/>
    <w:uiPriority w:val="0"/>
    <w:rPr>
      <w:rFonts w:ascii="Calibri" w:hAnsi="Calibri" w:cs="Tahoma"/>
      <w:b/>
      <w:kern w:val="2"/>
      <w:sz w:val="24"/>
      <w:szCs w:val="24"/>
    </w:rPr>
  </w:style>
  <w:style w:type="paragraph" w:customStyle="1" w:styleId="112">
    <w:name w:val="0孟的表格"/>
    <w:basedOn w:val="1"/>
    <w:next w:val="1"/>
    <w:link w:val="113"/>
    <w:autoRedefine/>
    <w:qFormat/>
    <w:uiPriority w:val="0"/>
    <w:pPr>
      <w:overflowPunct w:val="0"/>
      <w:snapToGrid w:val="0"/>
      <w:ind w:left="-1" w:leftChars="-1"/>
      <w:jc w:val="center"/>
    </w:pPr>
    <w:rPr>
      <w:rFonts w:ascii="Calibri" w:hAnsi="Calibri"/>
      <w:kern w:val="0"/>
      <w:szCs w:val="20"/>
    </w:rPr>
  </w:style>
  <w:style w:type="character" w:customStyle="1" w:styleId="113">
    <w:name w:val="0孟的表格 Char"/>
    <w:link w:val="112"/>
    <w:autoRedefine/>
    <w:qFormat/>
    <w:uiPriority w:val="0"/>
    <w:rPr>
      <w:rFonts w:ascii="Calibri" w:hAnsi="Calibri"/>
      <w:sz w:val="21"/>
    </w:rPr>
  </w:style>
  <w:style w:type="paragraph" w:customStyle="1" w:styleId="114">
    <w:name w:val="Char Char5 Char Char Char Char"/>
    <w:basedOn w:val="1"/>
    <w:qFormat/>
    <w:uiPriority w:val="0"/>
  </w:style>
  <w:style w:type="character" w:customStyle="1" w:styleId="115">
    <w:name w:val="mjb2018 Char1"/>
    <w:link w:val="116"/>
    <w:semiHidden/>
    <w:qFormat/>
    <w:uiPriority w:val="0"/>
    <w:rPr>
      <w:kern w:val="2"/>
      <w:szCs w:val="22"/>
    </w:rPr>
  </w:style>
  <w:style w:type="paragraph" w:customStyle="1" w:styleId="116">
    <w:name w:val="mjb2018"/>
    <w:basedOn w:val="1"/>
    <w:next w:val="1"/>
    <w:link w:val="115"/>
    <w:autoRedefine/>
    <w:semiHidden/>
    <w:qFormat/>
    <w:uiPriority w:val="0"/>
    <w:pPr>
      <w:spacing w:line="360" w:lineRule="auto"/>
      <w:ind w:firstLine="200" w:firstLineChars="200"/>
    </w:pPr>
    <w:rPr>
      <w:sz w:val="20"/>
      <w:szCs w:val="22"/>
    </w:rPr>
  </w:style>
  <w:style w:type="paragraph" w:customStyle="1" w:styleId="117">
    <w:name w:val="TOC 标题1"/>
    <w:basedOn w:val="2"/>
    <w:next w:val="1"/>
    <w:autoRedefine/>
    <w:unhideWhenUsed/>
    <w:qFormat/>
    <w:uiPriority w:val="39"/>
    <w:pPr>
      <w:keepLines/>
      <w:widowControl/>
      <w:overflowPunct/>
      <w:snapToGrid/>
      <w:spacing w:before="480" w:after="0" w:line="276" w:lineRule="auto"/>
      <w:ind w:left="0" w:firstLine="0"/>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118">
    <w:name w:val="纯文本 字符"/>
    <w:autoRedefine/>
    <w:qFormat/>
    <w:uiPriority w:val="99"/>
    <w:rPr>
      <w:rFonts w:ascii="宋体" w:hAnsi="Courier New" w:cs="Courier New"/>
      <w:kern w:val="2"/>
      <w:sz w:val="21"/>
      <w:szCs w:val="21"/>
    </w:rPr>
  </w:style>
  <w:style w:type="paragraph" w:customStyle="1" w:styleId="119">
    <w:name w:val="表格内容格式"/>
    <w:basedOn w:val="1"/>
    <w:autoRedefine/>
    <w:qFormat/>
    <w:uiPriority w:val="99"/>
    <w:pPr>
      <w:widowControl/>
      <w:adjustRightInd w:val="0"/>
      <w:jc w:val="center"/>
      <w:textAlignment w:val="baseline"/>
    </w:pPr>
    <w:rPr>
      <w:rFonts w:ascii="宋体" w:hAnsi="宋体"/>
      <w:snapToGrid w:val="0"/>
      <w:color w:val="000000"/>
      <w:kern w:val="0"/>
      <w:szCs w:val="20"/>
    </w:rPr>
  </w:style>
  <w:style w:type="paragraph" w:customStyle="1" w:styleId="120">
    <w:name w:val="表头及表尾"/>
    <w:autoRedefine/>
    <w:qFormat/>
    <w:uiPriority w:val="99"/>
    <w:pPr>
      <w:tabs>
        <w:tab w:val="center" w:pos="4200"/>
        <w:tab w:val="right" w:pos="8400"/>
      </w:tabs>
      <w:adjustRightInd w:val="0"/>
      <w:snapToGrid w:val="0"/>
      <w:jc w:val="center"/>
    </w:pPr>
    <w:rPr>
      <w:rFonts w:ascii="Times New Roman" w:hAnsi="Times New Roman" w:eastAsia="宋体" w:cs="Times New Roman"/>
      <w:b/>
      <w:snapToGrid w:val="0"/>
      <w:sz w:val="21"/>
      <w:szCs w:val="21"/>
      <w:lang w:val="en-US" w:eastAsia="zh-CN" w:bidi="ar-SA"/>
    </w:rPr>
  </w:style>
  <w:style w:type="paragraph" w:customStyle="1" w:styleId="121">
    <w:name w:val="样式 0-Meng + Calibri 首行缩进:  2 字符"/>
    <w:basedOn w:val="83"/>
    <w:autoRedefine/>
    <w:qFormat/>
    <w:uiPriority w:val="0"/>
    <w:pPr>
      <w:snapToGrid/>
      <w:ind w:firstLine="472"/>
    </w:pPr>
    <w:rPr>
      <w:rFonts w:ascii="Times New Roman" w:hAnsi="Times New Roman" w:cs="宋体"/>
      <w:b/>
      <w:color w:val="000000"/>
      <w:spacing w:val="-2"/>
      <w:szCs w:val="20"/>
    </w:rPr>
  </w:style>
  <w:style w:type="paragraph" w:customStyle="1" w:styleId="122">
    <w:name w:val="正文_19"/>
    <w:autoRedefine/>
    <w:qFormat/>
    <w:uiPriority w:val="0"/>
    <w:pPr>
      <w:widowControl w:val="0"/>
      <w:jc w:val="both"/>
    </w:pPr>
    <w:rPr>
      <w:rFonts w:ascii="Calibri" w:hAnsi="Calibri" w:eastAsia="宋体" w:cs="Times New Roman"/>
      <w:kern w:val="2"/>
      <w:sz w:val="21"/>
      <w:lang w:val="en-US" w:eastAsia="zh-CN" w:bidi="ar-SA"/>
    </w:rPr>
  </w:style>
  <w:style w:type="paragraph" w:customStyle="1" w:styleId="123">
    <w:name w:val="正文_18"/>
    <w:autoRedefine/>
    <w:qFormat/>
    <w:uiPriority w:val="0"/>
    <w:pPr>
      <w:widowControl w:val="0"/>
      <w:jc w:val="both"/>
    </w:pPr>
    <w:rPr>
      <w:rFonts w:ascii="Calibri" w:hAnsi="Calibri" w:eastAsia="宋体" w:cs="Times New Roman"/>
      <w:kern w:val="2"/>
      <w:sz w:val="21"/>
      <w:lang w:val="en-US" w:eastAsia="zh-CN" w:bidi="ar-SA"/>
    </w:rPr>
  </w:style>
  <w:style w:type="paragraph" w:customStyle="1" w:styleId="124">
    <w:name w:val="0-sghks"/>
    <w:basedOn w:val="1"/>
    <w:next w:val="1"/>
    <w:link w:val="125"/>
    <w:autoRedefine/>
    <w:qFormat/>
    <w:uiPriority w:val="0"/>
    <w:pPr>
      <w:spacing w:beforeLines="25" w:line="460" w:lineRule="exact"/>
      <w:ind w:firstLine="200" w:firstLineChars="200"/>
      <w:jc w:val="left"/>
    </w:pPr>
    <w:rPr>
      <w:kern w:val="0"/>
      <w:sz w:val="24"/>
      <w:szCs w:val="22"/>
      <w:lang w:eastAsia="en-US"/>
    </w:rPr>
  </w:style>
  <w:style w:type="character" w:customStyle="1" w:styleId="125">
    <w:name w:val="0-sghks Char"/>
    <w:link w:val="124"/>
    <w:autoRedefine/>
    <w:qFormat/>
    <w:uiPriority w:val="0"/>
    <w:rPr>
      <w:sz w:val="24"/>
      <w:szCs w:val="22"/>
      <w:lang w:eastAsia="en-US"/>
    </w:rPr>
  </w:style>
  <w:style w:type="paragraph" w:styleId="126">
    <w:name w:val="List Paragraph"/>
    <w:basedOn w:val="1"/>
    <w:autoRedefine/>
    <w:qFormat/>
    <w:uiPriority w:val="99"/>
    <w:pPr>
      <w:ind w:firstLine="420" w:firstLineChars="200"/>
    </w:pPr>
    <w:rPr>
      <w:szCs w:val="20"/>
    </w:rPr>
  </w:style>
  <w:style w:type="paragraph" w:customStyle="1" w:styleId="127">
    <w:name w:val="1"/>
    <w:basedOn w:val="1"/>
    <w:next w:val="9"/>
    <w:autoRedefine/>
    <w:qFormat/>
    <w:uiPriority w:val="0"/>
    <w:pPr>
      <w:spacing w:line="200" w:lineRule="exact"/>
    </w:pPr>
    <w:rPr>
      <w:sz w:val="18"/>
      <w:szCs w:val="20"/>
    </w:rPr>
  </w:style>
  <w:style w:type="paragraph" w:customStyle="1" w:styleId="128">
    <w:name w:val="正文_4"/>
    <w:qFormat/>
    <w:uiPriority w:val="0"/>
    <w:pPr>
      <w:widowControl w:val="0"/>
      <w:jc w:val="both"/>
    </w:pPr>
    <w:rPr>
      <w:rFonts w:ascii="Calibri" w:hAnsi="Calibri" w:eastAsia="宋体" w:cs="Times New Roman"/>
      <w:kern w:val="2"/>
      <w:sz w:val="21"/>
      <w:lang w:val="en-US" w:eastAsia="zh-CN" w:bidi="ar-SA"/>
    </w:rPr>
  </w:style>
  <w:style w:type="paragraph" w:customStyle="1" w:styleId="129">
    <w:name w:val="正文_6"/>
    <w:autoRedefine/>
    <w:qFormat/>
    <w:uiPriority w:val="0"/>
    <w:pPr>
      <w:widowControl w:val="0"/>
      <w:jc w:val="both"/>
    </w:pPr>
    <w:rPr>
      <w:rFonts w:ascii="Calibri" w:hAnsi="Calibri" w:eastAsia="宋体" w:cs="Times New Roman"/>
      <w:kern w:val="2"/>
      <w:sz w:val="21"/>
      <w:lang w:val="en-US" w:eastAsia="zh-CN" w:bidi="ar-SA"/>
    </w:rPr>
  </w:style>
  <w:style w:type="paragraph" w:customStyle="1" w:styleId="130">
    <w:name w:val="正文2"/>
    <w:autoRedefine/>
    <w:qFormat/>
    <w:uiPriority w:val="0"/>
    <w:pPr>
      <w:jc w:val="both"/>
    </w:pPr>
    <w:rPr>
      <w:rFonts w:ascii="宋体" w:hAnsi="宋体" w:eastAsia="宋体" w:cs="宋体"/>
      <w:kern w:val="2"/>
      <w:sz w:val="21"/>
      <w:szCs w:val="21"/>
      <w:lang w:val="en-US" w:eastAsia="zh-CN" w:bidi="ar-SA"/>
    </w:rPr>
  </w:style>
  <w:style w:type="paragraph" w:customStyle="1" w:styleId="131">
    <w:name w:val="msonormal"/>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32">
    <w:name w:val="电镀正文"/>
    <w:basedOn w:val="5"/>
    <w:autoRedefine/>
    <w:qFormat/>
    <w:uiPriority w:val="0"/>
    <w:pPr>
      <w:spacing w:line="400" w:lineRule="exact"/>
      <w:ind w:firstLine="200"/>
    </w:pPr>
    <w:rPr>
      <w:rFonts w:ascii="楷体_GB2312" w:hAnsi="宋体" w:cs="宋体"/>
      <w:sz w:val="24"/>
    </w:rPr>
  </w:style>
  <w:style w:type="table" w:customStyle="1" w:styleId="133">
    <w:name w:val="报告书标准表格1"/>
    <w:basedOn w:val="28"/>
    <w:autoRedefine/>
    <w:qFormat/>
    <w:uiPriority w:val="0"/>
    <w:pPr>
      <w:jc w:val="center"/>
    </w:pPr>
    <w:rPr>
      <w:rFonts w:eastAsia="Times New Roman"/>
      <w:sz w:val="21"/>
      <w:szCs w:val="21"/>
    </w:rPr>
    <w:tblPr>
      <w:tblBorders>
        <w:top w:val="single" w:color="auto" w:sz="12" w:space="0"/>
        <w:bottom w:val="single" w:color="auto" w:sz="12" w:space="0"/>
        <w:insideH w:val="single" w:color="auto" w:sz="4" w:space="0"/>
        <w:insideV w:val="single" w:color="auto" w:sz="4" w:space="0"/>
      </w:tblBorders>
    </w:tblPr>
    <w:tcPr>
      <w:vAlign w:val="center"/>
    </w:tcPr>
  </w:style>
  <w:style w:type="table" w:customStyle="1" w:styleId="134">
    <w:name w:val="报告书标准表格2"/>
    <w:basedOn w:val="28"/>
    <w:autoRedefine/>
    <w:qFormat/>
    <w:uiPriority w:val="0"/>
    <w:pPr>
      <w:jc w:val="center"/>
    </w:pPr>
    <w:rPr>
      <w:rFonts w:eastAsia="Times New Roman"/>
      <w:sz w:val="21"/>
      <w:szCs w:val="21"/>
    </w:rPr>
    <w:tblPr>
      <w:tblBorders>
        <w:top w:val="single" w:color="auto" w:sz="12" w:space="0"/>
        <w:bottom w:val="single" w:color="auto" w:sz="12" w:space="0"/>
        <w:insideH w:val="single" w:color="auto" w:sz="4" w:space="0"/>
        <w:insideV w:val="single" w:color="auto" w:sz="4" w:space="0"/>
      </w:tblBorders>
    </w:tblPr>
    <w:tcPr>
      <w:vAlign w:val="center"/>
    </w:tcPr>
  </w:style>
  <w:style w:type="character" w:customStyle="1" w:styleId="135">
    <w:name w:val="NormalCharacter"/>
    <w:autoRedefine/>
    <w:qFormat/>
    <w:uiPriority w:val="0"/>
  </w:style>
  <w:style w:type="character" w:customStyle="1" w:styleId="136">
    <w:name w:val="UserStyle_28"/>
    <w:qFormat/>
    <w:uiPriority w:val="0"/>
    <w:rPr>
      <w:rFonts w:ascii="宋体" w:hAnsi="宋体" w:eastAsia="宋体"/>
      <w:color w:val="000000"/>
      <w:sz w:val="21"/>
      <w:szCs w:val="21"/>
    </w:rPr>
  </w:style>
  <w:style w:type="character" w:customStyle="1" w:styleId="137">
    <w:name w:val="UserStyle_39"/>
    <w:qFormat/>
    <w:uiPriority w:val="0"/>
    <w:rPr>
      <w:rFonts w:ascii="宋体" w:hAnsi="宋体" w:eastAsia="宋体"/>
      <w:color w:val="000000"/>
      <w:sz w:val="24"/>
      <w:szCs w:val="24"/>
    </w:rPr>
  </w:style>
  <w:style w:type="character" w:customStyle="1" w:styleId="138">
    <w:name w:val="16"/>
    <w:basedOn w:val="31"/>
    <w:qFormat/>
    <w:uiPriority w:val="0"/>
    <w:rPr>
      <w:rFonts w:hint="default" w:ascii="Times New Roman" w:hAnsi="Times New Roman" w:cs="Times New Roman"/>
      <w:color w:val="000000"/>
      <w:sz w:val="21"/>
      <w:szCs w:val="21"/>
    </w:rPr>
  </w:style>
  <w:style w:type="character" w:customStyle="1" w:styleId="139">
    <w:name w:val="17"/>
    <w:basedOn w:val="31"/>
    <w:autoRedefine/>
    <w:qFormat/>
    <w:uiPriority w:val="0"/>
    <w:rPr>
      <w:rFonts w:hint="default" w:ascii="Times New Roman" w:hAnsi="Times New Roman" w:cs="Times New Roman"/>
      <w:color w:val="000000"/>
      <w:sz w:val="21"/>
      <w:szCs w:val="21"/>
      <w:vertAlign w:val="superscript"/>
    </w:rPr>
  </w:style>
  <w:style w:type="character" w:customStyle="1" w:styleId="140">
    <w:name w:val="15"/>
    <w:basedOn w:val="31"/>
    <w:autoRedefine/>
    <w:qFormat/>
    <w:uiPriority w:val="0"/>
    <w:rPr>
      <w:rFonts w:hint="eastAsia" w:ascii="宋体" w:hAnsi="宋体" w:eastAsia="宋体"/>
      <w:color w:val="000000"/>
      <w:sz w:val="21"/>
      <w:szCs w:val="21"/>
    </w:rPr>
  </w:style>
  <w:style w:type="paragraph" w:customStyle="1" w:styleId="141">
    <w:name w:val="明显引用1"/>
    <w:next w:val="1"/>
    <w:autoRedefine/>
    <w:qFormat/>
    <w:uiPriority w:val="0"/>
    <w:pPr>
      <w:wordWrap w:val="0"/>
      <w:spacing w:before="360" w:after="360"/>
      <w:ind w:left="3766" w:right="950"/>
      <w:jc w:val="center"/>
    </w:pPr>
    <w:rPr>
      <w:rFonts w:ascii="宋体" w:hAnsi="Times New Roman" w:eastAsia="宋体" w:cs="Times New Roman"/>
      <w:color w:val="000000"/>
      <w:sz w:val="21"/>
      <w:u w:color="534F00"/>
      <w:lang w:val="en-US" w:eastAsia="zh-CN" w:bidi="ar-SA"/>
    </w:rPr>
  </w:style>
  <w:style w:type="character" w:customStyle="1" w:styleId="142">
    <w:name w:val="bt21"/>
    <w:basedOn w:val="31"/>
    <w:autoRedefine/>
    <w:qFormat/>
    <w:uiPriority w:val="0"/>
    <w:rPr>
      <w:rFonts w:hint="eastAsia" w:ascii="黑体" w:eastAsia="黑体"/>
      <w:sz w:val="24"/>
      <w:szCs w:val="24"/>
    </w:rPr>
  </w:style>
  <w:style w:type="character" w:customStyle="1" w:styleId="143">
    <w:name w:val="zw1"/>
    <w:basedOn w:val="31"/>
    <w:autoRedefine/>
    <w:qFormat/>
    <w:uiPriority w:val="0"/>
    <w:rPr>
      <w:rFonts w:hint="eastAsia" w:ascii="宋体" w:hAnsi="宋体" w:eastAsia="宋体"/>
      <w:sz w:val="22"/>
      <w:szCs w:val="22"/>
    </w:rPr>
  </w:style>
  <w:style w:type="paragraph" w:customStyle="1" w:styleId="144">
    <w:name w:val="WPSOffice手动目录 1"/>
    <w:autoRedefine/>
    <w:qFormat/>
    <w:uiPriority w:val="0"/>
    <w:rPr>
      <w:rFonts w:ascii="Times New Roman" w:hAnsi="Times New Roman" w:eastAsia="宋体" w:cs="Times New Roman"/>
      <w:lang w:val="en-US" w:eastAsia="zh-CN" w:bidi="ar-SA"/>
    </w:rPr>
  </w:style>
  <w:style w:type="paragraph" w:customStyle="1" w:styleId="145">
    <w:name w:val="环评表头"/>
    <w:basedOn w:val="1"/>
    <w:qFormat/>
    <w:uiPriority w:val="0"/>
    <w:pPr>
      <w:spacing w:beforeLines="50" w:line="360" w:lineRule="auto"/>
      <w:jc w:val="center"/>
    </w:pPr>
    <w:rPr>
      <w:b/>
      <w:szCs w:val="21"/>
    </w:rPr>
  </w:style>
  <w:style w:type="paragraph" w:customStyle="1" w:styleId="146">
    <w:name w:val="环评正文"/>
    <w:basedOn w:val="1"/>
    <w:qFormat/>
    <w:uiPriority w:val="0"/>
    <w:pPr>
      <w:spacing w:line="360" w:lineRule="auto"/>
      <w:ind w:firstLine="480" w:firstLineChars="200"/>
    </w:pPr>
    <w:rPr>
      <w:sz w:val="24"/>
    </w:rPr>
  </w:style>
  <w:style w:type="paragraph" w:customStyle="1" w:styleId="147">
    <w:name w:val="无间隔2"/>
    <w:basedOn w:val="1"/>
    <w:autoRedefine/>
    <w:qFormat/>
    <w:uiPriority w:val="0"/>
    <w:pPr>
      <w:jc w:val="center"/>
    </w:pPr>
    <w:rPr>
      <w:rFonts w:ascii="Calibri" w:hAnsi="Calibri"/>
      <w:szCs w:val="20"/>
    </w:rPr>
  </w:style>
  <w:style w:type="paragraph" w:customStyle="1" w:styleId="148">
    <w:name w:val="列出段落2"/>
    <w:basedOn w:val="1"/>
    <w:unhideWhenUsed/>
    <w:qFormat/>
    <w:uiPriority w:val="99"/>
    <w:pPr>
      <w:ind w:firstLine="420" w:firstLineChars="200"/>
    </w:pPr>
  </w:style>
  <w:style w:type="character" w:customStyle="1" w:styleId="149">
    <w:name w:val="font01"/>
    <w:basedOn w:val="31"/>
    <w:qFormat/>
    <w:uiPriority w:val="0"/>
    <w:rPr>
      <w:rFonts w:hint="default" w:ascii="Times New Roman" w:hAnsi="Times New Roman" w:cs="Times New Roman"/>
      <w:color w:val="000000"/>
      <w:sz w:val="21"/>
      <w:szCs w:val="21"/>
      <w:u w:val="none"/>
    </w:rPr>
  </w:style>
  <w:style w:type="character" w:customStyle="1" w:styleId="150">
    <w:name w:val="font21"/>
    <w:basedOn w:val="31"/>
    <w:qFormat/>
    <w:uiPriority w:val="0"/>
    <w:rPr>
      <w:rFonts w:hint="eastAsia" w:ascii="宋体" w:hAnsi="宋体" w:eastAsia="宋体" w:cs="宋体"/>
      <w:color w:val="000000"/>
      <w:sz w:val="21"/>
      <w:szCs w:val="21"/>
      <w:u w:val="none"/>
    </w:rPr>
  </w:style>
  <w:style w:type="character" w:customStyle="1" w:styleId="151">
    <w:name w:val="未处理的提及1"/>
    <w:basedOn w:val="31"/>
    <w:semiHidden/>
    <w:unhideWhenUsed/>
    <w:qFormat/>
    <w:uiPriority w:val="99"/>
    <w:rPr>
      <w:color w:val="605E5C"/>
      <w:shd w:val="clear" w:color="auto" w:fill="E1DFDD"/>
    </w:rPr>
  </w:style>
  <w:style w:type="paragraph" w:customStyle="1" w:styleId="152">
    <w:name w:val="列表段落1"/>
    <w:basedOn w:val="1"/>
    <w:qFormat/>
    <w:uiPriority w:val="0"/>
    <w:pPr>
      <w:ind w:firstLine="420" w:firstLineChars="200"/>
    </w:pPr>
    <w:rPr>
      <w:szCs w:val="21"/>
    </w:rPr>
  </w:style>
  <w:style w:type="table" w:customStyle="1" w:styleId="153">
    <w:name w:val="Table Normal"/>
    <w:semiHidden/>
    <w:unhideWhenUsed/>
    <w:qFormat/>
    <w:uiPriority w:val="0"/>
    <w:tblPr>
      <w:tblCellMar>
        <w:top w:w="0" w:type="dxa"/>
        <w:left w:w="0" w:type="dxa"/>
        <w:bottom w:w="0" w:type="dxa"/>
        <w:right w:w="0" w:type="dxa"/>
      </w:tblCellMar>
    </w:tblPr>
  </w:style>
  <w:style w:type="paragraph" w:customStyle="1" w:styleId="154">
    <w:name w:val="表格文字"/>
    <w:qFormat/>
    <w:uiPriority w:val="0"/>
    <w:pPr>
      <w:tabs>
        <w:tab w:val="left" w:pos="-2848"/>
      </w:tabs>
      <w:wordWrap w:val="0"/>
      <w:autoSpaceDE w:val="0"/>
      <w:autoSpaceDN w:val="0"/>
      <w:jc w:val="center"/>
      <w:textAlignment w:val="center"/>
    </w:pPr>
    <w:rPr>
      <w:rFonts w:ascii="Times New Roman" w:hAnsi="Times New Roman" w:eastAsia="宋体" w:cs="Times New Roman"/>
      <w:position w:val="-10"/>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9" Type="http://schemas.openxmlformats.org/officeDocument/2006/relationships/fontTable" Target="fontTable.xml"/><Relationship Id="rId38" Type="http://schemas.openxmlformats.org/officeDocument/2006/relationships/customXml" Target="../customXml/item2.xml"/><Relationship Id="rId37" Type="http://schemas.openxmlformats.org/officeDocument/2006/relationships/customXml" Target="../customXml/item1.xml"/><Relationship Id="rId36" Type="http://schemas.openxmlformats.org/officeDocument/2006/relationships/image" Target="media/image27.png"/><Relationship Id="rId35" Type="http://schemas.openxmlformats.org/officeDocument/2006/relationships/image" Target="media/image26.png"/><Relationship Id="rId34" Type="http://schemas.openxmlformats.org/officeDocument/2006/relationships/image" Target="media/image25.png"/><Relationship Id="rId33" Type="http://schemas.openxmlformats.org/officeDocument/2006/relationships/image" Target="media/image24.jpeg"/><Relationship Id="rId32" Type="http://schemas.openxmlformats.org/officeDocument/2006/relationships/image" Target="media/image23.jpeg"/><Relationship Id="rId31" Type="http://schemas.openxmlformats.org/officeDocument/2006/relationships/image" Target="media/image22.jpeg"/><Relationship Id="rId30" Type="http://schemas.openxmlformats.org/officeDocument/2006/relationships/image" Target="media/image21.jpeg"/><Relationship Id="rId3" Type="http://schemas.openxmlformats.org/officeDocument/2006/relationships/footer" Target="footer1.xml"/><Relationship Id="rId29" Type="http://schemas.openxmlformats.org/officeDocument/2006/relationships/image" Target="media/image20.jpeg"/><Relationship Id="rId28" Type="http://schemas.openxmlformats.org/officeDocument/2006/relationships/image" Target="media/image19.jpeg"/><Relationship Id="rId27" Type="http://schemas.openxmlformats.org/officeDocument/2006/relationships/image" Target="media/image18.jpeg"/><Relationship Id="rId26" Type="http://schemas.openxmlformats.org/officeDocument/2006/relationships/image" Target="media/image17.jpeg"/><Relationship Id="rId25" Type="http://schemas.openxmlformats.org/officeDocument/2006/relationships/image" Target="media/image16.jpeg"/><Relationship Id="rId24" Type="http://schemas.openxmlformats.org/officeDocument/2006/relationships/image" Target="media/image15.png"/><Relationship Id="rId23" Type="http://schemas.openxmlformats.org/officeDocument/2006/relationships/image" Target="media/image14.png"/><Relationship Id="rId22" Type="http://schemas.openxmlformats.org/officeDocument/2006/relationships/image" Target="media/image13.png"/><Relationship Id="rId21" Type="http://schemas.openxmlformats.org/officeDocument/2006/relationships/image" Target="media/image12.pn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jpe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a:ln w="19050">
          <a:solidFill>
            <a:srgbClr val="CF1DEF"/>
          </a:solidFill>
          <a:headEnd type="none"/>
          <a:tailEnd type="none"/>
        </a:ln>
      </a:spPr>
      <a:bodyPr/>
      <a:lstStyle/>
      <a:style>
        <a:lnRef idx="2">
          <a:schemeClr val="accent1"/>
        </a:lnRef>
        <a:fillRef idx="0">
          <a:srgbClr val="FFFFFF"/>
        </a:fillRef>
        <a:effectRef idx="0">
          <a:srgbClr val="FFFFFF"/>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430909-D645-49B0-86D3-7A4DB6E8EE87}">
  <ds:schemaRefs/>
</ds:datastoreItem>
</file>

<file path=docProps/app.xml><?xml version="1.0" encoding="utf-8"?>
<Properties xmlns="http://schemas.openxmlformats.org/officeDocument/2006/extended-properties" xmlns:vt="http://schemas.openxmlformats.org/officeDocument/2006/docPropsVTypes">
  <Template>wdzx97</Template>
  <Company>微软中国</Company>
  <Pages>78</Pages>
  <Words>29582</Words>
  <Characters>34987</Characters>
  <Lines>307</Lines>
  <Paragraphs>86</Paragraphs>
  <TotalTime>6</TotalTime>
  <ScaleCrop>false</ScaleCrop>
  <LinksUpToDate>false</LinksUpToDate>
  <CharactersWithSpaces>35668</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2023-11-06T08:38:00Z</dcterms:created>
  <dc:creator>Lenovo</dc:creator>
  <cp:lastModifiedBy>杨宗祺-Swi</cp:lastModifiedBy>
  <cp:lastPrinted>2022-09-20T07:21:00Z</cp:lastPrinted>
  <dcterms:modified xsi:type="dcterms:W3CDTF">2024-01-28T11:25:02Z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E0161C255C8A4B9E92279FCF469304C2</vt:lpwstr>
  </property>
</Properties>
</file>