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p>
    <w:p>
      <w:pPr>
        <w:keepNext w:val="0"/>
        <w:keepLines w:val="0"/>
        <w:pageBreakBefore w:val="0"/>
        <w:widowControl w:val="0"/>
        <w:kinsoku/>
        <w:wordWrap/>
        <w:overflowPunct/>
        <w:topLinePunct w:val="0"/>
        <w:autoSpaceDE/>
        <w:autoSpaceDN/>
        <w:bidi w:val="0"/>
        <w:adjustRightInd/>
        <w:snapToGrid/>
        <w:spacing w:line="660" w:lineRule="exact"/>
        <w:jc w:val="right"/>
        <w:textAlignment w:val="auto"/>
        <w:rPr>
          <w:rFonts w:hint="eastAsia" w:ascii="方正小标宋简体" w:hAnsi="方正小标宋简体" w:eastAsia="方正小标宋简体" w:cs="方正小标宋简体"/>
          <w:sz w:val="44"/>
          <w:szCs w:val="44"/>
        </w:rPr>
      </w:pPr>
      <w:r>
        <w:rPr>
          <w:rFonts w:hint="eastAsia" w:ascii="仿宋" w:hAnsi="仿宋" w:eastAsia="仿宋" w:cs="仿宋"/>
          <w:bCs/>
          <w:sz w:val="32"/>
          <w:szCs w:val="32"/>
          <w:lang w:val="en-US" w:eastAsia="zh-CN"/>
        </w:rPr>
        <w:t xml:space="preserve">     韶环</w:t>
      </w:r>
      <w:r>
        <w:rPr>
          <w:rFonts w:hint="eastAsia" w:ascii="仿宋" w:hAnsi="仿宋" w:eastAsia="仿宋" w:cs="仿宋"/>
          <w:bCs/>
          <w:sz w:val="32"/>
          <w:szCs w:val="32"/>
        </w:rPr>
        <w:t>乐审〔202</w:t>
      </w:r>
      <w:r>
        <w:rPr>
          <w:rFonts w:hint="eastAsia" w:ascii="仿宋" w:hAnsi="仿宋" w:eastAsia="仿宋" w:cs="仿宋"/>
          <w:bCs/>
          <w:sz w:val="32"/>
          <w:szCs w:val="32"/>
          <w:lang w:val="en-US" w:eastAsia="zh-CN"/>
        </w:rPr>
        <w:t>4</w:t>
      </w:r>
      <w:r>
        <w:rPr>
          <w:rFonts w:hint="eastAsia" w:ascii="仿宋" w:hAnsi="仿宋" w:eastAsia="仿宋" w:cs="仿宋"/>
          <w:bCs/>
          <w:sz w:val="32"/>
          <w:szCs w:val="32"/>
        </w:rPr>
        <w:t>〕</w:t>
      </w:r>
      <w:r>
        <w:rPr>
          <w:rFonts w:hint="eastAsia" w:ascii="仿宋" w:hAnsi="仿宋" w:eastAsia="仿宋" w:cs="仿宋"/>
          <w:bCs/>
          <w:sz w:val="32"/>
          <w:szCs w:val="32"/>
          <w:lang w:val="en-US" w:eastAsia="zh-CN"/>
        </w:rPr>
        <w:t>07</w:t>
      </w:r>
      <w:r>
        <w:rPr>
          <w:rFonts w:hint="eastAsia" w:ascii="仿宋" w:hAnsi="仿宋" w:eastAsia="仿宋" w:cs="仿宋"/>
          <w:bCs/>
          <w:sz w:val="32"/>
          <w:szCs w:val="32"/>
        </w:rPr>
        <w:t>号</w:t>
      </w:r>
    </w:p>
    <w:p>
      <w:pPr>
        <w:keepNext w:val="0"/>
        <w:keepLines w:val="0"/>
        <w:pageBreakBefore w:val="0"/>
        <w:widowControl w:val="0"/>
        <w:kinsoku/>
        <w:wordWrap/>
        <w:overflowPunct/>
        <w:topLinePunct w:val="0"/>
        <w:autoSpaceDE/>
        <w:autoSpaceDN/>
        <w:bidi w:val="0"/>
        <w:adjustRightInd/>
        <w:snapToGrid/>
        <w:spacing w:line="660" w:lineRule="exact"/>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w:t>
      </w:r>
      <w:r>
        <w:rPr>
          <w:rFonts w:hint="eastAsia" w:ascii="方正小标宋简体" w:hAnsi="方正小标宋简体" w:eastAsia="方正小标宋简体" w:cs="方正小标宋简体"/>
          <w:sz w:val="44"/>
          <w:szCs w:val="44"/>
          <w:lang w:eastAsia="zh-CN"/>
        </w:rPr>
        <w:t>佛水资源（乐昌）环保技术有限公司乐昌市北乡镇污水处理厂</w:t>
      </w:r>
      <w:r>
        <w:rPr>
          <w:rFonts w:hint="eastAsia" w:ascii="方正小标宋简体" w:hAnsi="方正小标宋简体" w:eastAsia="方正小标宋简体" w:cs="方正小标宋简体"/>
          <w:sz w:val="44"/>
          <w:szCs w:val="44"/>
        </w:rPr>
        <w:t>入河排污口的审批意见</w:t>
      </w: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p>
    <w:p>
      <w:pPr>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佛水资源（乐昌）环保技术有限公司：</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你单位报送的《乐昌市村镇污水处理设施建设 PPP 项目—乐昌市北乡镇污水处理厂入河排污口设置论证报告》(以下简称《论证报告》)申请及附件等有关材料收悉。现对《论证报告》提及的乐昌市北乡镇污水处理厂入河排污口意见如下：</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一、乐昌市北乡镇污水处理厂入河排污口位于</w:t>
      </w:r>
      <w:r>
        <w:rPr>
          <w:rFonts w:hint="eastAsia" w:ascii="仿宋_GB2312" w:hAnsi="仿宋_GB2312" w:eastAsia="仿宋_GB2312" w:cs="仿宋_GB2312"/>
          <w:sz w:val="32"/>
          <w:szCs w:val="32"/>
          <w:lang w:eastAsia="zh-CN"/>
        </w:rPr>
        <w:t>乐昌市北乡镇</w:t>
      </w:r>
      <w:r>
        <w:rPr>
          <w:rFonts w:hint="eastAsia" w:ascii="仿宋_GB2312" w:hAnsi="仿宋_GB2312" w:eastAsia="仿宋_GB2312" w:cs="仿宋_GB2312"/>
          <w:sz w:val="32"/>
          <w:szCs w:val="32"/>
        </w:rPr>
        <w:t>，设置在厂区北侧干溪河左岸,排口编号HB-4402</w:t>
      </w:r>
      <w:r>
        <w:rPr>
          <w:rFonts w:hint="eastAsia" w:ascii="仿宋_GB2312" w:hAnsi="仿宋_GB2312" w:eastAsia="仿宋_GB2312" w:cs="仿宋_GB2312"/>
          <w:sz w:val="32"/>
          <w:szCs w:val="32"/>
          <w:lang w:val="en-US" w:eastAsia="zh-CN"/>
        </w:rPr>
        <w:t>81</w:t>
      </w:r>
      <w:r>
        <w:rPr>
          <w:rFonts w:hint="eastAsia" w:ascii="仿宋_GB2312" w:hAnsi="仿宋_GB2312" w:eastAsia="仿宋_GB2312" w:cs="仿宋_GB2312"/>
          <w:sz w:val="32"/>
          <w:szCs w:val="32"/>
        </w:rPr>
        <w:t>-0001-</w:t>
      </w:r>
      <w:r>
        <w:rPr>
          <w:rFonts w:hint="eastAsia" w:ascii="仿宋_GB2312" w:hAnsi="仿宋_GB2312" w:eastAsia="仿宋_GB2312" w:cs="仿宋_GB2312"/>
          <w:sz w:val="32"/>
          <w:szCs w:val="32"/>
          <w:lang w:val="en-US" w:eastAsia="zh-CN"/>
        </w:rPr>
        <w:t>SH</w:t>
      </w:r>
      <w:r>
        <w:rPr>
          <w:rFonts w:hint="eastAsia" w:ascii="仿宋_GB2312" w:hAnsi="仿宋_GB2312" w:eastAsia="仿宋_GB2312" w:cs="仿宋_GB2312"/>
          <w:sz w:val="32"/>
          <w:szCs w:val="32"/>
        </w:rPr>
        <w:t>-0</w:t>
      </w:r>
      <w:r>
        <w:rPr>
          <w:rFonts w:hint="eastAsia" w:ascii="仿宋_GB2312" w:hAnsi="仿宋_GB2312" w:eastAsia="仿宋_GB2312" w:cs="仿宋_GB2312"/>
          <w:sz w:val="32"/>
          <w:szCs w:val="32"/>
          <w:lang w:val="en-US" w:eastAsia="zh-CN"/>
        </w:rPr>
        <w:t>0</w:t>
      </w:r>
      <w:r>
        <w:rPr>
          <w:rFonts w:hint="eastAsia" w:ascii="仿宋_GB2312" w:hAnsi="仿宋_GB2312" w:eastAsia="仿宋_GB2312" w:cs="仿宋_GB2312"/>
          <w:sz w:val="32"/>
          <w:szCs w:val="32"/>
        </w:rPr>
        <w:t>, 中心地理坐标为E113°20′35.77″，N25°10′53.64″。项目</w:t>
      </w:r>
      <w:r>
        <w:rPr>
          <w:rFonts w:hint="eastAsia" w:ascii="仿宋_GB2312" w:hAnsi="仿宋_GB2312" w:eastAsia="仿宋_GB2312" w:cs="仿宋_GB2312"/>
          <w:sz w:val="32"/>
          <w:szCs w:val="32"/>
          <w:lang w:eastAsia="zh-CN"/>
        </w:rPr>
        <w:t>废水排放量为</w:t>
      </w:r>
      <w:r>
        <w:rPr>
          <w:rFonts w:hint="eastAsia" w:ascii="仿宋_GB2312" w:hAnsi="仿宋_GB2312" w:eastAsia="仿宋_GB2312" w:cs="仿宋_GB2312"/>
          <w:sz w:val="32"/>
          <w:szCs w:val="32"/>
        </w:rPr>
        <w:t>700</w:t>
      </w:r>
      <w:r>
        <w:rPr>
          <w:rFonts w:hint="eastAsia" w:ascii="仿宋_GB2312" w:hAnsi="仿宋_GB2312" w:eastAsia="仿宋_GB2312" w:cs="仿宋_GB2312"/>
          <w:sz w:val="32"/>
          <w:szCs w:val="32"/>
          <w:lang w:val="en-US" w:eastAsia="zh-CN"/>
        </w:rPr>
        <w:t>m³</w:t>
      </w:r>
      <w:r>
        <w:rPr>
          <w:rFonts w:hint="eastAsia" w:ascii="仿宋_GB2312" w:hAnsi="仿宋_GB2312" w:eastAsia="仿宋_GB2312" w:cs="仿宋_GB2312"/>
          <w:sz w:val="32"/>
          <w:szCs w:val="32"/>
        </w:rPr>
        <w:t>/d。排污口类型为生活污水，排放方式为连续排放，入河方式为管道入河方式，废水排放后直接受纳水体为干溪河。</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二、排污口需按照《入河排污口设置申请书》所列的性质、地点等信息进行设置，落实各项污染防治及环境风险防范措施的前提下，我局原则上同意该入河排污口的设置。项目在运营中重点做好以下工作：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一)项目单位应加强入河排污口日常巡检，采取有效措施确保入河污水稳定达标排放且符合相关排污总量控制要求，严禁超标排放。出水水质执行广东省地方标准《水污染物排放限值》DB44/26-2001）第二时段一级标准和《城镇污水处理厂污染物排放标准》（GB18918-2002）一级A标准中的较严值。</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二)项目单位应严格执行入河排污口相关管理制度，确保稳定达标排放。强化环境安全风险管控，制定完善并落实事故环境风险应急预案，防止各类污染事故及事故处理过程中的伴生、次生污染。严格落实相关河道和区域的有关水资源水环境保护措施，确保水生态环境安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(三)项目单位应按规定在入河排污口处设立标识牌并在入河前设置便于监测监管的采样口，安装在线监测装置，加强入河排污计量及水质监测，定期向韶关市生态环境局</w:t>
      </w:r>
      <w:r>
        <w:rPr>
          <w:rFonts w:hint="eastAsia" w:ascii="仿宋_GB2312" w:hAnsi="仿宋_GB2312" w:eastAsia="仿宋_GB2312" w:cs="仿宋_GB2312"/>
          <w:sz w:val="32"/>
          <w:szCs w:val="32"/>
          <w:lang w:eastAsia="zh-CN"/>
        </w:rPr>
        <w:t>乐昌</w:t>
      </w:r>
      <w:r>
        <w:rPr>
          <w:rFonts w:hint="eastAsia" w:ascii="仿宋_GB2312" w:hAnsi="仿宋_GB2312" w:eastAsia="仿宋_GB2312" w:cs="仿宋_GB2312"/>
          <w:sz w:val="32"/>
          <w:szCs w:val="32"/>
        </w:rPr>
        <w:t>分局报送入河排污口水质水量信息，配合有关部门做好入河排污口现场监督检查工作。</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(四)该入河排污口扩大设置经批准后，若该入河排污口设置地点、排放方式、排放量或主要污染物发生变化，需重新进行入河排污口设置论证并办理相关审批手续。</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三、总量控制。</w:t>
      </w:r>
      <w:r>
        <w:rPr>
          <w:rFonts w:hint="eastAsia" w:ascii="仿宋_GB2312" w:hAnsi="仿宋_GB2312" w:eastAsia="仿宋_GB2312" w:cs="仿宋_GB2312"/>
          <w:sz w:val="32"/>
          <w:szCs w:val="32"/>
          <w:lang w:eastAsia="zh-CN"/>
        </w:rPr>
        <w:t>北乡</w:t>
      </w:r>
      <w:r>
        <w:rPr>
          <w:rFonts w:hint="eastAsia" w:ascii="仿宋_GB2312" w:hAnsi="仿宋_GB2312" w:eastAsia="仿宋_GB2312" w:cs="仿宋_GB2312"/>
          <w:sz w:val="32"/>
          <w:szCs w:val="32"/>
        </w:rPr>
        <w:t>镇污水处理厂项目在年排水量不变的情况下，可削减COD排放量53.66t/a,可削减NH3-N排放量5.11 t/a，具有正面的生态环境效益。该排污口的年污染物排放总量为COD 10.22吨，NH3-N 1.28吨。</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四、入河排污口设施建设涉及河道范围内建设项目管理的，应按照河道范围内建设项目管理规定执行。</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五、特殊情况下，项目单位应服从具有管理权限部门依法作出的入河排污限制决定。</w:t>
      </w:r>
    </w:p>
    <w:p>
      <w:pPr>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六、国家、省级层面有新的规定、新标准时，应按新的规定及要求执行。</w:t>
      </w: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rPr>
      </w:pPr>
    </w:p>
    <w:p>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韶关市生态环境局</w:t>
      </w:r>
    </w:p>
    <w:p>
      <w:pPr>
        <w:ind w:firstLine="640" w:firstLineChars="200"/>
        <w:rPr>
          <w:rFonts w:hint="default"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2024年2月20</w:t>
      </w:r>
      <w:bookmarkStart w:id="0" w:name="_GoBack"/>
      <w:bookmarkEnd w:id="0"/>
      <w:r>
        <w:rPr>
          <w:rFonts w:hint="eastAsia" w:ascii="仿宋_GB2312" w:hAnsi="仿宋_GB2312" w:eastAsia="仿宋_GB2312" w:cs="仿宋_GB2312"/>
          <w:sz w:val="32"/>
          <w:szCs w:val="32"/>
          <w:lang w:val="en-US" w:eastAsia="zh-CN"/>
        </w:rPr>
        <w:t>日</w:t>
      </w:r>
    </w:p>
    <w:sectPr>
      <w:pgSz w:w="11906" w:h="16838"/>
      <w:pgMar w:top="2098" w:right="1474" w:bottom="1984"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2"/>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altName w:val="方正舒体"/>
    <w:panose1 w:val="02000000000000000000"/>
    <w:charset w:val="86"/>
    <w:family w:val="auto"/>
    <w:pitch w:val="default"/>
    <w:sig w:usb0="00000000" w:usb1="00000000" w:usb2="00000012" w:usb3="00000000" w:csb0="00040001"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方正舒体">
    <w:panose1 w:val="02010601030101010101"/>
    <w:charset w:val="86"/>
    <w:family w:val="auto"/>
    <w:pitch w:val="default"/>
    <w:sig w:usb0="00000003"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xM2ZmODNlYWJiZjExZmQ1NzBkODAwNDVmNWEzMjkifQ=="/>
  </w:docVars>
  <w:rsids>
    <w:rsidRoot w:val="4DD840B6"/>
    <w:rsid w:val="054A3558"/>
    <w:rsid w:val="0F951E70"/>
    <w:rsid w:val="189B6BED"/>
    <w:rsid w:val="23CA1DF6"/>
    <w:rsid w:val="38757067"/>
    <w:rsid w:val="4DD840B6"/>
    <w:rsid w:val="52B175B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autoRedefine/>
    <w:semiHidden/>
    <w:qFormat/>
    <w:uiPriority w:val="0"/>
  </w:style>
  <w:style w:type="table" w:default="1" w:styleId="2">
    <w:name w:val="Normal Table"/>
    <w:autoRedefin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16</TotalTime>
  <ScaleCrop>false</ScaleCrop>
  <LinksUpToDate>false</LinksUpToDate>
  <CharactersWithSpaces>0</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2023-12-26T01:40:00Z</dcterms:created>
  <dc:creator>*</dc:creator>
  <cp:lastModifiedBy>阿草</cp:lastModifiedBy>
  <dcterms:modified xsi:type="dcterms:W3CDTF">2024-02-20T02:35:14Z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228F079184FA41648E1B5E5FCA1891D3_11</vt:lpwstr>
  </property>
</Properties>
</file>