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08</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佛水资源（乐昌）环保技术有限公司乐昌市坪石镇污水处理厂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坪石</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坪石</w:t>
      </w:r>
      <w:r>
        <w:rPr>
          <w:rFonts w:hint="eastAsia" w:ascii="仿宋_GB2312" w:hAnsi="仿宋_GB2312" w:eastAsia="仿宋_GB2312" w:cs="仿宋_GB2312"/>
          <w:sz w:val="32"/>
          <w:szCs w:val="32"/>
        </w:rPr>
        <w:t>镇污水处理厂入河排污口意见如下：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坪石</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乐昌市坪石镇</w:t>
      </w:r>
      <w:r>
        <w:rPr>
          <w:rFonts w:hint="eastAsia" w:ascii="仿宋_GB2312" w:hAnsi="仿宋_GB2312" w:eastAsia="仿宋_GB2312" w:cs="仿宋_GB2312"/>
          <w:sz w:val="32"/>
          <w:szCs w:val="32"/>
        </w:rPr>
        <w:t>，设置在污水厂东侧的白沙水,排口编号HB-4402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中心地理坐标为E113°02′22.55″，N25°18′3.37″。项目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val="en-US" w:eastAsia="zh-CN"/>
        </w:rPr>
        <w:t>0</w:t>
      </w:r>
      <w:bookmarkStart w:id="0" w:name="_GoBack"/>
      <w:bookmarkEnd w:id="0"/>
      <w:r>
        <w:rPr>
          <w:rFonts w:hint="eastAsia" w:ascii="仿宋_GB2312" w:hAnsi="仿宋_GB2312" w:eastAsia="仿宋_GB2312" w:cs="仿宋_GB2312"/>
          <w:sz w:val="32"/>
          <w:szCs w:val="32"/>
          <w:lang w:val="en-US" w:eastAsia="zh-CN"/>
        </w:rPr>
        <w:t>m³</w:t>
      </w:r>
      <w:r>
        <w:rPr>
          <w:rFonts w:hint="eastAsia" w:ascii="仿宋_GB2312" w:hAnsi="仿宋_GB2312" w:eastAsia="仿宋_GB2312" w:cs="仿宋_GB2312"/>
          <w:sz w:val="32"/>
          <w:szCs w:val="32"/>
        </w:rPr>
        <w:t>/d。排污口类型为生活污水，排放方式为连续排放，入河方式为管道入河方式，废水排放后直接受纳水体为白沙水。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坪石</w:t>
      </w:r>
      <w:r>
        <w:rPr>
          <w:rFonts w:hint="eastAsia" w:ascii="仿宋_GB2312" w:hAnsi="仿宋_GB2312" w:eastAsia="仿宋_GB2312" w:cs="仿宋_GB2312"/>
          <w:sz w:val="32"/>
          <w:szCs w:val="32"/>
        </w:rPr>
        <w:t>镇污水处理厂项目在年排水量不变的情况下，可削减COD排放量766.5t/a,可削减NH3-N排放量73.0t/a，具有正面的生态环境效益。该排污口的年污染物排放总量为COD 146吨，NH3-N 18.25吨。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8ADA9AAE-3AED-49B1-8E65-26F07F0448C0}"/>
  </w:font>
  <w:font w:name="仿宋">
    <w:panose1 w:val="02010609060101010101"/>
    <w:charset w:val="86"/>
    <w:family w:val="auto"/>
    <w:pitch w:val="default"/>
    <w:sig w:usb0="800002BF" w:usb1="38CF7CFA" w:usb2="00000016" w:usb3="00000000" w:csb0="00040001" w:csb1="00000000"/>
    <w:embedRegular r:id="rId2" w:fontKey="{10F45191-0825-44A3-961E-CD11B61096C2}"/>
  </w:font>
  <w:font w:name="仿宋_GB2312">
    <w:altName w:val="仿宋"/>
    <w:panose1 w:val="02010609030101010101"/>
    <w:charset w:val="86"/>
    <w:family w:val="auto"/>
    <w:pitch w:val="default"/>
    <w:sig w:usb0="00000000" w:usb1="00000000" w:usb2="00000000" w:usb3="00000000" w:csb0="00040000" w:csb1="00000000"/>
    <w:embedRegular r:id="rId3" w:fontKey="{939FFC40-0C93-40F4-AFF6-B4112984C00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189B6BED"/>
    <w:rsid w:val="1A4B7CCA"/>
    <w:rsid w:val="1CC876BA"/>
    <w:rsid w:val="23CA1DF6"/>
    <w:rsid w:val="4DD840B6"/>
    <w:rsid w:val="4F080A32"/>
    <w:rsid w:val="55CE54B5"/>
    <w:rsid w:val="5D700646"/>
    <w:rsid w:val="66B62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2024-02-20T06:48:06Z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