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10</w:t>
      </w:r>
      <w:bookmarkStart w:id="0" w:name="_GoBack"/>
      <w:bookmarkEnd w:id="0"/>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佛水资源（乐昌）环保技术有限公司乐昌市沙坪镇污水处理厂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沙坪</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沙坪</w:t>
      </w:r>
      <w:r>
        <w:rPr>
          <w:rFonts w:hint="eastAsia" w:ascii="仿宋_GB2312" w:hAnsi="仿宋_GB2312" w:eastAsia="仿宋_GB2312" w:cs="仿宋_GB2312"/>
          <w:sz w:val="32"/>
          <w:szCs w:val="32"/>
        </w:rPr>
        <w:t>镇污水处理厂入河排污口意见如下：</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沙坪</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乐昌市沙坪镇</w:t>
      </w:r>
      <w:r>
        <w:rPr>
          <w:rFonts w:hint="eastAsia" w:ascii="仿宋_GB2312" w:hAnsi="仿宋_GB2312" w:eastAsia="仿宋_GB2312" w:cs="仿宋_GB2312"/>
          <w:sz w:val="32"/>
          <w:szCs w:val="32"/>
        </w:rPr>
        <w:t>，设置在厂区西北侧辽思水右岸,排口编号HB-4402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-000</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中心地理坐标为E113°01′24.54″，N25°05′54.24″。项目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650m³</w:t>
      </w:r>
      <w:r>
        <w:rPr>
          <w:rFonts w:hint="eastAsia" w:ascii="仿宋_GB2312" w:hAnsi="仿宋_GB2312" w:eastAsia="仿宋_GB2312" w:cs="仿宋_GB2312"/>
          <w:sz w:val="32"/>
          <w:szCs w:val="32"/>
        </w:rPr>
        <w:t>/d。排污口类型为生活污水，排放方式为连续排放，入河方式为管道入河方式，废水排放后直接受纳水体为</w:t>
      </w:r>
      <w:r>
        <w:rPr>
          <w:rFonts w:hint="eastAsia" w:ascii="仿宋_GB2312" w:hAnsi="仿宋_GB2312" w:eastAsia="仿宋_GB2312" w:cs="仿宋_GB2312"/>
          <w:sz w:val="32"/>
          <w:szCs w:val="32"/>
          <w:lang w:eastAsia="zh-CN"/>
        </w:rPr>
        <w:t>辽思水</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三、总量控制。</w:t>
      </w:r>
      <w:r>
        <w:rPr>
          <w:rFonts w:hint="eastAsia" w:ascii="仿宋_GB2312" w:hAnsi="仿宋_GB2312" w:eastAsia="仿宋_GB2312" w:cs="仿宋_GB2312"/>
          <w:sz w:val="32"/>
          <w:szCs w:val="32"/>
          <w:lang w:eastAsia="zh-CN"/>
        </w:rPr>
        <w:t>沙坪</w:t>
      </w:r>
      <w:r>
        <w:rPr>
          <w:rFonts w:hint="eastAsia" w:ascii="仿宋_GB2312" w:hAnsi="仿宋_GB2312" w:eastAsia="仿宋_GB2312" w:cs="仿宋_GB2312"/>
          <w:sz w:val="32"/>
          <w:szCs w:val="32"/>
        </w:rPr>
        <w:t>镇污水处理厂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在年排水量不变的情况下，可削减COD排放量49.82t/a,可削减NH3-N排放量4.75t/a，具有正面的生态环境效益。</w:t>
      </w:r>
      <w:r>
        <w:rPr>
          <w:rFonts w:hint="eastAsia" w:ascii="仿宋_GB2312" w:hAnsi="仿宋_GB2312" w:eastAsia="仿宋_GB2312" w:cs="仿宋_GB2312"/>
          <w:sz w:val="32"/>
          <w:szCs w:val="32"/>
          <w:lang w:eastAsia="zh-CN"/>
        </w:rPr>
        <w:t>该排污口的年污染物排放总量为COD</w:t>
      </w:r>
      <w:r>
        <w:rPr>
          <w:rFonts w:hint="eastAsia" w:ascii="仿宋_GB2312" w:hAnsi="仿宋_GB2312" w:eastAsia="仿宋_GB2312" w:cs="仿宋_GB2312"/>
          <w:sz w:val="32"/>
          <w:szCs w:val="32"/>
          <w:lang w:val="en-US" w:eastAsia="zh-CN"/>
        </w:rPr>
        <w:t xml:space="preserve"> 9.49吨，NH3-N 1.19吨。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3380AE2"/>
    <w:rsid w:val="0A34677E"/>
    <w:rsid w:val="189B6BED"/>
    <w:rsid w:val="1A4B7CCA"/>
    <w:rsid w:val="23CA1DF6"/>
    <w:rsid w:val="3B7F5442"/>
    <w:rsid w:val="3BD378CB"/>
    <w:rsid w:val="3C9D5708"/>
    <w:rsid w:val="438A4930"/>
    <w:rsid w:val="4DD840B6"/>
    <w:rsid w:val="55CE54B5"/>
    <w:rsid w:val="5D700646"/>
    <w:rsid w:val="70DB1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48</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cp:lastPrinted>2024-01-23T07:50:00Z</cp:lastPrinted>
  <dcterms:modified xsi:type="dcterms:W3CDTF">2024-02-20T02:37:08Z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