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right"/>
        <w:textAlignment w:val="auto"/>
        <w:rPr>
          <w:rFonts w:hint="eastAsia" w:ascii="方正小标宋简体" w:hAnsi="方正小标宋简体" w:eastAsia="方正小标宋简体" w:cs="方正小标宋简体"/>
          <w:sz w:val="44"/>
          <w:szCs w:val="44"/>
        </w:rPr>
      </w:pPr>
      <w:r>
        <w:rPr>
          <w:rFonts w:hint="eastAsia" w:ascii="仿宋" w:hAnsi="仿宋" w:eastAsia="仿宋" w:cs="仿宋"/>
          <w:bCs/>
          <w:sz w:val="32"/>
          <w:szCs w:val="32"/>
          <w:lang w:val="en-US" w:eastAsia="zh-CN"/>
        </w:rPr>
        <w:t xml:space="preserve">     韶环</w:t>
      </w:r>
      <w:r>
        <w:rPr>
          <w:rFonts w:hint="eastAsia" w:ascii="仿宋" w:hAnsi="仿宋" w:eastAsia="仿宋" w:cs="仿宋"/>
          <w:bCs/>
          <w:sz w:val="32"/>
          <w:szCs w:val="32"/>
        </w:rPr>
        <w:t>乐审〔202</w:t>
      </w:r>
      <w:r>
        <w:rPr>
          <w:rFonts w:hint="eastAsia" w:ascii="仿宋" w:hAnsi="仿宋" w:eastAsia="仿宋" w:cs="仿宋"/>
          <w:bCs/>
          <w:sz w:val="32"/>
          <w:szCs w:val="32"/>
          <w:lang w:val="en-US" w:eastAsia="zh-CN"/>
        </w:rPr>
        <w:t>4</w:t>
      </w:r>
      <w:r>
        <w:rPr>
          <w:rFonts w:hint="eastAsia" w:ascii="仿宋" w:hAnsi="仿宋" w:eastAsia="仿宋" w:cs="仿宋"/>
          <w:bCs/>
          <w:sz w:val="32"/>
          <w:szCs w:val="32"/>
        </w:rPr>
        <w:t>〕</w:t>
      </w:r>
      <w:r>
        <w:rPr>
          <w:rFonts w:hint="eastAsia" w:ascii="仿宋" w:hAnsi="仿宋" w:eastAsia="仿宋" w:cs="仿宋"/>
          <w:bCs/>
          <w:sz w:val="32"/>
          <w:szCs w:val="32"/>
          <w:lang w:val="en-US" w:eastAsia="zh-CN"/>
        </w:rPr>
        <w:t>18</w:t>
      </w:r>
      <w:r>
        <w:rPr>
          <w:rFonts w:hint="eastAsia" w:ascii="仿宋" w:hAnsi="仿宋" w:eastAsia="仿宋" w:cs="仿宋"/>
          <w:bCs/>
          <w:sz w:val="32"/>
          <w:szCs w:val="32"/>
        </w:rPr>
        <w:t>号</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佛水资源（乐昌）环保技术有限公司乐昌市庆云镇污水处理厂</w:t>
      </w:r>
      <w:r>
        <w:rPr>
          <w:rFonts w:hint="eastAsia" w:ascii="方正小标宋简体" w:hAnsi="方正小标宋简体" w:eastAsia="方正小标宋简体" w:cs="方正小标宋简体"/>
          <w:sz w:val="44"/>
          <w:szCs w:val="44"/>
        </w:rPr>
        <w:t>入河排污口的审批意见</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佛水资源（乐昌）环保技术有限公司：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你单位报送的《乐昌市村镇污水处理设施建设 PPP 项目—乐昌市</w:t>
      </w:r>
      <w:r>
        <w:rPr>
          <w:rFonts w:hint="eastAsia" w:ascii="仿宋_GB2312" w:hAnsi="仿宋_GB2312" w:eastAsia="仿宋_GB2312" w:cs="仿宋_GB2312"/>
          <w:sz w:val="32"/>
          <w:szCs w:val="32"/>
          <w:lang w:eastAsia="zh-CN"/>
        </w:rPr>
        <w:t>庆云</w:t>
      </w:r>
      <w:r>
        <w:rPr>
          <w:rFonts w:hint="eastAsia" w:ascii="仿宋_GB2312" w:hAnsi="仿宋_GB2312" w:eastAsia="仿宋_GB2312" w:cs="仿宋_GB2312"/>
          <w:sz w:val="32"/>
          <w:szCs w:val="32"/>
        </w:rPr>
        <w:t>镇污水处理厂入河排污口设置论证报告》(以下简称《论证报告》)申请及附件等有关材料收悉。现对《论证报告》提及的乐昌市</w:t>
      </w:r>
      <w:r>
        <w:rPr>
          <w:rFonts w:hint="eastAsia" w:ascii="仿宋_GB2312" w:hAnsi="仿宋_GB2312" w:eastAsia="仿宋_GB2312" w:cs="仿宋_GB2312"/>
          <w:sz w:val="32"/>
          <w:szCs w:val="32"/>
          <w:lang w:eastAsia="zh-CN"/>
        </w:rPr>
        <w:t>庆云</w:t>
      </w:r>
      <w:r>
        <w:rPr>
          <w:rFonts w:hint="eastAsia" w:ascii="仿宋_GB2312" w:hAnsi="仿宋_GB2312" w:eastAsia="仿宋_GB2312" w:cs="仿宋_GB2312"/>
          <w:sz w:val="32"/>
          <w:szCs w:val="32"/>
        </w:rPr>
        <w:t>镇污水处理厂入河排污口意见如下：</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一、乐昌市</w:t>
      </w:r>
      <w:r>
        <w:rPr>
          <w:rFonts w:hint="eastAsia" w:ascii="仿宋_GB2312" w:hAnsi="仿宋_GB2312" w:eastAsia="仿宋_GB2312" w:cs="仿宋_GB2312"/>
          <w:sz w:val="32"/>
          <w:szCs w:val="32"/>
          <w:lang w:eastAsia="zh-CN"/>
        </w:rPr>
        <w:t>庆云</w:t>
      </w:r>
      <w:r>
        <w:rPr>
          <w:rFonts w:hint="eastAsia" w:ascii="仿宋_GB2312" w:hAnsi="仿宋_GB2312" w:eastAsia="仿宋_GB2312" w:cs="仿宋_GB2312"/>
          <w:sz w:val="32"/>
          <w:szCs w:val="32"/>
        </w:rPr>
        <w:t>镇污水处理厂入河排污口位于</w:t>
      </w:r>
      <w:r>
        <w:rPr>
          <w:rFonts w:hint="eastAsia" w:ascii="仿宋_GB2312" w:hAnsi="仿宋_GB2312" w:eastAsia="仿宋_GB2312" w:cs="仿宋_GB2312"/>
          <w:sz w:val="32"/>
          <w:szCs w:val="32"/>
          <w:lang w:eastAsia="zh-CN"/>
        </w:rPr>
        <w:t>乐昌市庆云镇</w:t>
      </w:r>
      <w:r>
        <w:rPr>
          <w:rFonts w:hint="eastAsia" w:ascii="仿宋_GB2312" w:hAnsi="仿宋_GB2312" w:eastAsia="仿宋_GB2312" w:cs="仿宋_GB2312"/>
          <w:sz w:val="32"/>
          <w:szCs w:val="32"/>
        </w:rPr>
        <w:t>，设置在厂区南侧丰收水库下游丰收小溪,排口编号HB-4402</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-00</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SH</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中心地理坐标为E113°10′9.84″，N25°23′16.06。项目</w:t>
      </w:r>
      <w:r>
        <w:rPr>
          <w:rFonts w:hint="eastAsia" w:ascii="仿宋_GB2312" w:hAnsi="仿宋_GB2312" w:eastAsia="仿宋_GB2312" w:cs="仿宋_GB2312"/>
          <w:sz w:val="32"/>
          <w:szCs w:val="32"/>
          <w:lang w:eastAsia="zh-CN"/>
        </w:rPr>
        <w:t>废水排放量为</w:t>
      </w:r>
      <w:r>
        <w:rPr>
          <w:rFonts w:hint="eastAsia" w:ascii="仿宋_GB2312" w:hAnsi="仿宋_GB2312" w:eastAsia="仿宋_GB2312" w:cs="仿宋_GB2312"/>
          <w:sz w:val="32"/>
          <w:szCs w:val="32"/>
          <w:lang w:val="en-US" w:eastAsia="zh-CN"/>
        </w:rPr>
        <w:t>350m³</w:t>
      </w:r>
      <w:r>
        <w:rPr>
          <w:rFonts w:hint="eastAsia" w:ascii="仿宋_GB2312" w:hAnsi="仿宋_GB2312" w:eastAsia="仿宋_GB2312" w:cs="仿宋_GB2312"/>
          <w:sz w:val="32"/>
          <w:szCs w:val="32"/>
        </w:rPr>
        <w:t>/d。排污口类型为生活污水，排放方式为连续排放，入河方式为管道入河方式，废水排放后直接受纳水体为</w:t>
      </w:r>
      <w:r>
        <w:rPr>
          <w:rFonts w:hint="eastAsia" w:ascii="仿宋_GB2312" w:hAnsi="仿宋_GB2312" w:eastAsia="仿宋_GB2312" w:cs="仿宋_GB2312"/>
          <w:sz w:val="32"/>
          <w:szCs w:val="32"/>
          <w:lang w:eastAsia="zh-CN"/>
        </w:rPr>
        <w:t>丰收小溪，小水</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二、排污口需按照《入河排污口设置申请书》所列的性质、地点等信息进行设置，落实各项污染防治及环境风险防范措施的前提下，我局原则上同意该入河排污口的设置。项目在运营中重点做好以下工作：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应加强入河排污口日常巡检，采取有效措施确保入河污水稳定达标排放且符合相关排污总量控制要求，严禁超标排放。出水水质执行广东省地方标准《水污染物排放限值》DB44/26-2001）第二时段一级标准和《城镇污水处理厂污染物排放标准》（GB18918-2002）一级A标准中的较严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单位应严格执行入河排污口相关管理制度，确保稳定达标排放。强化环境安全风险管控，制定完善并落实事故环境风险应急预案，防止各类污染事故及事故处理过程中的伴生、次生污染。严格落实相关河道和区域的有关水资源水环境保护措施，确保水生态环境安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(三)项目单位应按规定在入河排污口处设立标识牌并在入河前设置便于监测监管的采样口，安装在线监测装置，加强入河排污计量及水质监测，定期向韶关市生态环境局</w:t>
      </w:r>
      <w:r>
        <w:rPr>
          <w:rFonts w:hint="eastAsia" w:ascii="仿宋_GB2312" w:hAnsi="仿宋_GB2312" w:eastAsia="仿宋_GB2312" w:cs="仿宋_GB2312"/>
          <w:sz w:val="32"/>
          <w:szCs w:val="32"/>
          <w:lang w:eastAsia="zh-CN"/>
        </w:rPr>
        <w:t>乐昌</w:t>
      </w:r>
      <w:r>
        <w:rPr>
          <w:rFonts w:hint="eastAsia" w:ascii="仿宋_GB2312" w:hAnsi="仿宋_GB2312" w:eastAsia="仿宋_GB2312" w:cs="仿宋_GB2312"/>
          <w:sz w:val="32"/>
          <w:szCs w:val="32"/>
        </w:rPr>
        <w:t>分局报送入河排污口水质水量信息，配合有关部门做好入河排污口现场监督检查工作。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(四)该入河排污口扩大设置经批准后，若该入河排污口设置地点、排放方式、排放量或主要污染物发生变化，需重新进行入河排污口设置论证并办理相关审批手续。</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三、总量控制。</w:t>
      </w:r>
      <w:r>
        <w:rPr>
          <w:rFonts w:hint="eastAsia" w:ascii="仿宋_GB2312" w:hAnsi="仿宋_GB2312" w:eastAsia="仿宋_GB2312" w:cs="仿宋_GB2312"/>
          <w:sz w:val="32"/>
          <w:szCs w:val="32"/>
          <w:lang w:eastAsia="zh-CN"/>
        </w:rPr>
        <w:t>庆云</w:t>
      </w:r>
      <w:r>
        <w:rPr>
          <w:rFonts w:hint="eastAsia" w:ascii="仿宋_GB2312" w:hAnsi="仿宋_GB2312" w:eastAsia="仿宋_GB2312" w:cs="仿宋_GB2312"/>
          <w:sz w:val="32"/>
          <w:szCs w:val="32"/>
        </w:rPr>
        <w:t>镇污水处理厂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在年排水量不变的情况下，可削减COD排放量</w:t>
      </w:r>
      <w:r>
        <w:rPr>
          <w:rFonts w:hint="eastAsia" w:ascii="仿宋_GB2312" w:hAnsi="仿宋_GB2312" w:eastAsia="仿宋_GB2312" w:cs="仿宋_GB2312"/>
          <w:sz w:val="32"/>
          <w:szCs w:val="32"/>
          <w:lang w:val="en-US" w:eastAsia="zh-CN"/>
        </w:rPr>
        <w:t>26.83</w:t>
      </w:r>
      <w:r>
        <w:rPr>
          <w:rFonts w:hint="eastAsia" w:ascii="仿宋_GB2312" w:hAnsi="仿宋_GB2312" w:eastAsia="仿宋_GB2312" w:cs="仿宋_GB2312"/>
          <w:sz w:val="32"/>
          <w:szCs w:val="32"/>
        </w:rPr>
        <w:t>t/a,可削减NH3-N排放量</w:t>
      </w:r>
      <w:r>
        <w:rPr>
          <w:rFonts w:hint="eastAsia" w:ascii="仿宋_GB2312" w:hAnsi="仿宋_GB2312" w:eastAsia="仿宋_GB2312" w:cs="仿宋_GB2312"/>
          <w:sz w:val="32"/>
          <w:szCs w:val="32"/>
          <w:lang w:val="en-US" w:eastAsia="zh-CN"/>
        </w:rPr>
        <w:t>2.55</w:t>
      </w:r>
      <w:bookmarkStart w:id="0" w:name="_GoBack"/>
      <w:bookmarkEnd w:id="0"/>
      <w:r>
        <w:rPr>
          <w:rFonts w:hint="eastAsia" w:ascii="仿宋_GB2312" w:hAnsi="仿宋_GB2312" w:eastAsia="仿宋_GB2312" w:cs="仿宋_GB2312"/>
          <w:sz w:val="32"/>
          <w:szCs w:val="32"/>
        </w:rPr>
        <w:t>t/a，具有正面的生态环境效益。</w:t>
      </w:r>
      <w:r>
        <w:rPr>
          <w:rFonts w:hint="eastAsia" w:ascii="仿宋_GB2312" w:hAnsi="仿宋_GB2312" w:eastAsia="仿宋_GB2312" w:cs="仿宋_GB2312"/>
          <w:sz w:val="32"/>
          <w:szCs w:val="32"/>
          <w:lang w:eastAsia="zh-CN"/>
        </w:rPr>
        <w:t>该排污口的年污染物排放总量为COD</w:t>
      </w:r>
      <w:r>
        <w:rPr>
          <w:rFonts w:hint="eastAsia" w:ascii="仿宋_GB2312" w:hAnsi="仿宋_GB2312" w:eastAsia="仿宋_GB2312" w:cs="仿宋_GB2312"/>
          <w:sz w:val="32"/>
          <w:szCs w:val="32"/>
          <w:lang w:val="en-US" w:eastAsia="zh-CN"/>
        </w:rPr>
        <w:t xml:space="preserve"> 5.11吨，NH3-N 0.64吨。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四、入河排污口设施建设涉及河道范围内建设项目管理的，应按照河道范围内建设项目管理规定执行。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五、特殊情况下，项目单位应服从具有管理权限部门依法作出的入河排污限制决定。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六、国家、省级层面有新的规定、新标准时，应按新的规定及要求执行。</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韶关市生态环境局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2024年2月20日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76E6D567-6BBE-42EE-9646-41DDD3DAA140}"/>
  </w:font>
  <w:font w:name="仿宋">
    <w:panose1 w:val="02010609060101010101"/>
    <w:charset w:val="86"/>
    <w:family w:val="auto"/>
    <w:pitch w:val="default"/>
    <w:sig w:usb0="800002BF" w:usb1="38CF7CFA" w:usb2="00000016" w:usb3="00000000" w:csb0="00040001" w:csb1="00000000"/>
    <w:embedRegular r:id="rId2" w:fontKey="{2C7F791D-5BEE-46BB-8368-618304031510}"/>
  </w:font>
  <w:font w:name="仿宋_GB2312">
    <w:altName w:val="仿宋"/>
    <w:panose1 w:val="02010609030101010101"/>
    <w:charset w:val="86"/>
    <w:family w:val="auto"/>
    <w:pitch w:val="default"/>
    <w:sig w:usb0="00000000" w:usb1="00000000" w:usb2="00000000" w:usb3="00000000" w:csb0="00040000" w:csb1="00000000"/>
    <w:embedRegular r:id="rId3" w:fontKey="{D01218DB-A8EC-422C-90E3-C0C2AB3AB1E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xM2ZmODNlYWJiZjExZmQ1NzBkODAwNDVmNWEzMjkifQ=="/>
  </w:docVars>
  <w:rsids>
    <w:rsidRoot w:val="4DD840B6"/>
    <w:rsid w:val="04026B5C"/>
    <w:rsid w:val="0A34677E"/>
    <w:rsid w:val="14AD66A3"/>
    <w:rsid w:val="150369AC"/>
    <w:rsid w:val="189B6BED"/>
    <w:rsid w:val="1A4B7CCA"/>
    <w:rsid w:val="1BAB6EC4"/>
    <w:rsid w:val="1FD71884"/>
    <w:rsid w:val="23CA1DF6"/>
    <w:rsid w:val="258C4EBE"/>
    <w:rsid w:val="2870665F"/>
    <w:rsid w:val="2CB908C4"/>
    <w:rsid w:val="30080CB1"/>
    <w:rsid w:val="32E66AF4"/>
    <w:rsid w:val="36984A37"/>
    <w:rsid w:val="3B7F5442"/>
    <w:rsid w:val="420557CE"/>
    <w:rsid w:val="45C73FC5"/>
    <w:rsid w:val="48DF3AFB"/>
    <w:rsid w:val="4CCC3C6F"/>
    <w:rsid w:val="4DD840B6"/>
    <w:rsid w:val="55CE54B5"/>
    <w:rsid w:val="56EF5ED9"/>
    <w:rsid w:val="5CDA46A1"/>
    <w:rsid w:val="5D700646"/>
    <w:rsid w:val="601D2D07"/>
    <w:rsid w:val="677405A0"/>
    <w:rsid w:val="687752E8"/>
    <w:rsid w:val="6C4E5FF7"/>
    <w:rsid w:val="6FC05BA7"/>
    <w:rsid w:val="70DB1AC2"/>
    <w:rsid w:val="77843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136</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2023-12-26T01:40:00Z</dcterms:created>
  <dc:creator>*</dc:creator>
  <cp:lastModifiedBy>阿草</cp:lastModifiedBy>
  <cp:lastPrinted>2024-02-20T06:39:23Z</cp:lastPrinted>
  <dcterms:modified xsi:type="dcterms:W3CDTF">2024-02-20T06:42:03Z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228F079184FA41648E1B5E5FCA1891D3_11</vt:lpwstr>
  </property>
</Properties>
</file>