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ajorEastAsia" w:hAnsiTheme="majorEastAsia" w:eastAsiaTheme="majorEastAsia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sz w:val="32"/>
          <w:szCs w:val="32"/>
        </w:rPr>
        <w:t>附件3</w:t>
      </w:r>
    </w:p>
    <w:p>
      <w:pPr>
        <w:rPr>
          <w:rFonts w:cs="宋体" w:asciiTheme="majorEastAsia" w:hAnsiTheme="majorEastAsia" w:eastAsiaTheme="majorEastAsia"/>
          <w:sz w:val="28"/>
          <w:szCs w:val="28"/>
        </w:rPr>
      </w:pPr>
    </w:p>
    <w:p>
      <w:pPr>
        <w:spacing w:line="660" w:lineRule="exact"/>
        <w:jc w:val="center"/>
        <w:rPr>
          <w:rFonts w:cs="方正小标宋简体" w:asciiTheme="majorEastAsia" w:hAnsiTheme="majorEastAsia" w:eastAsiaTheme="majorEastAsia"/>
          <w:b w:val="0"/>
          <w:bCs w:val="0"/>
          <w:spacing w:val="-11"/>
          <w:sz w:val="44"/>
          <w:szCs w:val="44"/>
        </w:rPr>
      </w:pPr>
      <w:bookmarkStart w:id="0" w:name="_GoBack"/>
      <w:r>
        <w:rPr>
          <w:rFonts w:hint="eastAsia" w:cs="方正小标宋简体" w:asciiTheme="majorEastAsia" w:hAnsiTheme="majorEastAsia" w:eastAsiaTheme="majorEastAsia"/>
          <w:b w:val="0"/>
          <w:bCs w:val="0"/>
          <w:spacing w:val="-11"/>
          <w:sz w:val="44"/>
          <w:szCs w:val="44"/>
        </w:rPr>
        <w:t>乐昌市中等职业技术学校招生宣传工作要点</w:t>
      </w:r>
      <w:bookmarkEnd w:id="0"/>
    </w:p>
    <w:p>
      <w:pPr>
        <w:spacing w:line="6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1.乐昌市中等职业技术学校是首批家级重点中等职业学校，首批全国健康学校建设单位，广东省高水平中职学校建设单位。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就读乐昌市中等职业技术学校所有县级以下（含县级）农村、城镇户籍学生及地级市以上城市户籍家庭经济困难学生，就读中职三年全免学费。家庭经济困难学生，高一、高二年级还可享受每人每年2000元的国家助学金资助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3.学校实行校企合作办学。就读校企合作办学班级的学生，享受企业资助和奖励政策，并优先安排到该企业工作。目前，校企合作办学的班级有：广东美的集团 “美的机器人班”、惠州“大鸿运智能制造班”。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新高考改革方案为促进中职教育发展赢来了重大机遇，高职院校将部分专科专业办进中职学校;乐昌中职将继续招收“3+证书”高考班和“三二分段”中高职院校衔接高考班，为学生进入全日制本、专科院校深造提供成才平台。2024年，乐昌职校高考成绩显著，531名学生参加“3+证书”高职类高考，85人达到本科院校录取分数线，本科上线率16.01%；436人达到专科院校录取分数线，上线率82.11%；专科以上综合上线率达98.12%。97名学生参加“三二分段”中高职衔接类转段考核，93人顺利通过考核，通过率达96%。他们将进入高等院校深造，实现了大学梦。</w:t>
      </w:r>
    </w:p>
    <w:p>
      <w:pPr>
        <w:spacing w:line="560" w:lineRule="exact"/>
        <w:ind w:left="141" w:leftChars="67"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5.2021年10月，中共中央办公厅 国务院办公厅印发《关于推动现代职业教育高质量发展的意见》中明确提出：“到2025年，职业本科教育招生规模不低于高等职业教育招生规模的10%”，职业教育本科招生人数将会逐年大幅增加。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学校开设专业:汽车电子技术应用、机电技术应用、工业机器人技术应用、电子技术应用、模具制造技术、数控技术应用、会计事务、电子商务、计算机应用、幼儿保育、艺术设计与制作、大数据技术应用等12个主干专业，其中机电技术应用和电子技术应用为省重点建设专业，数控技术应用为省双精准示范专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TAzYWQ4YmQ3Y2E4ZTEzMThhMjkwM2NhY2QyY2YifQ=="/>
  </w:docVars>
  <w:rsids>
    <w:rsidRoot w:val="7E3F6A12"/>
    <w:rsid w:val="7E3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2024-06-03T09:41:00Z</dcterms:created>
  <dc:creator>huangyi</dc:creator>
  <cp:lastModifiedBy>huangyi</cp:lastModifiedBy>
  <dcterms:modified xsi:type="dcterms:W3CDTF">2024-06-03T09:42:22Z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210C143DE67F481AB4A50FFF5CD8FBB8_11</vt:lpwstr>
  </property>
</Properties>
</file>