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D2AF15">
      <w:pPr>
        <w:rPr>
          <w:rFonts w:hint="eastAsia" w:eastAsia="仿宋_GB2312"/>
          <w:sz w:val="36"/>
          <w:szCs w:val="36"/>
        </w:rPr>
      </w:pPr>
    </w:p>
    <w:p w14:paraId="3F7180E1">
      <w:pPr>
        <w:rPr>
          <w:rFonts w:eastAsia="仿宋_GB2312"/>
          <w:sz w:val="36"/>
          <w:szCs w:val="36"/>
        </w:rPr>
      </w:pPr>
    </w:p>
    <w:p w14:paraId="63680F0D">
      <w:pPr>
        <w:rPr>
          <w:rFonts w:eastAsia="仿宋_GB2312"/>
          <w:sz w:val="36"/>
          <w:szCs w:val="36"/>
        </w:rPr>
      </w:pPr>
    </w:p>
    <w:p w14:paraId="609DFDCE">
      <w:pPr>
        <w:pStyle w:val="51"/>
      </w:pPr>
      <w:r>
        <w:t>建设项目环境影响报告表</w:t>
      </w:r>
    </w:p>
    <w:p w14:paraId="6CC7BA79">
      <w:pPr>
        <w:pStyle w:val="52"/>
        <w:rPr>
          <w:rFonts w:ascii="Times New Roman" w:hAnsi="Times New Roman"/>
        </w:rPr>
      </w:pPr>
      <w:r>
        <w:rPr>
          <w:rFonts w:ascii="Times New Roman" w:hAnsi="Times New Roman"/>
        </w:rPr>
        <w:t>（污染影响类）</w:t>
      </w:r>
    </w:p>
    <w:p w14:paraId="2C5C94B3">
      <w:pPr>
        <w:adjustRightInd w:val="0"/>
        <w:snapToGrid w:val="0"/>
        <w:spacing w:line="288" w:lineRule="auto"/>
        <w:ind w:firstLine="880"/>
        <w:jc w:val="center"/>
        <w:outlineLvl w:val="0"/>
        <w:rPr>
          <w:rFonts w:eastAsia="华文仿宋"/>
          <w:color w:val="000000"/>
          <w:kern w:val="44"/>
          <w:sz w:val="44"/>
          <w:szCs w:val="44"/>
        </w:rPr>
      </w:pPr>
    </w:p>
    <w:p w14:paraId="5A5C4AA9">
      <w:pPr>
        <w:ind w:firstLine="1040"/>
        <w:jc w:val="center"/>
        <w:rPr>
          <w:rFonts w:eastAsia="仿宋"/>
          <w:sz w:val="52"/>
          <w:szCs w:val="52"/>
        </w:rPr>
      </w:pPr>
    </w:p>
    <w:p w14:paraId="00DF085B">
      <w:pPr>
        <w:ind w:firstLine="1040"/>
        <w:jc w:val="center"/>
        <w:rPr>
          <w:rFonts w:eastAsia="仿宋"/>
          <w:sz w:val="52"/>
          <w:szCs w:val="52"/>
        </w:rPr>
      </w:pPr>
    </w:p>
    <w:p w14:paraId="04EA4CE7">
      <w:pPr>
        <w:ind w:firstLine="1040"/>
        <w:jc w:val="center"/>
        <w:rPr>
          <w:rFonts w:eastAsia="仿宋"/>
          <w:sz w:val="52"/>
          <w:szCs w:val="52"/>
        </w:rPr>
      </w:pPr>
    </w:p>
    <w:p w14:paraId="1897D3D2">
      <w:pPr>
        <w:pStyle w:val="53"/>
        <w:rPr>
          <w:rFonts w:ascii="Times New Roman" w:hAnsi="Times New Roman" w:cs="Times New Roman"/>
          <w:szCs w:val="36"/>
          <w:u w:val="single"/>
        </w:rPr>
      </w:pPr>
      <w:r>
        <w:rPr>
          <w:rFonts w:ascii="Times New Roman" w:hAnsi="Times New Roman" w:cs="Times New Roman"/>
          <w:szCs w:val="36"/>
        </w:rPr>
        <w:t>项目名称：</w:t>
      </w:r>
      <w:r>
        <w:rPr>
          <w:rFonts w:hint="eastAsia" w:ascii="Times New Roman" w:hAnsi="Times New Roman" w:cs="Times New Roman"/>
          <w:szCs w:val="36"/>
          <w:u w:val="single"/>
        </w:rPr>
        <w:t>乐昌市东穗汽车用品项目（二期）</w:t>
      </w:r>
      <w:r>
        <w:rPr>
          <w:rFonts w:ascii="Times New Roman" w:hAnsi="Times New Roman" w:cs="Times New Roman"/>
          <w:szCs w:val="36"/>
          <w:u w:val="single"/>
        </w:rPr>
        <w:t xml:space="preserve">        </w:t>
      </w:r>
    </w:p>
    <w:p w14:paraId="78E3F4C2">
      <w:pPr>
        <w:pStyle w:val="53"/>
        <w:rPr>
          <w:rFonts w:ascii="Times New Roman" w:hAnsi="Times New Roman" w:cs="Times New Roman"/>
          <w:szCs w:val="36"/>
          <w:u w:val="single"/>
        </w:rPr>
      </w:pPr>
      <w:r>
        <w:rPr>
          <w:rFonts w:ascii="Times New Roman" w:hAnsi="Times New Roman" w:cs="Times New Roman"/>
          <w:szCs w:val="36"/>
        </w:rPr>
        <w:t>建设单位（盖章）：</w:t>
      </w:r>
      <w:r>
        <w:rPr>
          <w:rFonts w:hint="eastAsia" w:ascii="Times New Roman" w:hAnsi="Times New Roman" w:cs="Times New Roman"/>
          <w:szCs w:val="36"/>
          <w:u w:val="single"/>
        </w:rPr>
        <w:t>乐昌市鑫东穗汽车用品有限公司</w:t>
      </w:r>
    </w:p>
    <w:p w14:paraId="67019990">
      <w:pPr>
        <w:pStyle w:val="53"/>
        <w:rPr>
          <w:rFonts w:ascii="Times New Roman" w:hAnsi="Times New Roman" w:cs="Times New Roman"/>
          <w:szCs w:val="36"/>
        </w:rPr>
      </w:pPr>
      <w:r>
        <w:rPr>
          <w:rFonts w:ascii="Times New Roman" w:hAnsi="Times New Roman" w:cs="Times New Roman"/>
          <w:szCs w:val="36"/>
        </w:rPr>
        <w:t>编制日期：</w:t>
      </w:r>
      <w:r>
        <w:rPr>
          <w:rFonts w:ascii="Times New Roman" w:hAnsi="Times New Roman" w:cs="Times New Roman"/>
          <w:szCs w:val="36"/>
          <w:u w:val="single"/>
        </w:rPr>
        <w:t xml:space="preserve">         202</w:t>
      </w:r>
      <w:r>
        <w:rPr>
          <w:rFonts w:hint="eastAsia" w:ascii="Times New Roman" w:hAnsi="Times New Roman" w:cs="Times New Roman"/>
          <w:szCs w:val="36"/>
          <w:u w:val="single"/>
        </w:rPr>
        <w:t>4</w:t>
      </w:r>
      <w:r>
        <w:rPr>
          <w:rFonts w:ascii="Times New Roman" w:hAnsi="Times New Roman" w:cs="Times New Roman"/>
          <w:szCs w:val="36"/>
          <w:u w:val="single"/>
        </w:rPr>
        <w:t>年</w:t>
      </w:r>
      <w:r>
        <w:rPr>
          <w:rFonts w:hint="eastAsia" w:ascii="Times New Roman" w:hAnsi="Times New Roman" w:cs="Times New Roman"/>
          <w:szCs w:val="36"/>
          <w:u w:val="single"/>
        </w:rPr>
        <w:t>6</w:t>
      </w:r>
      <w:r>
        <w:rPr>
          <w:rFonts w:ascii="Times New Roman" w:hAnsi="Times New Roman" w:cs="Times New Roman"/>
          <w:szCs w:val="36"/>
          <w:u w:val="single"/>
        </w:rPr>
        <w:t xml:space="preserve">月              </w:t>
      </w:r>
    </w:p>
    <w:p w14:paraId="6853B93A">
      <w:pPr>
        <w:adjustRightInd w:val="0"/>
        <w:snapToGrid w:val="0"/>
        <w:spacing w:line="288" w:lineRule="auto"/>
        <w:rPr>
          <w:rFonts w:eastAsia="仿宋_GB2312"/>
          <w:sz w:val="36"/>
          <w:szCs w:val="36"/>
          <w:u w:val="single"/>
        </w:rPr>
      </w:pPr>
      <w:bookmarkStart w:id="0" w:name="_Hlk57884087"/>
    </w:p>
    <w:p w14:paraId="0DC94E6D">
      <w:pPr>
        <w:adjustRightInd w:val="0"/>
        <w:snapToGrid w:val="0"/>
        <w:spacing w:line="288" w:lineRule="auto"/>
        <w:rPr>
          <w:rFonts w:eastAsia="仿宋_GB2312"/>
          <w:sz w:val="36"/>
          <w:szCs w:val="36"/>
        </w:rPr>
      </w:pPr>
      <w:r>
        <w:rPr>
          <w:rFonts w:eastAsia="仿宋_GB2312"/>
          <w:sz w:val="36"/>
          <w:szCs w:val="36"/>
        </w:rPr>
        <w:t xml:space="preserve">             </w:t>
      </w:r>
    </w:p>
    <w:p w14:paraId="617E5F13">
      <w:pPr>
        <w:adjustRightInd w:val="0"/>
        <w:snapToGrid w:val="0"/>
        <w:spacing w:line="288" w:lineRule="auto"/>
        <w:rPr>
          <w:rFonts w:eastAsia="仿宋_GB2312"/>
          <w:sz w:val="36"/>
          <w:szCs w:val="36"/>
        </w:rPr>
      </w:pPr>
    </w:p>
    <w:p w14:paraId="49E4FC05">
      <w:pPr>
        <w:adjustRightInd w:val="0"/>
        <w:snapToGrid w:val="0"/>
        <w:spacing w:line="288" w:lineRule="auto"/>
        <w:rPr>
          <w:rFonts w:eastAsia="仿宋_GB2312"/>
          <w:sz w:val="36"/>
          <w:szCs w:val="36"/>
        </w:rPr>
      </w:pPr>
    </w:p>
    <w:p w14:paraId="09DCF0DA">
      <w:pPr>
        <w:adjustRightInd w:val="0"/>
        <w:snapToGrid w:val="0"/>
        <w:spacing w:line="288" w:lineRule="auto"/>
        <w:rPr>
          <w:rFonts w:eastAsia="仿宋_GB2312"/>
          <w:sz w:val="36"/>
          <w:szCs w:val="36"/>
        </w:rPr>
      </w:pPr>
    </w:p>
    <w:bookmarkEnd w:id="0"/>
    <w:p w14:paraId="0E61F9D7">
      <w:pPr>
        <w:pStyle w:val="54"/>
        <w:rPr>
          <w:rFonts w:ascii="Times New Roman" w:hAnsi="Times New Roman"/>
        </w:rPr>
        <w:sectPr>
          <w:headerReference r:id="rId7" w:type="first"/>
          <w:footerReference r:id="rId10" w:type="first"/>
          <w:headerReference r:id="rId5" w:type="default"/>
          <w:footerReference r:id="rId8" w:type="default"/>
          <w:headerReference r:id="rId6" w:type="even"/>
          <w:footerReference r:id="rId9" w:type="even"/>
          <w:pgSz w:w="11906" w:h="16838"/>
          <w:pgMar w:top="1701" w:right="1531" w:bottom="1701" w:left="1531" w:header="851" w:footer="1077" w:gutter="0"/>
          <w:pgNumType w:start="1"/>
          <w:cols w:space="720" w:num="1"/>
          <w:docGrid w:linePitch="312" w:charSpace="0"/>
        </w:sectPr>
      </w:pPr>
      <w:r>
        <w:rPr>
          <w:rFonts w:ascii="Times New Roman" w:hAnsi="Times New Roman"/>
        </w:rPr>
        <w:t>中华人民共和国生态环境部制</w:t>
      </w:r>
    </w:p>
    <w:p w14:paraId="79EF4A15">
      <w:pPr>
        <w:pStyle w:val="5"/>
        <w:ind w:firstLine="0" w:firstLineChars="0"/>
        <w:jc w:val="both"/>
        <w:rPr>
          <w:rFonts w:hint="eastAsia" w:ascii="Times New Roman" w:hAnsi="Times New Roman" w:eastAsia="黑体"/>
          <w:lang w:eastAsia="zh-CN"/>
        </w:rPr>
      </w:pPr>
      <w:r>
        <w:rPr>
          <w:rFonts w:ascii="Times New Roman" w:hAnsi="Times New Roman"/>
        </w:rPr>
        <w:drawing>
          <wp:inline distT="0" distB="0" distL="114300" distR="114300">
            <wp:extent cx="5615305" cy="7945755"/>
            <wp:effectExtent l="0" t="0" r="4445" b="17145"/>
            <wp:docPr id="3" name="图片 3" descr="资质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资质_00"/>
                    <pic:cNvPicPr>
                      <a:picLocks noChangeAspect="1"/>
                    </pic:cNvPicPr>
                  </pic:nvPicPr>
                  <pic:blipFill>
                    <a:blip r:embed="rId16"/>
                    <a:stretch>
                      <a:fillRect/>
                    </a:stretch>
                  </pic:blipFill>
                  <pic:spPr>
                    <a:xfrm>
                      <a:off x="0" y="0"/>
                      <a:ext cx="5615305" cy="7945755"/>
                    </a:xfrm>
                    <a:prstGeom prst="rect">
                      <a:avLst/>
                    </a:prstGeom>
                  </pic:spPr>
                </pic:pic>
              </a:graphicData>
            </a:graphic>
          </wp:inline>
        </w:drawing>
      </w:r>
      <w:r>
        <w:rPr>
          <w:rFonts w:hint="eastAsia" w:ascii="Times New Roman" w:hAnsi="Times New Roman" w:eastAsia="黑体"/>
          <w:lang w:eastAsia="zh-CN"/>
        </w:rPr>
        <w:drawing>
          <wp:inline distT="0" distB="0" distL="114300" distR="114300">
            <wp:extent cx="5615305" cy="7945755"/>
            <wp:effectExtent l="0" t="0" r="4445" b="17145"/>
            <wp:docPr id="18" name="图片 18" descr="资质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资质_01"/>
                    <pic:cNvPicPr>
                      <a:picLocks noChangeAspect="1"/>
                    </pic:cNvPicPr>
                  </pic:nvPicPr>
                  <pic:blipFill>
                    <a:blip r:embed="rId17"/>
                    <a:stretch>
                      <a:fillRect/>
                    </a:stretch>
                  </pic:blipFill>
                  <pic:spPr>
                    <a:xfrm>
                      <a:off x="0" y="0"/>
                      <a:ext cx="5615305" cy="7945755"/>
                    </a:xfrm>
                    <a:prstGeom prst="rect">
                      <a:avLst/>
                    </a:prstGeom>
                  </pic:spPr>
                </pic:pic>
              </a:graphicData>
            </a:graphic>
          </wp:inline>
        </w:drawing>
      </w:r>
    </w:p>
    <w:p w14:paraId="5D53BE21">
      <w:pPr>
        <w:rPr>
          <w:rFonts w:hint="eastAsia" w:ascii="Times New Roman" w:hAnsi="Times New Roman" w:eastAsia="黑体"/>
          <w:lang w:eastAsia="zh-CN"/>
        </w:rPr>
        <w:sectPr>
          <w:footerReference r:id="rId11" w:type="default"/>
          <w:pgSz w:w="11906" w:h="16838"/>
          <w:pgMar w:top="1701" w:right="1531" w:bottom="1701" w:left="1531" w:header="851" w:footer="1077" w:gutter="0"/>
          <w:pgNumType w:start="1"/>
          <w:cols w:space="720" w:num="1"/>
          <w:docGrid w:linePitch="312" w:charSpace="0"/>
        </w:sectPr>
      </w:pPr>
    </w:p>
    <w:p w14:paraId="1E72AB85">
      <w:pPr>
        <w:jc w:val="center"/>
        <w:rPr>
          <w:rFonts w:hint="eastAsia" w:ascii="Times New Roman" w:hAnsi="Times New Roman" w:eastAsia="黑体"/>
          <w:lang w:eastAsia="zh-CN"/>
        </w:rPr>
        <w:sectPr>
          <w:pgSz w:w="16838" w:h="11906" w:orient="landscape"/>
          <w:pgMar w:top="1531" w:right="1701" w:bottom="1531" w:left="1701" w:header="851" w:footer="1077" w:gutter="0"/>
          <w:pgNumType w:start="1"/>
          <w:cols w:space="720" w:num="1"/>
          <w:docGrid w:linePitch="312" w:charSpace="0"/>
        </w:sectPr>
      </w:pPr>
      <w:r>
        <w:rPr>
          <w:rFonts w:hint="eastAsia" w:ascii="Times New Roman" w:hAnsi="Times New Roman" w:eastAsia="黑体"/>
          <w:lang w:eastAsia="zh-CN"/>
        </w:rPr>
        <w:drawing>
          <wp:inline distT="0" distB="0" distL="114300" distR="114300">
            <wp:extent cx="5085080" cy="7195185"/>
            <wp:effectExtent l="0" t="0" r="5715" b="1270"/>
            <wp:docPr id="24" name="图片 24" descr="资质_02.jpg_te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资质_02.jpg_temp"/>
                    <pic:cNvPicPr>
                      <a:picLocks noChangeAspect="1"/>
                    </pic:cNvPicPr>
                  </pic:nvPicPr>
                  <pic:blipFill>
                    <a:blip r:embed="rId18"/>
                    <a:stretch>
                      <a:fillRect/>
                    </a:stretch>
                  </pic:blipFill>
                  <pic:spPr>
                    <a:xfrm rot="5400000">
                      <a:off x="0" y="0"/>
                      <a:ext cx="5085080" cy="7195185"/>
                    </a:xfrm>
                    <a:prstGeom prst="rect">
                      <a:avLst/>
                    </a:prstGeom>
                  </pic:spPr>
                </pic:pic>
              </a:graphicData>
            </a:graphic>
          </wp:inline>
        </w:drawing>
      </w:r>
    </w:p>
    <w:p w14:paraId="176A5833">
      <w:pPr>
        <w:ind w:firstLine="0" w:firstLineChars="0"/>
        <w:rPr>
          <w:rFonts w:hint="eastAsia" w:ascii="Times New Roman" w:hAnsi="Times New Roman" w:eastAsia="黑体"/>
          <w:lang w:eastAsia="zh-CN"/>
        </w:rPr>
        <w:sectPr>
          <w:pgSz w:w="11906" w:h="16838"/>
          <w:pgMar w:top="1701" w:right="1531" w:bottom="1701" w:left="1531" w:header="851" w:footer="1077" w:gutter="0"/>
          <w:pgNumType w:start="1"/>
          <w:cols w:space="720" w:num="1"/>
          <w:docGrid w:linePitch="312" w:charSpace="0"/>
        </w:sectPr>
      </w:pPr>
      <w:r>
        <w:rPr>
          <w:rFonts w:hint="eastAsia" w:ascii="Times New Roman" w:hAnsi="Times New Roman" w:eastAsia="黑体"/>
          <w:lang w:eastAsia="zh-CN"/>
        </w:rPr>
        <w:drawing>
          <wp:inline distT="0" distB="0" distL="114300" distR="114300">
            <wp:extent cx="5615305" cy="7945755"/>
            <wp:effectExtent l="0" t="0" r="4445" b="17145"/>
            <wp:docPr id="25" name="图片 25" descr="资质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资质_03"/>
                    <pic:cNvPicPr>
                      <a:picLocks noChangeAspect="1"/>
                    </pic:cNvPicPr>
                  </pic:nvPicPr>
                  <pic:blipFill>
                    <a:blip r:embed="rId19"/>
                    <a:stretch>
                      <a:fillRect/>
                    </a:stretch>
                  </pic:blipFill>
                  <pic:spPr>
                    <a:xfrm>
                      <a:off x="0" y="0"/>
                      <a:ext cx="5615305" cy="7945755"/>
                    </a:xfrm>
                    <a:prstGeom prst="rect">
                      <a:avLst/>
                    </a:prstGeom>
                  </pic:spPr>
                </pic:pic>
              </a:graphicData>
            </a:graphic>
          </wp:inline>
        </w:drawing>
      </w:r>
      <w:r>
        <w:rPr>
          <w:rFonts w:hint="eastAsia" w:ascii="Times New Roman" w:hAnsi="Times New Roman" w:eastAsia="黑体"/>
          <w:lang w:eastAsia="zh-CN"/>
        </w:rPr>
        <w:drawing>
          <wp:inline distT="0" distB="0" distL="114300" distR="114300">
            <wp:extent cx="5615305" cy="7945755"/>
            <wp:effectExtent l="0" t="0" r="4445" b="17145"/>
            <wp:docPr id="26" name="图片 26" descr="资质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资质_04"/>
                    <pic:cNvPicPr>
                      <a:picLocks noChangeAspect="1"/>
                    </pic:cNvPicPr>
                  </pic:nvPicPr>
                  <pic:blipFill>
                    <a:blip r:embed="rId20"/>
                    <a:stretch>
                      <a:fillRect/>
                    </a:stretch>
                  </pic:blipFill>
                  <pic:spPr>
                    <a:xfrm>
                      <a:off x="0" y="0"/>
                      <a:ext cx="5615305" cy="7945755"/>
                    </a:xfrm>
                    <a:prstGeom prst="rect">
                      <a:avLst/>
                    </a:prstGeom>
                  </pic:spPr>
                </pic:pic>
              </a:graphicData>
            </a:graphic>
          </wp:inline>
        </w:drawing>
      </w:r>
    </w:p>
    <w:p w14:paraId="76C67BAD">
      <w:pPr>
        <w:pStyle w:val="5"/>
        <w:ind w:firstLine="602"/>
        <w:rPr>
          <w:rFonts w:ascii="Times New Roman" w:hAnsi="Times New Roman"/>
        </w:rPr>
      </w:pPr>
      <w:r>
        <w:rPr>
          <w:rFonts w:ascii="Times New Roman" w:hAnsi="Times New Roman"/>
        </w:rPr>
        <w:t>一、建设项目基本情况</w:t>
      </w:r>
    </w:p>
    <w:tbl>
      <w:tblPr>
        <w:tblStyle w:val="23"/>
        <w:tblW w:w="4935"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1105"/>
        <w:gridCol w:w="1818"/>
        <w:gridCol w:w="1203"/>
        <w:gridCol w:w="1322"/>
        <w:gridCol w:w="3307"/>
      </w:tblGrid>
      <w:tr w14:paraId="69C2F1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4532ACEA">
            <w:pPr>
              <w:pStyle w:val="11"/>
              <w:rPr>
                <w:rFonts w:ascii="Times New Roman" w:hAnsi="Times New Roman"/>
                <w:kern w:val="2"/>
              </w:rPr>
            </w:pPr>
            <w:r>
              <w:rPr>
                <w:rFonts w:ascii="Times New Roman" w:hAnsi="Times New Roman"/>
                <w:kern w:val="2"/>
              </w:rPr>
              <w:t>建设项目名称</w:t>
            </w:r>
          </w:p>
        </w:tc>
        <w:tc>
          <w:tcPr>
            <w:tcW w:w="4368" w:type="pct"/>
            <w:gridSpan w:val="4"/>
            <w:vAlign w:val="center"/>
          </w:tcPr>
          <w:p w14:paraId="5C918139">
            <w:pPr>
              <w:pStyle w:val="11"/>
              <w:rPr>
                <w:rFonts w:ascii="Times New Roman" w:hAnsi="Times New Roman"/>
                <w:kern w:val="2"/>
              </w:rPr>
            </w:pPr>
            <w:r>
              <w:rPr>
                <w:rFonts w:ascii="Times New Roman" w:hAnsi="Times New Roman"/>
                <w:kern w:val="2"/>
              </w:rPr>
              <w:t>乐昌市东穗汽车用品项目</w:t>
            </w:r>
            <w:r>
              <w:rPr>
                <w:rFonts w:hint="eastAsia" w:ascii="Times New Roman" w:hAnsi="Times New Roman"/>
                <w:kern w:val="2"/>
              </w:rPr>
              <w:t>（二期）</w:t>
            </w:r>
          </w:p>
        </w:tc>
      </w:tr>
      <w:tr w14:paraId="00FF73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6A138D2E">
            <w:pPr>
              <w:pStyle w:val="11"/>
              <w:rPr>
                <w:rFonts w:ascii="Times New Roman" w:hAnsi="Times New Roman"/>
                <w:kern w:val="2"/>
              </w:rPr>
            </w:pPr>
            <w:r>
              <w:rPr>
                <w:rFonts w:ascii="Times New Roman" w:hAnsi="Times New Roman"/>
                <w:kern w:val="2"/>
              </w:rPr>
              <w:t>项目代码</w:t>
            </w:r>
          </w:p>
        </w:tc>
        <w:tc>
          <w:tcPr>
            <w:tcW w:w="4368" w:type="pct"/>
            <w:gridSpan w:val="4"/>
            <w:vAlign w:val="center"/>
          </w:tcPr>
          <w:p w14:paraId="5E26E1D6">
            <w:pPr>
              <w:pStyle w:val="11"/>
              <w:rPr>
                <w:rFonts w:ascii="Times New Roman" w:hAnsi="Times New Roman"/>
                <w:kern w:val="2"/>
              </w:rPr>
            </w:pPr>
            <w:r>
              <w:rPr>
                <w:rFonts w:ascii="Times New Roman" w:hAnsi="Times New Roman"/>
                <w:kern w:val="2"/>
              </w:rPr>
              <w:t>2018-440281-36-03-838143</w:t>
            </w:r>
          </w:p>
        </w:tc>
      </w:tr>
      <w:tr w14:paraId="05E017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78760385">
            <w:pPr>
              <w:pStyle w:val="11"/>
              <w:rPr>
                <w:rFonts w:ascii="Times New Roman" w:hAnsi="Times New Roman"/>
                <w:kern w:val="2"/>
              </w:rPr>
            </w:pPr>
            <w:r>
              <w:rPr>
                <w:rFonts w:ascii="Times New Roman" w:hAnsi="Times New Roman"/>
                <w:kern w:val="2"/>
              </w:rPr>
              <w:t>建设单位联系人</w:t>
            </w:r>
          </w:p>
        </w:tc>
        <w:tc>
          <w:tcPr>
            <w:tcW w:w="1038" w:type="pct"/>
            <w:vAlign w:val="center"/>
          </w:tcPr>
          <w:p w14:paraId="358B36CD">
            <w:pPr>
              <w:pStyle w:val="11"/>
              <w:rPr>
                <w:rFonts w:hint="eastAsia" w:ascii="Times New Roman" w:hAnsi="Times New Roman" w:eastAsia="宋体"/>
                <w:kern w:val="2"/>
                <w:lang w:eastAsia="zh-CN"/>
              </w:rPr>
            </w:pPr>
            <w:r>
              <w:rPr>
                <w:rFonts w:hint="eastAsia" w:ascii="Times New Roman" w:hAnsi="Times New Roman"/>
                <w:kern w:val="2"/>
                <w:lang w:val="en-US" w:eastAsia="zh-CN"/>
              </w:rPr>
              <w:t>/</w:t>
            </w:r>
          </w:p>
        </w:tc>
        <w:tc>
          <w:tcPr>
            <w:tcW w:w="687" w:type="pct"/>
            <w:vAlign w:val="center"/>
          </w:tcPr>
          <w:p w14:paraId="2314682E">
            <w:pPr>
              <w:pStyle w:val="11"/>
              <w:rPr>
                <w:rFonts w:ascii="Times New Roman" w:hAnsi="Times New Roman"/>
                <w:kern w:val="2"/>
              </w:rPr>
            </w:pPr>
            <w:r>
              <w:rPr>
                <w:rFonts w:ascii="Times New Roman" w:hAnsi="Times New Roman"/>
                <w:kern w:val="2"/>
              </w:rPr>
              <w:t>联系方式</w:t>
            </w:r>
          </w:p>
        </w:tc>
        <w:tc>
          <w:tcPr>
            <w:tcW w:w="2643" w:type="pct"/>
            <w:gridSpan w:val="2"/>
            <w:vAlign w:val="center"/>
          </w:tcPr>
          <w:p w14:paraId="65585983">
            <w:pPr>
              <w:pStyle w:val="11"/>
              <w:rPr>
                <w:rFonts w:hint="eastAsia" w:ascii="Times New Roman" w:hAnsi="Times New Roman" w:eastAsia="宋体"/>
                <w:kern w:val="2"/>
                <w:lang w:eastAsia="zh-CN"/>
              </w:rPr>
            </w:pPr>
            <w:r>
              <w:rPr>
                <w:rFonts w:hint="eastAsia" w:ascii="Times New Roman" w:hAnsi="Times New Roman"/>
                <w:kern w:val="2"/>
                <w:lang w:val="en-US" w:eastAsia="zh-CN"/>
              </w:rPr>
              <w:t>/</w:t>
            </w:r>
          </w:p>
        </w:tc>
      </w:tr>
      <w:tr w14:paraId="339ABA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240D5708">
            <w:pPr>
              <w:pStyle w:val="11"/>
              <w:rPr>
                <w:rFonts w:ascii="Times New Roman" w:hAnsi="Times New Roman"/>
                <w:kern w:val="2"/>
              </w:rPr>
            </w:pPr>
            <w:r>
              <w:rPr>
                <w:rFonts w:ascii="Times New Roman" w:hAnsi="Times New Roman"/>
                <w:kern w:val="2"/>
              </w:rPr>
              <w:t>建设地点</w:t>
            </w:r>
          </w:p>
        </w:tc>
        <w:tc>
          <w:tcPr>
            <w:tcW w:w="4368" w:type="pct"/>
            <w:gridSpan w:val="4"/>
            <w:vAlign w:val="center"/>
          </w:tcPr>
          <w:p w14:paraId="171C1C97">
            <w:pPr>
              <w:pStyle w:val="11"/>
              <w:rPr>
                <w:rFonts w:ascii="Times New Roman" w:hAnsi="Times New Roman"/>
                <w:kern w:val="2"/>
              </w:rPr>
            </w:pPr>
            <w:r>
              <w:rPr>
                <w:rFonts w:ascii="Times New Roman" w:hAnsi="Times New Roman"/>
                <w:kern w:val="2"/>
              </w:rPr>
              <w:t>乐昌市产业转移工业园金岭4路13号</w:t>
            </w:r>
          </w:p>
        </w:tc>
      </w:tr>
      <w:tr w14:paraId="5BDA6B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3E13CD05">
            <w:pPr>
              <w:pStyle w:val="11"/>
              <w:rPr>
                <w:rFonts w:ascii="Times New Roman" w:hAnsi="Times New Roman"/>
                <w:kern w:val="2"/>
              </w:rPr>
            </w:pPr>
            <w:r>
              <w:rPr>
                <w:rFonts w:ascii="Times New Roman" w:hAnsi="Times New Roman"/>
                <w:kern w:val="2"/>
              </w:rPr>
              <w:t>地理坐标</w:t>
            </w:r>
          </w:p>
        </w:tc>
        <w:tc>
          <w:tcPr>
            <w:tcW w:w="4368" w:type="pct"/>
            <w:gridSpan w:val="4"/>
            <w:vAlign w:val="center"/>
          </w:tcPr>
          <w:p w14:paraId="67D068E0">
            <w:pPr>
              <w:pStyle w:val="11"/>
              <w:rPr>
                <w:rFonts w:ascii="Times New Roman" w:hAnsi="Times New Roman"/>
                <w:kern w:val="2"/>
              </w:rPr>
            </w:pPr>
            <w:r>
              <w:rPr>
                <w:rFonts w:ascii="Times New Roman" w:hAnsi="Times New Roman"/>
                <w:kern w:val="2"/>
              </w:rPr>
              <w:t>东经</w:t>
            </w:r>
            <w:r>
              <w:rPr>
                <w:rFonts w:ascii="Times New Roman" w:hAnsi="Times New Roman"/>
                <w:kern w:val="2"/>
                <w:u w:val="single"/>
              </w:rPr>
              <w:t xml:space="preserve"> 113 </w:t>
            </w:r>
            <w:r>
              <w:rPr>
                <w:rFonts w:ascii="Times New Roman" w:hAnsi="Times New Roman"/>
                <w:kern w:val="2"/>
              </w:rPr>
              <w:t>度</w:t>
            </w:r>
            <w:r>
              <w:rPr>
                <w:rFonts w:ascii="Times New Roman" w:hAnsi="Times New Roman"/>
                <w:kern w:val="2"/>
                <w:u w:val="single"/>
              </w:rPr>
              <w:t xml:space="preserve"> 24 </w:t>
            </w:r>
            <w:r>
              <w:rPr>
                <w:rFonts w:ascii="Times New Roman" w:hAnsi="Times New Roman"/>
                <w:kern w:val="2"/>
              </w:rPr>
              <w:t>分</w:t>
            </w:r>
            <w:r>
              <w:rPr>
                <w:rFonts w:ascii="Times New Roman" w:hAnsi="Times New Roman"/>
                <w:kern w:val="2"/>
                <w:u w:val="single"/>
              </w:rPr>
              <w:t xml:space="preserve"> 54.857 </w:t>
            </w:r>
            <w:r>
              <w:rPr>
                <w:rFonts w:ascii="Times New Roman" w:hAnsi="Times New Roman"/>
                <w:kern w:val="2"/>
              </w:rPr>
              <w:t>秒，北纬</w:t>
            </w:r>
            <w:r>
              <w:rPr>
                <w:rFonts w:ascii="Times New Roman" w:hAnsi="Times New Roman"/>
                <w:kern w:val="2"/>
                <w:u w:val="single"/>
              </w:rPr>
              <w:t xml:space="preserve"> 25 </w:t>
            </w:r>
            <w:r>
              <w:rPr>
                <w:rFonts w:ascii="Times New Roman" w:hAnsi="Times New Roman"/>
                <w:kern w:val="2"/>
              </w:rPr>
              <w:t>度</w:t>
            </w:r>
            <w:r>
              <w:rPr>
                <w:rFonts w:ascii="Times New Roman" w:hAnsi="Times New Roman"/>
                <w:kern w:val="2"/>
                <w:u w:val="single"/>
              </w:rPr>
              <w:t xml:space="preserve"> 7 </w:t>
            </w:r>
            <w:r>
              <w:rPr>
                <w:rFonts w:ascii="Times New Roman" w:hAnsi="Times New Roman"/>
                <w:kern w:val="2"/>
              </w:rPr>
              <w:t>分</w:t>
            </w:r>
            <w:r>
              <w:rPr>
                <w:rFonts w:ascii="Times New Roman" w:hAnsi="Times New Roman"/>
                <w:kern w:val="2"/>
                <w:u w:val="single"/>
              </w:rPr>
              <w:t xml:space="preserve"> 46.815 </w:t>
            </w:r>
            <w:r>
              <w:rPr>
                <w:rFonts w:ascii="Times New Roman" w:hAnsi="Times New Roman"/>
                <w:kern w:val="2"/>
              </w:rPr>
              <w:t>秒</w:t>
            </w:r>
          </w:p>
        </w:tc>
      </w:tr>
      <w:tr w14:paraId="2B5860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631" w:type="pct"/>
            <w:tcMar>
              <w:top w:w="16" w:type="dxa"/>
              <w:left w:w="16" w:type="dxa"/>
              <w:right w:w="16" w:type="dxa"/>
            </w:tcMar>
            <w:vAlign w:val="center"/>
          </w:tcPr>
          <w:p w14:paraId="0683501F">
            <w:pPr>
              <w:pStyle w:val="11"/>
              <w:rPr>
                <w:rFonts w:ascii="Times New Roman" w:hAnsi="Times New Roman"/>
                <w:kern w:val="2"/>
              </w:rPr>
            </w:pPr>
            <w:r>
              <w:rPr>
                <w:rFonts w:ascii="Times New Roman" w:hAnsi="Times New Roman"/>
                <w:kern w:val="2"/>
              </w:rPr>
              <w:t>国民经济</w:t>
            </w:r>
          </w:p>
          <w:p w14:paraId="16738008">
            <w:pPr>
              <w:pStyle w:val="11"/>
              <w:rPr>
                <w:rFonts w:ascii="Times New Roman" w:hAnsi="Times New Roman"/>
                <w:kern w:val="2"/>
              </w:rPr>
            </w:pPr>
            <w:r>
              <w:rPr>
                <w:rFonts w:ascii="Times New Roman" w:hAnsi="Times New Roman"/>
                <w:kern w:val="2"/>
              </w:rPr>
              <w:t>行业类别</w:t>
            </w:r>
          </w:p>
        </w:tc>
        <w:tc>
          <w:tcPr>
            <w:tcW w:w="1038" w:type="pct"/>
            <w:vAlign w:val="center"/>
          </w:tcPr>
          <w:p w14:paraId="76A6906B">
            <w:pPr>
              <w:pStyle w:val="11"/>
              <w:rPr>
                <w:rFonts w:ascii="Times New Roman" w:hAnsi="Times New Roman"/>
                <w:kern w:val="2"/>
              </w:rPr>
            </w:pPr>
            <w:r>
              <w:rPr>
                <w:rFonts w:ascii="Times New Roman" w:hAnsi="Times New Roman"/>
                <w:kern w:val="2"/>
              </w:rPr>
              <w:t>C3670汽车零部件及配件制造</w:t>
            </w:r>
          </w:p>
        </w:tc>
        <w:tc>
          <w:tcPr>
            <w:tcW w:w="687" w:type="pct"/>
            <w:vAlign w:val="center"/>
          </w:tcPr>
          <w:p w14:paraId="5369866D">
            <w:pPr>
              <w:pStyle w:val="11"/>
              <w:rPr>
                <w:rFonts w:ascii="Times New Roman" w:hAnsi="Times New Roman"/>
                <w:kern w:val="2"/>
              </w:rPr>
            </w:pPr>
            <w:bookmarkStart w:id="1" w:name="_Hlk49843745"/>
            <w:r>
              <w:rPr>
                <w:rFonts w:ascii="Times New Roman" w:hAnsi="Times New Roman"/>
                <w:kern w:val="2"/>
              </w:rPr>
              <w:t>建设项目</w:t>
            </w:r>
          </w:p>
          <w:p w14:paraId="4655C913">
            <w:pPr>
              <w:pStyle w:val="11"/>
              <w:rPr>
                <w:rFonts w:ascii="Times New Roman" w:hAnsi="Times New Roman"/>
                <w:kern w:val="2"/>
              </w:rPr>
            </w:pPr>
            <w:r>
              <w:rPr>
                <w:rFonts w:ascii="Times New Roman" w:hAnsi="Times New Roman"/>
                <w:kern w:val="2"/>
              </w:rPr>
              <w:t>行业类别</w:t>
            </w:r>
            <w:bookmarkEnd w:id="1"/>
          </w:p>
        </w:tc>
        <w:tc>
          <w:tcPr>
            <w:tcW w:w="2643" w:type="pct"/>
            <w:gridSpan w:val="2"/>
            <w:vAlign w:val="center"/>
          </w:tcPr>
          <w:p w14:paraId="17CA7372">
            <w:pPr>
              <w:widowControl/>
              <w:spacing w:line="240" w:lineRule="atLeast"/>
              <w:ind w:firstLine="0" w:firstLineChars="0"/>
            </w:pPr>
            <w:r>
              <w:t>三十三、汽车制造业-36；汽车零部件及配件制造 367其他（年用非溶剂型低VOCs含</w:t>
            </w:r>
          </w:p>
          <w:p w14:paraId="0290454B">
            <w:pPr>
              <w:widowControl/>
              <w:spacing w:line="240" w:lineRule="atLeast"/>
              <w:ind w:firstLine="0" w:firstLineChars="0"/>
              <w:rPr>
                <w:kern w:val="2"/>
              </w:rPr>
            </w:pPr>
            <w:r>
              <w:t>量涂料10吨以下的除外）</w:t>
            </w:r>
          </w:p>
        </w:tc>
      </w:tr>
      <w:tr w14:paraId="3BC912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663" w:hRule="atLeast"/>
          <w:jc w:val="center"/>
        </w:trPr>
        <w:tc>
          <w:tcPr>
            <w:tcW w:w="631" w:type="pct"/>
            <w:tcMar>
              <w:top w:w="16" w:type="dxa"/>
              <w:left w:w="16" w:type="dxa"/>
              <w:right w:w="16" w:type="dxa"/>
            </w:tcMar>
            <w:vAlign w:val="center"/>
          </w:tcPr>
          <w:p w14:paraId="653750A9">
            <w:pPr>
              <w:pStyle w:val="11"/>
              <w:rPr>
                <w:rFonts w:ascii="Times New Roman" w:hAnsi="Times New Roman"/>
                <w:kern w:val="2"/>
              </w:rPr>
            </w:pPr>
            <w:r>
              <w:rPr>
                <w:rFonts w:ascii="Times New Roman" w:hAnsi="Times New Roman"/>
                <w:kern w:val="2"/>
              </w:rPr>
              <w:t>建设性质</w:t>
            </w:r>
          </w:p>
        </w:tc>
        <w:tc>
          <w:tcPr>
            <w:tcW w:w="1038" w:type="pct"/>
            <w:vAlign w:val="center"/>
          </w:tcPr>
          <w:p w14:paraId="2297B552">
            <w:pPr>
              <w:ind w:firstLine="0" w:firstLineChars="0"/>
            </w:pPr>
            <w:r>
              <w:rPr/>
              <w:sym w:font="Wingdings" w:char="00A8"/>
            </w:r>
            <w:r>
              <w:t>（新建（迁建）</w:t>
            </w:r>
          </w:p>
          <w:p w14:paraId="5ABE728E">
            <w:pPr>
              <w:ind w:firstLine="0" w:firstLineChars="0"/>
            </w:pPr>
            <w:r>
              <w:rPr/>
              <w:sym w:font="Wingdings" w:char="00A8"/>
            </w:r>
            <w:r>
              <w:t>（改建）</w:t>
            </w:r>
          </w:p>
          <w:p w14:paraId="13FDEB51">
            <w:pPr>
              <w:ind w:firstLine="0" w:firstLineChars="0"/>
            </w:pPr>
            <w:r>
              <w:rPr/>
              <w:sym w:font="Wingdings" w:char="00FE"/>
            </w:r>
            <w:r>
              <w:t>（扩建）</w:t>
            </w:r>
          </w:p>
          <w:p w14:paraId="49610E35">
            <w:pPr>
              <w:ind w:firstLine="0" w:firstLineChars="0"/>
            </w:pPr>
            <w:r>
              <w:rPr/>
              <w:sym w:font="Wingdings" w:char="00A8"/>
            </w:r>
            <w:r>
              <w:t>（技术改造）</w:t>
            </w:r>
          </w:p>
        </w:tc>
        <w:tc>
          <w:tcPr>
            <w:tcW w:w="687" w:type="pct"/>
            <w:vAlign w:val="center"/>
          </w:tcPr>
          <w:p w14:paraId="27A31AF5">
            <w:pPr>
              <w:pStyle w:val="11"/>
              <w:rPr>
                <w:rFonts w:ascii="Times New Roman" w:hAnsi="Times New Roman"/>
                <w:kern w:val="2"/>
              </w:rPr>
            </w:pPr>
            <w:r>
              <w:rPr>
                <w:rFonts w:ascii="Times New Roman" w:hAnsi="Times New Roman"/>
                <w:kern w:val="2"/>
              </w:rPr>
              <w:t>建设项目</w:t>
            </w:r>
          </w:p>
          <w:p w14:paraId="0CBF73D5">
            <w:pPr>
              <w:pStyle w:val="11"/>
              <w:rPr>
                <w:rFonts w:ascii="Times New Roman" w:hAnsi="Times New Roman"/>
                <w:kern w:val="2"/>
              </w:rPr>
            </w:pPr>
            <w:r>
              <w:rPr>
                <w:rFonts w:ascii="Times New Roman" w:hAnsi="Times New Roman"/>
                <w:kern w:val="2"/>
              </w:rPr>
              <w:t>申报情形</w:t>
            </w:r>
          </w:p>
        </w:tc>
        <w:tc>
          <w:tcPr>
            <w:tcW w:w="2643" w:type="pct"/>
            <w:gridSpan w:val="2"/>
            <w:vAlign w:val="center"/>
          </w:tcPr>
          <w:p w14:paraId="2EFE7645">
            <w:pPr>
              <w:ind w:firstLine="0" w:firstLineChars="0"/>
            </w:pPr>
            <w:r>
              <w:rPr/>
              <w:sym w:font="Wingdings" w:char="00FE"/>
            </w:r>
            <w:r>
              <w:t xml:space="preserve">（首次申报项目）            </w:t>
            </w:r>
          </w:p>
          <w:p w14:paraId="12013EAB">
            <w:pPr>
              <w:ind w:firstLine="0" w:firstLineChars="0"/>
            </w:pPr>
            <w:r>
              <w:rPr/>
              <w:sym w:font="Wingdings" w:char="00A8"/>
            </w:r>
            <w:r>
              <w:t>（不予批准后再次申报项目）</w:t>
            </w:r>
          </w:p>
          <w:p w14:paraId="6662ADBC">
            <w:pPr>
              <w:ind w:firstLine="0" w:firstLineChars="0"/>
            </w:pPr>
            <w:r>
              <w:rPr/>
              <w:sym w:font="Wingdings" w:char="00A8"/>
            </w:r>
            <w:r>
              <w:t xml:space="preserve">（超五年重新审核项目）    </w:t>
            </w:r>
          </w:p>
          <w:p w14:paraId="21A17F2F">
            <w:pPr>
              <w:ind w:firstLine="0" w:firstLineChars="0"/>
            </w:pPr>
            <w:r>
              <w:rPr>
                <w:rFonts w:eastAsia="仿宋"/>
              </w:rPr>
              <w:sym w:font="Wingdings" w:char="00A8"/>
            </w:r>
            <w:r>
              <w:rPr>
                <w:rFonts w:eastAsia="仿宋"/>
              </w:rPr>
              <w:t>（</w:t>
            </w:r>
            <w:r>
              <w:t>重大变动重新报批项目）</w:t>
            </w:r>
          </w:p>
        </w:tc>
      </w:tr>
      <w:tr w14:paraId="709F8A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631" w:type="pct"/>
            <w:tcMar>
              <w:top w:w="16" w:type="dxa"/>
              <w:left w:w="16" w:type="dxa"/>
              <w:right w:w="16" w:type="dxa"/>
            </w:tcMar>
            <w:vAlign w:val="center"/>
          </w:tcPr>
          <w:p w14:paraId="2982B77D">
            <w:pPr>
              <w:pStyle w:val="11"/>
              <w:rPr>
                <w:rFonts w:ascii="Times New Roman" w:hAnsi="Times New Roman"/>
                <w:kern w:val="2"/>
              </w:rPr>
            </w:pPr>
            <w:r>
              <w:rPr>
                <w:rFonts w:ascii="Times New Roman" w:hAnsi="Times New Roman"/>
                <w:kern w:val="2"/>
              </w:rPr>
              <w:t>项目审批（核准/</w:t>
            </w:r>
          </w:p>
          <w:p w14:paraId="71A98031">
            <w:pPr>
              <w:pStyle w:val="11"/>
              <w:rPr>
                <w:rFonts w:ascii="Times New Roman" w:hAnsi="Times New Roman"/>
                <w:kern w:val="2"/>
              </w:rPr>
            </w:pPr>
            <w:r>
              <w:rPr>
                <w:rFonts w:ascii="Times New Roman" w:hAnsi="Times New Roman"/>
                <w:kern w:val="2"/>
              </w:rPr>
              <w:t>备案）部门（选填）</w:t>
            </w:r>
          </w:p>
        </w:tc>
        <w:tc>
          <w:tcPr>
            <w:tcW w:w="1038" w:type="pct"/>
            <w:vAlign w:val="center"/>
          </w:tcPr>
          <w:p w14:paraId="40009580">
            <w:pPr>
              <w:pStyle w:val="11"/>
              <w:rPr>
                <w:rFonts w:ascii="Times New Roman" w:hAnsi="Times New Roman"/>
                <w:kern w:val="2"/>
              </w:rPr>
            </w:pPr>
            <w:r>
              <w:rPr>
                <w:rFonts w:ascii="Times New Roman" w:hAnsi="Times New Roman"/>
                <w:kern w:val="2"/>
              </w:rPr>
              <w:t>/</w:t>
            </w:r>
          </w:p>
        </w:tc>
        <w:tc>
          <w:tcPr>
            <w:tcW w:w="1442" w:type="pct"/>
            <w:gridSpan w:val="2"/>
            <w:vAlign w:val="center"/>
          </w:tcPr>
          <w:p w14:paraId="1F25A648">
            <w:pPr>
              <w:pStyle w:val="11"/>
              <w:rPr>
                <w:rFonts w:ascii="Times New Roman" w:hAnsi="Times New Roman"/>
                <w:kern w:val="2"/>
              </w:rPr>
            </w:pPr>
            <w:r>
              <w:rPr>
                <w:rFonts w:ascii="Times New Roman" w:hAnsi="Times New Roman"/>
                <w:kern w:val="2"/>
              </w:rPr>
              <w:t>项目审批（核准/</w:t>
            </w:r>
          </w:p>
          <w:p w14:paraId="637F0BFD">
            <w:pPr>
              <w:pStyle w:val="11"/>
              <w:rPr>
                <w:rFonts w:ascii="Times New Roman" w:hAnsi="Times New Roman"/>
                <w:kern w:val="2"/>
              </w:rPr>
            </w:pPr>
            <w:r>
              <w:rPr>
                <w:rFonts w:ascii="Times New Roman" w:hAnsi="Times New Roman"/>
                <w:kern w:val="2"/>
              </w:rPr>
              <w:t>备案）文号（选填）</w:t>
            </w:r>
          </w:p>
        </w:tc>
        <w:tc>
          <w:tcPr>
            <w:tcW w:w="1888" w:type="pct"/>
            <w:vAlign w:val="center"/>
          </w:tcPr>
          <w:p w14:paraId="1906741F">
            <w:pPr>
              <w:pStyle w:val="11"/>
              <w:rPr>
                <w:rFonts w:ascii="Times New Roman" w:hAnsi="Times New Roman"/>
                <w:kern w:val="2"/>
              </w:rPr>
            </w:pPr>
            <w:r>
              <w:rPr>
                <w:rFonts w:ascii="Times New Roman" w:hAnsi="Times New Roman"/>
                <w:kern w:val="2"/>
              </w:rPr>
              <w:t>/</w:t>
            </w:r>
          </w:p>
        </w:tc>
      </w:tr>
      <w:tr w14:paraId="6B741F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78228576">
            <w:pPr>
              <w:pStyle w:val="11"/>
              <w:rPr>
                <w:rFonts w:ascii="Times New Roman" w:hAnsi="Times New Roman"/>
                <w:kern w:val="2"/>
              </w:rPr>
            </w:pPr>
            <w:r>
              <w:rPr>
                <w:rFonts w:ascii="Times New Roman" w:hAnsi="Times New Roman"/>
                <w:kern w:val="2"/>
              </w:rPr>
              <w:t>总投资（万元）</w:t>
            </w:r>
          </w:p>
        </w:tc>
        <w:tc>
          <w:tcPr>
            <w:tcW w:w="1038" w:type="pct"/>
            <w:vAlign w:val="center"/>
          </w:tcPr>
          <w:p w14:paraId="14ADFB45">
            <w:pPr>
              <w:pStyle w:val="11"/>
              <w:rPr>
                <w:rFonts w:ascii="Times New Roman" w:hAnsi="Times New Roman"/>
                <w:kern w:val="2"/>
              </w:rPr>
            </w:pPr>
            <w:r>
              <w:rPr>
                <w:rFonts w:ascii="Times New Roman" w:hAnsi="Times New Roman"/>
                <w:kern w:val="2"/>
              </w:rPr>
              <w:t>3700</w:t>
            </w:r>
          </w:p>
        </w:tc>
        <w:tc>
          <w:tcPr>
            <w:tcW w:w="1442" w:type="pct"/>
            <w:gridSpan w:val="2"/>
            <w:tcMar>
              <w:top w:w="16" w:type="dxa"/>
              <w:left w:w="16" w:type="dxa"/>
              <w:right w:w="16" w:type="dxa"/>
            </w:tcMar>
            <w:vAlign w:val="center"/>
          </w:tcPr>
          <w:p w14:paraId="3054E897">
            <w:pPr>
              <w:pStyle w:val="11"/>
              <w:rPr>
                <w:rFonts w:ascii="Times New Roman" w:hAnsi="Times New Roman"/>
                <w:kern w:val="2"/>
              </w:rPr>
            </w:pPr>
            <w:r>
              <w:rPr>
                <w:rFonts w:ascii="Times New Roman" w:hAnsi="Times New Roman"/>
                <w:kern w:val="2"/>
              </w:rPr>
              <w:t>环保投资（万元）</w:t>
            </w:r>
          </w:p>
        </w:tc>
        <w:tc>
          <w:tcPr>
            <w:tcW w:w="1888" w:type="pct"/>
            <w:vAlign w:val="center"/>
          </w:tcPr>
          <w:p w14:paraId="1914ECFE">
            <w:pPr>
              <w:pStyle w:val="11"/>
              <w:rPr>
                <w:rFonts w:ascii="Times New Roman" w:hAnsi="Times New Roman"/>
                <w:kern w:val="2"/>
              </w:rPr>
            </w:pPr>
            <w:r>
              <w:rPr>
                <w:rFonts w:ascii="Times New Roman" w:hAnsi="Times New Roman"/>
                <w:kern w:val="2"/>
              </w:rPr>
              <w:t>100</w:t>
            </w:r>
          </w:p>
        </w:tc>
      </w:tr>
      <w:tr w14:paraId="46254D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048323A9">
            <w:pPr>
              <w:pStyle w:val="11"/>
              <w:rPr>
                <w:rFonts w:ascii="Times New Roman" w:hAnsi="Times New Roman"/>
                <w:kern w:val="2"/>
              </w:rPr>
            </w:pPr>
            <w:r>
              <w:rPr>
                <w:rFonts w:ascii="Times New Roman" w:hAnsi="Times New Roman"/>
                <w:kern w:val="2"/>
              </w:rPr>
              <w:t>环保投资占比（%）</w:t>
            </w:r>
          </w:p>
        </w:tc>
        <w:tc>
          <w:tcPr>
            <w:tcW w:w="1038" w:type="pct"/>
            <w:vAlign w:val="center"/>
          </w:tcPr>
          <w:p w14:paraId="18EA9712">
            <w:pPr>
              <w:pStyle w:val="11"/>
              <w:rPr>
                <w:rFonts w:ascii="Times New Roman" w:hAnsi="Times New Roman"/>
                <w:kern w:val="2"/>
              </w:rPr>
            </w:pPr>
            <w:r>
              <w:rPr>
                <w:rFonts w:ascii="Times New Roman" w:hAnsi="Times New Roman"/>
                <w:kern w:val="2"/>
              </w:rPr>
              <w:t>2.7</w:t>
            </w:r>
          </w:p>
        </w:tc>
        <w:tc>
          <w:tcPr>
            <w:tcW w:w="1442" w:type="pct"/>
            <w:gridSpan w:val="2"/>
            <w:tcMar>
              <w:top w:w="16" w:type="dxa"/>
              <w:left w:w="16" w:type="dxa"/>
              <w:right w:w="16" w:type="dxa"/>
            </w:tcMar>
            <w:vAlign w:val="center"/>
          </w:tcPr>
          <w:p w14:paraId="04438AC5">
            <w:pPr>
              <w:pStyle w:val="11"/>
              <w:rPr>
                <w:rFonts w:ascii="Times New Roman" w:hAnsi="Times New Roman"/>
                <w:kern w:val="2"/>
              </w:rPr>
            </w:pPr>
            <w:r>
              <w:rPr>
                <w:rFonts w:ascii="Times New Roman" w:hAnsi="Times New Roman"/>
                <w:kern w:val="2"/>
              </w:rPr>
              <w:t>施工工期</w:t>
            </w:r>
          </w:p>
        </w:tc>
        <w:tc>
          <w:tcPr>
            <w:tcW w:w="1888" w:type="pct"/>
            <w:vAlign w:val="center"/>
          </w:tcPr>
          <w:p w14:paraId="598562D9">
            <w:pPr>
              <w:pStyle w:val="11"/>
              <w:rPr>
                <w:rFonts w:ascii="Times New Roman" w:hAnsi="Times New Roman"/>
                <w:kern w:val="2"/>
              </w:rPr>
            </w:pPr>
            <w:r>
              <w:rPr>
                <w:rFonts w:ascii="Times New Roman" w:hAnsi="Times New Roman"/>
                <w:kern w:val="2"/>
              </w:rPr>
              <w:t>6个月</w:t>
            </w:r>
          </w:p>
        </w:tc>
      </w:tr>
      <w:tr w14:paraId="1DAAE3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631" w:type="pct"/>
            <w:tcMar>
              <w:top w:w="16" w:type="dxa"/>
              <w:left w:w="16" w:type="dxa"/>
              <w:right w:w="16" w:type="dxa"/>
            </w:tcMar>
            <w:vAlign w:val="center"/>
          </w:tcPr>
          <w:p w14:paraId="316FAA6D">
            <w:pPr>
              <w:pStyle w:val="11"/>
              <w:rPr>
                <w:rFonts w:ascii="Times New Roman" w:hAnsi="Times New Roman"/>
                <w:kern w:val="2"/>
              </w:rPr>
            </w:pPr>
            <w:r>
              <w:rPr>
                <w:rFonts w:ascii="Times New Roman" w:hAnsi="Times New Roman"/>
                <w:kern w:val="2"/>
              </w:rPr>
              <w:t>是否开工建设</w:t>
            </w:r>
          </w:p>
        </w:tc>
        <w:tc>
          <w:tcPr>
            <w:tcW w:w="1038" w:type="pct"/>
            <w:vAlign w:val="center"/>
          </w:tcPr>
          <w:p w14:paraId="5254C0D1">
            <w:pPr>
              <w:pStyle w:val="11"/>
              <w:jc w:val="left"/>
              <w:rPr>
                <w:rFonts w:ascii="Times New Roman" w:hAnsi="Times New Roman"/>
                <w:kern w:val="2"/>
              </w:rPr>
            </w:pPr>
            <w:r>
              <w:rPr>
                <w:rFonts w:ascii="Times New Roman" w:hAnsi="Times New Roman"/>
                <w:kern w:val="2"/>
              </w:rPr>
              <w:sym w:font="Wingdings" w:char="00FE"/>
            </w:r>
            <w:r>
              <w:rPr>
                <w:rFonts w:ascii="Times New Roman" w:hAnsi="Times New Roman"/>
                <w:kern w:val="2"/>
              </w:rPr>
              <w:t>（否：</w:t>
            </w:r>
          </w:p>
          <w:p w14:paraId="36910D8F">
            <w:pPr>
              <w:pStyle w:val="11"/>
              <w:jc w:val="left"/>
              <w:rPr>
                <w:rFonts w:ascii="Times New Roman" w:hAnsi="Times New Roman"/>
                <w:kern w:val="2"/>
              </w:rPr>
            </w:pPr>
            <w:r>
              <w:rPr>
                <w:rFonts w:ascii="Times New Roman" w:hAnsi="Times New Roman"/>
                <w:kern w:val="2"/>
              </w:rPr>
              <w:sym w:font="Wingdings" w:char="00A8"/>
            </w:r>
            <w:r>
              <w:rPr>
                <w:rFonts w:ascii="Times New Roman" w:hAnsi="Times New Roman"/>
                <w:kern w:val="2"/>
              </w:rPr>
              <w:t>（是：</w:t>
            </w:r>
          </w:p>
        </w:tc>
        <w:tc>
          <w:tcPr>
            <w:tcW w:w="1442" w:type="pct"/>
            <w:gridSpan w:val="2"/>
            <w:tcMar>
              <w:top w:w="16" w:type="dxa"/>
              <w:left w:w="16" w:type="dxa"/>
              <w:right w:w="16" w:type="dxa"/>
            </w:tcMar>
            <w:vAlign w:val="center"/>
          </w:tcPr>
          <w:p w14:paraId="061072E4">
            <w:pPr>
              <w:pStyle w:val="11"/>
              <w:rPr>
                <w:rFonts w:ascii="Times New Roman" w:hAnsi="Times New Roman"/>
                <w:kern w:val="2"/>
              </w:rPr>
            </w:pPr>
            <w:r>
              <w:rPr>
                <w:rFonts w:ascii="Times New Roman" w:hAnsi="Times New Roman"/>
                <w:kern w:val="2"/>
              </w:rPr>
              <w:t>用地（用海）面积（m</w:t>
            </w:r>
            <w:r>
              <w:rPr>
                <w:rFonts w:ascii="Times New Roman" w:hAnsi="Times New Roman"/>
                <w:kern w:val="2"/>
                <w:vertAlign w:val="superscript"/>
              </w:rPr>
              <w:t>2</w:t>
            </w:r>
            <w:r>
              <w:rPr>
                <w:rFonts w:ascii="Times New Roman" w:hAnsi="Times New Roman"/>
                <w:kern w:val="2"/>
              </w:rPr>
              <w:t>）</w:t>
            </w:r>
          </w:p>
        </w:tc>
        <w:tc>
          <w:tcPr>
            <w:tcW w:w="1888" w:type="pct"/>
            <w:vAlign w:val="center"/>
          </w:tcPr>
          <w:p w14:paraId="484AC110">
            <w:pPr>
              <w:pStyle w:val="11"/>
              <w:rPr>
                <w:rFonts w:ascii="Times New Roman" w:hAnsi="Times New Roman"/>
                <w:kern w:val="2"/>
              </w:rPr>
            </w:pPr>
            <w:r>
              <w:rPr>
                <w:rFonts w:hint="eastAsia" w:ascii="Times New Roman" w:hAnsi="Times New Roman"/>
                <w:kern w:val="2"/>
              </w:rPr>
              <w:t>0（扩建项目不新增占地）</w:t>
            </w:r>
          </w:p>
        </w:tc>
      </w:tr>
      <w:tr w14:paraId="1BEB58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631" w:type="pct"/>
            <w:vAlign w:val="center"/>
          </w:tcPr>
          <w:p w14:paraId="16507998">
            <w:pPr>
              <w:pStyle w:val="11"/>
              <w:rPr>
                <w:rFonts w:ascii="Times New Roman" w:hAnsi="Times New Roman"/>
                <w:kern w:val="2"/>
              </w:rPr>
            </w:pPr>
            <w:r>
              <w:rPr>
                <w:rFonts w:ascii="Times New Roman" w:hAnsi="Times New Roman"/>
                <w:kern w:val="2"/>
              </w:rPr>
              <w:t>专项评价设置情况</w:t>
            </w:r>
          </w:p>
        </w:tc>
        <w:tc>
          <w:tcPr>
            <w:tcW w:w="4368" w:type="pct"/>
            <w:gridSpan w:val="4"/>
            <w:vAlign w:val="center"/>
          </w:tcPr>
          <w:p w14:paraId="708BCBCF">
            <w:pPr>
              <w:pStyle w:val="11"/>
              <w:rPr>
                <w:rFonts w:ascii="Times New Roman" w:hAnsi="Times New Roman"/>
                <w:kern w:val="2"/>
              </w:rPr>
            </w:pPr>
            <w:r>
              <w:rPr>
                <w:rFonts w:ascii="Times New Roman" w:hAnsi="Times New Roman"/>
                <w:kern w:val="2"/>
              </w:rPr>
              <w:t>无</w:t>
            </w:r>
          </w:p>
        </w:tc>
      </w:tr>
      <w:tr w14:paraId="3907DA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631" w:type="pct"/>
            <w:vAlign w:val="center"/>
          </w:tcPr>
          <w:p w14:paraId="2ABA0774">
            <w:pPr>
              <w:pStyle w:val="11"/>
              <w:rPr>
                <w:rFonts w:ascii="Times New Roman" w:hAnsi="Times New Roman"/>
                <w:kern w:val="2"/>
              </w:rPr>
            </w:pPr>
            <w:r>
              <w:rPr>
                <w:rFonts w:ascii="Times New Roman" w:hAnsi="Times New Roman"/>
                <w:kern w:val="2"/>
              </w:rPr>
              <w:t>规划情况</w:t>
            </w:r>
          </w:p>
        </w:tc>
        <w:tc>
          <w:tcPr>
            <w:tcW w:w="4368" w:type="pct"/>
            <w:gridSpan w:val="4"/>
            <w:vAlign w:val="center"/>
          </w:tcPr>
          <w:p w14:paraId="0492F257">
            <w:pPr>
              <w:ind w:firstLine="480"/>
            </w:pPr>
            <w:r>
              <w:t>《乐昌产业转移工业园控制性详细规划-城东地块论证报告调整后》，乐昌产业转移工业园管理委员会、广州博厦建筑设计研究院有限公司。</w:t>
            </w:r>
          </w:p>
        </w:tc>
      </w:tr>
      <w:tr w14:paraId="335857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31" w:type="pct"/>
            <w:vAlign w:val="center"/>
          </w:tcPr>
          <w:p w14:paraId="1DAA69BB">
            <w:pPr>
              <w:pStyle w:val="11"/>
              <w:rPr>
                <w:rFonts w:ascii="Times New Roman" w:hAnsi="Times New Roman"/>
                <w:kern w:val="2"/>
              </w:rPr>
            </w:pPr>
            <w:r>
              <w:rPr>
                <w:rFonts w:ascii="Times New Roman" w:hAnsi="Times New Roman"/>
                <w:kern w:val="2"/>
              </w:rPr>
              <w:t>规划环境影响评价情况</w:t>
            </w:r>
          </w:p>
        </w:tc>
        <w:tc>
          <w:tcPr>
            <w:tcW w:w="4368" w:type="pct"/>
            <w:gridSpan w:val="4"/>
            <w:vAlign w:val="center"/>
          </w:tcPr>
          <w:p w14:paraId="6E37B5E0">
            <w:pPr>
              <w:pStyle w:val="11"/>
              <w:spacing w:line="360" w:lineRule="auto"/>
              <w:ind w:firstLine="480" w:firstLineChars="200"/>
              <w:rPr>
                <w:rFonts w:ascii="Times New Roman" w:hAnsi="Times New Roman"/>
                <w:kern w:val="2"/>
              </w:rPr>
            </w:pPr>
            <w:r>
              <w:rPr>
                <w:rFonts w:ascii="Times New Roman" w:hAnsi="Times New Roman"/>
                <w:kern w:val="2"/>
              </w:rPr>
              <w:t>《广东乐昌经济开发区区位调整规划环境影响报告书》，审查单位：</w:t>
            </w:r>
            <w:r>
              <w:rPr>
                <w:rFonts w:hint="eastAsia" w:ascii="Times New Roman" w:hAnsi="Times New Roman"/>
                <w:kern w:val="2"/>
              </w:rPr>
              <w:t>原</w:t>
            </w:r>
            <w:r>
              <w:rPr>
                <w:rFonts w:ascii="Times New Roman" w:hAnsi="Times New Roman"/>
                <w:kern w:val="2"/>
              </w:rPr>
              <w:t>广东省</w:t>
            </w:r>
            <w:r>
              <w:rPr>
                <w:rFonts w:hint="eastAsia" w:ascii="Times New Roman" w:hAnsi="Times New Roman"/>
                <w:kern w:val="2"/>
              </w:rPr>
              <w:t>环境</w:t>
            </w:r>
            <w:r>
              <w:rPr>
                <w:rFonts w:ascii="Times New Roman" w:hAnsi="Times New Roman"/>
                <w:kern w:val="2"/>
              </w:rPr>
              <w:t>保</w:t>
            </w:r>
            <w:r>
              <w:rPr>
                <w:rFonts w:hint="eastAsia" w:ascii="Times New Roman" w:hAnsi="Times New Roman"/>
                <w:kern w:val="2"/>
              </w:rPr>
              <w:t>护</w:t>
            </w:r>
            <w:r>
              <w:rPr>
                <w:rFonts w:ascii="Times New Roman" w:hAnsi="Times New Roman"/>
                <w:kern w:val="2"/>
              </w:rPr>
              <w:t>厅，广东省</w:t>
            </w:r>
            <w:r>
              <w:rPr>
                <w:rFonts w:hint="eastAsia" w:ascii="Times New Roman" w:hAnsi="Times New Roman"/>
                <w:kern w:val="2"/>
              </w:rPr>
              <w:t>环境保护厅</w:t>
            </w:r>
            <w:r>
              <w:rPr>
                <w:rFonts w:ascii="Times New Roman" w:hAnsi="Times New Roman"/>
                <w:kern w:val="2"/>
              </w:rPr>
              <w:t>关于印发《广东乐昌经济开发区位调整规划环境影响报告书审查小组意见》的函（粤环函【2016】186号）。</w:t>
            </w:r>
          </w:p>
        </w:tc>
      </w:tr>
      <w:tr w14:paraId="20B358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631" w:type="pct"/>
            <w:vAlign w:val="center"/>
          </w:tcPr>
          <w:p w14:paraId="718641FB">
            <w:pPr>
              <w:pStyle w:val="11"/>
              <w:rPr>
                <w:rFonts w:ascii="Times New Roman" w:hAnsi="Times New Roman"/>
                <w:kern w:val="2"/>
              </w:rPr>
            </w:pPr>
            <w:r>
              <w:rPr>
                <w:rFonts w:ascii="Times New Roman" w:hAnsi="Times New Roman"/>
                <w:kern w:val="2"/>
              </w:rPr>
              <w:t>规划及规划环境影响评价符合性分析</w:t>
            </w:r>
          </w:p>
        </w:tc>
        <w:tc>
          <w:tcPr>
            <w:tcW w:w="4368" w:type="pct"/>
            <w:gridSpan w:val="4"/>
            <w:vAlign w:val="center"/>
          </w:tcPr>
          <w:p w14:paraId="68BCB04C">
            <w:pPr>
              <w:ind w:firstLine="480"/>
              <w:rPr>
                <w:kern w:val="2"/>
              </w:rPr>
            </w:pPr>
            <w:r>
              <w:rPr>
                <w:kern w:val="2"/>
              </w:rPr>
              <w:t>根据《广东乐昌经济开发区区位调整规划环境影响报告书》及其审查意见，新引入企业不得包括《产业结构调整指导目录》中限制类和淘汰类、《市场准入负面清单》（2020年版）和《广东省国家重点生态功能区产业准入负面清单（试行）》（粤发改规划</w:t>
            </w:r>
            <w:r>
              <w:rPr>
                <w:rFonts w:hint="eastAsia"/>
                <w:kern w:val="2"/>
                <w:lang w:eastAsia="zh-CN"/>
              </w:rPr>
              <w:t>〔</w:t>
            </w:r>
            <w:r>
              <w:rPr>
                <w:rFonts w:hint="eastAsia"/>
                <w:kern w:val="2"/>
              </w:rPr>
              <w:t>2</w:t>
            </w:r>
            <w:r>
              <w:rPr>
                <w:kern w:val="2"/>
              </w:rPr>
              <w:t>017</w:t>
            </w:r>
            <w:r>
              <w:rPr>
                <w:rFonts w:hint="eastAsia"/>
                <w:kern w:val="2"/>
                <w:lang w:eastAsia="zh-CN"/>
              </w:rPr>
              <w:t>〕</w:t>
            </w:r>
            <w:r>
              <w:rPr>
                <w:kern w:val="2"/>
              </w:rPr>
              <w:t>331号）中的禁止准入类。根据规划的主导产业类型和清洁生产要求，重点发展无污染或轻污染、低水耗的产业，严格控制水污染型的企业入园，严禁引入化学制浆、印染、电镀、鞣革、化工、有色、冶炼、发酵酿造和危险废物处置（不含医疗废物处置）、造纸、建材等重污染行业或者生产工序，不得引入新建向河流排放第一类污染物和持久性有机污染物的项目或者生产工序。</w:t>
            </w:r>
          </w:p>
          <w:p w14:paraId="03D619C4">
            <w:pPr>
              <w:ind w:firstLine="480"/>
            </w:pPr>
            <w:r>
              <w:rPr>
                <w:kern w:val="2"/>
              </w:rPr>
              <w:t>本项目满足国家和地方相关产业政策，不排放一类污染物和有毒有害物质，不向河流排放含汞、砷、镉、铬、铅等重金 属污染物和持久性有机污染物，不属于园区禁止项目，符合园区准入条件。</w:t>
            </w:r>
          </w:p>
        </w:tc>
      </w:tr>
      <w:tr w14:paraId="0F782C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631" w:type="pct"/>
            <w:vAlign w:val="center"/>
          </w:tcPr>
          <w:p w14:paraId="6C38DD75">
            <w:pPr>
              <w:pStyle w:val="11"/>
              <w:rPr>
                <w:rFonts w:ascii="Times New Roman" w:hAnsi="Times New Roman"/>
                <w:kern w:val="2"/>
              </w:rPr>
            </w:pPr>
            <w:r>
              <w:rPr>
                <w:rFonts w:ascii="Times New Roman" w:hAnsi="Times New Roman"/>
                <w:kern w:val="2"/>
              </w:rPr>
              <w:t>其他符合性分析</w:t>
            </w:r>
          </w:p>
        </w:tc>
        <w:tc>
          <w:tcPr>
            <w:tcW w:w="4368" w:type="pct"/>
            <w:gridSpan w:val="4"/>
            <w:vAlign w:val="center"/>
          </w:tcPr>
          <w:p w14:paraId="79CFECF6">
            <w:pPr>
              <w:pStyle w:val="12"/>
              <w:ind w:firstLine="482"/>
            </w:pPr>
            <w:r>
              <w:t>1、产业政策相符性分析</w:t>
            </w:r>
          </w:p>
          <w:p w14:paraId="49965070">
            <w:pPr>
              <w:ind w:firstLine="480"/>
            </w:pPr>
            <w:r>
              <w:t>本项目汽车零部件制造生产属于《国民经济行业分类》（GB/T 4754-2017）分类中的 “C3670汽车零部件及配件制造”，根据《产业结构调整指导目录》（2024年本），本项目的产品汽车零部件及配件不属于《产业结构调整指导目录》中的限制类及淘汰类，所使用的设备及生产工艺均不属于淘汰类、限制类项目，为允许类。符合当前国家的产业发展政策。</w:t>
            </w:r>
          </w:p>
          <w:p w14:paraId="79A5AD3C">
            <w:pPr>
              <w:ind w:firstLine="480"/>
            </w:pPr>
            <w:r>
              <w:t>对照《市场准入负面清单（2022年版）》，本项目不属于负面清单中禁止准入事项，亦不属于许可准入事项，属于市场准入负面清单以外的行业，且不涉及与市场准入相关的禁止类规定，因此，本项目可依法进行建设和投产。由此可见，本项目建设符合国家产业政策。</w:t>
            </w:r>
          </w:p>
          <w:p w14:paraId="29933F90">
            <w:pPr>
              <w:pStyle w:val="12"/>
              <w:ind w:firstLine="482"/>
            </w:pPr>
            <w:r>
              <w:t>2、选址合理性分析</w:t>
            </w:r>
          </w:p>
          <w:p w14:paraId="7E91C659">
            <w:pPr>
              <w:ind w:firstLine="480"/>
            </w:pPr>
            <w:r>
              <w:t>本项目位于乐昌市产业转移工业园金岭4路13号，项目用地规划为一类工业用地，详见附图3。广东乐昌经济开发区新引入企业不得包括《产业结构调整指导目录》、《广东省生态发展区产业发展指导目录（2014 年本）》限制类和禁止类行业、工艺设备、产品。根据规划的主导产业类型和清洁生产要求，重点发展机械、 电子、纺织产业，优先引进无污染物或轻污染项目，严禁引入电镀、化学制浆、漂染、鞣革等水污染物排放量大或排放一类水污染物、持久性有机污染物的项目，本项目不属于禁止类及淘汰类，总体符合园区准入条件。</w:t>
            </w:r>
          </w:p>
          <w:p w14:paraId="20C0F12B">
            <w:pPr>
              <w:ind w:firstLine="480"/>
            </w:pPr>
            <w:r>
              <w:t>项目所在区域内供电、供水、道路等相应配套设置齐全，基础条件充足，政策环境优越。项目用地属于工业用地，与用地性质相符。项目厂址外环境关系较为简单，不涉及生活饮用水水源保护区、风景名胜区、自然保护区，无特殊环境敏感点，不在生态红线范围内，无明显环境制约因素。综上所述，评价认为，本项目选址合理可行。</w:t>
            </w:r>
          </w:p>
          <w:p w14:paraId="48ABC237">
            <w:pPr>
              <w:pStyle w:val="12"/>
              <w:ind w:firstLine="482"/>
            </w:pPr>
            <w:r>
              <w:t>3、“三线一单”相符性分析</w:t>
            </w:r>
          </w:p>
          <w:p w14:paraId="2A2175B9">
            <w:pPr>
              <w:ind w:firstLine="480"/>
            </w:pPr>
            <w:r>
              <w:t>根据广东省人民政府《关于印发广东省“三线一单”生态环境分区管控方案的通知》（粤府</w:t>
            </w:r>
            <w:r>
              <w:rPr>
                <w:rFonts w:hint="eastAsia"/>
                <w:lang w:eastAsia="zh-CN"/>
              </w:rPr>
              <w:t>〔</w:t>
            </w:r>
            <w:r>
              <w:t>2020</w:t>
            </w:r>
            <w:r>
              <w:rPr>
                <w:rFonts w:hint="eastAsia"/>
                <w:lang w:eastAsia="zh-CN"/>
              </w:rPr>
              <w:t>〕</w:t>
            </w:r>
            <w:r>
              <w:t>71号）、《韶关市人民政府关于印发韶关市“三线一单”生态环境分区管控方案的通知》（韶府（2021）10号），从区域布局管控、能源资源利用、污染物排放管控和环境风险防控等方面明确准入要求，建立“1+3+N”三级生态环境准入清单体系。“1”为全省总体管控要求，“3”为“一核一带一区”区域管控要求，“N”为1912个陆域环境管控单元和471个海域环境管控单元的管控要求。本项目与“三线一单”相符性分析如下：</w:t>
            </w:r>
          </w:p>
          <w:p w14:paraId="428EFB83">
            <w:pPr>
              <w:pStyle w:val="12"/>
              <w:ind w:firstLine="482"/>
              <w:rPr>
                <w:b w:val="0"/>
              </w:rPr>
            </w:pPr>
            <w:r>
              <w:t>（1）与“一核一带一区”区域管控要求的相符性分析</w:t>
            </w:r>
          </w:p>
          <w:p w14:paraId="01767FB6">
            <w:pPr>
              <w:ind w:firstLine="480"/>
            </w:pPr>
            <w:r>
              <w:t>本项目所在区域为“一核一带一区”中的“一区”，即“北部生态发展区”，坚持生态优先，强化生态系统保护与修复，筑牢北部生态屏障。</w:t>
            </w:r>
          </w:p>
          <w:p w14:paraId="42658034">
            <w:pPr>
              <w:ind w:firstLine="480"/>
            </w:pPr>
            <w:r>
              <w:t>①区域布局管控要求。大力强化生态保护和建设，严格控制开发强度。重点加强南岭山地保护，推进广东南岭国家公园建设，保护生态系统完整性与生物多样性，构建和巩固北部生态屏障。引导工业项目科学布局，新建项目原则上入园管理，推动现有工业项目集中进园。推动绿色钢铁、有色金属、建筑材料等先进材料产业集群向规模化、绿色化、高端化转型发展，打造特色优势产业集群，积极推动中高时延大数据中心项目布局落地。科学布局现代农业产业平台，打造现代农业与食品产业集群。严格控制涉重金属及有毒有害污染物排放的项目建设，新建、改建、扩建涉重金属重点行业的项目应明确重金属污染物总量来源。逐步扩大高污染燃料禁燃区范围。</w:t>
            </w:r>
          </w:p>
          <w:p w14:paraId="64708F6B">
            <w:pPr>
              <w:ind w:firstLine="480"/>
            </w:pPr>
            <w:r>
              <w:t>②能源资源利用要求。进一步优化调整能源结构，鼓励使用天然气及可再生能源。县级及以上城市建成区，禁止新建每小时35蒸吨以下燃煤锅炉。原则上不再新建小水电以及除国家和省规划外的风电项目，对不符合生态环境要求的小水电进行清理整改。严格落实东江、北江、韩江流域等重要控制断面生态流量保障目标。推动矿产资源开发合理布局和节约集约利用，提高矿产资源开发项目准入门槛，严格执行开采总量指标管控，加快淘汰落后采选工艺，提高资源产出率。</w:t>
            </w:r>
          </w:p>
          <w:p w14:paraId="2A1403D3">
            <w:pPr>
              <w:ind w:firstLine="480"/>
            </w:pPr>
            <w:r>
              <w:t>③污染物排放管控要求。在可核查、可监管的基础上，新建项目原则上实施氮氧化物和挥发性有机物等量替代。北江流域严格实行重点重金属污染物减量替代。加快镇级生活污水处理设施及配套管网建设，因地制宜建设农村生活污水处理设施。加强养殖污染防治，推动养殖尾水达标排放或资源化利用。加快推进钢铁、陶瓷、水泥等重点行业提标改造（或“煤改气”改造）。加快矿山改造升级，逐步达到绿色矿山建设要求，凡口铅锌矿及其周边、大宝山矿及其周边等区域严格执行部分重金属水污染物特别排放限值的相关规定。</w:t>
            </w:r>
          </w:p>
          <w:p w14:paraId="42A5D78C">
            <w:pPr>
              <w:ind w:firstLine="480"/>
            </w:pPr>
            <w:r>
              <w:t>④环境风险防控要求。强化流域上游生态保护与水源涵养功能，建立完善突发环境事件应急管理体系，保障饮用水安全。加快落实受污染农用地的安全利用与严格管控措施，防范农产品重金属含量超标风险。加强尾矿库的环境风险排查与防范。加强金属矿采选、金属冶炼企业的重金属污染风险防控。强化选矿废水治理设施的升级改造，选矿废水原则上回用不外排。</w:t>
            </w:r>
          </w:p>
          <w:p w14:paraId="267F4379">
            <w:pPr>
              <w:ind w:firstLine="480"/>
            </w:pPr>
            <w:r>
              <w:t>本项目属于汽车零部件及配件制造生产行业，项目位于广东乐昌经济开发区，符合《广东乐昌经济开发区区位调整规划环境影响报告书》提出的准入要求，不涉及重金属及有毒有害污染物排放，故不涉及重金属排放总量指标，符合区域布局管控要求；项目以市政供电为生产动力，不涉及燃煤锅炉等，符合能源资源利用要求；本项目VOCs实行等量替代，不涉及重金属污染物；生产废水经“混凝沉淀池+砂滤-碳滤”预处理达到广东省地方标准《水污染物排放限值》</w:t>
            </w:r>
            <w:r>
              <w:rPr>
                <w:rFonts w:hint="eastAsia"/>
                <w:lang w:eastAsia="zh-CN"/>
              </w:rPr>
              <w:t>（</w:t>
            </w:r>
            <w:r>
              <w:t>DB44/26-2001</w:t>
            </w:r>
            <w:r>
              <w:rPr>
                <w:rFonts w:hint="eastAsia"/>
                <w:lang w:eastAsia="zh-CN"/>
              </w:rPr>
              <w:t>）</w:t>
            </w:r>
            <w:r>
              <w:t>第二时段三级标准及园区污水处理厂接管水质要求较严值后，通过园区污水管网排入园区污水处理厂进一步处理，符合污染物排放管控要求；项目将采取一系列风险防范措施，建立体系完备的风险管控体系，符合环境风险防控要求。</w:t>
            </w:r>
          </w:p>
          <w:p w14:paraId="74C96EFA">
            <w:pPr>
              <w:pStyle w:val="12"/>
              <w:ind w:firstLine="482"/>
            </w:pPr>
            <w:r>
              <w:t>（2）与《韶关市“三线一单”生态环境分区管控方案》相符性分析</w:t>
            </w:r>
          </w:p>
          <w:p w14:paraId="291B8C6B">
            <w:pPr>
              <w:ind w:firstLine="480"/>
            </w:pPr>
            <w:r>
              <w:t>环境管控单元在执行省“三线一单”生态环境分区管控方案和全市总体准入清单要求的基础上，结合单元特征、环境问题及环境质量目标等，提出差异化的准入清单。根据广东省“三线一单”数据管理及应用平台叠置分析（详见附图</w:t>
            </w:r>
            <w:r>
              <w:rPr>
                <w:rFonts w:hint="eastAsia"/>
              </w:rPr>
              <w:t>10</w:t>
            </w:r>
            <w:r>
              <w:t>），本项目位于乐昌经济开发区，属于“ZH44028120003乐昌经济开发区重点管控单元”管控要求如下：</w:t>
            </w:r>
          </w:p>
        </w:tc>
      </w:tr>
    </w:tbl>
    <w:p w14:paraId="1AC53C3B">
      <w:pPr>
        <w:autoSpaceDE w:val="0"/>
        <w:autoSpaceDN w:val="0"/>
        <w:adjustRightInd w:val="0"/>
        <w:snapToGrid w:val="0"/>
        <w:ind w:firstLine="480"/>
        <w:jc w:val="center"/>
        <w:sectPr>
          <w:footerReference r:id="rId12" w:type="default"/>
          <w:pgSz w:w="11906" w:h="16838"/>
          <w:pgMar w:top="1701" w:right="1531" w:bottom="1701" w:left="1531" w:header="851" w:footer="1077" w:gutter="0"/>
          <w:pgNumType w:start="1"/>
          <w:cols w:space="720" w:num="1"/>
          <w:docGrid w:linePitch="312" w:charSpace="0"/>
        </w:sectPr>
      </w:pPr>
    </w:p>
    <w:tbl>
      <w:tblPr>
        <w:tblStyle w:val="2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8"/>
        <w:gridCol w:w="13174"/>
      </w:tblGrid>
      <w:tr w14:paraId="56F74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4" w:hRule="atLeast"/>
          <w:jc w:val="center"/>
        </w:trPr>
        <w:tc>
          <w:tcPr>
            <w:tcW w:w="175" w:type="pct"/>
            <w:vAlign w:val="center"/>
          </w:tcPr>
          <w:p w14:paraId="321369FD">
            <w:pPr>
              <w:pStyle w:val="11"/>
              <w:rPr>
                <w:rFonts w:ascii="Times New Roman" w:hAnsi="Times New Roman"/>
                <w:kern w:val="2"/>
              </w:rPr>
            </w:pPr>
            <w:r>
              <w:rPr>
                <w:rFonts w:ascii="Times New Roman" w:hAnsi="Times New Roman"/>
                <w:kern w:val="2"/>
              </w:rPr>
              <w:t>其他符合性分析</w:t>
            </w:r>
          </w:p>
        </w:tc>
        <w:tc>
          <w:tcPr>
            <w:tcW w:w="4824" w:type="pct"/>
            <w:vAlign w:val="center"/>
          </w:tcPr>
          <w:p w14:paraId="7C296B2C">
            <w:pPr>
              <w:pStyle w:val="22"/>
              <w:rPr>
                <w:szCs w:val="21"/>
              </w:rPr>
            </w:pPr>
            <w:r>
              <w:rPr>
                <w:szCs w:val="21"/>
              </w:rPr>
              <w:t>表1-2 管控单元要求相符性分析表</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4"/>
              <w:gridCol w:w="6826"/>
              <w:gridCol w:w="4462"/>
              <w:gridCol w:w="751"/>
            </w:tblGrid>
            <w:tr w14:paraId="30456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349" w:type="pct"/>
                  <w:vAlign w:val="center"/>
                </w:tcPr>
                <w:p w14:paraId="1705A344">
                  <w:pPr>
                    <w:pStyle w:val="41"/>
                    <w:rPr>
                      <w:b/>
                      <w:bCs/>
                    </w:rPr>
                  </w:pPr>
                  <w:r>
                    <w:rPr>
                      <w:b/>
                      <w:bCs/>
                    </w:rPr>
                    <w:t>管控维度</w:t>
                  </w:r>
                </w:p>
              </w:tc>
              <w:tc>
                <w:tcPr>
                  <w:tcW w:w="2636" w:type="pct"/>
                  <w:vAlign w:val="center"/>
                </w:tcPr>
                <w:p w14:paraId="5B4149EA">
                  <w:pPr>
                    <w:pStyle w:val="41"/>
                    <w:rPr>
                      <w:b/>
                      <w:bCs/>
                    </w:rPr>
                  </w:pPr>
                  <w:r>
                    <w:rPr>
                      <w:b/>
                      <w:bCs/>
                    </w:rPr>
                    <w:t>管控要求</w:t>
                  </w:r>
                </w:p>
              </w:tc>
              <w:tc>
                <w:tcPr>
                  <w:tcW w:w="1723" w:type="pct"/>
                  <w:vAlign w:val="center"/>
                </w:tcPr>
                <w:p w14:paraId="12DF012F">
                  <w:pPr>
                    <w:pStyle w:val="41"/>
                    <w:rPr>
                      <w:b/>
                      <w:bCs/>
                    </w:rPr>
                  </w:pPr>
                  <w:r>
                    <w:rPr>
                      <w:b/>
                      <w:bCs/>
                    </w:rPr>
                    <w:t>本项目情况</w:t>
                  </w:r>
                </w:p>
              </w:tc>
              <w:tc>
                <w:tcPr>
                  <w:tcW w:w="290" w:type="pct"/>
                  <w:vAlign w:val="center"/>
                </w:tcPr>
                <w:p w14:paraId="1BA08C46">
                  <w:pPr>
                    <w:pStyle w:val="41"/>
                    <w:rPr>
                      <w:b/>
                      <w:bCs/>
                    </w:rPr>
                  </w:pPr>
                  <w:r>
                    <w:rPr>
                      <w:b/>
                      <w:bCs/>
                    </w:rPr>
                    <w:t>相符性</w:t>
                  </w:r>
                </w:p>
              </w:tc>
            </w:tr>
            <w:tr w14:paraId="5592F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restart"/>
                  <w:vAlign w:val="center"/>
                </w:tcPr>
                <w:p w14:paraId="758BECAC">
                  <w:pPr>
                    <w:pStyle w:val="41"/>
                  </w:pPr>
                  <w:r>
                    <w:t>区域布局管控</w:t>
                  </w:r>
                </w:p>
              </w:tc>
              <w:tc>
                <w:tcPr>
                  <w:tcW w:w="2636" w:type="pct"/>
                  <w:vAlign w:val="center"/>
                </w:tcPr>
                <w:p w14:paraId="38061A59">
                  <w:pPr>
                    <w:pStyle w:val="41"/>
                  </w:pPr>
                  <w:r>
                    <w:t>1-1【产业/鼓励引导类】</w:t>
                  </w:r>
                  <w:r>
                    <w:rPr>
                      <w:rFonts w:hint="eastAsia"/>
                    </w:rPr>
                    <w:t>重点发展现代轻工产业（消费电子等）、先进装备制造业等产业，优先引进无污染物或轻污染项目。</w:t>
                  </w:r>
                </w:p>
              </w:tc>
              <w:tc>
                <w:tcPr>
                  <w:tcW w:w="1723" w:type="pct"/>
                  <w:vMerge w:val="restart"/>
                  <w:vAlign w:val="center"/>
                </w:tcPr>
                <w:p w14:paraId="10A0092B">
                  <w:pPr>
                    <w:pStyle w:val="41"/>
                  </w:pPr>
                  <w:r>
                    <w:t>本项目属于</w:t>
                  </w:r>
                  <w:r>
                    <w:rPr>
                      <w:rFonts w:hint="eastAsia"/>
                    </w:rPr>
                    <w:t>汽车零部件及配件制造</w:t>
                  </w:r>
                  <w:r>
                    <w:t>生产项目，</w:t>
                  </w:r>
                  <w:r>
                    <w:rPr>
                      <w:rFonts w:hint="eastAsia"/>
                    </w:rPr>
                    <w:t>不涉及电镀、化学制浆、鞣革等水污染物排放量大或排放一类污染物、持久性有机污染物的项目；项目符合园区发展定位；周边无居民区、学校等敏感点。</w:t>
                  </w:r>
                </w:p>
              </w:tc>
              <w:tc>
                <w:tcPr>
                  <w:tcW w:w="290" w:type="pct"/>
                  <w:vAlign w:val="center"/>
                </w:tcPr>
                <w:p w14:paraId="2B627FB7">
                  <w:pPr>
                    <w:pStyle w:val="41"/>
                  </w:pPr>
                  <w:r>
                    <w:t>相符</w:t>
                  </w:r>
                </w:p>
              </w:tc>
            </w:tr>
            <w:tr w14:paraId="1ACDA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728A6FAD">
                  <w:pPr>
                    <w:pStyle w:val="41"/>
                  </w:pPr>
                </w:p>
              </w:tc>
              <w:tc>
                <w:tcPr>
                  <w:tcW w:w="2636" w:type="pct"/>
                  <w:vAlign w:val="center"/>
                </w:tcPr>
                <w:p w14:paraId="206281C5">
                  <w:pPr>
                    <w:pStyle w:val="41"/>
                  </w:pPr>
                  <w:r>
                    <w:t>1-2</w:t>
                  </w:r>
                  <w:r>
                    <w:rPr>
                      <w:rFonts w:hint="eastAsia"/>
                    </w:rPr>
                    <w:t>【产业/禁止类】园区禁止引入专业电镀、化学制浆、鞣革等水污染物排放量大或排放一类污染物、持久性有机污染物的项目</w:t>
                  </w:r>
                  <w:r>
                    <w:t>。</w:t>
                  </w:r>
                </w:p>
              </w:tc>
              <w:tc>
                <w:tcPr>
                  <w:tcW w:w="1723" w:type="pct"/>
                  <w:vMerge w:val="continue"/>
                  <w:vAlign w:val="center"/>
                </w:tcPr>
                <w:p w14:paraId="4646DAA1">
                  <w:pPr>
                    <w:pStyle w:val="41"/>
                  </w:pPr>
                </w:p>
              </w:tc>
              <w:tc>
                <w:tcPr>
                  <w:tcW w:w="290" w:type="pct"/>
                  <w:vAlign w:val="center"/>
                </w:tcPr>
                <w:p w14:paraId="6EB78C37">
                  <w:pPr>
                    <w:pStyle w:val="41"/>
                  </w:pPr>
                  <w:r>
                    <w:t>相符</w:t>
                  </w:r>
                </w:p>
              </w:tc>
            </w:tr>
            <w:tr w14:paraId="560A9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77E34798">
                  <w:pPr>
                    <w:pStyle w:val="41"/>
                  </w:pPr>
                </w:p>
              </w:tc>
              <w:tc>
                <w:tcPr>
                  <w:tcW w:w="2636" w:type="pct"/>
                  <w:vAlign w:val="center"/>
                </w:tcPr>
                <w:p w14:paraId="577C7D43">
                  <w:pPr>
                    <w:pStyle w:val="41"/>
                  </w:pPr>
                  <w:r>
                    <w:t>1-3</w:t>
                  </w:r>
                  <w:r>
                    <w:rPr>
                      <w:rFonts w:hint="eastAsia"/>
                    </w:rPr>
                    <w:t>【产业/限制类】严格限制不符合园区发展定位的项目入驻</w:t>
                  </w:r>
                  <w:r>
                    <w:t>。</w:t>
                  </w:r>
                </w:p>
              </w:tc>
              <w:tc>
                <w:tcPr>
                  <w:tcW w:w="1723" w:type="pct"/>
                  <w:vMerge w:val="continue"/>
                  <w:vAlign w:val="center"/>
                </w:tcPr>
                <w:p w14:paraId="02366400">
                  <w:pPr>
                    <w:pStyle w:val="41"/>
                  </w:pPr>
                </w:p>
              </w:tc>
              <w:tc>
                <w:tcPr>
                  <w:tcW w:w="290" w:type="pct"/>
                  <w:vAlign w:val="center"/>
                </w:tcPr>
                <w:p w14:paraId="4B3F1C43">
                  <w:pPr>
                    <w:pStyle w:val="41"/>
                  </w:pPr>
                  <w:r>
                    <w:t>相符</w:t>
                  </w:r>
                </w:p>
              </w:tc>
            </w:tr>
            <w:tr w14:paraId="1824A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55DD0791">
                  <w:pPr>
                    <w:pStyle w:val="41"/>
                  </w:pPr>
                </w:p>
              </w:tc>
              <w:tc>
                <w:tcPr>
                  <w:tcW w:w="2636" w:type="pct"/>
                  <w:vAlign w:val="center"/>
                </w:tcPr>
                <w:p w14:paraId="394744BC">
                  <w:pPr>
                    <w:pStyle w:val="41"/>
                  </w:pPr>
                  <w:r>
                    <w:t>1-4</w:t>
                  </w:r>
                  <w:r>
                    <w:rPr>
                      <w:rFonts w:hint="eastAsia"/>
                    </w:rPr>
                    <w:t>【大气/综合类】居民区、学校等环境敏感点邻近地块优先布局废气排放量小、工业噪声影响小的产业</w:t>
                  </w:r>
                  <w:r>
                    <w:t>。</w:t>
                  </w:r>
                </w:p>
              </w:tc>
              <w:tc>
                <w:tcPr>
                  <w:tcW w:w="1723" w:type="pct"/>
                  <w:vMerge w:val="continue"/>
                  <w:vAlign w:val="center"/>
                </w:tcPr>
                <w:p w14:paraId="0B0D4F99">
                  <w:pPr>
                    <w:pStyle w:val="41"/>
                  </w:pPr>
                </w:p>
              </w:tc>
              <w:tc>
                <w:tcPr>
                  <w:tcW w:w="290" w:type="pct"/>
                  <w:vAlign w:val="center"/>
                </w:tcPr>
                <w:p w14:paraId="4E33CCD5">
                  <w:pPr>
                    <w:pStyle w:val="41"/>
                  </w:pPr>
                  <w:r>
                    <w:t>相符</w:t>
                  </w:r>
                </w:p>
              </w:tc>
            </w:tr>
            <w:tr w14:paraId="423A9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restart"/>
                  <w:vAlign w:val="center"/>
                </w:tcPr>
                <w:p w14:paraId="00FF43A6">
                  <w:pPr>
                    <w:pStyle w:val="41"/>
                  </w:pPr>
                  <w:r>
                    <w:t>能源资源利用</w:t>
                  </w:r>
                </w:p>
              </w:tc>
              <w:tc>
                <w:tcPr>
                  <w:tcW w:w="2636" w:type="pct"/>
                  <w:vAlign w:val="center"/>
                </w:tcPr>
                <w:p w14:paraId="023FBDAA">
                  <w:pPr>
                    <w:pStyle w:val="41"/>
                  </w:pPr>
                  <w:r>
                    <w:t>2-1【能源/鼓励引导类】</w:t>
                  </w:r>
                  <w:r>
                    <w:rPr>
                      <w:rFonts w:hint="eastAsia"/>
                    </w:rPr>
                    <w:t>园区内能源结构应以电能、燃气等清洁能源为主</w:t>
                  </w:r>
                  <w:r>
                    <w:t>。</w:t>
                  </w:r>
                </w:p>
              </w:tc>
              <w:tc>
                <w:tcPr>
                  <w:tcW w:w="1723" w:type="pct"/>
                  <w:vAlign w:val="center"/>
                </w:tcPr>
                <w:p w14:paraId="36FD87B5">
                  <w:pPr>
                    <w:pStyle w:val="41"/>
                  </w:pPr>
                  <w:r>
                    <w:rPr>
                      <w:rFonts w:hint="eastAsia" w:ascii="Calibri" w:hAnsi="Calibri" w:cs="Calibri"/>
                    </w:rPr>
                    <w:t>本项目主要以电能、液化石油气作为生产能源。</w:t>
                  </w:r>
                </w:p>
              </w:tc>
              <w:tc>
                <w:tcPr>
                  <w:tcW w:w="290" w:type="pct"/>
                  <w:vAlign w:val="center"/>
                </w:tcPr>
                <w:p w14:paraId="545F4E23">
                  <w:pPr>
                    <w:pStyle w:val="41"/>
                  </w:pPr>
                  <w:r>
                    <w:t>相符</w:t>
                  </w:r>
                </w:p>
              </w:tc>
            </w:tr>
            <w:tr w14:paraId="47E60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69F28558">
                  <w:pPr>
                    <w:pStyle w:val="41"/>
                  </w:pPr>
                </w:p>
              </w:tc>
              <w:tc>
                <w:tcPr>
                  <w:tcW w:w="2636" w:type="pct"/>
                  <w:vAlign w:val="center"/>
                </w:tcPr>
                <w:p w14:paraId="66CF3173">
                  <w:pPr>
                    <w:pStyle w:val="41"/>
                  </w:pPr>
                  <w:r>
                    <w:t>2-2</w:t>
                  </w:r>
                  <w:r>
                    <w:rPr>
                      <w:rFonts w:hint="eastAsia"/>
                    </w:rPr>
                    <w:t>【水资源/综合类】提高园区水资源利用效率，加快中水回用系统建设</w:t>
                  </w:r>
                  <w:r>
                    <w:t>。</w:t>
                  </w:r>
                </w:p>
              </w:tc>
              <w:tc>
                <w:tcPr>
                  <w:tcW w:w="1723" w:type="pct"/>
                  <w:vAlign w:val="center"/>
                </w:tcPr>
                <w:p w14:paraId="5C275AED">
                  <w:pPr>
                    <w:pStyle w:val="41"/>
                  </w:pPr>
                  <w:r>
                    <w:rPr>
                      <w:rFonts w:hint="eastAsia"/>
                    </w:rPr>
                    <w:t>本项目不涉及园区污水处理站中水回用系统。</w:t>
                  </w:r>
                </w:p>
              </w:tc>
              <w:tc>
                <w:tcPr>
                  <w:tcW w:w="290" w:type="pct"/>
                  <w:vAlign w:val="center"/>
                </w:tcPr>
                <w:p w14:paraId="6675E635">
                  <w:pPr>
                    <w:pStyle w:val="41"/>
                  </w:pPr>
                  <w:r>
                    <w:t>相符</w:t>
                  </w:r>
                </w:p>
              </w:tc>
            </w:tr>
            <w:tr w14:paraId="1B70D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4A9C8959">
                  <w:pPr>
                    <w:pStyle w:val="41"/>
                  </w:pPr>
                </w:p>
              </w:tc>
              <w:tc>
                <w:tcPr>
                  <w:tcW w:w="2636" w:type="pct"/>
                  <w:vAlign w:val="center"/>
                </w:tcPr>
                <w:p w14:paraId="3B4026FF">
                  <w:pPr>
                    <w:pStyle w:val="41"/>
                  </w:pPr>
                  <w:r>
                    <w:t>2-</w:t>
                  </w:r>
                  <w:r>
                    <w:rPr>
                      <w:rFonts w:hint="eastAsia"/>
                    </w:rPr>
                    <w:t>3【其他/综合类】有行业清洁生产标准的新引进项目清洁生产水平须达到本行业国内先进水平</w:t>
                  </w:r>
                  <w:r>
                    <w:t>。</w:t>
                  </w:r>
                </w:p>
              </w:tc>
              <w:tc>
                <w:tcPr>
                  <w:tcW w:w="1723" w:type="pct"/>
                  <w:vAlign w:val="center"/>
                </w:tcPr>
                <w:p w14:paraId="0DA0D78B">
                  <w:pPr>
                    <w:pStyle w:val="41"/>
                  </w:pPr>
                  <w:r>
                    <w:rPr>
                      <w:rFonts w:hint="eastAsia"/>
                    </w:rPr>
                    <w:t>本项目所属行业无清洁生产标准。</w:t>
                  </w:r>
                </w:p>
              </w:tc>
              <w:tc>
                <w:tcPr>
                  <w:tcW w:w="290" w:type="pct"/>
                  <w:vAlign w:val="center"/>
                </w:tcPr>
                <w:p w14:paraId="3938528A">
                  <w:pPr>
                    <w:pStyle w:val="41"/>
                  </w:pPr>
                  <w:r>
                    <w:rPr>
                      <w:rFonts w:hint="eastAsia"/>
                    </w:rPr>
                    <w:t>无关项</w:t>
                  </w:r>
                </w:p>
              </w:tc>
            </w:tr>
            <w:tr w14:paraId="5669E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restart"/>
                  <w:vAlign w:val="center"/>
                </w:tcPr>
                <w:p w14:paraId="2F3ED368">
                  <w:pPr>
                    <w:pStyle w:val="41"/>
                  </w:pPr>
                  <w:r>
                    <w:t>污染物排放管控</w:t>
                  </w:r>
                </w:p>
              </w:tc>
              <w:tc>
                <w:tcPr>
                  <w:tcW w:w="2636" w:type="pct"/>
                  <w:vAlign w:val="center"/>
                </w:tcPr>
                <w:p w14:paraId="3DC692FF">
                  <w:pPr>
                    <w:pStyle w:val="41"/>
                  </w:pPr>
                  <w:r>
                    <w:t>3-1【水、大气/限制类】</w:t>
                  </w:r>
                  <w:r>
                    <w:rPr>
                      <w:rFonts w:hint="eastAsia"/>
                    </w:rPr>
                    <w:t>园区各项污染物排放总量不得突破园区规划环评核定的污染物排放总量管控要求</w:t>
                  </w:r>
                  <w:r>
                    <w:t>。</w:t>
                  </w:r>
                </w:p>
              </w:tc>
              <w:tc>
                <w:tcPr>
                  <w:tcW w:w="1723" w:type="pct"/>
                  <w:vAlign w:val="center"/>
                </w:tcPr>
                <w:p w14:paraId="2269E73C">
                  <w:pPr>
                    <w:pStyle w:val="41"/>
                  </w:pPr>
                  <w:r>
                    <w:rPr>
                      <w:rFonts w:hint="eastAsia"/>
                    </w:rPr>
                    <w:t>本项目各项污染物排放总量将严格控制在园区规划环评核定的污染物排放总量以内。</w:t>
                  </w:r>
                </w:p>
              </w:tc>
              <w:tc>
                <w:tcPr>
                  <w:tcW w:w="290" w:type="pct"/>
                  <w:vAlign w:val="center"/>
                </w:tcPr>
                <w:p w14:paraId="34C80E34">
                  <w:pPr>
                    <w:pStyle w:val="41"/>
                  </w:pPr>
                  <w:r>
                    <w:t>相符</w:t>
                  </w:r>
                </w:p>
              </w:tc>
            </w:tr>
            <w:tr w14:paraId="36B6F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760F012E">
                  <w:pPr>
                    <w:pStyle w:val="41"/>
                  </w:pPr>
                </w:p>
              </w:tc>
              <w:tc>
                <w:tcPr>
                  <w:tcW w:w="2636" w:type="pct"/>
                  <w:vAlign w:val="center"/>
                </w:tcPr>
                <w:p w14:paraId="4485D330">
                  <w:pPr>
                    <w:pStyle w:val="41"/>
                  </w:pPr>
                  <w:r>
                    <w:t>3-2【水/限制类】</w:t>
                  </w:r>
                  <w:r>
                    <w:rPr>
                      <w:rFonts w:hint="eastAsia"/>
                    </w:rPr>
                    <w:t>实行重点重金属污染物（铅、砷、汞、镉、铬）等量替代。严格控制涉重金属及有毒有害污染物排放的项目建设，新建、改建、扩建涉重金属重点行业的项目应明确重金属污染物总量来源</w:t>
                  </w:r>
                  <w:r>
                    <w:t>。</w:t>
                  </w:r>
                </w:p>
              </w:tc>
              <w:tc>
                <w:tcPr>
                  <w:tcW w:w="1723" w:type="pct"/>
                  <w:vAlign w:val="center"/>
                </w:tcPr>
                <w:p w14:paraId="7519772D">
                  <w:pPr>
                    <w:pStyle w:val="41"/>
                  </w:pPr>
                  <w:r>
                    <w:rPr>
                      <w:rFonts w:hint="eastAsia"/>
                    </w:rPr>
                    <w:t>项目不涉及重点重金属污染物（铅、砷、汞、镉、铬）的排放。符合相关管控要求。</w:t>
                  </w:r>
                </w:p>
              </w:tc>
              <w:tc>
                <w:tcPr>
                  <w:tcW w:w="290" w:type="pct"/>
                  <w:vAlign w:val="center"/>
                </w:tcPr>
                <w:p w14:paraId="2C9A019B">
                  <w:pPr>
                    <w:pStyle w:val="41"/>
                  </w:pPr>
                  <w:r>
                    <w:t>无关项</w:t>
                  </w:r>
                </w:p>
              </w:tc>
            </w:tr>
            <w:tr w14:paraId="1DFC9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4BDE4BF7">
                  <w:pPr>
                    <w:pStyle w:val="41"/>
                  </w:pPr>
                </w:p>
              </w:tc>
              <w:tc>
                <w:tcPr>
                  <w:tcW w:w="2636" w:type="pct"/>
                  <w:vAlign w:val="center"/>
                </w:tcPr>
                <w:p w14:paraId="1B747E9B">
                  <w:pPr>
                    <w:pStyle w:val="41"/>
                  </w:pPr>
                  <w:r>
                    <w:t>3-3</w:t>
                  </w:r>
                  <w:r>
                    <w:rPr>
                      <w:rFonts w:hint="eastAsia"/>
                    </w:rPr>
                    <w:t>【大气/限制类</w:t>
                  </w:r>
                  <w:r>
                    <w:t>】</w:t>
                  </w:r>
                  <w:r>
                    <w:rPr>
                      <w:rFonts w:hint="eastAsia"/>
                    </w:rPr>
                    <w:t>新建项目原则上实施氮氧化物、挥发性有机物排放量等量替代</w:t>
                  </w:r>
                  <w:r>
                    <w:t>。</w:t>
                  </w:r>
                </w:p>
              </w:tc>
              <w:tc>
                <w:tcPr>
                  <w:tcW w:w="1723" w:type="pct"/>
                  <w:vAlign w:val="center"/>
                </w:tcPr>
                <w:p w14:paraId="664AA4D6">
                  <w:pPr>
                    <w:pStyle w:val="41"/>
                  </w:pPr>
                  <w:r>
                    <w:rPr>
                      <w:rFonts w:hint="eastAsia"/>
                    </w:rPr>
                    <w:t>本项目各项污染物排放总量将严格控制在园区规划环评核定的污染物排放总量以内。</w:t>
                  </w:r>
                </w:p>
              </w:tc>
              <w:tc>
                <w:tcPr>
                  <w:tcW w:w="290" w:type="pct"/>
                  <w:vAlign w:val="center"/>
                </w:tcPr>
                <w:p w14:paraId="6851D856">
                  <w:pPr>
                    <w:pStyle w:val="41"/>
                  </w:pPr>
                  <w:r>
                    <w:t>相符</w:t>
                  </w:r>
                </w:p>
              </w:tc>
            </w:tr>
            <w:tr w14:paraId="5770C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Merge w:val="continue"/>
                  <w:vAlign w:val="center"/>
                </w:tcPr>
                <w:p w14:paraId="291C7DFB">
                  <w:pPr>
                    <w:pStyle w:val="41"/>
                  </w:pPr>
                </w:p>
              </w:tc>
              <w:tc>
                <w:tcPr>
                  <w:tcW w:w="2636" w:type="pct"/>
                  <w:vAlign w:val="center"/>
                </w:tcPr>
                <w:p w14:paraId="70AAF250">
                  <w:pPr>
                    <w:pStyle w:val="41"/>
                  </w:pPr>
                  <w:r>
                    <w:t>3-4</w:t>
                  </w:r>
                  <w:r>
                    <w:rPr>
                      <w:rFonts w:hint="eastAsia"/>
                    </w:rPr>
                    <w:t>【其它/鼓励引导类】支持危险废物专业收集转运和利用处置单位建设区域性收集网点和贮存设施</w:t>
                  </w:r>
                  <w:r>
                    <w:t>。</w:t>
                  </w:r>
                </w:p>
              </w:tc>
              <w:tc>
                <w:tcPr>
                  <w:tcW w:w="1723" w:type="pct"/>
                  <w:vAlign w:val="center"/>
                </w:tcPr>
                <w:p w14:paraId="0054D9B8">
                  <w:pPr>
                    <w:pStyle w:val="41"/>
                  </w:pPr>
                  <w:r>
                    <w:rPr>
                      <w:rFonts w:hint="eastAsia"/>
                    </w:rPr>
                    <w:t>本项目不属于危险废物专业收集转运和利用处置单位。</w:t>
                  </w:r>
                </w:p>
              </w:tc>
              <w:tc>
                <w:tcPr>
                  <w:tcW w:w="290" w:type="pct"/>
                  <w:vAlign w:val="center"/>
                </w:tcPr>
                <w:p w14:paraId="79798B10">
                  <w:pPr>
                    <w:pStyle w:val="41"/>
                  </w:pPr>
                  <w:r>
                    <w:t>相符</w:t>
                  </w:r>
                </w:p>
              </w:tc>
            </w:tr>
            <w:tr w14:paraId="0A6AA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9" w:type="pct"/>
                  <w:vAlign w:val="center"/>
                </w:tcPr>
                <w:p w14:paraId="4A35E34D">
                  <w:pPr>
                    <w:pStyle w:val="41"/>
                  </w:pPr>
                  <w:r>
                    <w:t>环境风险防控</w:t>
                  </w:r>
                </w:p>
              </w:tc>
              <w:tc>
                <w:tcPr>
                  <w:tcW w:w="2636" w:type="pct"/>
                  <w:vAlign w:val="center"/>
                </w:tcPr>
                <w:p w14:paraId="5B618F31">
                  <w:pPr>
                    <w:pStyle w:val="41"/>
                  </w:pPr>
                  <w:r>
                    <w:t>4-1</w:t>
                  </w:r>
                  <w:r>
                    <w:rPr>
                      <w:rFonts w:hint="eastAsia"/>
                    </w:rPr>
                    <w:t>【其他/综合类】园区内生产、使用、储存危险化学品的项目应设置足够容积的事故应急池，园区应制定环境风险事故防范和应急预案，建立健全企业、园区和市政三级事故应急体系，落实有效的事故风险防范和应急措施，有效防范污染事故发生，并避免发生事故对周围环境造成污染，确保环境安全。园区污染处理厂设置足够容积的事故应急池，纳污水体设置水质监控断面，发现问题，及时采取限制废水排放等措施</w:t>
                  </w:r>
                  <w:r>
                    <w:t>。</w:t>
                  </w:r>
                </w:p>
              </w:tc>
              <w:tc>
                <w:tcPr>
                  <w:tcW w:w="1723" w:type="pct"/>
                  <w:vAlign w:val="center"/>
                </w:tcPr>
                <w:p w14:paraId="05E53686">
                  <w:pPr>
                    <w:pStyle w:val="41"/>
                  </w:pPr>
                  <w:r>
                    <w:rPr>
                      <w:rFonts w:hint="eastAsia"/>
                    </w:rPr>
                    <w:t>本项目已建立企业内部环境风险防控体系，最大程度降低项目运行环境风险。</w:t>
                  </w:r>
                </w:p>
              </w:tc>
              <w:tc>
                <w:tcPr>
                  <w:tcW w:w="290" w:type="pct"/>
                  <w:vAlign w:val="center"/>
                </w:tcPr>
                <w:p w14:paraId="3F5A522B">
                  <w:pPr>
                    <w:pStyle w:val="41"/>
                  </w:pPr>
                  <w:r>
                    <w:rPr>
                      <w:rFonts w:hint="eastAsia"/>
                    </w:rPr>
                    <w:t>相符</w:t>
                  </w:r>
                </w:p>
              </w:tc>
            </w:tr>
          </w:tbl>
          <w:p w14:paraId="4032FF14">
            <w:pPr>
              <w:ind w:firstLine="600"/>
              <w:outlineLvl w:val="0"/>
              <w:rPr>
                <w:rFonts w:eastAsia="黑体"/>
                <w:sz w:val="30"/>
              </w:rPr>
            </w:pPr>
          </w:p>
        </w:tc>
      </w:tr>
    </w:tbl>
    <w:p w14:paraId="09B81920">
      <w:pPr>
        <w:ind w:firstLine="480"/>
        <w:outlineLvl w:val="0"/>
        <w:sectPr>
          <w:pgSz w:w="16838" w:h="11906" w:orient="landscape"/>
          <w:pgMar w:top="1531" w:right="1701" w:bottom="1531" w:left="1701" w:header="851" w:footer="1077" w:gutter="0"/>
          <w:cols w:space="720" w:num="1"/>
          <w:docGrid w:linePitch="312" w:charSpace="0"/>
        </w:sectPr>
      </w:pP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0"/>
        <w:gridCol w:w="7980"/>
      </w:tblGrid>
      <w:tr w14:paraId="74F12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pct"/>
          </w:tcPr>
          <w:p w14:paraId="3E32E228">
            <w:pPr>
              <w:ind w:firstLine="480"/>
              <w:outlineLvl w:val="0"/>
            </w:pPr>
          </w:p>
        </w:tc>
        <w:tc>
          <w:tcPr>
            <w:tcW w:w="4403" w:type="pct"/>
          </w:tcPr>
          <w:p w14:paraId="10AE340B">
            <w:pPr>
              <w:pStyle w:val="12"/>
              <w:ind w:firstLine="482"/>
            </w:pPr>
            <w:r>
              <w:t>（3）环境质量底线相符性分析</w:t>
            </w:r>
          </w:p>
          <w:p w14:paraId="1992827C">
            <w:pPr>
              <w:ind w:firstLine="480"/>
            </w:pPr>
            <w:r>
              <w:t>项目所在区域环境空气质量满足《环境空气质量标准》（GB 3095- 2012）及其修改单二级标准，各类废气经相应措施处理后达标排放，运营期环境空气质量仍可满足《环境空气质量标准》（GB 3095-2012）及其修改单二级标准或参考评价标准要求，项目实施不会造成区域大气环境质量恶化。</w:t>
            </w:r>
          </w:p>
          <w:p w14:paraId="09E6BB59">
            <w:pPr>
              <w:ind w:firstLine="480"/>
            </w:pPr>
            <w:r>
              <w:t>根据《2023年韶关生态环境状况公报》内容，“2023年，韶关市11条主要江河（北江、武江、浈江、南水河、墨江、锦江、马坝河、滃江、新丰江、横石水和大潭河）34个市考以上手工监测断面水质优良率为100%，与2022年持平，其中Ⅰ类比例为2.94%、Ⅱ类比例为88.24%、Ⅲ类比例为 8.82%。”故项目所在地地表水环境质量现状良好。项目生产废水经“混凝沉淀池+砂滤-碳滤”预处理后，由园区污水管网排入园区污水处理厂进一步处理，最终处理达到《城镇污水处理厂污染物排放标准》（GB 18918- 2002）一级B标准和《水污染物排放限值》（DB 44/26-2001）第二时段一级标准的严者后排入武江。</w:t>
            </w:r>
          </w:p>
          <w:p w14:paraId="63934485">
            <w:pPr>
              <w:ind w:firstLine="480"/>
            </w:pPr>
            <w:r>
              <w:t>项目所在区域声环境质量满足《声环境质量标准》（GB 3096-2008）中3类功能区标准，项目建成后噪声经减噪措施后影响较小，仍可满足《声环境质量标准》（GB 3096-2008）中相应功能区标准。</w:t>
            </w:r>
          </w:p>
          <w:p w14:paraId="4A372BE5">
            <w:pPr>
              <w:ind w:firstLine="480"/>
            </w:pPr>
            <w:r>
              <w:t>因此，项目符合环境质量底线的要求。</w:t>
            </w:r>
          </w:p>
          <w:p w14:paraId="64549A1E">
            <w:pPr>
              <w:ind w:firstLine="482"/>
              <w:rPr>
                <w:b/>
                <w:szCs w:val="20"/>
              </w:rPr>
            </w:pPr>
            <w:r>
              <w:rPr>
                <w:b/>
                <w:szCs w:val="20"/>
              </w:rPr>
              <w:t>（4）环境准入负面清单相符性分析</w:t>
            </w:r>
          </w:p>
          <w:p w14:paraId="3FA77BCB">
            <w:pPr>
              <w:ind w:firstLine="480"/>
            </w:pPr>
            <w:r>
              <w:t>本项目不属于《市场准入负面清单（2022年版）》中的禁止准入事项，亦不属于许可准入事项；根据《广东乐昌经济开发区区位调整规划环境影响报告书》及其审查意见，乐昌经济开发区主导产业类型和清洁生产要求，重点发展机械、电子、纺织产业，优先引进无污染物或轻污染项目；严禁引入电镀、化学制浆、漂染、鞣革等水污染物排放量大或排放一类水污染物、特久性有机污染物的项目。本项目属于汽车零部件及配件制造生产项目，不属于电镀、化学制浆、漂染、鞣革等水污染物排放量大或排放一类水污染物、特久性有机污染物的项目，项目符合广东乐昌经济开发区准入条件。</w:t>
            </w:r>
          </w:p>
          <w:p w14:paraId="33E6878F">
            <w:pPr>
              <w:ind w:firstLine="480"/>
            </w:pPr>
            <w:r>
              <w:t>综上所述，本项目符合“三线一单”各项管控要求。</w:t>
            </w:r>
          </w:p>
          <w:p w14:paraId="352B0D75">
            <w:pPr>
              <w:pStyle w:val="12"/>
              <w:ind w:firstLine="482"/>
            </w:pPr>
            <w:r>
              <w:t>4、与VOCs相关环保政策相符性分析</w:t>
            </w:r>
          </w:p>
          <w:p w14:paraId="76B0E881">
            <w:pPr>
              <w:pStyle w:val="12"/>
              <w:ind w:firstLine="482"/>
            </w:pPr>
            <w:r>
              <w:t>（1）与《生态环境部关于印发〈重点行业挥发性有机物综合治理方案〉的通知》（环大气〔2019〕53号）相符性分析</w:t>
            </w:r>
          </w:p>
          <w:p w14:paraId="06AF3F74">
            <w:pPr>
              <w:ind w:firstLine="480"/>
            </w:pPr>
            <w:r>
              <w:t>该文件指出：“（一）大力推进源头替代。通过使用水性、粉末、高固体分、无溶剂、辐射固化等低VOCs含量的涂料，水性、辐射固化、植物基等低VOCs含量的油墨，水基、热熔、无溶剂、辐射固化、改性、生物降解等低VOCs含量的胶粘剂，以及低VOCs含量、低反应活性的清洗剂等，替代溶剂型涂料、油墨、胶粘剂、清洗剂等，从源头减少VOCs产生。……（二）全面加强无组织排放控制。重点对含VOCs物料（包括含VOCs原辅材料、含VOCs产品、含VOCs废料以及有机聚合物材料等）储存、转移和输送、设备与管线组件泄漏、敞开液面逸散以及工艺过程等五类排放源实施管控，通过采取设备与场所密闭、工艺改进、废气有效收集等措施，削减VOCs无组织排放。……（三）推进建设适宜高效的治污设施。……采用一次性活性炭吸附技术的，应定期更换活性炭，废旧活性炭应再生或处理处置。……规范工程设计。采用吸附处理工艺的，应满足《吸附法工业有机废气治理工程技术规范》要求。”</w:t>
            </w:r>
          </w:p>
          <w:p w14:paraId="0EDF38AF">
            <w:pPr>
              <w:ind w:firstLine="480"/>
            </w:pPr>
            <w:r>
              <w:t>项目使用的水性阴极电泳漆、树脂粉末属于低VOCs含量的环保型涂料。水性阴极电泳漆、树脂粉末由供应商送货上门；水性阴极电泳漆使用密封铁桶装载并储存放置于室内、树脂粉末使用密封袋装载并存储放置于室内，储存过程中均保持密闭状态，基本无废气逸散。电泳烘干、粉末固化均在密闭的烘干房内进行，烘干房产生的废气经密闭空间负压收集，减少了有机废气无组织排放；电泳烘干废气及粉末固化废气收集后均采用“</w:t>
            </w:r>
            <w:r>
              <w:rPr>
                <w:rFonts w:hint="eastAsia"/>
                <w:lang w:eastAsia="zh-CN"/>
              </w:rPr>
              <w:t>喷淋塔+干式过滤+二级活性炭</w:t>
            </w:r>
            <w:r>
              <w:t>吸附装置”处理，有机废气处理效率均达80%，处理达标后的废气经15m高的排气筒排放。废气处理设施定期更换活性炭和过滤棉，废活性炭及其吸附物，交由有危险废物处理资质单位进行处理。</w:t>
            </w:r>
          </w:p>
          <w:p w14:paraId="0B2E89A1">
            <w:pPr>
              <w:pStyle w:val="12"/>
              <w:ind w:firstLine="482"/>
            </w:pPr>
            <w:r>
              <w:t>（2） 与《广东省人民政府办公厅关于印发广东省2023年大气污染防治工作方案的通知》（粤办函</w:t>
            </w:r>
            <w:r>
              <w:rPr>
                <w:rFonts w:hint="eastAsia"/>
                <w:lang w:eastAsia="zh-CN"/>
              </w:rPr>
              <w:t>〔</w:t>
            </w:r>
            <w:r>
              <w:t>2023</w:t>
            </w:r>
            <w:r>
              <w:rPr>
                <w:rFonts w:hint="eastAsia"/>
                <w:lang w:eastAsia="zh-CN"/>
              </w:rPr>
              <w:t>〕</w:t>
            </w:r>
            <w:r>
              <w:t>50号</w:t>
            </w:r>
            <w:r>
              <w:rPr>
                <w:rFonts w:hint="eastAsia"/>
              </w:rPr>
              <w:t>）</w:t>
            </w:r>
            <w:r>
              <w:t>相符性分析</w:t>
            </w:r>
          </w:p>
          <w:p w14:paraId="0B39195B">
            <w:pPr>
              <w:ind w:firstLine="480"/>
            </w:pPr>
            <w:r>
              <w:t>《广东省人民政府办公厅关于印发广东省2023年大气污染防治工作方案的通知》 中要求“开展简易低效VOCs 治理设施清理整治。严格限制新改扩建项目使用光催化、光氧化、水喷淋</w:t>
            </w:r>
            <w:r>
              <w:rPr>
                <w:rFonts w:hint="eastAsia"/>
                <w:lang w:eastAsia="zh-CN"/>
              </w:rPr>
              <w:t>（</w:t>
            </w:r>
            <w:r>
              <w:t>吸收可溶性VOCs除外</w:t>
            </w:r>
            <w:r>
              <w:rPr>
                <w:rFonts w:hint="eastAsia"/>
                <w:lang w:eastAsia="zh-CN"/>
              </w:rPr>
              <w:t>）</w:t>
            </w:r>
            <w:r>
              <w:t>、低温等离子等低效VOCs治理设施</w:t>
            </w:r>
            <w:r>
              <w:rPr>
                <w:rFonts w:hint="eastAsia"/>
                <w:lang w:eastAsia="zh-CN"/>
              </w:rPr>
              <w:t>（</w:t>
            </w:r>
            <w:r>
              <w:t>恶臭处理除外</w:t>
            </w:r>
            <w:r>
              <w:rPr>
                <w:rFonts w:hint="eastAsia"/>
                <w:lang w:eastAsia="zh-CN"/>
              </w:rPr>
              <w:t>）</w:t>
            </w:r>
            <w:r>
              <w:t>。各地要对低效VOCs治理设施开展排查，对达不到治理要求的单位，要督促其更换或升级改造2023年底前，完成1068个低效VOCs治理设施改造升级，并在省固定源大气污染防治综合应用平台上更新改造升级相关信息。”、“加强低 VOCs含量原辅材料应用。应用涂装工艺的工业企业应当使用低VOCs含量的涂料，并建立保存期限不得少于三年的台账，记录生产原辅材料的使用量、废弃量、去向以及VOCs含量。新改扩建的出版物印刷类项目全面使用低VOCs含量的油墨。皮鞋制造、家具制造类项目基本使用低VOCs含量的胶粘剂。房屋建筑和市政工程全面使用低VOCs含量的涂料和胶粘剂，室内地坪施工、室外构筑物防护和城市道路交通标志</w:t>
            </w:r>
            <w:r>
              <w:rPr>
                <w:rFonts w:hint="eastAsia"/>
                <w:lang w:eastAsia="zh-CN"/>
              </w:rPr>
              <w:t>（</w:t>
            </w:r>
            <w:r>
              <w:t>特殊功能要求的除外</w:t>
            </w:r>
            <w:r>
              <w:rPr>
                <w:rFonts w:hint="eastAsia"/>
                <w:lang w:eastAsia="zh-CN"/>
              </w:rPr>
              <w:t>）</w:t>
            </w:r>
            <w:r>
              <w:t>基本使用低 VOCs含量的涂料。”</w:t>
            </w:r>
          </w:p>
          <w:p w14:paraId="5587FD12">
            <w:pPr>
              <w:ind w:firstLine="480"/>
            </w:pPr>
            <w:r>
              <w:t>本项目电泳烘干、粉末固化工序产生的有机废气经“二级活性炭吸附装置处理达标后排放,“二级活性炭吸附装置”不属于光催化、光氧化、水喷淋</w:t>
            </w:r>
            <w:r>
              <w:rPr>
                <w:rFonts w:hint="eastAsia"/>
                <w:lang w:eastAsia="zh-CN"/>
              </w:rPr>
              <w:t>（</w:t>
            </w:r>
            <w:r>
              <w:t>吸收可溶性VOCs除外</w:t>
            </w:r>
            <w:r>
              <w:rPr>
                <w:rFonts w:hint="eastAsia"/>
                <w:lang w:eastAsia="zh-CN"/>
              </w:rPr>
              <w:t>）</w:t>
            </w:r>
            <w:r>
              <w:t>、低温等离子等低效VOCs治理设施</w:t>
            </w:r>
            <w:r>
              <w:rPr>
                <w:rFonts w:hint="eastAsia"/>
              </w:rPr>
              <w:t>;</w:t>
            </w:r>
            <w:r>
              <w:t>另外，本项目水性阴极电泳漆其挥发性有机化合物含量可满足《低挥发性有机化合物含量涂料产品技术要求》</w:t>
            </w:r>
            <w:r>
              <w:rPr>
                <w:rFonts w:hint="eastAsia"/>
                <w:lang w:eastAsia="zh-CN"/>
              </w:rPr>
              <w:t>（</w:t>
            </w:r>
            <w:r>
              <w:t>GB/T38597-2020</w:t>
            </w:r>
            <w:r>
              <w:rPr>
                <w:rFonts w:hint="eastAsia"/>
                <w:lang w:eastAsia="zh-CN"/>
              </w:rPr>
              <w:t>）</w:t>
            </w:r>
            <w:r>
              <w:t>。因此，本项目符合《广东省人民政府办公厅关于印发广东省2023年大气污染防治工作方案的通知》</w:t>
            </w:r>
            <w:r>
              <w:rPr>
                <w:rFonts w:hint="eastAsia"/>
                <w:lang w:eastAsia="zh-CN"/>
              </w:rPr>
              <w:t>（</w:t>
            </w:r>
            <w:r>
              <w:t>粤办函</w:t>
            </w:r>
            <w:r>
              <w:rPr>
                <w:rFonts w:hint="eastAsia"/>
                <w:lang w:eastAsia="zh-CN"/>
              </w:rPr>
              <w:t>〔</w:t>
            </w:r>
            <w:r>
              <w:t>2023</w:t>
            </w:r>
            <w:r>
              <w:rPr>
                <w:rFonts w:hint="eastAsia"/>
                <w:lang w:eastAsia="zh-CN"/>
              </w:rPr>
              <w:t>〕</w:t>
            </w:r>
            <w:r>
              <w:t>50号</w:t>
            </w:r>
            <w:r>
              <w:rPr>
                <w:rFonts w:hint="eastAsia"/>
                <w:lang w:eastAsia="zh-CN"/>
              </w:rPr>
              <w:t>）</w:t>
            </w:r>
            <w:r>
              <w:t>要求。”</w:t>
            </w:r>
          </w:p>
          <w:p w14:paraId="7D483B5B">
            <w:pPr>
              <w:pStyle w:val="12"/>
              <w:ind w:firstLine="482"/>
            </w:pPr>
            <w:r>
              <w:t>（3）与广东省《固定污染源挥发性有机物综合排放标准》（DB 44/2367-2022）相符性分析</w:t>
            </w:r>
          </w:p>
          <w:p w14:paraId="58CD3ADF">
            <w:pPr>
              <w:ind w:firstLine="480"/>
              <w:rPr>
                <w:szCs w:val="21"/>
              </w:rPr>
            </w:pPr>
            <w:r>
              <w:t>根据广东省《固定污染源挥发性有机物综合排放标准》（DB 44/2367-2022），本项目VOCs排放控制要求见下表。</w:t>
            </w:r>
          </w:p>
          <w:p w14:paraId="7226478A">
            <w:pPr>
              <w:pStyle w:val="22"/>
              <w:rPr>
                <w:szCs w:val="21"/>
              </w:rPr>
            </w:pPr>
            <w:r>
              <w:rPr>
                <w:szCs w:val="21"/>
              </w:rPr>
              <w:t>表1-3 与广东省《固定污染源挥发性有机物综合排放标准》相符性分析一览表</w:t>
            </w:r>
          </w:p>
          <w:tbl>
            <w:tblPr>
              <w:tblStyle w:val="23"/>
              <w:tblW w:w="77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5"/>
              <w:gridCol w:w="751"/>
              <w:gridCol w:w="2977"/>
              <w:gridCol w:w="2551"/>
              <w:gridCol w:w="759"/>
            </w:tblGrid>
            <w:tr w14:paraId="73320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5" w:type="dxa"/>
                  <w:vAlign w:val="center"/>
                </w:tcPr>
                <w:p w14:paraId="404E0CD0">
                  <w:pPr>
                    <w:pStyle w:val="41"/>
                    <w:rPr>
                      <w:b/>
                      <w:bCs/>
                    </w:rPr>
                  </w:pPr>
                  <w:r>
                    <w:rPr>
                      <w:b/>
                      <w:bCs/>
                    </w:rPr>
                    <w:t>控制</w:t>
                  </w:r>
                </w:p>
                <w:p w14:paraId="5604C784">
                  <w:pPr>
                    <w:pStyle w:val="41"/>
                    <w:rPr>
                      <w:b/>
                      <w:bCs/>
                    </w:rPr>
                  </w:pPr>
                  <w:r>
                    <w:rPr>
                      <w:b/>
                      <w:bCs/>
                    </w:rPr>
                    <w:t>环节</w:t>
                  </w:r>
                </w:p>
              </w:tc>
              <w:tc>
                <w:tcPr>
                  <w:tcW w:w="3728" w:type="dxa"/>
                  <w:gridSpan w:val="2"/>
                  <w:vAlign w:val="center"/>
                </w:tcPr>
                <w:p w14:paraId="7CDD2BA7">
                  <w:pPr>
                    <w:pStyle w:val="41"/>
                    <w:rPr>
                      <w:b/>
                      <w:bCs/>
                    </w:rPr>
                  </w:pPr>
                  <w:r>
                    <w:rPr>
                      <w:b/>
                      <w:bCs/>
                    </w:rPr>
                    <w:t>控制要求</w:t>
                  </w:r>
                </w:p>
              </w:tc>
              <w:tc>
                <w:tcPr>
                  <w:tcW w:w="2551" w:type="dxa"/>
                  <w:vAlign w:val="center"/>
                </w:tcPr>
                <w:p w14:paraId="3151FAF8">
                  <w:pPr>
                    <w:pStyle w:val="41"/>
                    <w:rPr>
                      <w:b/>
                      <w:bCs/>
                    </w:rPr>
                  </w:pPr>
                  <w:r>
                    <w:rPr>
                      <w:b/>
                      <w:bCs/>
                    </w:rPr>
                    <w:t>项目措施</w:t>
                  </w:r>
                </w:p>
              </w:tc>
              <w:tc>
                <w:tcPr>
                  <w:tcW w:w="759" w:type="dxa"/>
                  <w:vAlign w:val="center"/>
                </w:tcPr>
                <w:p w14:paraId="235EAB93">
                  <w:pPr>
                    <w:pStyle w:val="41"/>
                    <w:rPr>
                      <w:b/>
                      <w:bCs/>
                    </w:rPr>
                  </w:pPr>
                  <w:r>
                    <w:rPr>
                      <w:b/>
                      <w:bCs/>
                    </w:rPr>
                    <w:t>符合情况</w:t>
                  </w:r>
                </w:p>
              </w:tc>
            </w:tr>
            <w:tr w14:paraId="6AB07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restart"/>
                  <w:vAlign w:val="center"/>
                </w:tcPr>
                <w:p w14:paraId="5EA3BF2B">
                  <w:pPr>
                    <w:pStyle w:val="41"/>
                  </w:pPr>
                  <w:r>
                    <w:t>有组织排放控制要求</w:t>
                  </w:r>
                </w:p>
              </w:tc>
              <w:tc>
                <w:tcPr>
                  <w:tcW w:w="3728" w:type="dxa"/>
                  <w:gridSpan w:val="2"/>
                  <w:vAlign w:val="center"/>
                </w:tcPr>
                <w:p w14:paraId="686490B7">
                  <w:pPr>
                    <w:pStyle w:val="41"/>
                  </w:pPr>
                  <w:r>
                    <w:t>收集的废气中NMHC初始排放速率≥3kg/h时，应当配置VOCs处理设施，处理效率不应当低于80%。对于重点地区，收集的废气中NMHC初始排放速率≥2kg/h时，应当配置VOCs处理设施，处理效率不应当低于80%；采用的原辅材料符合国家有关低VOCs含量产品规定的除外。</w:t>
                  </w:r>
                </w:p>
              </w:tc>
              <w:tc>
                <w:tcPr>
                  <w:tcW w:w="2551" w:type="dxa"/>
                  <w:vAlign w:val="center"/>
                </w:tcPr>
                <w:p w14:paraId="08000C00">
                  <w:pPr>
                    <w:pStyle w:val="41"/>
                  </w:pPr>
                  <w:r>
                    <w:t>根据后文污染源强分析，项目电泳烘干废气及粉末固化废气收集后采用“</w:t>
                  </w:r>
                  <w:r>
                    <w:rPr>
                      <w:rFonts w:hint="eastAsia"/>
                      <w:lang w:eastAsia="zh-CN"/>
                    </w:rPr>
                    <w:t>喷淋塔+干式过滤+二级活性炭</w:t>
                  </w:r>
                  <w:r>
                    <w:t>吸附装置”处理达标后高空排放，处理效率达80%</w:t>
                  </w:r>
                </w:p>
              </w:tc>
              <w:tc>
                <w:tcPr>
                  <w:tcW w:w="759" w:type="dxa"/>
                  <w:vAlign w:val="center"/>
                </w:tcPr>
                <w:p w14:paraId="22734FCD">
                  <w:pPr>
                    <w:pStyle w:val="41"/>
                  </w:pPr>
                  <w:r>
                    <w:t>符合</w:t>
                  </w:r>
                </w:p>
              </w:tc>
            </w:tr>
            <w:tr w14:paraId="3C05A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7EC5733B">
                  <w:pPr>
                    <w:pStyle w:val="41"/>
                  </w:pPr>
                </w:p>
              </w:tc>
              <w:tc>
                <w:tcPr>
                  <w:tcW w:w="3728" w:type="dxa"/>
                  <w:gridSpan w:val="2"/>
                  <w:vAlign w:val="center"/>
                </w:tcPr>
                <w:p w14:paraId="090C269C">
                  <w:pPr>
                    <w:pStyle w:val="41"/>
                  </w:pPr>
                  <w:r>
                    <w:t>废气收集处理系统应当与生产工艺设备同步运行，较生产工艺设备做到“先启后停”。废气收集处理系统发生故障或者检修时，对应的生产工艺设备应当停止运行，待检修完毕后同步投入使用；生产工艺设备不能停止运行或者不能及时停止运行的，应当设置废气应急处理设施或者采取其他替代措施。</w:t>
                  </w:r>
                </w:p>
              </w:tc>
              <w:tc>
                <w:tcPr>
                  <w:tcW w:w="2551" w:type="dxa"/>
                  <w:vAlign w:val="center"/>
                </w:tcPr>
                <w:p w14:paraId="6AEF94D5">
                  <w:pPr>
                    <w:pStyle w:val="41"/>
                  </w:pPr>
                  <w:r>
                    <w:t>本项目废气收集处理系统与生产工艺设备同步运行，较生产工艺设备做到“先启后停”。废气收集处理系统发生故障或者检修时，对应的生产工艺设备立即停止运行，待检修完毕后同步投入使用。</w:t>
                  </w:r>
                </w:p>
              </w:tc>
              <w:tc>
                <w:tcPr>
                  <w:tcW w:w="759" w:type="dxa"/>
                  <w:vAlign w:val="center"/>
                </w:tcPr>
                <w:p w14:paraId="738BAFA6">
                  <w:pPr>
                    <w:pStyle w:val="41"/>
                  </w:pPr>
                  <w:r>
                    <w:t>符合</w:t>
                  </w:r>
                </w:p>
              </w:tc>
            </w:tr>
            <w:tr w14:paraId="78516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5E52E5C2">
                  <w:pPr>
                    <w:pStyle w:val="41"/>
                  </w:pPr>
                </w:p>
              </w:tc>
              <w:tc>
                <w:tcPr>
                  <w:tcW w:w="3728" w:type="dxa"/>
                  <w:gridSpan w:val="2"/>
                  <w:vAlign w:val="center"/>
                </w:tcPr>
                <w:p w14:paraId="2B38B458">
                  <w:pPr>
                    <w:pStyle w:val="41"/>
                  </w:pPr>
                  <w:r>
                    <w:t>排气筒高度不低于15m（因安全考虑或者有特殊工艺要求的除外），具体高度以及与周围建筑物的相对高度关系应当根据环境影响评价文件确定。</w:t>
                  </w:r>
                </w:p>
              </w:tc>
              <w:tc>
                <w:tcPr>
                  <w:tcW w:w="2551" w:type="dxa"/>
                  <w:vAlign w:val="center"/>
                </w:tcPr>
                <w:p w14:paraId="640E19A9">
                  <w:pPr>
                    <w:pStyle w:val="41"/>
                  </w:pPr>
                  <w:r>
                    <w:t>本项目排气筒高度为15m。</w:t>
                  </w:r>
                </w:p>
              </w:tc>
              <w:tc>
                <w:tcPr>
                  <w:tcW w:w="759" w:type="dxa"/>
                  <w:vAlign w:val="center"/>
                </w:tcPr>
                <w:p w14:paraId="340F5A33">
                  <w:pPr>
                    <w:pStyle w:val="41"/>
                  </w:pPr>
                  <w:r>
                    <w:t>符合</w:t>
                  </w:r>
                </w:p>
              </w:tc>
            </w:tr>
            <w:tr w14:paraId="0D167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16AA3333">
                  <w:pPr>
                    <w:pStyle w:val="41"/>
                  </w:pPr>
                </w:p>
              </w:tc>
              <w:tc>
                <w:tcPr>
                  <w:tcW w:w="3728" w:type="dxa"/>
                  <w:gridSpan w:val="2"/>
                  <w:vAlign w:val="center"/>
                </w:tcPr>
                <w:p w14:paraId="1B62E0CB">
                  <w:pPr>
                    <w:pStyle w:val="41"/>
                  </w:pPr>
                  <w:r>
                    <w:t>企业应当建立台账，记录废气收集系统、VOCs处理设施的主要运行和维护信息，如运行时间、废气处理量、操作温度、停留时间、吸附剂再生/更换周期和更换量、催化剂更换周期和更换量、吸收液pH值等关键运行参数。台账保存期限不少于3年。</w:t>
                  </w:r>
                </w:p>
              </w:tc>
              <w:tc>
                <w:tcPr>
                  <w:tcW w:w="2551" w:type="dxa"/>
                  <w:vAlign w:val="center"/>
                </w:tcPr>
                <w:p w14:paraId="1DF0ECAD">
                  <w:pPr>
                    <w:pStyle w:val="41"/>
                  </w:pPr>
                  <w:r>
                    <w:t>建设单位拟建立台账，记录废气收集系统、VOCs处理设施的主要运行和维护信息。台账保存期限不少于3年。</w:t>
                  </w:r>
                </w:p>
              </w:tc>
              <w:tc>
                <w:tcPr>
                  <w:tcW w:w="759" w:type="dxa"/>
                  <w:vAlign w:val="center"/>
                </w:tcPr>
                <w:p w14:paraId="4BECBC9D">
                  <w:pPr>
                    <w:pStyle w:val="41"/>
                  </w:pPr>
                  <w:r>
                    <w:t>符合</w:t>
                  </w:r>
                </w:p>
              </w:tc>
            </w:tr>
            <w:tr w14:paraId="47CDC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15" w:type="dxa"/>
                  <w:vMerge w:val="restart"/>
                  <w:vAlign w:val="center"/>
                </w:tcPr>
                <w:p w14:paraId="0505F4B7">
                  <w:pPr>
                    <w:pStyle w:val="41"/>
                  </w:pPr>
                  <w:r>
                    <w:t>无组织排放控制要求</w:t>
                  </w:r>
                </w:p>
              </w:tc>
              <w:tc>
                <w:tcPr>
                  <w:tcW w:w="751" w:type="dxa"/>
                  <w:vMerge w:val="restart"/>
                  <w:vAlign w:val="center"/>
                </w:tcPr>
                <w:p w14:paraId="5CBB99A7">
                  <w:pPr>
                    <w:pStyle w:val="41"/>
                  </w:pPr>
                  <w:r>
                    <w:t>VOCs物料储存无组织排放控制要求</w:t>
                  </w:r>
                </w:p>
              </w:tc>
              <w:tc>
                <w:tcPr>
                  <w:tcW w:w="2977" w:type="dxa"/>
                  <w:vAlign w:val="center"/>
                </w:tcPr>
                <w:p w14:paraId="0B862E55">
                  <w:pPr>
                    <w:pStyle w:val="41"/>
                  </w:pPr>
                  <w:r>
                    <w:t>VOCs物料应当储存于密闭的容器、储罐、储库、料仓中。</w:t>
                  </w:r>
                </w:p>
              </w:tc>
              <w:tc>
                <w:tcPr>
                  <w:tcW w:w="2551" w:type="dxa"/>
                  <w:vMerge w:val="restart"/>
                  <w:vAlign w:val="center"/>
                </w:tcPr>
                <w:p w14:paraId="0EF4EDFD">
                  <w:pPr>
                    <w:pStyle w:val="41"/>
                  </w:pPr>
                  <w:r>
                    <w:t>项目涉及的VOCs物料主要为水性阴极电泳漆、树脂粉末，均由供应商上门，水性阴极电泳漆使用密封铁桶装载并储存在B厂房原料放置区内不露天放置；树脂粉末使用密封包装袋装载并储存在C厂房原料堆放区内不露天放置；在非取用时处于（加盖）密封状态，可有效控制VOCs废气挥发至空气中。</w:t>
                  </w:r>
                </w:p>
              </w:tc>
              <w:tc>
                <w:tcPr>
                  <w:tcW w:w="759" w:type="dxa"/>
                  <w:vMerge w:val="restart"/>
                  <w:vAlign w:val="center"/>
                </w:tcPr>
                <w:p w14:paraId="31BCC908">
                  <w:pPr>
                    <w:pStyle w:val="41"/>
                  </w:pPr>
                  <w:r>
                    <w:t>符合</w:t>
                  </w:r>
                </w:p>
              </w:tc>
            </w:tr>
            <w:tr w14:paraId="41FD8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605475C1">
                  <w:pPr>
                    <w:pStyle w:val="41"/>
                  </w:pPr>
                </w:p>
              </w:tc>
              <w:tc>
                <w:tcPr>
                  <w:tcW w:w="751" w:type="dxa"/>
                  <w:vMerge w:val="continue"/>
                  <w:vAlign w:val="center"/>
                </w:tcPr>
                <w:p w14:paraId="0A6CEF02">
                  <w:pPr>
                    <w:pStyle w:val="41"/>
                  </w:pPr>
                </w:p>
              </w:tc>
              <w:tc>
                <w:tcPr>
                  <w:tcW w:w="2977" w:type="dxa"/>
                  <w:vAlign w:val="center"/>
                </w:tcPr>
                <w:p w14:paraId="68F939BC">
                  <w:pPr>
                    <w:pStyle w:val="41"/>
                  </w:pPr>
                  <w:r>
                    <w:t>盛装VOCs物料的容器应当存放于室内，或者存放于设置有雨棚、遮阳和防渗设施的专用场地。盛装VOCs物料的容器或者包装袋在非取用状态时应当加盖、封口，保持密闭。</w:t>
                  </w:r>
                </w:p>
              </w:tc>
              <w:tc>
                <w:tcPr>
                  <w:tcW w:w="2551" w:type="dxa"/>
                  <w:vMerge w:val="continue"/>
                  <w:vAlign w:val="center"/>
                </w:tcPr>
                <w:p w14:paraId="61BF8F10">
                  <w:pPr>
                    <w:pStyle w:val="41"/>
                  </w:pPr>
                </w:p>
              </w:tc>
              <w:tc>
                <w:tcPr>
                  <w:tcW w:w="759" w:type="dxa"/>
                  <w:vMerge w:val="continue"/>
                  <w:vAlign w:val="center"/>
                </w:tcPr>
                <w:p w14:paraId="639AB40E">
                  <w:pPr>
                    <w:pStyle w:val="41"/>
                  </w:pPr>
                </w:p>
              </w:tc>
            </w:tr>
            <w:tr w14:paraId="16A17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3A64549D">
                  <w:pPr>
                    <w:pStyle w:val="41"/>
                  </w:pPr>
                </w:p>
              </w:tc>
              <w:tc>
                <w:tcPr>
                  <w:tcW w:w="751" w:type="dxa"/>
                  <w:vMerge w:val="continue"/>
                  <w:vAlign w:val="center"/>
                </w:tcPr>
                <w:p w14:paraId="5142BDB4">
                  <w:pPr>
                    <w:pStyle w:val="41"/>
                  </w:pPr>
                </w:p>
              </w:tc>
              <w:tc>
                <w:tcPr>
                  <w:tcW w:w="2977" w:type="dxa"/>
                  <w:vAlign w:val="center"/>
                </w:tcPr>
                <w:p w14:paraId="575E596C">
                  <w:pPr>
                    <w:pStyle w:val="41"/>
                  </w:pPr>
                  <w:r>
                    <w:t>VOCs物料储库、料仓应当满利用完整的围护结构将污染物质、作业场所等与周围空间阻隔所形成的封闭区域或者封闭式建筑物。</w:t>
                  </w:r>
                </w:p>
              </w:tc>
              <w:tc>
                <w:tcPr>
                  <w:tcW w:w="2551" w:type="dxa"/>
                  <w:vMerge w:val="continue"/>
                  <w:vAlign w:val="center"/>
                </w:tcPr>
                <w:p w14:paraId="44F7EDC7">
                  <w:pPr>
                    <w:pStyle w:val="41"/>
                  </w:pPr>
                </w:p>
              </w:tc>
              <w:tc>
                <w:tcPr>
                  <w:tcW w:w="759" w:type="dxa"/>
                  <w:vMerge w:val="continue"/>
                  <w:vAlign w:val="center"/>
                </w:tcPr>
                <w:p w14:paraId="2E07F3B0">
                  <w:pPr>
                    <w:pStyle w:val="41"/>
                  </w:pPr>
                </w:p>
              </w:tc>
            </w:tr>
            <w:tr w14:paraId="76728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0C261A12">
                  <w:pPr>
                    <w:pStyle w:val="41"/>
                  </w:pPr>
                </w:p>
              </w:tc>
              <w:tc>
                <w:tcPr>
                  <w:tcW w:w="751" w:type="dxa"/>
                  <w:vMerge w:val="restart"/>
                  <w:vAlign w:val="center"/>
                </w:tcPr>
                <w:p w14:paraId="4AFAB707">
                  <w:pPr>
                    <w:pStyle w:val="41"/>
                  </w:pPr>
                  <w:r>
                    <w:t>VOCs物料转移和输送无组织排放控制要求</w:t>
                  </w:r>
                </w:p>
              </w:tc>
              <w:tc>
                <w:tcPr>
                  <w:tcW w:w="2977" w:type="dxa"/>
                  <w:vAlign w:val="center"/>
                </w:tcPr>
                <w:p w14:paraId="4913854B">
                  <w:pPr>
                    <w:pStyle w:val="41"/>
                  </w:pPr>
                  <w:r>
                    <w:t>液态VOCs物料应当采用密闭管道输送。采用非管道输送方式转移液态VOCs物料时，应当采用密闭容器、罐车。</w:t>
                  </w:r>
                </w:p>
              </w:tc>
              <w:tc>
                <w:tcPr>
                  <w:tcW w:w="2551" w:type="dxa"/>
                  <w:vAlign w:val="center"/>
                </w:tcPr>
                <w:p w14:paraId="5B4DDC21">
                  <w:pPr>
                    <w:pStyle w:val="41"/>
                  </w:pPr>
                  <w:r>
                    <w:t>项目使用的水性阴极电泳漆用包装桶密封保存，树脂粉末使用密封包装保存，常温下无挥发性，符合要求。</w:t>
                  </w:r>
                </w:p>
              </w:tc>
              <w:tc>
                <w:tcPr>
                  <w:tcW w:w="759" w:type="dxa"/>
                  <w:vAlign w:val="center"/>
                </w:tcPr>
                <w:p w14:paraId="00A72009">
                  <w:pPr>
                    <w:pStyle w:val="41"/>
                  </w:pPr>
                </w:p>
              </w:tc>
            </w:tr>
            <w:tr w14:paraId="4435A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02B10D72">
                  <w:pPr>
                    <w:pStyle w:val="41"/>
                  </w:pPr>
                </w:p>
              </w:tc>
              <w:tc>
                <w:tcPr>
                  <w:tcW w:w="751" w:type="dxa"/>
                  <w:vMerge w:val="continue"/>
                  <w:vAlign w:val="center"/>
                </w:tcPr>
                <w:p w14:paraId="378D3140">
                  <w:pPr>
                    <w:pStyle w:val="41"/>
                  </w:pPr>
                </w:p>
              </w:tc>
              <w:tc>
                <w:tcPr>
                  <w:tcW w:w="2977" w:type="dxa"/>
                  <w:vAlign w:val="center"/>
                </w:tcPr>
                <w:p w14:paraId="17A6D939">
                  <w:pPr>
                    <w:pStyle w:val="41"/>
                  </w:pPr>
                  <w:r>
                    <w:t>粉状、粒状VOCs物料应当采用气力输送设备、管状带式输送机、螺旋输送机等式，或者采用密闭的包装袋、容器或者罐车进行物料转移。密闭输送方</w:t>
                  </w:r>
                </w:p>
              </w:tc>
              <w:tc>
                <w:tcPr>
                  <w:tcW w:w="2551" w:type="dxa"/>
                  <w:vAlign w:val="center"/>
                </w:tcPr>
                <w:p w14:paraId="03495A94">
                  <w:pPr>
                    <w:pStyle w:val="41"/>
                  </w:pPr>
                  <w:r>
                    <w:t>树脂粉末使用密封包装保存。</w:t>
                  </w:r>
                </w:p>
              </w:tc>
              <w:tc>
                <w:tcPr>
                  <w:tcW w:w="759" w:type="dxa"/>
                  <w:vAlign w:val="center"/>
                </w:tcPr>
                <w:p w14:paraId="1BC7E5E0">
                  <w:pPr>
                    <w:pStyle w:val="41"/>
                  </w:pPr>
                  <w:r>
                    <w:t>符合</w:t>
                  </w:r>
                </w:p>
              </w:tc>
            </w:tr>
            <w:tr w14:paraId="72730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28860A42">
                  <w:pPr>
                    <w:pStyle w:val="41"/>
                  </w:pPr>
                </w:p>
              </w:tc>
              <w:tc>
                <w:tcPr>
                  <w:tcW w:w="751" w:type="dxa"/>
                  <w:vMerge w:val="restart"/>
                  <w:vAlign w:val="center"/>
                </w:tcPr>
                <w:p w14:paraId="680D0272">
                  <w:pPr>
                    <w:pStyle w:val="41"/>
                  </w:pPr>
                  <w:r>
                    <w:t>工艺过程VOCs无组织排放控制要求</w:t>
                  </w:r>
                </w:p>
              </w:tc>
              <w:tc>
                <w:tcPr>
                  <w:tcW w:w="2977" w:type="dxa"/>
                  <w:vAlign w:val="center"/>
                </w:tcPr>
                <w:p w14:paraId="0D2191F1">
                  <w:pPr>
                    <w:pStyle w:val="41"/>
                  </w:pPr>
                  <w:r>
                    <w:t>料投加和卸放无组织排放控制应当符合下列规定：</w:t>
                  </w:r>
                </w:p>
                <w:p w14:paraId="41E770DB">
                  <w:pPr>
                    <w:pStyle w:val="41"/>
                  </w:pPr>
                  <w:r>
                    <w:t>a）液态VOCs物料应当采用密闭管道输送方式或者采用高位槽（罐）、桶泵等给料方式密闭投加。无法密闭投加的，应当在密闭空间内操作，或者进行局部气体收集，废气应当排至VOCs废气收集处理系统；</w:t>
                  </w:r>
                </w:p>
                <w:p w14:paraId="2293AB3E">
                  <w:pPr>
                    <w:pStyle w:val="41"/>
                  </w:pPr>
                  <w:r>
                    <w:t>b）粉状、粒状VOCs物料应当采用气力输送方式或者采用密闭固体投料器等给料方式密闭投加。无法密闭投加的，应当在密闭空间内操作，或者进行局部气体收集，废气应当排至除尘设施、VOCs废气收集处理系统；</w:t>
                  </w:r>
                </w:p>
                <w:p w14:paraId="594FDFFF">
                  <w:pPr>
                    <w:pStyle w:val="41"/>
                  </w:pPr>
                  <w:r>
                    <w:t>c）VOCs卸（出、放）料过程应当密闭，卸料废气应当排至VOCs废气收集处理系统；无法密闭的，应当采取局部气体收集措施，废气应当排至VOCs废气收集处理系统。</w:t>
                  </w:r>
                </w:p>
                <w:p w14:paraId="3A51095D">
                  <w:pPr>
                    <w:pStyle w:val="41"/>
                  </w:pPr>
                  <w:r>
                    <w:t>VOCs质量占比≥10%的含VOCs产品，其使用过程应当采用密闭设备或者在密闭空间内操作，废气应当排至VOCs废气收集处理系统；无法密闭的，应当采取局部气体收集措施，废气应当排至VOCs废气收集处理系统。含VOCs产品的使用过程包括但不限于以下作业：</w:t>
                  </w:r>
                </w:p>
                <w:p w14:paraId="6285D03C">
                  <w:pPr>
                    <w:pStyle w:val="41"/>
                  </w:pPr>
                  <w:r>
                    <w:t>a）调配（混合、搅拌等）；</w:t>
                  </w:r>
                </w:p>
                <w:p w14:paraId="4857034A">
                  <w:pPr>
                    <w:pStyle w:val="41"/>
                  </w:pPr>
                  <w:r>
                    <w:t>b）涂装（喷涂、浸涂、淋涂、辊涂、刷涂、涂布等）；</w:t>
                  </w:r>
                </w:p>
                <w:p w14:paraId="6C5E61B7">
                  <w:pPr>
                    <w:pStyle w:val="41"/>
                  </w:pPr>
                  <w:r>
                    <w:t>c）印刷（平板、凸版、凹版、孔版等）；</w:t>
                  </w:r>
                </w:p>
                <w:p w14:paraId="7428AE53">
                  <w:pPr>
                    <w:pStyle w:val="41"/>
                  </w:pPr>
                  <w:r>
                    <w:t>d）粘结（涂胶、热压、复合、贴合等）；</w:t>
                  </w:r>
                </w:p>
                <w:p w14:paraId="54EA511F">
                  <w:pPr>
                    <w:pStyle w:val="41"/>
                  </w:pPr>
                  <w:r>
                    <w:t>e）印染（染色、印花、定型等）；</w:t>
                  </w:r>
                </w:p>
                <w:p w14:paraId="5198E1D4">
                  <w:pPr>
                    <w:pStyle w:val="41"/>
                  </w:pPr>
                  <w:r>
                    <w:t>f）干燥（烘干、风干、晾干等）；</w:t>
                  </w:r>
                </w:p>
                <w:p w14:paraId="372AA194">
                  <w:pPr>
                    <w:pStyle w:val="41"/>
                  </w:pPr>
                  <w:r>
                    <w:t>g）清洗（浸洗、喷洗、淋洗、冲洗、擦洗等）。</w:t>
                  </w:r>
                </w:p>
              </w:tc>
              <w:tc>
                <w:tcPr>
                  <w:tcW w:w="2551" w:type="dxa"/>
                  <w:vAlign w:val="center"/>
                </w:tcPr>
                <w:p w14:paraId="5A8D9836">
                  <w:pPr>
                    <w:pStyle w:val="41"/>
                  </w:pPr>
                  <w:r>
                    <w:t>项目使用的水性阴极电泳漆、树脂粉末由供应商送货上门；水性阴极电泳漆使用密封铁桶装载并储存放置于室内、树脂粉末使用密封袋装载并存储放置于室内，储存过程中均保持密闭状态，基本无废气逸散。</w:t>
                  </w:r>
                </w:p>
                <w:p w14:paraId="2C6CFDE3">
                  <w:pPr>
                    <w:pStyle w:val="41"/>
                  </w:pPr>
                  <w:r>
                    <w:t>项目电泳烘干、粉末固化均在密闭的烘干房内进行，烘干房产生的废气采用密闭空间负压收集，减少了有机废气无组织排放；电泳烘干废气及粉末固化废气收集后均采用“</w:t>
                  </w:r>
                  <w:r>
                    <w:rPr>
                      <w:rFonts w:hint="eastAsia"/>
                      <w:lang w:eastAsia="zh-CN"/>
                    </w:rPr>
                    <w:t>喷淋塔+干式过滤+二级活性炭</w:t>
                  </w:r>
                  <w:r>
                    <w:t>吸附装置”处理达标后高空排放，处理效率均达80%，处理达标后的废气经15m高的排气筒排放。</w:t>
                  </w:r>
                </w:p>
              </w:tc>
              <w:tc>
                <w:tcPr>
                  <w:tcW w:w="759" w:type="dxa"/>
                  <w:vAlign w:val="center"/>
                </w:tcPr>
                <w:p w14:paraId="3D8BBA5C">
                  <w:pPr>
                    <w:pStyle w:val="41"/>
                  </w:pPr>
                  <w:r>
                    <w:t>符合</w:t>
                  </w:r>
                </w:p>
              </w:tc>
            </w:tr>
            <w:tr w14:paraId="2F6DA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3EC71A6E">
                  <w:pPr>
                    <w:pStyle w:val="41"/>
                  </w:pPr>
                </w:p>
              </w:tc>
              <w:tc>
                <w:tcPr>
                  <w:tcW w:w="751" w:type="dxa"/>
                  <w:vMerge w:val="continue"/>
                  <w:vAlign w:val="center"/>
                </w:tcPr>
                <w:p w14:paraId="3D138397">
                  <w:pPr>
                    <w:pStyle w:val="41"/>
                  </w:pPr>
                </w:p>
              </w:tc>
              <w:tc>
                <w:tcPr>
                  <w:tcW w:w="2977" w:type="dxa"/>
                  <w:vAlign w:val="center"/>
                </w:tcPr>
                <w:p w14:paraId="1016C051">
                  <w:pPr>
                    <w:pStyle w:val="41"/>
                  </w:pPr>
                  <w:r>
                    <w:t>其他要求：</w:t>
                  </w:r>
                </w:p>
                <w:p w14:paraId="0240C24D">
                  <w:pPr>
                    <w:pStyle w:val="41"/>
                  </w:pPr>
                  <w:r>
                    <w:t>a）企业应当建立台帐，记录含VOCs原辅材料和含VOCs产品的名称、使用量、回收量、废弃量、去向以及VOCs含量等信息。台帐保存期限不少于3年。</w:t>
                  </w:r>
                </w:p>
                <w:p w14:paraId="7D1F0548">
                  <w:pPr>
                    <w:pStyle w:val="41"/>
                  </w:pPr>
                  <w:r>
                    <w:t>b）通风生产设备、操作工位、车间厂房等应当在符合安全生产、职业卫生相关规定的前提下，根据行业作业规程与标准、工业建筑及洁净厂房通风设计规范等的要求，采用合理的通风量。</w:t>
                  </w:r>
                </w:p>
                <w:p w14:paraId="71073B97">
                  <w:pPr>
                    <w:pStyle w:val="41"/>
                  </w:pPr>
                  <w:r>
                    <w:t>c）载有VOCs物料的设备及其管道在开停工（车）、检维修和洗，应当在退料阶段将残存物料退净，并用密闭容器盛装，退料过程废气应当排至VOCs废气收集处理系统；清洗及吹扫过程排气应当排至VOCs废气收集处理系统。</w:t>
                  </w:r>
                </w:p>
              </w:tc>
              <w:tc>
                <w:tcPr>
                  <w:tcW w:w="2551" w:type="dxa"/>
                  <w:vAlign w:val="center"/>
                </w:tcPr>
                <w:p w14:paraId="34116AB6">
                  <w:pPr>
                    <w:pStyle w:val="41"/>
                  </w:pPr>
                  <w:r>
                    <w:t>建设单位拟建立台帐，记录含VOCs原辅材料和含VOCs产品的名称、使用量、回收量、废弃量、去向以及VOCs含量等信息。帐保存期限不少于3年。本项目电泳烘干、粉末固化废气拟采用合理的通风量。</w:t>
                  </w:r>
                </w:p>
              </w:tc>
              <w:tc>
                <w:tcPr>
                  <w:tcW w:w="759" w:type="dxa"/>
                  <w:vAlign w:val="center"/>
                </w:tcPr>
                <w:p w14:paraId="7A4C9917">
                  <w:pPr>
                    <w:pStyle w:val="41"/>
                  </w:pPr>
                  <w:r>
                    <w:t>符合</w:t>
                  </w:r>
                </w:p>
              </w:tc>
            </w:tr>
            <w:tr w14:paraId="42D7C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653C0458">
                  <w:pPr>
                    <w:pStyle w:val="41"/>
                  </w:pPr>
                </w:p>
              </w:tc>
              <w:tc>
                <w:tcPr>
                  <w:tcW w:w="751" w:type="dxa"/>
                  <w:vMerge w:val="restart"/>
                  <w:vAlign w:val="center"/>
                </w:tcPr>
                <w:p w14:paraId="0B99D536">
                  <w:pPr>
                    <w:pStyle w:val="41"/>
                  </w:pPr>
                  <w:r>
                    <w:t>设备与管线组件VOCs泄漏控制要求</w:t>
                  </w:r>
                </w:p>
              </w:tc>
              <w:tc>
                <w:tcPr>
                  <w:tcW w:w="2977" w:type="dxa"/>
                  <w:vAlign w:val="center"/>
                </w:tcPr>
                <w:p w14:paraId="5CDB0A5E">
                  <w:pPr>
                    <w:pStyle w:val="41"/>
                  </w:pPr>
                  <w:r>
                    <w:t>企业中载有气态VOCs物料、液态VOCs物料的设备与管线组件的密封点≥2000个，应当开展泄漏检测与修复工作。</w:t>
                  </w:r>
                </w:p>
              </w:tc>
              <w:tc>
                <w:tcPr>
                  <w:tcW w:w="2551" w:type="dxa"/>
                  <w:vMerge w:val="restart"/>
                  <w:vAlign w:val="center"/>
                </w:tcPr>
                <w:p w14:paraId="0BD8D553">
                  <w:pPr>
                    <w:pStyle w:val="41"/>
                  </w:pPr>
                  <w:r>
                    <w:t>本项目无载有气态VOCs物料、液态VOCs物料的设备与管线组件。</w:t>
                  </w:r>
                </w:p>
              </w:tc>
              <w:tc>
                <w:tcPr>
                  <w:tcW w:w="759" w:type="dxa"/>
                  <w:vMerge w:val="restart"/>
                  <w:vAlign w:val="center"/>
                </w:tcPr>
                <w:p w14:paraId="0BBD097F">
                  <w:pPr>
                    <w:pStyle w:val="41"/>
                  </w:pPr>
                  <w:r>
                    <w:t>符合</w:t>
                  </w:r>
                </w:p>
              </w:tc>
            </w:tr>
            <w:tr w14:paraId="742E1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531030E5">
                  <w:pPr>
                    <w:pStyle w:val="41"/>
                  </w:pPr>
                </w:p>
              </w:tc>
              <w:tc>
                <w:tcPr>
                  <w:tcW w:w="751" w:type="dxa"/>
                  <w:vMerge w:val="continue"/>
                  <w:vAlign w:val="center"/>
                </w:tcPr>
                <w:p w14:paraId="57A30AFE">
                  <w:pPr>
                    <w:pStyle w:val="41"/>
                  </w:pPr>
                </w:p>
              </w:tc>
              <w:tc>
                <w:tcPr>
                  <w:tcW w:w="2977" w:type="dxa"/>
                  <w:vAlign w:val="center"/>
                </w:tcPr>
                <w:p w14:paraId="46EB2A6C">
                  <w:pPr>
                    <w:pStyle w:val="41"/>
                  </w:pPr>
                  <w:r>
                    <w:t>泄漏检测应当建立台账，记录检测时间、检测仪器读数、修复时间、采取的修复措施、修复后检测仪器读数等。台帐保存期限不少于3年。</w:t>
                  </w:r>
                </w:p>
              </w:tc>
              <w:tc>
                <w:tcPr>
                  <w:tcW w:w="2551" w:type="dxa"/>
                  <w:vMerge w:val="continue"/>
                  <w:vAlign w:val="center"/>
                </w:tcPr>
                <w:p w14:paraId="4A1E7078">
                  <w:pPr>
                    <w:pStyle w:val="41"/>
                  </w:pPr>
                </w:p>
              </w:tc>
              <w:tc>
                <w:tcPr>
                  <w:tcW w:w="759" w:type="dxa"/>
                  <w:vMerge w:val="continue"/>
                  <w:vAlign w:val="center"/>
                </w:tcPr>
                <w:p w14:paraId="68583B53">
                  <w:pPr>
                    <w:pStyle w:val="41"/>
                  </w:pPr>
                </w:p>
              </w:tc>
            </w:tr>
            <w:tr w14:paraId="05D80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1CA11FEF">
                  <w:pPr>
                    <w:pStyle w:val="41"/>
                  </w:pPr>
                </w:p>
              </w:tc>
              <w:tc>
                <w:tcPr>
                  <w:tcW w:w="751" w:type="dxa"/>
                  <w:vMerge w:val="restart"/>
                  <w:vAlign w:val="center"/>
                </w:tcPr>
                <w:p w14:paraId="5039E3AF">
                  <w:pPr>
                    <w:pStyle w:val="41"/>
                  </w:pPr>
                  <w:r>
                    <w:t>敞开液面VOCs无组织排放控制要求</w:t>
                  </w:r>
                </w:p>
              </w:tc>
              <w:tc>
                <w:tcPr>
                  <w:tcW w:w="2977" w:type="dxa"/>
                  <w:vAlign w:val="center"/>
                </w:tcPr>
                <w:p w14:paraId="6F6AAEB7">
                  <w:pPr>
                    <w:pStyle w:val="41"/>
                  </w:pPr>
                  <w:r>
                    <w:t>对于工艺过程排放的含VOCs废水，集输系统应当符合下列规定之一：</w:t>
                  </w:r>
                </w:p>
                <w:p w14:paraId="5742B5C0">
                  <w:pPr>
                    <w:pStyle w:val="41"/>
                  </w:pPr>
                  <w:r>
                    <w:t>a）采用密闭管道输送，接入口和排出口采取与环境空气隔离的措施；</w:t>
                  </w:r>
                </w:p>
                <w:p w14:paraId="62B9A669">
                  <w:pPr>
                    <w:pStyle w:val="41"/>
                  </w:pPr>
                  <w:r>
                    <w:t>b）采用沟渠输送，若敞开液面上方100mm处VOCs检测浓度≥200µmol/mol，应当加盖密闭，接入口和排出口采取与环境空气隔离的措施。</w:t>
                  </w:r>
                </w:p>
              </w:tc>
              <w:tc>
                <w:tcPr>
                  <w:tcW w:w="2551" w:type="dxa"/>
                  <w:vAlign w:val="center"/>
                </w:tcPr>
                <w:p w14:paraId="244681E9">
                  <w:pPr>
                    <w:pStyle w:val="41"/>
                  </w:pPr>
                  <w:r>
                    <w:t>本项目不排放含VOCs的废水。</w:t>
                  </w:r>
                </w:p>
              </w:tc>
              <w:tc>
                <w:tcPr>
                  <w:tcW w:w="759" w:type="dxa"/>
                  <w:vAlign w:val="center"/>
                </w:tcPr>
                <w:p w14:paraId="3568AE9E">
                  <w:pPr>
                    <w:pStyle w:val="41"/>
                  </w:pPr>
                  <w:r>
                    <w:t>符合</w:t>
                  </w:r>
                </w:p>
              </w:tc>
            </w:tr>
            <w:tr w14:paraId="12996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49FB7429">
                  <w:pPr>
                    <w:pStyle w:val="41"/>
                  </w:pPr>
                </w:p>
              </w:tc>
              <w:tc>
                <w:tcPr>
                  <w:tcW w:w="751" w:type="dxa"/>
                  <w:vMerge w:val="continue"/>
                  <w:vAlign w:val="center"/>
                </w:tcPr>
                <w:p w14:paraId="413788EE">
                  <w:pPr>
                    <w:pStyle w:val="41"/>
                  </w:pPr>
                </w:p>
              </w:tc>
              <w:tc>
                <w:tcPr>
                  <w:tcW w:w="2977" w:type="dxa"/>
                  <w:vAlign w:val="center"/>
                </w:tcPr>
                <w:p w14:paraId="1250F3D2">
                  <w:pPr>
                    <w:pStyle w:val="41"/>
                  </w:pPr>
                  <w:r>
                    <w:t>含VOCs废水储存和处理设施敞开液面上方100mm处VOCs检测浓度≥200µmol/mol，应当符合下列规定之一：</w:t>
                  </w:r>
                </w:p>
                <w:p w14:paraId="6B20E719">
                  <w:pPr>
                    <w:pStyle w:val="41"/>
                  </w:pPr>
                  <w:r>
                    <w:t>a）采用浮动顶盖；</w:t>
                  </w:r>
                </w:p>
                <w:p w14:paraId="39611532">
                  <w:pPr>
                    <w:pStyle w:val="41"/>
                  </w:pPr>
                  <w:r>
                    <w:t>b）采用固定顶盖，收集废气至VOCs废气收集处理系统；</w:t>
                  </w:r>
                </w:p>
                <w:p w14:paraId="5295AED9">
                  <w:pPr>
                    <w:pStyle w:val="41"/>
                  </w:pPr>
                  <w:r>
                    <w:t>c）其他等效措施。</w:t>
                  </w:r>
                </w:p>
              </w:tc>
              <w:tc>
                <w:tcPr>
                  <w:tcW w:w="2551" w:type="dxa"/>
                  <w:vAlign w:val="center"/>
                </w:tcPr>
                <w:p w14:paraId="5AB1E21D">
                  <w:pPr>
                    <w:pStyle w:val="41"/>
                  </w:pPr>
                  <w:r>
                    <w:t>本项目无VOCs废水储存和处理设施。</w:t>
                  </w:r>
                </w:p>
              </w:tc>
              <w:tc>
                <w:tcPr>
                  <w:tcW w:w="759" w:type="dxa"/>
                  <w:vAlign w:val="center"/>
                </w:tcPr>
                <w:p w14:paraId="1DBFBD75">
                  <w:pPr>
                    <w:pStyle w:val="41"/>
                  </w:pPr>
                  <w:r>
                    <w:t>符合</w:t>
                  </w:r>
                </w:p>
              </w:tc>
            </w:tr>
            <w:tr w14:paraId="7B5AD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5" w:type="dxa"/>
                  <w:vMerge w:val="continue"/>
                  <w:vAlign w:val="center"/>
                </w:tcPr>
                <w:p w14:paraId="4F54C3D4">
                  <w:pPr>
                    <w:pStyle w:val="41"/>
                  </w:pPr>
                </w:p>
              </w:tc>
              <w:tc>
                <w:tcPr>
                  <w:tcW w:w="751" w:type="dxa"/>
                  <w:vMerge w:val="continue"/>
                  <w:vAlign w:val="center"/>
                </w:tcPr>
                <w:p w14:paraId="32EE16DA">
                  <w:pPr>
                    <w:pStyle w:val="41"/>
                  </w:pPr>
                </w:p>
              </w:tc>
              <w:tc>
                <w:tcPr>
                  <w:tcW w:w="2977" w:type="dxa"/>
                  <w:vAlign w:val="center"/>
                </w:tcPr>
                <w:p w14:paraId="3C0F9577">
                  <w:pPr>
                    <w:pStyle w:val="41"/>
                  </w:pPr>
                  <w:r>
                    <w:t>对开式循环冷却水系统，每6个月对流经换热器进口和出口的循环冷却水中的总有机碳（TOC）浓度进行检测，若出口浓度大于进口浓度10%，则认定发生了泄漏，应当按5.5.4、5.5.5规定进行泄漏源修复与记录。</w:t>
                  </w:r>
                </w:p>
              </w:tc>
              <w:tc>
                <w:tcPr>
                  <w:tcW w:w="2551" w:type="dxa"/>
                  <w:vAlign w:val="center"/>
                </w:tcPr>
                <w:p w14:paraId="5D35BD91">
                  <w:pPr>
                    <w:pStyle w:val="41"/>
                  </w:pPr>
                  <w:r>
                    <w:t>本项目不使用冷却水系统。</w:t>
                  </w:r>
                </w:p>
              </w:tc>
              <w:tc>
                <w:tcPr>
                  <w:tcW w:w="759" w:type="dxa"/>
                  <w:vAlign w:val="center"/>
                </w:tcPr>
                <w:p w14:paraId="5ABCEE1E">
                  <w:pPr>
                    <w:pStyle w:val="41"/>
                  </w:pPr>
                  <w:r>
                    <w:t>无关项</w:t>
                  </w:r>
                </w:p>
              </w:tc>
            </w:tr>
          </w:tbl>
          <w:p w14:paraId="16947D8E">
            <w:pPr>
              <w:ind w:firstLine="480"/>
            </w:pPr>
            <w:r>
              <w:t>由上表可知，本项目与广东省《固定污染源挥发性有机物综合排放标准》（DB 44/2367-2022）中的相关要求是相符的。</w:t>
            </w:r>
          </w:p>
          <w:p w14:paraId="2F9FB865">
            <w:pPr>
              <w:ind w:firstLine="482"/>
              <w:outlineLvl w:val="0"/>
              <w:rPr>
                <w:rStyle w:val="32"/>
              </w:rPr>
            </w:pPr>
            <w:r>
              <w:rPr>
                <w:b/>
              </w:rPr>
              <w:t>（</w:t>
            </w:r>
            <w:r>
              <w:rPr>
                <w:rStyle w:val="32"/>
              </w:rPr>
              <w:t>4）与《广东省涉挥发性有机物（VOCs）重点行业治理指引》的通知（粤环办〔2021〕43号）中“八、表面涂装行业VOCs治理指引”相符性分析</w:t>
            </w:r>
          </w:p>
          <w:p w14:paraId="3B8A81B3">
            <w:pPr>
              <w:pStyle w:val="22"/>
              <w:rPr>
                <w:szCs w:val="21"/>
              </w:rPr>
            </w:pPr>
            <w:r>
              <w:rPr>
                <w:szCs w:val="21"/>
              </w:rPr>
              <w:t>表1-4 与（粤环办〔2021〕43号）表面涂装行业VOCs治理指引相符性分析</w:t>
            </w:r>
          </w:p>
          <w:tbl>
            <w:tblPr>
              <w:tblStyle w:val="23"/>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2"/>
              <w:gridCol w:w="856"/>
              <w:gridCol w:w="2788"/>
              <w:gridCol w:w="707"/>
              <w:gridCol w:w="1843"/>
              <w:gridCol w:w="709"/>
            </w:tblGrid>
            <w:tr w14:paraId="081F1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91" w:type="pct"/>
                  <w:vAlign w:val="center"/>
                </w:tcPr>
                <w:p w14:paraId="73F48C7B">
                  <w:pPr>
                    <w:pStyle w:val="41"/>
                    <w:rPr>
                      <w:b/>
                      <w:bCs/>
                    </w:rPr>
                  </w:pPr>
                  <w:r>
                    <w:rPr>
                      <w:b/>
                      <w:bCs/>
                    </w:rPr>
                    <w:t>控制要求</w:t>
                  </w:r>
                </w:p>
              </w:tc>
              <w:tc>
                <w:tcPr>
                  <w:tcW w:w="559" w:type="pct"/>
                  <w:vAlign w:val="center"/>
                </w:tcPr>
                <w:p w14:paraId="4D9B542A">
                  <w:pPr>
                    <w:pStyle w:val="41"/>
                    <w:rPr>
                      <w:b/>
                      <w:bCs/>
                    </w:rPr>
                  </w:pPr>
                  <w:r>
                    <w:rPr>
                      <w:b/>
                      <w:bCs/>
                    </w:rPr>
                    <w:t>环节</w:t>
                  </w:r>
                </w:p>
              </w:tc>
              <w:tc>
                <w:tcPr>
                  <w:tcW w:w="1821" w:type="pct"/>
                  <w:vAlign w:val="center"/>
                </w:tcPr>
                <w:p w14:paraId="6266F5E0">
                  <w:pPr>
                    <w:pStyle w:val="41"/>
                    <w:rPr>
                      <w:b/>
                      <w:bCs/>
                    </w:rPr>
                  </w:pPr>
                  <w:r>
                    <w:rPr>
                      <w:b/>
                      <w:bCs/>
                    </w:rPr>
                    <w:t>内容</w:t>
                  </w:r>
                </w:p>
              </w:tc>
              <w:tc>
                <w:tcPr>
                  <w:tcW w:w="462" w:type="pct"/>
                  <w:vAlign w:val="center"/>
                </w:tcPr>
                <w:p w14:paraId="3916CFD3">
                  <w:pPr>
                    <w:pStyle w:val="41"/>
                    <w:rPr>
                      <w:b/>
                      <w:bCs/>
                    </w:rPr>
                  </w:pPr>
                  <w:r>
                    <w:rPr>
                      <w:b/>
                      <w:bCs/>
                    </w:rPr>
                    <w:t>实施要求</w:t>
                  </w:r>
                </w:p>
              </w:tc>
              <w:tc>
                <w:tcPr>
                  <w:tcW w:w="1204" w:type="pct"/>
                  <w:vAlign w:val="center"/>
                </w:tcPr>
                <w:p w14:paraId="40894D02">
                  <w:pPr>
                    <w:pStyle w:val="41"/>
                    <w:rPr>
                      <w:b/>
                      <w:bCs/>
                    </w:rPr>
                  </w:pPr>
                  <w:r>
                    <w:rPr>
                      <w:b/>
                      <w:bCs/>
                    </w:rPr>
                    <w:t>相符性分析</w:t>
                  </w:r>
                </w:p>
              </w:tc>
              <w:tc>
                <w:tcPr>
                  <w:tcW w:w="463" w:type="pct"/>
                  <w:vAlign w:val="center"/>
                </w:tcPr>
                <w:p w14:paraId="1194CC35">
                  <w:pPr>
                    <w:pStyle w:val="41"/>
                    <w:rPr>
                      <w:b/>
                      <w:bCs/>
                    </w:rPr>
                  </w:pPr>
                  <w:r>
                    <w:rPr>
                      <w:b/>
                      <w:bCs/>
                    </w:rPr>
                    <w:t>是否相符</w:t>
                  </w:r>
                </w:p>
              </w:tc>
            </w:tr>
            <w:tr w14:paraId="7E1A3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000" w:type="pct"/>
                  <w:gridSpan w:val="6"/>
                  <w:vAlign w:val="center"/>
                </w:tcPr>
                <w:p w14:paraId="4FDA81A5">
                  <w:pPr>
                    <w:pStyle w:val="41"/>
                  </w:pPr>
                  <w:r>
                    <w:t>表面涂装行业VOCs治理指引</w:t>
                  </w:r>
                </w:p>
              </w:tc>
            </w:tr>
            <w:tr w14:paraId="049AD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restart"/>
                  <w:vAlign w:val="center"/>
                </w:tcPr>
                <w:p w14:paraId="24D9942F">
                  <w:pPr>
                    <w:pStyle w:val="41"/>
                  </w:pPr>
                  <w:r>
                    <w:t>过程控制</w:t>
                  </w:r>
                </w:p>
              </w:tc>
              <w:tc>
                <w:tcPr>
                  <w:tcW w:w="559" w:type="pct"/>
                  <w:vMerge w:val="restart"/>
                  <w:vAlign w:val="center"/>
                </w:tcPr>
                <w:p w14:paraId="23825FFA">
                  <w:pPr>
                    <w:pStyle w:val="41"/>
                  </w:pPr>
                  <w:r>
                    <w:t>VOCs物料储存</w:t>
                  </w:r>
                </w:p>
              </w:tc>
              <w:tc>
                <w:tcPr>
                  <w:tcW w:w="1821" w:type="pct"/>
                  <w:vAlign w:val="center"/>
                </w:tcPr>
                <w:p w14:paraId="61F931EF">
                  <w:pPr>
                    <w:pStyle w:val="41"/>
                  </w:pPr>
                  <w:r>
                    <w:t>油漆、稀释剂、清洗剂等含VOCs物料应储存于密闭的容器、包装袋、储罐、储库、料仓中。</w:t>
                  </w:r>
                </w:p>
              </w:tc>
              <w:tc>
                <w:tcPr>
                  <w:tcW w:w="462" w:type="pct"/>
                  <w:vAlign w:val="center"/>
                </w:tcPr>
                <w:p w14:paraId="04A509E1">
                  <w:pPr>
                    <w:pStyle w:val="41"/>
                  </w:pPr>
                  <w:r>
                    <w:t>要求</w:t>
                  </w:r>
                </w:p>
              </w:tc>
              <w:tc>
                <w:tcPr>
                  <w:tcW w:w="1204" w:type="pct"/>
                  <w:vMerge w:val="restart"/>
                  <w:vAlign w:val="center"/>
                </w:tcPr>
                <w:p w14:paraId="0C73EDAF">
                  <w:pPr>
                    <w:pStyle w:val="41"/>
                  </w:pPr>
                  <w:r>
                    <w:t>项目使用的水性阴极电泳漆用包装桶密封保存，树脂粉末使用密封包装保存，所有原辅材料、包装容器均放置于室内，符合要求。</w:t>
                  </w:r>
                </w:p>
              </w:tc>
              <w:tc>
                <w:tcPr>
                  <w:tcW w:w="463" w:type="pct"/>
                  <w:vAlign w:val="center"/>
                </w:tcPr>
                <w:p w14:paraId="1BCDDBCF">
                  <w:pPr>
                    <w:pStyle w:val="41"/>
                  </w:pPr>
                  <w:r>
                    <w:t>是</w:t>
                  </w:r>
                </w:p>
              </w:tc>
            </w:tr>
            <w:tr w14:paraId="29028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667B0192">
                  <w:pPr>
                    <w:pStyle w:val="41"/>
                  </w:pPr>
                </w:p>
              </w:tc>
              <w:tc>
                <w:tcPr>
                  <w:tcW w:w="559" w:type="pct"/>
                  <w:vMerge w:val="continue"/>
                  <w:vAlign w:val="center"/>
                </w:tcPr>
                <w:p w14:paraId="61549AE1">
                  <w:pPr>
                    <w:pStyle w:val="41"/>
                  </w:pPr>
                </w:p>
              </w:tc>
              <w:tc>
                <w:tcPr>
                  <w:tcW w:w="1821" w:type="pct"/>
                  <w:vAlign w:val="center"/>
                </w:tcPr>
                <w:p w14:paraId="2151FBE4">
                  <w:pPr>
                    <w:pStyle w:val="41"/>
                  </w:pPr>
                  <w:r>
                    <w:t>油漆、稀释剂、清洗剂等盛装VOCs物料的容器存放于室内，或存放于设置有雨棚、遮阳和防渗设施的专用场地。盛装VOCs物料的容器在非取用状态时应加盖、封口，保持密闭。</w:t>
                  </w:r>
                </w:p>
              </w:tc>
              <w:tc>
                <w:tcPr>
                  <w:tcW w:w="462" w:type="pct"/>
                  <w:vAlign w:val="center"/>
                </w:tcPr>
                <w:p w14:paraId="4D9A5D1E">
                  <w:pPr>
                    <w:pStyle w:val="41"/>
                  </w:pPr>
                  <w:r>
                    <w:t>要求</w:t>
                  </w:r>
                </w:p>
              </w:tc>
              <w:tc>
                <w:tcPr>
                  <w:tcW w:w="1204" w:type="pct"/>
                  <w:vMerge w:val="continue"/>
                  <w:vAlign w:val="center"/>
                </w:tcPr>
                <w:p w14:paraId="5B1E61AB">
                  <w:pPr>
                    <w:pStyle w:val="41"/>
                  </w:pPr>
                </w:p>
              </w:tc>
              <w:tc>
                <w:tcPr>
                  <w:tcW w:w="463" w:type="pct"/>
                  <w:vAlign w:val="center"/>
                </w:tcPr>
                <w:p w14:paraId="78C7761F">
                  <w:pPr>
                    <w:pStyle w:val="41"/>
                  </w:pPr>
                  <w:r>
                    <w:t>是</w:t>
                  </w:r>
                </w:p>
              </w:tc>
            </w:tr>
            <w:tr w14:paraId="203CA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71E610BF">
                  <w:pPr>
                    <w:pStyle w:val="41"/>
                  </w:pPr>
                </w:p>
              </w:tc>
              <w:tc>
                <w:tcPr>
                  <w:tcW w:w="559" w:type="pct"/>
                  <w:vAlign w:val="center"/>
                </w:tcPr>
                <w:p w14:paraId="32D11CF6">
                  <w:pPr>
                    <w:pStyle w:val="41"/>
                  </w:pPr>
                  <w:r>
                    <w:t>VOCs物料转移、输送</w:t>
                  </w:r>
                </w:p>
              </w:tc>
              <w:tc>
                <w:tcPr>
                  <w:tcW w:w="1821" w:type="pct"/>
                  <w:vAlign w:val="center"/>
                </w:tcPr>
                <w:p w14:paraId="3B4A1DBB">
                  <w:pPr>
                    <w:pStyle w:val="41"/>
                  </w:pPr>
                  <w:r>
                    <w:t>油漆、稀释剂、清洗剂等液体VOCs物料应采用管道密闭输送。采用非管道输送方式转移液态VOCs物料时，应采用密闭容器或罐车。</w:t>
                  </w:r>
                </w:p>
              </w:tc>
              <w:tc>
                <w:tcPr>
                  <w:tcW w:w="462" w:type="pct"/>
                  <w:vAlign w:val="center"/>
                </w:tcPr>
                <w:p w14:paraId="7347AA81">
                  <w:pPr>
                    <w:pStyle w:val="41"/>
                  </w:pPr>
                  <w:r>
                    <w:t>要求</w:t>
                  </w:r>
                </w:p>
              </w:tc>
              <w:tc>
                <w:tcPr>
                  <w:tcW w:w="1204" w:type="pct"/>
                  <w:vAlign w:val="center"/>
                </w:tcPr>
                <w:p w14:paraId="7EF660BD">
                  <w:pPr>
                    <w:pStyle w:val="41"/>
                  </w:pPr>
                  <w:r>
                    <w:t>涉VOCs物料在不使用的情况均密封包装，不使用时堆放在所在车间原料堆放区中待用，不设置管道输送</w:t>
                  </w:r>
                </w:p>
              </w:tc>
              <w:tc>
                <w:tcPr>
                  <w:tcW w:w="463" w:type="pct"/>
                  <w:vAlign w:val="center"/>
                </w:tcPr>
                <w:p w14:paraId="08AB0A21">
                  <w:pPr>
                    <w:pStyle w:val="41"/>
                  </w:pPr>
                  <w:r>
                    <w:t>是</w:t>
                  </w:r>
                </w:p>
              </w:tc>
            </w:tr>
            <w:tr w14:paraId="034C8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347045F8">
                  <w:pPr>
                    <w:pStyle w:val="41"/>
                  </w:pPr>
                </w:p>
              </w:tc>
              <w:tc>
                <w:tcPr>
                  <w:tcW w:w="559" w:type="pct"/>
                  <w:vAlign w:val="center"/>
                </w:tcPr>
                <w:p w14:paraId="41D3FB6D">
                  <w:pPr>
                    <w:pStyle w:val="41"/>
                  </w:pPr>
                  <w:r>
                    <w:t>工艺过程</w:t>
                  </w:r>
                </w:p>
              </w:tc>
              <w:tc>
                <w:tcPr>
                  <w:tcW w:w="1821" w:type="pct"/>
                  <w:vAlign w:val="center"/>
                </w:tcPr>
                <w:p w14:paraId="1852BF5C">
                  <w:pPr>
                    <w:pStyle w:val="41"/>
                  </w:pPr>
                  <w:r>
                    <w:t>调配、电泳、电泳烘干、喷涂（低、中、面、清）、喷涂烘干、修补漆、修补漆烘干等使用VOCs质量占比大于等于10%物料的工艺过程应采用密闭设备或在密闭空间内操作，废气应排至VOCs废气收集处理系统；无法密闭的，应采取局部气体收集措施，废气排至VOCs废气收集处理系统。</w:t>
                  </w:r>
                </w:p>
              </w:tc>
              <w:tc>
                <w:tcPr>
                  <w:tcW w:w="462" w:type="pct"/>
                  <w:vAlign w:val="center"/>
                </w:tcPr>
                <w:p w14:paraId="2853398A">
                  <w:pPr>
                    <w:pStyle w:val="41"/>
                  </w:pPr>
                  <w:r>
                    <w:t>要求</w:t>
                  </w:r>
                </w:p>
              </w:tc>
              <w:tc>
                <w:tcPr>
                  <w:tcW w:w="1204" w:type="pct"/>
                  <w:vAlign w:val="center"/>
                </w:tcPr>
                <w:p w14:paraId="43914787">
                  <w:pPr>
                    <w:pStyle w:val="41"/>
                  </w:pPr>
                  <w:r>
                    <w:t>本项目的有机废气主要为来源于电泳烘干、粉末固化工序，产污设备为烘干房，烘干房产生的VOCs经密闭空间负压收集至“喷淋塔 +二活性炭吸附装置”处理达标后，尾气经15m高排气筒高空排放，符合要求</w:t>
                  </w:r>
                </w:p>
              </w:tc>
              <w:tc>
                <w:tcPr>
                  <w:tcW w:w="463" w:type="pct"/>
                  <w:vAlign w:val="center"/>
                </w:tcPr>
                <w:p w14:paraId="6612EC1B">
                  <w:pPr>
                    <w:pStyle w:val="41"/>
                  </w:pPr>
                  <w:r>
                    <w:t>是</w:t>
                  </w:r>
                </w:p>
              </w:tc>
            </w:tr>
            <w:tr w14:paraId="5D584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75CC87A2">
                  <w:pPr>
                    <w:pStyle w:val="41"/>
                  </w:pPr>
                </w:p>
              </w:tc>
              <w:tc>
                <w:tcPr>
                  <w:tcW w:w="559" w:type="pct"/>
                  <w:vMerge w:val="restart"/>
                  <w:vAlign w:val="center"/>
                </w:tcPr>
                <w:p w14:paraId="78E70273">
                  <w:pPr>
                    <w:pStyle w:val="41"/>
                  </w:pPr>
                  <w:r>
                    <w:t>废气收集</w:t>
                  </w:r>
                </w:p>
              </w:tc>
              <w:tc>
                <w:tcPr>
                  <w:tcW w:w="1821" w:type="pct"/>
                  <w:vAlign w:val="center"/>
                </w:tcPr>
                <w:p w14:paraId="42928463">
                  <w:pPr>
                    <w:pStyle w:val="41"/>
                  </w:pPr>
                  <w:r>
                    <w:t>废气收集系统的输送管道应密闭。废气收集系统应在负压下运行，若处于正压状态，应对管道组件的密封点进行泄漏检测，泄漏检测值不应超过500μmol/mol，亦不应有感官可察觉泄漏。</w:t>
                  </w:r>
                </w:p>
              </w:tc>
              <w:tc>
                <w:tcPr>
                  <w:tcW w:w="462" w:type="pct"/>
                  <w:vAlign w:val="center"/>
                </w:tcPr>
                <w:p w14:paraId="4653FE7B">
                  <w:pPr>
                    <w:pStyle w:val="41"/>
                  </w:pPr>
                  <w:r>
                    <w:t>要求</w:t>
                  </w:r>
                </w:p>
              </w:tc>
              <w:tc>
                <w:tcPr>
                  <w:tcW w:w="1204" w:type="pct"/>
                  <w:vAlign w:val="center"/>
                </w:tcPr>
                <w:p w14:paraId="1ADAD5F7">
                  <w:pPr>
                    <w:pStyle w:val="41"/>
                  </w:pPr>
                  <w:r>
                    <w:t>本项目的废气收集输送管道密闭输送，符合相应要求</w:t>
                  </w:r>
                  <w:r>
                    <w:rPr>
                      <w:rFonts w:hint="eastAsia"/>
                    </w:rPr>
                    <w:t>。</w:t>
                  </w:r>
                </w:p>
              </w:tc>
              <w:tc>
                <w:tcPr>
                  <w:tcW w:w="463" w:type="pct"/>
                  <w:vAlign w:val="center"/>
                </w:tcPr>
                <w:p w14:paraId="2BD38DCB">
                  <w:pPr>
                    <w:pStyle w:val="41"/>
                  </w:pPr>
                  <w:r>
                    <w:t>是</w:t>
                  </w:r>
                </w:p>
              </w:tc>
            </w:tr>
            <w:tr w14:paraId="15BB0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2E4AD341">
                  <w:pPr>
                    <w:pStyle w:val="41"/>
                  </w:pPr>
                </w:p>
              </w:tc>
              <w:tc>
                <w:tcPr>
                  <w:tcW w:w="559" w:type="pct"/>
                  <w:vMerge w:val="continue"/>
                  <w:vAlign w:val="center"/>
                </w:tcPr>
                <w:p w14:paraId="24B12B0C">
                  <w:pPr>
                    <w:pStyle w:val="41"/>
                  </w:pPr>
                </w:p>
              </w:tc>
              <w:tc>
                <w:tcPr>
                  <w:tcW w:w="1821" w:type="pct"/>
                  <w:vAlign w:val="center"/>
                </w:tcPr>
                <w:p w14:paraId="19D7590B">
                  <w:pPr>
                    <w:pStyle w:val="41"/>
                  </w:pPr>
                  <w:r>
                    <w:t>采用外部集气罩的，距集气罩开口面最远处的VOCs无组织排放位置，控制风速不低于0.3m/s。</w:t>
                  </w:r>
                </w:p>
              </w:tc>
              <w:tc>
                <w:tcPr>
                  <w:tcW w:w="462" w:type="pct"/>
                  <w:vAlign w:val="center"/>
                </w:tcPr>
                <w:p w14:paraId="618654A5">
                  <w:pPr>
                    <w:pStyle w:val="41"/>
                  </w:pPr>
                  <w:r>
                    <w:t>要求</w:t>
                  </w:r>
                </w:p>
              </w:tc>
              <w:tc>
                <w:tcPr>
                  <w:tcW w:w="1204" w:type="pct"/>
                  <w:vAlign w:val="center"/>
                </w:tcPr>
                <w:p w14:paraId="0F6B6DBD">
                  <w:pPr>
                    <w:pStyle w:val="41"/>
                  </w:pPr>
                  <w:r>
                    <w:t>本项目电泳烘干、粉末固化工序产生的有机废气采用密闭空间负压收集，不涉及外部集气罩的使用。</w:t>
                  </w:r>
                </w:p>
              </w:tc>
              <w:tc>
                <w:tcPr>
                  <w:tcW w:w="463" w:type="pct"/>
                  <w:vAlign w:val="center"/>
                </w:tcPr>
                <w:p w14:paraId="6B7B8622">
                  <w:pPr>
                    <w:pStyle w:val="41"/>
                  </w:pPr>
                  <w:r>
                    <w:t>是</w:t>
                  </w:r>
                </w:p>
              </w:tc>
            </w:tr>
            <w:tr w14:paraId="4F87B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3892E6E2">
                  <w:pPr>
                    <w:pStyle w:val="41"/>
                  </w:pPr>
                </w:p>
              </w:tc>
              <w:tc>
                <w:tcPr>
                  <w:tcW w:w="559" w:type="pct"/>
                  <w:vMerge w:val="continue"/>
                  <w:vAlign w:val="center"/>
                </w:tcPr>
                <w:p w14:paraId="03ED5C2B">
                  <w:pPr>
                    <w:pStyle w:val="41"/>
                  </w:pPr>
                </w:p>
              </w:tc>
              <w:tc>
                <w:tcPr>
                  <w:tcW w:w="1821" w:type="pct"/>
                  <w:vAlign w:val="center"/>
                </w:tcPr>
                <w:p w14:paraId="73EFFFEC">
                  <w:pPr>
                    <w:pStyle w:val="41"/>
                  </w:pPr>
                  <w:r>
                    <w:t>废气收集系统应与生产工艺设备同步运行。废气收集系统发生故障或检修时，对应的生产工艺设备应停止运行，待检修完毕后同步投入使用；生产工艺设备不能停止运行或不能及时停止运行的，应设置废气应急处理设施或采取其他代替措施。</w:t>
                  </w:r>
                </w:p>
              </w:tc>
              <w:tc>
                <w:tcPr>
                  <w:tcW w:w="462" w:type="pct"/>
                  <w:vAlign w:val="center"/>
                </w:tcPr>
                <w:p w14:paraId="6835246A">
                  <w:pPr>
                    <w:pStyle w:val="41"/>
                  </w:pPr>
                  <w:r>
                    <w:t>要求</w:t>
                  </w:r>
                </w:p>
              </w:tc>
              <w:tc>
                <w:tcPr>
                  <w:tcW w:w="1204" w:type="pct"/>
                  <w:vAlign w:val="center"/>
                </w:tcPr>
                <w:p w14:paraId="452408EB">
                  <w:pPr>
                    <w:pStyle w:val="41"/>
                  </w:pPr>
                  <w:r>
                    <w:t>本项目生产设备和环保设施“同启同停”。废气收集系统发生故障或检修时，对应的生产工艺设备停止运行，待检修完毕后再生产</w:t>
                  </w:r>
                </w:p>
              </w:tc>
              <w:tc>
                <w:tcPr>
                  <w:tcW w:w="463" w:type="pct"/>
                  <w:vAlign w:val="center"/>
                </w:tcPr>
                <w:p w14:paraId="63554A3F">
                  <w:pPr>
                    <w:pStyle w:val="41"/>
                  </w:pPr>
                  <w:r>
                    <w:t>是</w:t>
                  </w:r>
                </w:p>
              </w:tc>
            </w:tr>
            <w:tr w14:paraId="3EA86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restart"/>
                  <w:vAlign w:val="center"/>
                </w:tcPr>
                <w:p w14:paraId="79371BA3">
                  <w:pPr>
                    <w:pStyle w:val="41"/>
                  </w:pPr>
                  <w:r>
                    <w:t>末端治理</w:t>
                  </w:r>
                </w:p>
              </w:tc>
              <w:tc>
                <w:tcPr>
                  <w:tcW w:w="559" w:type="pct"/>
                  <w:vAlign w:val="center"/>
                </w:tcPr>
                <w:p w14:paraId="40D7ACE1">
                  <w:pPr>
                    <w:pStyle w:val="41"/>
                  </w:pPr>
                  <w:r>
                    <w:t>排放水平</w:t>
                  </w:r>
                </w:p>
              </w:tc>
              <w:tc>
                <w:tcPr>
                  <w:tcW w:w="1821" w:type="pct"/>
                  <w:vAlign w:val="center"/>
                </w:tcPr>
                <w:p w14:paraId="59A071DD">
                  <w:pPr>
                    <w:pStyle w:val="41"/>
                  </w:pPr>
                  <w:r>
                    <w:t>其他表面涂装行业</w:t>
                  </w:r>
                </w:p>
                <w:p w14:paraId="78C6E284">
                  <w:pPr>
                    <w:pStyle w:val="41"/>
                  </w:pPr>
                  <w:r>
                    <w:t>a）2002年1月1日前的建设项目排放的工艺有机废气排放浓度执行《大气污染物排放限值》（DB 44/27-2001）第一时段限值；2002年1月1日起的建设项目排放的有机废气排放浓度执行《大气污染物排放限值》（DB 44/27-2001）第二时段限值；车间或生产设施排气中NMHC初始排放速率≥3kg/h时，建设VOCs处理设施且处理效率≥80%。</w:t>
                  </w:r>
                </w:p>
                <w:p w14:paraId="11BC5739">
                  <w:pPr>
                    <w:pStyle w:val="41"/>
                  </w:pPr>
                  <w:r>
                    <w:t>b）厂区内无组织排放监控点NMHC的小时平均浓度值不超过6mg/m</w:t>
                  </w:r>
                  <w:r>
                    <w:rPr>
                      <w:vertAlign w:val="superscript"/>
                    </w:rPr>
                    <w:t>3</w:t>
                  </w:r>
                  <w:r>
                    <w:t>，任意一次浓度值不超过20mg/m</w:t>
                  </w:r>
                  <w:r>
                    <w:rPr>
                      <w:vertAlign w:val="superscript"/>
                    </w:rPr>
                    <w:t>3</w:t>
                  </w:r>
                  <w:r>
                    <w:t>。</w:t>
                  </w:r>
                </w:p>
              </w:tc>
              <w:tc>
                <w:tcPr>
                  <w:tcW w:w="462" w:type="pct"/>
                  <w:vAlign w:val="center"/>
                </w:tcPr>
                <w:p w14:paraId="650F34FA">
                  <w:pPr>
                    <w:pStyle w:val="41"/>
                  </w:pPr>
                  <w:r>
                    <w:t>要求</w:t>
                  </w:r>
                </w:p>
              </w:tc>
              <w:tc>
                <w:tcPr>
                  <w:tcW w:w="1204" w:type="pct"/>
                  <w:vMerge w:val="restart"/>
                  <w:vAlign w:val="center"/>
                </w:tcPr>
                <w:p w14:paraId="1E692FF3">
                  <w:pPr>
                    <w:pStyle w:val="41"/>
                  </w:pPr>
                  <w:r>
                    <w:t>企业建成后，按照要求定期进行厂区的有组织和无组织废气检测；项目采用“</w:t>
                  </w:r>
                  <w:r>
                    <w:rPr>
                      <w:rFonts w:hint="eastAsia"/>
                      <w:lang w:eastAsia="zh-CN"/>
                    </w:rPr>
                    <w:t>喷淋塔+干式过滤+二级活性炭</w:t>
                  </w:r>
                  <w:r>
                    <w:t>吸附装置”处理电泳烘干、粉末固化废气，属于高效的治污设施，处理效率达80%。</w:t>
                  </w:r>
                </w:p>
              </w:tc>
              <w:tc>
                <w:tcPr>
                  <w:tcW w:w="463" w:type="pct"/>
                  <w:vAlign w:val="center"/>
                </w:tcPr>
                <w:p w14:paraId="164B5F48">
                  <w:pPr>
                    <w:pStyle w:val="41"/>
                  </w:pPr>
                  <w:r>
                    <w:t>是</w:t>
                  </w:r>
                </w:p>
              </w:tc>
            </w:tr>
            <w:tr w14:paraId="060E3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062124D3">
                  <w:pPr>
                    <w:pStyle w:val="41"/>
                  </w:pPr>
                </w:p>
              </w:tc>
              <w:tc>
                <w:tcPr>
                  <w:tcW w:w="559" w:type="pct"/>
                  <w:vAlign w:val="center"/>
                </w:tcPr>
                <w:p w14:paraId="171F25A7">
                  <w:pPr>
                    <w:pStyle w:val="41"/>
                  </w:pPr>
                  <w:r>
                    <w:t>治理技术</w:t>
                  </w:r>
                </w:p>
              </w:tc>
              <w:tc>
                <w:tcPr>
                  <w:tcW w:w="1821" w:type="pct"/>
                  <w:vAlign w:val="center"/>
                </w:tcPr>
                <w:p w14:paraId="380C6BD6">
                  <w:pPr>
                    <w:pStyle w:val="41"/>
                  </w:pPr>
                  <w:r>
                    <w:t>喷涂废气应设置有效的漆雾预处理装置，如采用干式过滤等高效除漆雾技术，涂密封胶、密封胶烘干、电泳平流、调配、喷涂和烘干工序废气宜采用吸附浓缩+燃烧等工艺进行处理。</w:t>
                  </w:r>
                </w:p>
              </w:tc>
              <w:tc>
                <w:tcPr>
                  <w:tcW w:w="462" w:type="pct"/>
                  <w:vAlign w:val="center"/>
                </w:tcPr>
                <w:p w14:paraId="602DA4EC">
                  <w:pPr>
                    <w:pStyle w:val="41"/>
                  </w:pPr>
                  <w:r>
                    <w:t>推荐</w:t>
                  </w:r>
                </w:p>
              </w:tc>
              <w:tc>
                <w:tcPr>
                  <w:tcW w:w="1204" w:type="pct"/>
                  <w:vMerge w:val="continue"/>
                  <w:vAlign w:val="center"/>
                </w:tcPr>
                <w:p w14:paraId="148ED6B5">
                  <w:pPr>
                    <w:pStyle w:val="41"/>
                  </w:pPr>
                </w:p>
              </w:tc>
              <w:tc>
                <w:tcPr>
                  <w:tcW w:w="463" w:type="pct"/>
                  <w:vAlign w:val="center"/>
                </w:tcPr>
                <w:p w14:paraId="5CF3988F">
                  <w:pPr>
                    <w:pStyle w:val="41"/>
                  </w:pPr>
                  <w:r>
                    <w:t>是</w:t>
                  </w:r>
                </w:p>
              </w:tc>
            </w:tr>
            <w:tr w14:paraId="14460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33B28FAD">
                  <w:pPr>
                    <w:pStyle w:val="41"/>
                  </w:pPr>
                </w:p>
              </w:tc>
              <w:tc>
                <w:tcPr>
                  <w:tcW w:w="559" w:type="pct"/>
                  <w:vMerge w:val="restart"/>
                  <w:vAlign w:val="center"/>
                </w:tcPr>
                <w:p w14:paraId="723CC682">
                  <w:pPr>
                    <w:pStyle w:val="41"/>
                  </w:pPr>
                  <w:r>
                    <w:t>治理设施设计与运行管理</w:t>
                  </w:r>
                </w:p>
              </w:tc>
              <w:tc>
                <w:tcPr>
                  <w:tcW w:w="1821" w:type="pct"/>
                  <w:vAlign w:val="center"/>
                </w:tcPr>
                <w:p w14:paraId="16A9A526">
                  <w:pPr>
                    <w:pStyle w:val="41"/>
                  </w:pPr>
                  <w:r>
                    <w:t>吸附床（含活性炭吸附法）：a）预处理设备应根据废气的成分、性质和影响吸附过程的物质性质及含量进行选择；b）吸附床层的吸附剂用量应根据废气处理量、污染物浓度和吸附剂的动态吸附量确定；c）吸附剂应及时更换或有效再生。</w:t>
                  </w:r>
                </w:p>
              </w:tc>
              <w:tc>
                <w:tcPr>
                  <w:tcW w:w="462" w:type="pct"/>
                  <w:vAlign w:val="center"/>
                </w:tcPr>
                <w:p w14:paraId="437C85BE">
                  <w:pPr>
                    <w:pStyle w:val="41"/>
                  </w:pPr>
                  <w:r>
                    <w:t>要求</w:t>
                  </w:r>
                </w:p>
              </w:tc>
              <w:tc>
                <w:tcPr>
                  <w:tcW w:w="1204" w:type="pct"/>
                  <w:vAlign w:val="center"/>
                </w:tcPr>
                <w:p w14:paraId="3E245B5D">
                  <w:pPr>
                    <w:pStyle w:val="41"/>
                  </w:pPr>
                  <w:r>
                    <w:t>本项目的有机废气治理设施工艺为“</w:t>
                  </w:r>
                  <w:r>
                    <w:rPr>
                      <w:rFonts w:hint="eastAsia"/>
                      <w:lang w:eastAsia="zh-CN"/>
                    </w:rPr>
                    <w:t>喷淋塔+干式过滤+二级活性炭</w:t>
                  </w:r>
                  <w:r>
                    <w:t>吸附装置”，其中活性炭吸附床按照规范要求设计和装填，根据运行情况进行活性炭及时更换。</w:t>
                  </w:r>
                </w:p>
              </w:tc>
              <w:tc>
                <w:tcPr>
                  <w:tcW w:w="463" w:type="pct"/>
                  <w:vAlign w:val="center"/>
                </w:tcPr>
                <w:p w14:paraId="1422478D">
                  <w:pPr>
                    <w:pStyle w:val="41"/>
                  </w:pPr>
                  <w:r>
                    <w:t>是</w:t>
                  </w:r>
                </w:p>
              </w:tc>
            </w:tr>
            <w:tr w14:paraId="4D43E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03724CB4">
                  <w:pPr>
                    <w:pStyle w:val="41"/>
                  </w:pPr>
                </w:p>
              </w:tc>
              <w:tc>
                <w:tcPr>
                  <w:tcW w:w="559" w:type="pct"/>
                  <w:vMerge w:val="continue"/>
                  <w:vAlign w:val="center"/>
                </w:tcPr>
                <w:p w14:paraId="79789437">
                  <w:pPr>
                    <w:pStyle w:val="41"/>
                  </w:pPr>
                </w:p>
              </w:tc>
              <w:tc>
                <w:tcPr>
                  <w:tcW w:w="1821" w:type="pct"/>
                  <w:vAlign w:val="center"/>
                </w:tcPr>
                <w:p w14:paraId="11618DEA">
                  <w:pPr>
                    <w:pStyle w:val="41"/>
                  </w:pPr>
                  <w:r>
                    <w:t>VOCs治理设施应与生产工艺设备同步运行，VOCs治理设施发生故障或检修时，对应的生产工艺设备应停止运行，待检修完毕后同步投入使用；生产工艺设备不能停止运行或不能及时停止运行的，应设置废气应急处理设施或采取其他替代措施。</w:t>
                  </w:r>
                </w:p>
              </w:tc>
              <w:tc>
                <w:tcPr>
                  <w:tcW w:w="462" w:type="pct"/>
                  <w:vAlign w:val="center"/>
                </w:tcPr>
                <w:p w14:paraId="65F9EE76">
                  <w:pPr>
                    <w:pStyle w:val="41"/>
                  </w:pPr>
                  <w:r>
                    <w:t>要求</w:t>
                  </w:r>
                </w:p>
              </w:tc>
              <w:tc>
                <w:tcPr>
                  <w:tcW w:w="1204" w:type="pct"/>
                  <w:vAlign w:val="center"/>
                </w:tcPr>
                <w:p w14:paraId="7F98F5A4">
                  <w:pPr>
                    <w:pStyle w:val="41"/>
                  </w:pPr>
                  <w:r>
                    <w:t>本项目生产设备和环保设施“同启同停”，当出现治理设施故障时，企业立即停止生产并待检修完毕后同步投入使用</w:t>
                  </w:r>
                </w:p>
              </w:tc>
              <w:tc>
                <w:tcPr>
                  <w:tcW w:w="463" w:type="pct"/>
                  <w:vAlign w:val="center"/>
                </w:tcPr>
                <w:p w14:paraId="0D301945">
                  <w:pPr>
                    <w:pStyle w:val="41"/>
                  </w:pPr>
                  <w:r>
                    <w:t>是</w:t>
                  </w:r>
                </w:p>
              </w:tc>
            </w:tr>
            <w:tr w14:paraId="7CF6C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412BD850">
                  <w:pPr>
                    <w:pStyle w:val="41"/>
                  </w:pPr>
                </w:p>
              </w:tc>
              <w:tc>
                <w:tcPr>
                  <w:tcW w:w="559" w:type="pct"/>
                  <w:vMerge w:val="continue"/>
                  <w:vAlign w:val="center"/>
                </w:tcPr>
                <w:p w14:paraId="357BC395">
                  <w:pPr>
                    <w:pStyle w:val="41"/>
                  </w:pPr>
                </w:p>
              </w:tc>
              <w:tc>
                <w:tcPr>
                  <w:tcW w:w="1821" w:type="pct"/>
                  <w:vAlign w:val="center"/>
                </w:tcPr>
                <w:p w14:paraId="1C379F82">
                  <w:pPr>
                    <w:pStyle w:val="41"/>
                  </w:pPr>
                  <w:r>
                    <w:t>污染治理设施编号可为电子工业排污单位内部编号，若排污单位无内部编号，则根据《排污单位编码规则》（HJ 608）进行编号。有组织排放口编号应填写地方环境保护主管部门现有编号，若排污单位无现有编号，则由电子工业排污单位根据《排污单位编码规则》（HJ 608）进行编号。</w:t>
                  </w:r>
                </w:p>
              </w:tc>
              <w:tc>
                <w:tcPr>
                  <w:tcW w:w="462" w:type="pct"/>
                  <w:vAlign w:val="center"/>
                </w:tcPr>
                <w:p w14:paraId="24FC4EFA">
                  <w:pPr>
                    <w:pStyle w:val="41"/>
                  </w:pPr>
                  <w:r>
                    <w:t>要求</w:t>
                  </w:r>
                </w:p>
              </w:tc>
              <w:tc>
                <w:tcPr>
                  <w:tcW w:w="1204" w:type="pct"/>
                  <w:vAlign w:val="center"/>
                </w:tcPr>
                <w:p w14:paraId="6BF1167F">
                  <w:pPr>
                    <w:pStyle w:val="41"/>
                  </w:pPr>
                  <w:r>
                    <w:t>企业建成后，按照排污许可证的要求对排放口合理编号</w:t>
                  </w:r>
                </w:p>
              </w:tc>
              <w:tc>
                <w:tcPr>
                  <w:tcW w:w="463" w:type="pct"/>
                  <w:vAlign w:val="center"/>
                </w:tcPr>
                <w:p w14:paraId="28EB9540">
                  <w:pPr>
                    <w:pStyle w:val="41"/>
                  </w:pPr>
                  <w:r>
                    <w:t>是</w:t>
                  </w:r>
                </w:p>
              </w:tc>
            </w:tr>
            <w:tr w14:paraId="08D27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164EA78F">
                  <w:pPr>
                    <w:pStyle w:val="41"/>
                  </w:pPr>
                </w:p>
              </w:tc>
              <w:tc>
                <w:tcPr>
                  <w:tcW w:w="559" w:type="pct"/>
                  <w:vMerge w:val="continue"/>
                  <w:vAlign w:val="center"/>
                </w:tcPr>
                <w:p w14:paraId="37D3C398">
                  <w:pPr>
                    <w:pStyle w:val="41"/>
                  </w:pPr>
                </w:p>
              </w:tc>
              <w:tc>
                <w:tcPr>
                  <w:tcW w:w="1821" w:type="pct"/>
                  <w:vAlign w:val="center"/>
                </w:tcPr>
                <w:p w14:paraId="48D84175">
                  <w:pPr>
                    <w:pStyle w:val="41"/>
                  </w:pPr>
                  <w:r>
                    <w:t>设置规范的处理前后采样位置，采样位置应避开对测试人员操作有危险的场所，优先选择在垂直管段，避开烟道弯头和断面急剧变化的部位，应设置在距弯头、阀门、变径管下游方向不小于6倍直径，和距上述部件上游方向不小于3倍直径处。</w:t>
                  </w:r>
                </w:p>
              </w:tc>
              <w:tc>
                <w:tcPr>
                  <w:tcW w:w="462" w:type="pct"/>
                  <w:vAlign w:val="center"/>
                </w:tcPr>
                <w:p w14:paraId="2451B132">
                  <w:pPr>
                    <w:pStyle w:val="41"/>
                  </w:pPr>
                  <w:r>
                    <w:t>要求</w:t>
                  </w:r>
                </w:p>
              </w:tc>
              <w:tc>
                <w:tcPr>
                  <w:tcW w:w="1204" w:type="pct"/>
                  <w:vMerge w:val="restart"/>
                  <w:vAlign w:val="center"/>
                </w:tcPr>
                <w:p w14:paraId="54FF7B03">
                  <w:pPr>
                    <w:pStyle w:val="41"/>
                  </w:pPr>
                  <w:r>
                    <w:t>企业建成后，废气排放口按照相应规范设计和管理</w:t>
                  </w:r>
                </w:p>
              </w:tc>
              <w:tc>
                <w:tcPr>
                  <w:tcW w:w="463" w:type="pct"/>
                  <w:vAlign w:val="center"/>
                </w:tcPr>
                <w:p w14:paraId="328CAA83">
                  <w:pPr>
                    <w:pStyle w:val="41"/>
                  </w:pPr>
                  <w:r>
                    <w:t>是</w:t>
                  </w:r>
                </w:p>
              </w:tc>
            </w:tr>
            <w:tr w14:paraId="5E314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44FB5E99">
                  <w:pPr>
                    <w:pStyle w:val="41"/>
                  </w:pPr>
                </w:p>
              </w:tc>
              <w:tc>
                <w:tcPr>
                  <w:tcW w:w="559" w:type="pct"/>
                  <w:vMerge w:val="continue"/>
                  <w:vAlign w:val="center"/>
                </w:tcPr>
                <w:p w14:paraId="1824C030">
                  <w:pPr>
                    <w:pStyle w:val="41"/>
                  </w:pPr>
                </w:p>
              </w:tc>
              <w:tc>
                <w:tcPr>
                  <w:tcW w:w="1821" w:type="pct"/>
                  <w:vAlign w:val="center"/>
                </w:tcPr>
                <w:p w14:paraId="031E2F82">
                  <w:pPr>
                    <w:pStyle w:val="41"/>
                  </w:pPr>
                  <w:r>
                    <w:t>废气排气筒应按照《广东省污染源排污口规范化设置导则》（粤环〔2008〕42号）相关规定，设置与排污口相应的环境保护图形标志牌。</w:t>
                  </w:r>
                </w:p>
              </w:tc>
              <w:tc>
                <w:tcPr>
                  <w:tcW w:w="462" w:type="pct"/>
                  <w:vAlign w:val="center"/>
                </w:tcPr>
                <w:p w14:paraId="00A81371">
                  <w:pPr>
                    <w:pStyle w:val="41"/>
                  </w:pPr>
                  <w:r>
                    <w:t>要求</w:t>
                  </w:r>
                </w:p>
              </w:tc>
              <w:tc>
                <w:tcPr>
                  <w:tcW w:w="1204" w:type="pct"/>
                  <w:vMerge w:val="continue"/>
                  <w:vAlign w:val="center"/>
                </w:tcPr>
                <w:p w14:paraId="08FA4925">
                  <w:pPr>
                    <w:pStyle w:val="41"/>
                  </w:pPr>
                </w:p>
              </w:tc>
              <w:tc>
                <w:tcPr>
                  <w:tcW w:w="463" w:type="pct"/>
                  <w:vAlign w:val="center"/>
                </w:tcPr>
                <w:p w14:paraId="33DCDC28">
                  <w:pPr>
                    <w:pStyle w:val="41"/>
                  </w:pPr>
                  <w:r>
                    <w:t>是</w:t>
                  </w:r>
                </w:p>
              </w:tc>
            </w:tr>
            <w:tr w14:paraId="25B24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restart"/>
                  <w:vAlign w:val="center"/>
                </w:tcPr>
                <w:p w14:paraId="5CA3DA65">
                  <w:pPr>
                    <w:pStyle w:val="41"/>
                  </w:pPr>
                  <w:r>
                    <w:t>环境管理</w:t>
                  </w:r>
                </w:p>
              </w:tc>
              <w:tc>
                <w:tcPr>
                  <w:tcW w:w="559" w:type="pct"/>
                  <w:vMerge w:val="restart"/>
                  <w:vAlign w:val="center"/>
                </w:tcPr>
                <w:p w14:paraId="7D3ED05B">
                  <w:pPr>
                    <w:pStyle w:val="41"/>
                  </w:pPr>
                  <w:r>
                    <w:t>管理台账</w:t>
                  </w:r>
                </w:p>
              </w:tc>
              <w:tc>
                <w:tcPr>
                  <w:tcW w:w="1821" w:type="pct"/>
                  <w:vAlign w:val="center"/>
                </w:tcPr>
                <w:p w14:paraId="31FA4095">
                  <w:pPr>
                    <w:pStyle w:val="41"/>
                  </w:pPr>
                  <w:r>
                    <w:t>建立含VOCs原辅材料台账，记录含VOCs原辅材料的名称及其VOCs含量、采购量、使用量、库存量、含VOCs原辅材料回收方式及回收量。</w:t>
                  </w:r>
                </w:p>
              </w:tc>
              <w:tc>
                <w:tcPr>
                  <w:tcW w:w="462" w:type="pct"/>
                  <w:vAlign w:val="center"/>
                </w:tcPr>
                <w:p w14:paraId="3F550A9A">
                  <w:pPr>
                    <w:pStyle w:val="41"/>
                  </w:pPr>
                  <w:r>
                    <w:t>要求</w:t>
                  </w:r>
                </w:p>
              </w:tc>
              <w:tc>
                <w:tcPr>
                  <w:tcW w:w="1204" w:type="pct"/>
                  <w:vMerge w:val="restart"/>
                  <w:vAlign w:val="center"/>
                </w:tcPr>
                <w:p w14:paraId="7EFD91C3">
                  <w:pPr>
                    <w:pStyle w:val="41"/>
                  </w:pPr>
                  <w:r>
                    <w:t>企业建成后，按照排污许可证的要求完善原辅材料台账、设备运行台账、废气废水治理设施运行台账、固废危废台账等，按照规范安排人员每天进行记录</w:t>
                  </w:r>
                </w:p>
              </w:tc>
              <w:tc>
                <w:tcPr>
                  <w:tcW w:w="463" w:type="pct"/>
                  <w:vAlign w:val="center"/>
                </w:tcPr>
                <w:p w14:paraId="49D113F8">
                  <w:pPr>
                    <w:pStyle w:val="41"/>
                  </w:pPr>
                  <w:r>
                    <w:t>是</w:t>
                  </w:r>
                </w:p>
              </w:tc>
            </w:tr>
            <w:tr w14:paraId="642F3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72DC41DC">
                  <w:pPr>
                    <w:pStyle w:val="41"/>
                  </w:pPr>
                </w:p>
              </w:tc>
              <w:tc>
                <w:tcPr>
                  <w:tcW w:w="559" w:type="pct"/>
                  <w:vMerge w:val="continue"/>
                  <w:vAlign w:val="center"/>
                </w:tcPr>
                <w:p w14:paraId="502E285F">
                  <w:pPr>
                    <w:pStyle w:val="41"/>
                  </w:pPr>
                </w:p>
              </w:tc>
              <w:tc>
                <w:tcPr>
                  <w:tcW w:w="1821" w:type="pct"/>
                  <w:vAlign w:val="center"/>
                </w:tcPr>
                <w:p w14:paraId="39A3A6B7">
                  <w:pPr>
                    <w:pStyle w:val="41"/>
                  </w:pPr>
                  <w:r>
                    <w:t>建立废气收集处理设施台账，记录废气处理设施进出口的监测数据（废气量、浓度、温度、含氧量等）、废气收集与处理设施关键参数、废气处理设施相关耗材（吸收剂、吸附剂、催化剂等）购买和处理记录。</w:t>
                  </w:r>
                </w:p>
              </w:tc>
              <w:tc>
                <w:tcPr>
                  <w:tcW w:w="462" w:type="pct"/>
                  <w:vAlign w:val="center"/>
                </w:tcPr>
                <w:p w14:paraId="0A7674C1">
                  <w:pPr>
                    <w:pStyle w:val="41"/>
                  </w:pPr>
                  <w:r>
                    <w:t>要求</w:t>
                  </w:r>
                </w:p>
              </w:tc>
              <w:tc>
                <w:tcPr>
                  <w:tcW w:w="1204" w:type="pct"/>
                  <w:vMerge w:val="continue"/>
                  <w:vAlign w:val="center"/>
                </w:tcPr>
                <w:p w14:paraId="5D8CA308">
                  <w:pPr>
                    <w:pStyle w:val="41"/>
                  </w:pPr>
                </w:p>
              </w:tc>
              <w:tc>
                <w:tcPr>
                  <w:tcW w:w="463" w:type="pct"/>
                  <w:vAlign w:val="center"/>
                </w:tcPr>
                <w:p w14:paraId="647B006F">
                  <w:pPr>
                    <w:pStyle w:val="41"/>
                  </w:pPr>
                  <w:r>
                    <w:t>是</w:t>
                  </w:r>
                </w:p>
              </w:tc>
            </w:tr>
            <w:tr w14:paraId="4720A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31556E28">
                  <w:pPr>
                    <w:pStyle w:val="41"/>
                  </w:pPr>
                </w:p>
              </w:tc>
              <w:tc>
                <w:tcPr>
                  <w:tcW w:w="559" w:type="pct"/>
                  <w:vMerge w:val="continue"/>
                  <w:vAlign w:val="center"/>
                </w:tcPr>
                <w:p w14:paraId="41289A9C">
                  <w:pPr>
                    <w:pStyle w:val="41"/>
                  </w:pPr>
                </w:p>
              </w:tc>
              <w:tc>
                <w:tcPr>
                  <w:tcW w:w="1821" w:type="pct"/>
                  <w:vAlign w:val="center"/>
                </w:tcPr>
                <w:p w14:paraId="59C1F743">
                  <w:pPr>
                    <w:pStyle w:val="41"/>
                  </w:pPr>
                  <w:r>
                    <w:t>建立危废台账，整理危废处置合同、转移联单及危废处理方资质佐证材料。</w:t>
                  </w:r>
                </w:p>
              </w:tc>
              <w:tc>
                <w:tcPr>
                  <w:tcW w:w="462" w:type="pct"/>
                  <w:vAlign w:val="center"/>
                </w:tcPr>
                <w:p w14:paraId="491E5ED8">
                  <w:pPr>
                    <w:pStyle w:val="41"/>
                  </w:pPr>
                  <w:r>
                    <w:t>要求</w:t>
                  </w:r>
                </w:p>
              </w:tc>
              <w:tc>
                <w:tcPr>
                  <w:tcW w:w="1204" w:type="pct"/>
                  <w:vMerge w:val="continue"/>
                  <w:vAlign w:val="center"/>
                </w:tcPr>
                <w:p w14:paraId="7FBC5CFC">
                  <w:pPr>
                    <w:pStyle w:val="41"/>
                  </w:pPr>
                </w:p>
              </w:tc>
              <w:tc>
                <w:tcPr>
                  <w:tcW w:w="463" w:type="pct"/>
                  <w:vAlign w:val="center"/>
                </w:tcPr>
                <w:p w14:paraId="491F4D5D">
                  <w:pPr>
                    <w:pStyle w:val="41"/>
                  </w:pPr>
                  <w:r>
                    <w:t>是</w:t>
                  </w:r>
                </w:p>
              </w:tc>
            </w:tr>
            <w:tr w14:paraId="2CFBE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0FD204F9">
                  <w:pPr>
                    <w:pStyle w:val="41"/>
                  </w:pPr>
                </w:p>
              </w:tc>
              <w:tc>
                <w:tcPr>
                  <w:tcW w:w="559" w:type="pct"/>
                  <w:vMerge w:val="restart"/>
                  <w:vAlign w:val="center"/>
                </w:tcPr>
                <w:p w14:paraId="7B85A657">
                  <w:pPr>
                    <w:pStyle w:val="41"/>
                  </w:pPr>
                  <w:r>
                    <w:t>自行监测</w:t>
                  </w:r>
                </w:p>
              </w:tc>
              <w:tc>
                <w:tcPr>
                  <w:tcW w:w="1821" w:type="pct"/>
                  <w:vAlign w:val="center"/>
                </w:tcPr>
                <w:p w14:paraId="3B18C208">
                  <w:pPr>
                    <w:pStyle w:val="41"/>
                  </w:pPr>
                  <w:r>
                    <w:t>水性涂料涂覆、水性涂料（含胶）固化成膜设施废气重点排污单位主要排放口至少每季度监测一次挥发性有机物及特征污染物，一般排放口至少每半年监测一次挥发性有机物及特征污染物，非重点排污单位至少每年监测一次挥发性有机物及特征污染物。</w:t>
                  </w:r>
                </w:p>
              </w:tc>
              <w:tc>
                <w:tcPr>
                  <w:tcW w:w="462" w:type="pct"/>
                  <w:vAlign w:val="center"/>
                </w:tcPr>
                <w:p w14:paraId="7AC594EE">
                  <w:pPr>
                    <w:pStyle w:val="41"/>
                  </w:pPr>
                  <w:r>
                    <w:t>要求</w:t>
                  </w:r>
                </w:p>
              </w:tc>
              <w:tc>
                <w:tcPr>
                  <w:tcW w:w="1204" w:type="pct"/>
                  <w:vMerge w:val="restart"/>
                  <w:vAlign w:val="center"/>
                </w:tcPr>
                <w:p w14:paraId="529E6D5E">
                  <w:pPr>
                    <w:pStyle w:val="41"/>
                  </w:pPr>
                  <w:r>
                    <w:t>企业建成后，按照排污许可证的要求定期进行厂区的有组织和无组织废气检测</w:t>
                  </w:r>
                </w:p>
              </w:tc>
              <w:tc>
                <w:tcPr>
                  <w:tcW w:w="463" w:type="pct"/>
                  <w:vAlign w:val="center"/>
                </w:tcPr>
                <w:p w14:paraId="1233B63C">
                  <w:pPr>
                    <w:pStyle w:val="41"/>
                  </w:pPr>
                  <w:r>
                    <w:t>是</w:t>
                  </w:r>
                </w:p>
              </w:tc>
            </w:tr>
            <w:tr w14:paraId="61B83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91" w:type="pct"/>
                  <w:vMerge w:val="continue"/>
                  <w:vAlign w:val="center"/>
                </w:tcPr>
                <w:p w14:paraId="371C9972">
                  <w:pPr>
                    <w:pStyle w:val="41"/>
                  </w:pPr>
                </w:p>
              </w:tc>
              <w:tc>
                <w:tcPr>
                  <w:tcW w:w="559" w:type="pct"/>
                  <w:vMerge w:val="continue"/>
                  <w:vAlign w:val="center"/>
                </w:tcPr>
                <w:p w14:paraId="56615F96">
                  <w:pPr>
                    <w:pStyle w:val="41"/>
                  </w:pPr>
                </w:p>
              </w:tc>
              <w:tc>
                <w:tcPr>
                  <w:tcW w:w="1821" w:type="pct"/>
                  <w:vAlign w:val="center"/>
                </w:tcPr>
                <w:p w14:paraId="5D5E3079">
                  <w:pPr>
                    <w:pStyle w:val="41"/>
                  </w:pPr>
                  <w:r>
                    <w:t>厂界无组织废气至少每半年监测一次挥发性有机物。</w:t>
                  </w:r>
                </w:p>
              </w:tc>
              <w:tc>
                <w:tcPr>
                  <w:tcW w:w="462" w:type="pct"/>
                  <w:vAlign w:val="center"/>
                </w:tcPr>
                <w:p w14:paraId="004B201F">
                  <w:pPr>
                    <w:pStyle w:val="41"/>
                  </w:pPr>
                  <w:r>
                    <w:t>要求</w:t>
                  </w:r>
                </w:p>
              </w:tc>
              <w:tc>
                <w:tcPr>
                  <w:tcW w:w="1204" w:type="pct"/>
                  <w:vMerge w:val="continue"/>
                  <w:vAlign w:val="center"/>
                </w:tcPr>
                <w:p w14:paraId="3AC9244B">
                  <w:pPr>
                    <w:pStyle w:val="41"/>
                  </w:pPr>
                </w:p>
              </w:tc>
              <w:tc>
                <w:tcPr>
                  <w:tcW w:w="463" w:type="pct"/>
                  <w:vAlign w:val="center"/>
                </w:tcPr>
                <w:p w14:paraId="53D6EB72">
                  <w:pPr>
                    <w:pStyle w:val="41"/>
                  </w:pPr>
                  <w:r>
                    <w:t>是</w:t>
                  </w:r>
                </w:p>
              </w:tc>
            </w:tr>
            <w:tr w14:paraId="2068E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5ED1DB57">
                  <w:pPr>
                    <w:pStyle w:val="41"/>
                  </w:pPr>
                </w:p>
              </w:tc>
              <w:tc>
                <w:tcPr>
                  <w:tcW w:w="559" w:type="pct"/>
                  <w:vMerge w:val="continue"/>
                  <w:vAlign w:val="center"/>
                </w:tcPr>
                <w:p w14:paraId="4749A098">
                  <w:pPr>
                    <w:pStyle w:val="41"/>
                  </w:pPr>
                </w:p>
              </w:tc>
              <w:tc>
                <w:tcPr>
                  <w:tcW w:w="1821" w:type="pct"/>
                  <w:vAlign w:val="center"/>
                </w:tcPr>
                <w:p w14:paraId="33AB00DB">
                  <w:pPr>
                    <w:pStyle w:val="41"/>
                  </w:pPr>
                  <w:r>
                    <w:t>涂装工段旁无组织废气至少每季度监测一次挥发性有机物</w:t>
                  </w:r>
                </w:p>
              </w:tc>
              <w:tc>
                <w:tcPr>
                  <w:tcW w:w="462" w:type="pct"/>
                  <w:vAlign w:val="center"/>
                </w:tcPr>
                <w:p w14:paraId="32487EC7">
                  <w:pPr>
                    <w:pStyle w:val="41"/>
                  </w:pPr>
                  <w:r>
                    <w:t>要求</w:t>
                  </w:r>
                </w:p>
              </w:tc>
              <w:tc>
                <w:tcPr>
                  <w:tcW w:w="1204" w:type="pct"/>
                  <w:vMerge w:val="continue"/>
                  <w:vAlign w:val="center"/>
                </w:tcPr>
                <w:p w14:paraId="17D7B912">
                  <w:pPr>
                    <w:pStyle w:val="41"/>
                  </w:pPr>
                </w:p>
              </w:tc>
              <w:tc>
                <w:tcPr>
                  <w:tcW w:w="463" w:type="pct"/>
                  <w:vAlign w:val="center"/>
                </w:tcPr>
                <w:p w14:paraId="1BFD9C24">
                  <w:pPr>
                    <w:pStyle w:val="41"/>
                  </w:pPr>
                  <w:r>
                    <w:t>是</w:t>
                  </w:r>
                </w:p>
              </w:tc>
            </w:tr>
            <w:tr w14:paraId="0977F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91" w:type="pct"/>
                  <w:vMerge w:val="continue"/>
                  <w:vAlign w:val="center"/>
                </w:tcPr>
                <w:p w14:paraId="4C656C16">
                  <w:pPr>
                    <w:pStyle w:val="41"/>
                  </w:pPr>
                </w:p>
              </w:tc>
              <w:tc>
                <w:tcPr>
                  <w:tcW w:w="559" w:type="pct"/>
                  <w:vAlign w:val="center"/>
                </w:tcPr>
                <w:p w14:paraId="451D6B4F">
                  <w:pPr>
                    <w:pStyle w:val="41"/>
                  </w:pPr>
                  <w:r>
                    <w:t>危废管理</w:t>
                  </w:r>
                </w:p>
              </w:tc>
              <w:tc>
                <w:tcPr>
                  <w:tcW w:w="1821" w:type="pct"/>
                  <w:vAlign w:val="center"/>
                </w:tcPr>
                <w:p w14:paraId="2A544C5C">
                  <w:pPr>
                    <w:pStyle w:val="41"/>
                  </w:pPr>
                  <w:r>
                    <w:t>工艺过程产生的含VOCs废料（渣、液）应按照相关要求进行储存、转移和输送。盛装过VOCs物料的废包装容器应加盖密闭。</w:t>
                  </w:r>
                </w:p>
              </w:tc>
              <w:tc>
                <w:tcPr>
                  <w:tcW w:w="462" w:type="pct"/>
                  <w:vAlign w:val="center"/>
                </w:tcPr>
                <w:p w14:paraId="6E9A1121">
                  <w:pPr>
                    <w:pStyle w:val="41"/>
                  </w:pPr>
                  <w:r>
                    <w:t>要求</w:t>
                  </w:r>
                </w:p>
              </w:tc>
              <w:tc>
                <w:tcPr>
                  <w:tcW w:w="1204" w:type="pct"/>
                  <w:vAlign w:val="center"/>
                </w:tcPr>
                <w:p w14:paraId="4E705D50">
                  <w:pPr>
                    <w:pStyle w:val="41"/>
                  </w:pPr>
                  <w:r>
                    <w:t>企业建成后，完善危废台账，按照规范安排人员每天进行记录进出库，交有危废资质单位处理</w:t>
                  </w:r>
                </w:p>
              </w:tc>
              <w:tc>
                <w:tcPr>
                  <w:tcW w:w="463" w:type="pct"/>
                  <w:vAlign w:val="center"/>
                </w:tcPr>
                <w:p w14:paraId="482C7736">
                  <w:pPr>
                    <w:pStyle w:val="41"/>
                  </w:pPr>
                  <w:r>
                    <w:t>是</w:t>
                  </w:r>
                </w:p>
              </w:tc>
            </w:tr>
            <w:tr w14:paraId="5A773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50" w:type="pct"/>
                  <w:gridSpan w:val="2"/>
                  <w:vAlign w:val="center"/>
                </w:tcPr>
                <w:p w14:paraId="7854ECC1">
                  <w:pPr>
                    <w:pStyle w:val="41"/>
                  </w:pPr>
                  <w:r>
                    <w:t>建设项目VOCs总量管理</w:t>
                  </w:r>
                </w:p>
              </w:tc>
              <w:tc>
                <w:tcPr>
                  <w:tcW w:w="1821" w:type="pct"/>
                  <w:vAlign w:val="center"/>
                </w:tcPr>
                <w:p w14:paraId="06505FE2">
                  <w:pPr>
                    <w:pStyle w:val="41"/>
                  </w:pPr>
                  <w:r>
                    <w:t>新、改、扩建项目应执行总量替代制度，明确VOCs总量指标来源。</w:t>
                  </w:r>
                </w:p>
              </w:tc>
              <w:tc>
                <w:tcPr>
                  <w:tcW w:w="462" w:type="pct"/>
                  <w:vAlign w:val="center"/>
                </w:tcPr>
                <w:p w14:paraId="7E2719FD">
                  <w:pPr>
                    <w:pStyle w:val="41"/>
                  </w:pPr>
                  <w:r>
                    <w:t>要求</w:t>
                  </w:r>
                </w:p>
              </w:tc>
              <w:tc>
                <w:tcPr>
                  <w:tcW w:w="1204" w:type="pct"/>
                  <w:vAlign w:val="center"/>
                </w:tcPr>
                <w:p w14:paraId="55E22730">
                  <w:pPr>
                    <w:pStyle w:val="41"/>
                  </w:pPr>
                  <w:r>
                    <w:t>项目挥发性有机物排放量为 554</w:t>
                  </w:r>
                  <w:r>
                    <w:rPr>
                      <w:rFonts w:hint="eastAsia"/>
                    </w:rPr>
                    <w:t>.</w:t>
                  </w:r>
                  <w:r>
                    <w:t>7kg/a，</w:t>
                  </w:r>
                  <w:r>
                    <w:rPr>
                      <w:rFonts w:hint="eastAsia"/>
                    </w:rPr>
                    <w:t>总量指标来源于韶关乐淇包装材料有限公司和广东沃府实业有限公司的VOCs减排项目</w:t>
                  </w:r>
                  <w:r>
                    <w:t>。</w:t>
                  </w:r>
                </w:p>
              </w:tc>
              <w:tc>
                <w:tcPr>
                  <w:tcW w:w="463" w:type="pct"/>
                  <w:vAlign w:val="center"/>
                </w:tcPr>
                <w:p w14:paraId="65CA749B">
                  <w:pPr>
                    <w:pStyle w:val="41"/>
                  </w:pPr>
                  <w:r>
                    <w:t>是</w:t>
                  </w:r>
                </w:p>
              </w:tc>
            </w:tr>
          </w:tbl>
          <w:p w14:paraId="0DDC048F">
            <w:pPr>
              <w:pStyle w:val="12"/>
              <w:ind w:firstLine="482"/>
            </w:pPr>
            <w:r>
              <w:t>4、相关规划相符性分析</w:t>
            </w:r>
          </w:p>
          <w:p w14:paraId="4AFA2CA4">
            <w:pPr>
              <w:pStyle w:val="12"/>
              <w:ind w:firstLine="482"/>
            </w:pPr>
            <w:r>
              <w:t>（1）与《广东省生态环境厅关于印发广东省生态环境保护“十四五”规划的通知》（粤环</w:t>
            </w:r>
            <w:r>
              <w:rPr>
                <w:rFonts w:hint="eastAsia"/>
                <w:lang w:eastAsia="zh-CN"/>
              </w:rPr>
              <w:t>〔</w:t>
            </w:r>
            <w:r>
              <w:t>2021</w:t>
            </w:r>
            <w:r>
              <w:rPr>
                <w:rFonts w:hint="eastAsia"/>
                <w:lang w:eastAsia="zh-CN"/>
              </w:rPr>
              <w:t>〕</w:t>
            </w:r>
            <w:r>
              <w:t>10号）相符性分析</w:t>
            </w:r>
          </w:p>
          <w:p w14:paraId="0C988814">
            <w:pPr>
              <w:ind w:firstLine="480"/>
            </w:pPr>
            <w:r>
              <w:t>该通知中与本项目相关的内容如下：大力推进挥发性有机物（VOCs）源头控制和重点行业深度治理。开展原油、成品油、有机化学品等涉VOCs物质储罐排查，深化重点行业VOCs排放基数调查，系统掌握工业源VOCs精细化管理。在石化、化工、包装印刷、工业涂装等重点行业建立完善源头、过程和末端的VOCs全过程控制体系。大力推进低VOCs含量原辅材料源头替代，严格落实国家和地方产品VOCs含量限值标准质量，禁止建设生产和使用高VOCs含量的溶剂型涂料、油墨、胶粘剂等项目。严格实施VOCs排放企业分级管控，全面推进涉VOCs排气企业深度治理。开展中小型企业废气收集和治理设施建设、运行情况的评估，强化对企业涉VOCs生产车间/工序废气的收集管理，推动企业开展治理设施升级改造。推进工业园区、企业集群因地制宜统筹规划建设一批集中喷涂中心（共性工厂）、活性炭集中再生中心，实现VOCs集中高效处理。开展无组织排放源排查，加强含VOCs物料全方位、全链条、全环节密闭管理，深入推进泄漏检测与修复（LDAR）工作。</w:t>
            </w:r>
          </w:p>
          <w:p w14:paraId="09FB6A4B">
            <w:pPr>
              <w:ind w:firstLine="480"/>
            </w:pPr>
            <w:r>
              <w:t>本项目电泳使用的水性阴极电泳漆属于低VOCs含量的环保型涂料；项目粉末固化使用的树脂粉末属于低VOCs含量的物料。项目电泳烘干、粉末固化均在密闭的喷漆房内进行，产生的废气经“</w:t>
            </w:r>
            <w:r>
              <w:rPr>
                <w:rFonts w:hint="eastAsia"/>
                <w:lang w:eastAsia="zh-CN"/>
              </w:rPr>
              <w:t>喷淋塔+干式过滤+二级活性炭</w:t>
            </w:r>
            <w:r>
              <w:t>吸附装置”污染治理设施治理后通过15m排气筒排放，符合《广东省环境保护厅关于印发广东省生态环境保护“十四五”规划的通知》。</w:t>
            </w:r>
          </w:p>
          <w:p w14:paraId="1C683FF6">
            <w:pPr>
              <w:ind w:firstLine="482"/>
              <w:rPr>
                <w:b/>
                <w:bCs/>
              </w:rPr>
            </w:pPr>
            <w:r>
              <w:rPr>
                <w:b/>
                <w:bCs/>
              </w:rPr>
              <w:t>（2）与韶关市人民政府办公室《关于印发&lt;韶关市生态环境保护“十四五”规划&gt; 的通知》（韶府办〔2022〕1 号）相符性分析</w:t>
            </w:r>
          </w:p>
          <w:p w14:paraId="372756C8">
            <w:pPr>
              <w:ind w:firstLine="480"/>
            </w:pPr>
            <w:r>
              <w:t>文件要求：深化工业源污染治理。以挥发性有机物、工业炉窑和锅炉综合治理为重点，深化工业源污染防治，健全分级管控体系，提升重点行业企业深度治理水平。深化工业炉窑和锅炉排放治理。加大工业锅炉整治力度，禁止新建35蒸吨/小时以下燃煤锅炉；推进陶瓷等行业实施深度治理，持续开展生物质成型燃料锅炉整治，推动实施燃气锅炉低氮燃烧改造。严格实施工业炉窑分级管控，全面推动B级以下工业炉窑的清洁低碳化改造、废气治理设施升级改造、全过程无组织排放管控。</w:t>
            </w:r>
          </w:p>
          <w:p w14:paraId="7FB6E38D">
            <w:pPr>
              <w:ind w:firstLine="480"/>
            </w:pPr>
            <w:r>
              <w:t>项目烘干工序采用液化石油气加热，产生的污染物主要有颗粒物、二氧化硫、氮氧化物。燃烧废气收集后经排气筒DA003、DA004高空排放，排放高度均为15m。本项目产生的工业固体废物均得到妥善处置。故本项目与韶关市人民政府办公室《关于印发&lt;韶关市生态环境保护“十四五 ”规划&gt; 的通知》（韶府办〔2022〕1 号）相符。</w:t>
            </w:r>
          </w:p>
          <w:p w14:paraId="31D633CA">
            <w:pPr>
              <w:ind w:firstLine="482"/>
              <w:rPr>
                <w:b/>
                <w:bCs/>
              </w:rPr>
            </w:pPr>
            <w:r>
              <w:rPr>
                <w:b/>
                <w:bCs/>
              </w:rPr>
              <w:t>（3）与乐昌市人民政府办公室《关于印发&lt;乐昌市生态环境保护“十四五”规划</w:t>
            </w:r>
            <w:r>
              <w:rPr>
                <w:rFonts w:hint="eastAsia"/>
                <w:b/>
                <w:bCs/>
              </w:rPr>
              <w:t>&gt;</w:t>
            </w:r>
            <w:r>
              <w:rPr>
                <w:b/>
                <w:bCs/>
              </w:rPr>
              <w:t>的通知》（乐府办〔2022〕16号）相符性分析</w:t>
            </w:r>
          </w:p>
          <w:p w14:paraId="4B86B734">
            <w:pPr>
              <w:ind w:firstLine="480"/>
            </w:pPr>
            <w:r>
              <w:t>深化重点污染源治理，推进污染物减排。在水泥、化工、火电等行业全面执行大气污染物特别排放限值。逐步推进水泥行业实施超低排放改造，力争到2025年全市水泥</w:t>
            </w:r>
            <w:r>
              <w:rPr>
                <w:rFonts w:hint="eastAsia"/>
                <w:lang w:eastAsia="zh-CN"/>
              </w:rPr>
              <w:t>（</w:t>
            </w:r>
            <w:r>
              <w:t>熟料</w:t>
            </w:r>
            <w:r>
              <w:rPr>
                <w:rFonts w:hint="eastAsia"/>
                <w:lang w:eastAsia="zh-CN"/>
              </w:rPr>
              <w:t>）</w:t>
            </w:r>
            <w:r>
              <w:t>制造企业的水泥窑及窑尾余热利用系统烟气 NOx排放浓度不高于100mg/m</w:t>
            </w:r>
            <w:r>
              <w:rPr>
                <w:vertAlign w:val="superscript"/>
              </w:rPr>
              <w:t>3</w:t>
            </w:r>
            <w:r>
              <w:t>。持续开展生物质成型燃料锅炉整治，推动 实施燃气锅炉低氮燃烧改造。严格实施工业炉窑分级管控，全面推动B级以下企业工业炉窑的燃料清洁低碳化替代、废气治理设施升级改造、全过程无组织排放管控。</w:t>
            </w:r>
          </w:p>
          <w:p w14:paraId="59FE4F9D">
            <w:pPr>
              <w:ind w:firstLine="480"/>
            </w:pPr>
            <w:r>
              <w:t>项目不涉及锅炉。烘干工序采用液化石油气加热，产生的污染物主要有颗粒物、二氧化硫、氮氧化物。燃烧废气收集后经排气筒 DA003、 DA004高空排放，排放高度均为15m。故本项目与乐昌市人民政府办公室《关于印发&lt;乐昌市生态环境保护“十四五”规划</w:t>
            </w:r>
            <w:r>
              <w:rPr>
                <w:rFonts w:hint="eastAsia"/>
              </w:rPr>
              <w:t>&gt;</w:t>
            </w:r>
            <w:r>
              <w:t>的通知》（乐府办〔2022〕16号）相符。</w:t>
            </w:r>
          </w:p>
          <w:p w14:paraId="594380AD">
            <w:pPr>
              <w:pStyle w:val="12"/>
              <w:ind w:firstLine="482"/>
            </w:pPr>
            <w:r>
              <w:t>5、与《关于加强高耗能、高排放建设项目生态环境源头防控的指导意见》（环环评〔2021〕45号）、《广东省坚决遏制“两高”项目盲目发展的实施方案》（粤发改能源（2021）368号）相符性分析</w:t>
            </w:r>
          </w:p>
          <w:p w14:paraId="21FE0442">
            <w:pPr>
              <w:ind w:firstLine="480"/>
            </w:pPr>
            <w:r>
              <w:t>2021年5月30日生态环境部《关于加强高耗能、高排放建设项目生态环境源头防控的指导意见》（环环评〔2021〕45号）指出，严格“两高”项目环评审批，推进“两高”行业减污降碳协同控制，并将碳排放影响评价纳入环境影响评价体系。该指导意见提出，“两高”项目暂按煤电、石化、化工、钢铁、有色金属冶炼、建材等六个行业类别统计，后续对“两高”范围国家如有明确规定的，从其规定。本项目属于</w:t>
            </w:r>
            <w:r>
              <w:rPr>
                <w:rFonts w:hint="eastAsia"/>
              </w:rPr>
              <w:t>汽车零部件及配件制造</w:t>
            </w:r>
            <w:r>
              <w:t>项目，因此，不属于《关于加强高耗能、高排放建设项目生态环境源头防控的指导意见》（环环评2021）45号）提出的“两高”项目。</w:t>
            </w:r>
          </w:p>
          <w:p w14:paraId="7A331CC9">
            <w:pPr>
              <w:ind w:firstLine="480"/>
            </w:pPr>
            <w:r>
              <w:t>2021年9月24日广东省发展改革委印发《广东省坚决遏制“两高”项目盲目发展的实施方案》（粤发改能源</w:t>
            </w:r>
            <w:r>
              <w:rPr>
                <w:rFonts w:hint="eastAsia"/>
                <w:lang w:eastAsia="zh-CN"/>
              </w:rPr>
              <w:t>〔</w:t>
            </w:r>
            <w:r>
              <w:t>2021</w:t>
            </w:r>
            <w:r>
              <w:rPr>
                <w:rFonts w:hint="eastAsia"/>
                <w:lang w:eastAsia="zh-CN"/>
              </w:rPr>
              <w:t>〕</w:t>
            </w:r>
            <w:r>
              <w:t>368号），方案提出：为深入贯彻习近平生态文明思想，全面贯彻党的十九大和十九届二中、三中、四中、五中全会精神，立足新发展阶段，贯彻新发展理念，构建新发展格局，采取强有力措施，严格落实能耗双控及碳排放控制要求，坚决调制不符合关业政策、未落实能耗指标来源等的“两高”项目盲目发展，推动全省经济社会发展全面绿色低碳转型。</w:t>
            </w:r>
          </w:p>
          <w:p w14:paraId="19246AA5">
            <w:pPr>
              <w:ind w:firstLine="480"/>
            </w:pPr>
            <w:r>
              <w:t>根据《广东省“两高”项目管理目录（2022版）》，煤电、石化、焦化、煤化工、化工、钢铁、有色金属、建材等8个行业的项目，对上述行业的项目纳入“两高”企业管理。</w:t>
            </w:r>
          </w:p>
          <w:p w14:paraId="54DB7F37">
            <w:pPr>
              <w:ind w:firstLine="480"/>
            </w:pPr>
            <w:r>
              <w:t>本项目为汽车零部件及配件制造生产项目，不在《广东省“两高”项目管理目录（2022版）》所列的“两高”行业、“两高”项目。本项目所有生产设备均以清洁的电为能源，本项目拟采取严格的废气、废水、固体废物等污染治理措施，确保各污染物长期稳定达标排放并严格履行环境影响评价、环保“三同时”等手续，且项目选址于依法设立的工业园内，不会对区域生态环境造成不良影响。可见本项目与《广东省坚决遏制“两高”项目盲目发展的实施方案》（粤发改能源</w:t>
            </w:r>
            <w:r>
              <w:rPr>
                <w:rFonts w:hint="eastAsia"/>
                <w:lang w:eastAsia="zh-CN"/>
              </w:rPr>
              <w:t>〔</w:t>
            </w:r>
            <w:r>
              <w:t>2021</w:t>
            </w:r>
            <w:r>
              <w:rPr>
                <w:rFonts w:hint="eastAsia"/>
                <w:lang w:eastAsia="zh-CN"/>
              </w:rPr>
              <w:t>〕</w:t>
            </w:r>
            <w:r>
              <w:t>368号）的相关要求不相冲突。</w:t>
            </w:r>
          </w:p>
          <w:p w14:paraId="524FDDCC">
            <w:pPr>
              <w:ind w:firstLine="480"/>
              <w:outlineLvl w:val="0"/>
            </w:pPr>
          </w:p>
          <w:p w14:paraId="6266CE86">
            <w:pPr>
              <w:ind w:firstLine="480"/>
              <w:outlineLvl w:val="0"/>
            </w:pPr>
          </w:p>
          <w:p w14:paraId="41940872">
            <w:pPr>
              <w:ind w:firstLine="480"/>
              <w:outlineLvl w:val="0"/>
            </w:pPr>
          </w:p>
          <w:p w14:paraId="7E258067">
            <w:pPr>
              <w:ind w:firstLine="480"/>
              <w:outlineLvl w:val="0"/>
            </w:pPr>
          </w:p>
          <w:p w14:paraId="62CB11FA">
            <w:pPr>
              <w:ind w:firstLine="480"/>
              <w:outlineLvl w:val="0"/>
            </w:pPr>
          </w:p>
          <w:p w14:paraId="14B4C643">
            <w:pPr>
              <w:ind w:firstLine="480"/>
              <w:outlineLvl w:val="0"/>
            </w:pPr>
          </w:p>
        </w:tc>
      </w:tr>
    </w:tbl>
    <w:p w14:paraId="250BD1BE">
      <w:pPr>
        <w:ind w:firstLine="480"/>
        <w:outlineLvl w:val="0"/>
        <w:sectPr>
          <w:pgSz w:w="11906" w:h="16838"/>
          <w:pgMar w:top="1701" w:right="1531" w:bottom="1701" w:left="1531" w:header="851" w:footer="1077" w:gutter="0"/>
          <w:cols w:space="720" w:num="1"/>
          <w:docGrid w:linePitch="312" w:charSpace="0"/>
        </w:sectPr>
      </w:pPr>
    </w:p>
    <w:p w14:paraId="42190081">
      <w:pPr>
        <w:pStyle w:val="5"/>
        <w:ind w:firstLine="602"/>
        <w:rPr>
          <w:rFonts w:ascii="Times New Roman" w:hAnsi="Times New Roman"/>
        </w:rPr>
      </w:pPr>
      <w:r>
        <w:rPr>
          <w:rFonts w:ascii="Times New Roman" w:hAnsi="Times New Roman"/>
        </w:rPr>
        <w:t>二、建设项目工程分析</w:t>
      </w:r>
    </w:p>
    <w:tbl>
      <w:tblPr>
        <w:tblStyle w:val="23"/>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503"/>
        <w:gridCol w:w="8552"/>
      </w:tblGrid>
      <w:tr w14:paraId="111E1B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92" w:hRule="atLeast"/>
          <w:jc w:val="center"/>
        </w:trPr>
        <w:tc>
          <w:tcPr>
            <w:tcW w:w="278" w:type="pct"/>
            <w:vAlign w:val="center"/>
          </w:tcPr>
          <w:p w14:paraId="36B378A1">
            <w:pPr>
              <w:pStyle w:val="11"/>
              <w:rPr>
                <w:rFonts w:ascii="Times New Roman" w:hAnsi="Times New Roman"/>
                <w:color w:val="auto"/>
                <w:kern w:val="2"/>
              </w:rPr>
            </w:pPr>
            <w:r>
              <w:rPr>
                <w:rFonts w:ascii="Times New Roman" w:hAnsi="Times New Roman"/>
                <w:color w:val="auto"/>
                <w:kern w:val="2"/>
              </w:rPr>
              <w:t>建设内容</w:t>
            </w:r>
          </w:p>
        </w:tc>
        <w:tc>
          <w:tcPr>
            <w:tcW w:w="4721" w:type="pct"/>
          </w:tcPr>
          <w:p w14:paraId="54515027">
            <w:pPr>
              <w:pStyle w:val="12"/>
              <w:ind w:firstLine="482"/>
              <w:rPr>
                <w:color w:val="auto"/>
              </w:rPr>
            </w:pPr>
            <w:r>
              <w:rPr>
                <w:color w:val="auto"/>
              </w:rPr>
              <w:t>1、项目概况</w:t>
            </w:r>
          </w:p>
          <w:p w14:paraId="7034DAC6">
            <w:pPr>
              <w:ind w:firstLine="480"/>
              <w:rPr>
                <w:color w:val="auto"/>
              </w:rPr>
            </w:pPr>
            <w:r>
              <w:rPr>
                <w:color w:val="auto"/>
              </w:rPr>
              <w:t>乐昌市鑫东穗汽车用品有限公司成立于2018年10月31日，选址于欧昊科技（韶关）有限公司 A 栋厂房，建设单位于2018年12月委托广东韶科环保科技有限公司编制《乐昌市鑫东穗汽车用品有限公司年产10万套汽车配件项目环境影响报告表》并于2018年12月获得原乐昌市环境保护局《关于乐昌市鑫东穗汽车用品有限公司年产10万套汽车配件项目环境影响报告表审查意见的复函》（文号：乐环审【2018】66号）。项目整体于2018年12月开工建设，2019年5月竣工，2019年3月19日按要求取得了广东省污染物排放许可证（证书编号为：4402812019000007）后投入试运行调试，于2019年12月通过竣工环境保护验收，于2020年2月29日按要求取得了国家排污许可证登记证（登记编号为：91440281MA52F3NC24001W），该项目总投资2000万元，占地面积约3060m</w:t>
            </w:r>
            <w:r>
              <w:rPr>
                <w:color w:val="auto"/>
                <w:vertAlign w:val="superscript"/>
              </w:rPr>
              <w:t>2</w:t>
            </w:r>
            <w:r>
              <w:rPr>
                <w:color w:val="auto"/>
              </w:rPr>
              <w:t>，主要工艺为弯管、抛光、焊接和打磨。</w:t>
            </w:r>
          </w:p>
          <w:p w14:paraId="1DF05D03">
            <w:pPr>
              <w:ind w:firstLine="480"/>
              <w:rPr>
                <w:color w:val="auto"/>
              </w:rPr>
            </w:pPr>
            <w:r>
              <w:rPr>
                <w:color w:val="auto"/>
              </w:rPr>
              <w:t>由于发展需求，乐昌市鑫东穗汽车用品有限公司于2020年6月取得了乐昌市产业转移工业园金岭4路13号建设用地使用权，并于2020年9 月取得建设用地规划许可证（详见附件3）。因此，乐昌市鑫东穗汽车用品有限公司将工程进行迁建至乐昌市产业转移工业园金岭4路13号建设乐昌市东穗汽车用品项目。项目计划分两期建设，其中一期总投资3000万元，建成后预计年产汽车配件10万套；二期总投资3700万元，建成后预计年产汽车配件30万套。</w:t>
            </w:r>
          </w:p>
          <w:p w14:paraId="3B8BAAAA">
            <w:pPr>
              <w:ind w:firstLine="480"/>
              <w:rPr>
                <w:color w:val="auto"/>
              </w:rPr>
            </w:pPr>
            <w:r>
              <w:rPr>
                <w:color w:val="auto"/>
              </w:rPr>
              <w:t>乐昌市鑫东穗汽车用品有限公司于2020年12月委托广东韶科环保科技有限公司编制关于乐昌市东穗汽车用品项目一期工程《乐昌市鑫东穗汽车用品有限公司乐昌市东穗汽车用品项目环境影响报告表》，并于2021年1月获得原乐昌市环境保护局《关于乐昌市鑫东穗汽车用品有限公司乐昌市东穗汽车用品项目环境影响报告表审查意见的复函》（文号：乐环审【2021】02号）。项目整体于2021年1月开工建设，2022年7月竣工，2022年7月27日按要求取得国家排污许可证登记证（登记编号为：91440281MA52F3NC24001W）后投入试运行调试，于2022年8月6日通过竣工环境保护验收，该项目总投资3000万元，占地面积17932.7㎡，主要工艺为钣金、焊接、喷粉、烘烤、包装、打磨、焊接、抛光、弯管等，其中喷粉、烘烤委外处理。</w:t>
            </w:r>
          </w:p>
          <w:p w14:paraId="11F0B6E8">
            <w:pPr>
              <w:ind w:firstLine="480"/>
              <w:rPr>
                <w:color w:val="auto"/>
              </w:rPr>
            </w:pPr>
            <w:r>
              <w:rPr>
                <w:color w:val="auto"/>
              </w:rPr>
              <w:t>现因业务需求，需建设乐昌市东穗汽车用品项目二期工程。主要建设内容：（1）汽车配件产量由原来的10万套/a，增加至30万套/a ，原10万套产品增加电泳、喷粉、粉末固化等工艺，与本项目共用电泳、喷粉、粉末固化等生产线</w:t>
            </w:r>
            <w:r>
              <w:rPr>
                <w:rFonts w:hint="eastAsia"/>
                <w:color w:val="auto"/>
                <w:lang w:eastAsia="zh-CN"/>
              </w:rPr>
              <w:t>，即扩建后全厂30万套/a产品均需要进行电泳、喷粉、粉末固化</w:t>
            </w:r>
            <w:r>
              <w:rPr>
                <w:color w:val="auto"/>
              </w:rPr>
              <w:t>；（2）新增汽车零部件制造生产线，新增加主要工艺为开料、机加工、焊接、电泳、喷粉、粉末固化；（3）新增加原料水性阴极电泳漆、硅烷处理剂、脱脂剂、树脂粉末；（4）项目扩建前后实际占地面积、员工人数保持不变，新建一栋B厂房、一栋C厂房及一栋研发楼。</w:t>
            </w:r>
          </w:p>
          <w:p w14:paraId="7FCC82C4">
            <w:pPr>
              <w:pStyle w:val="22"/>
              <w:rPr>
                <w:color w:val="auto"/>
                <w:szCs w:val="21"/>
              </w:rPr>
            </w:pPr>
            <w:r>
              <w:rPr>
                <w:color w:val="auto"/>
                <w:szCs w:val="21"/>
              </w:rPr>
              <w:t>表2-1 与《建设项目环境影响评价分类管理名录》（2021年版）相符性分析</w:t>
            </w:r>
          </w:p>
          <w:tbl>
            <w:tblPr>
              <w:tblStyle w:val="2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3"/>
              <w:gridCol w:w="1494"/>
              <w:gridCol w:w="1069"/>
              <w:gridCol w:w="763"/>
              <w:gridCol w:w="3981"/>
              <w:gridCol w:w="536"/>
            </w:tblGrid>
            <w:tr w14:paraId="3F149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90" w:type="pct"/>
                  <w:vAlign w:val="center"/>
                </w:tcPr>
                <w:p w14:paraId="1801C106">
                  <w:pPr>
                    <w:pStyle w:val="41"/>
                    <w:rPr>
                      <w:b/>
                      <w:bCs/>
                      <w:color w:val="auto"/>
                    </w:rPr>
                  </w:pPr>
                  <w:r>
                    <w:rPr>
                      <w:b/>
                      <w:bCs/>
                      <w:color w:val="auto"/>
                    </w:rPr>
                    <w:t>序号</w:t>
                  </w:r>
                </w:p>
              </w:tc>
              <w:tc>
                <w:tcPr>
                  <w:tcW w:w="897" w:type="pct"/>
                  <w:vAlign w:val="center"/>
                </w:tcPr>
                <w:p w14:paraId="5FB2F212">
                  <w:pPr>
                    <w:pStyle w:val="41"/>
                    <w:rPr>
                      <w:b/>
                      <w:bCs/>
                      <w:color w:val="auto"/>
                    </w:rPr>
                  </w:pPr>
                  <w:r>
                    <w:rPr>
                      <w:b/>
                      <w:bCs/>
                      <w:color w:val="auto"/>
                    </w:rPr>
                    <w:t>国民经济行业类别</w:t>
                  </w:r>
                </w:p>
              </w:tc>
              <w:tc>
                <w:tcPr>
                  <w:tcW w:w="1100" w:type="pct"/>
                  <w:gridSpan w:val="2"/>
                  <w:vAlign w:val="center"/>
                </w:tcPr>
                <w:p w14:paraId="40C03B5C">
                  <w:pPr>
                    <w:pStyle w:val="41"/>
                    <w:rPr>
                      <w:b/>
                      <w:bCs/>
                      <w:color w:val="auto"/>
                    </w:rPr>
                  </w:pPr>
                  <w:r>
                    <w:rPr>
                      <w:b/>
                      <w:bCs/>
                      <w:color w:val="auto"/>
                    </w:rPr>
                    <w:t>产品产能</w:t>
                  </w:r>
                </w:p>
              </w:tc>
              <w:tc>
                <w:tcPr>
                  <w:tcW w:w="2390" w:type="pct"/>
                  <w:vAlign w:val="center"/>
                </w:tcPr>
                <w:p w14:paraId="05692F55">
                  <w:pPr>
                    <w:pStyle w:val="41"/>
                    <w:rPr>
                      <w:b/>
                      <w:bCs/>
                      <w:color w:val="auto"/>
                    </w:rPr>
                  </w:pPr>
                  <w:r>
                    <w:rPr>
                      <w:b/>
                      <w:bCs/>
                      <w:color w:val="auto"/>
                    </w:rPr>
                    <w:t>对应名录的条款</w:t>
                  </w:r>
                </w:p>
              </w:tc>
              <w:tc>
                <w:tcPr>
                  <w:tcW w:w="321" w:type="pct"/>
                  <w:vAlign w:val="center"/>
                </w:tcPr>
                <w:p w14:paraId="7125B335">
                  <w:pPr>
                    <w:pStyle w:val="41"/>
                    <w:rPr>
                      <w:b/>
                      <w:bCs/>
                      <w:color w:val="auto"/>
                    </w:rPr>
                  </w:pPr>
                  <w:r>
                    <w:rPr>
                      <w:b/>
                      <w:bCs/>
                      <w:color w:val="auto"/>
                    </w:rPr>
                    <w:t>类别</w:t>
                  </w:r>
                </w:p>
              </w:tc>
            </w:tr>
            <w:tr w14:paraId="72DC5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290" w:type="pct"/>
                  <w:vAlign w:val="center"/>
                </w:tcPr>
                <w:p w14:paraId="738D357D">
                  <w:pPr>
                    <w:pStyle w:val="41"/>
                    <w:rPr>
                      <w:color w:val="auto"/>
                    </w:rPr>
                  </w:pPr>
                  <w:r>
                    <w:rPr>
                      <w:color w:val="auto"/>
                    </w:rPr>
                    <w:t>1</w:t>
                  </w:r>
                </w:p>
              </w:tc>
              <w:tc>
                <w:tcPr>
                  <w:tcW w:w="897" w:type="pct"/>
                  <w:vAlign w:val="center"/>
                </w:tcPr>
                <w:p w14:paraId="715B2A8B">
                  <w:pPr>
                    <w:pStyle w:val="41"/>
                    <w:rPr>
                      <w:color w:val="auto"/>
                    </w:rPr>
                  </w:pPr>
                  <w:r>
                    <w:rPr>
                      <w:color w:val="auto"/>
                    </w:rPr>
                    <w:t>C3670汽车零部件及配件制造</w:t>
                  </w:r>
                </w:p>
              </w:tc>
              <w:tc>
                <w:tcPr>
                  <w:tcW w:w="642" w:type="pct"/>
                  <w:vAlign w:val="center"/>
                </w:tcPr>
                <w:p w14:paraId="23745412">
                  <w:pPr>
                    <w:pStyle w:val="41"/>
                    <w:rPr>
                      <w:color w:val="auto"/>
                    </w:rPr>
                  </w:pPr>
                  <w:r>
                    <w:rPr>
                      <w:color w:val="auto"/>
                    </w:rPr>
                    <w:t>汽车零配件</w:t>
                  </w:r>
                </w:p>
              </w:tc>
              <w:tc>
                <w:tcPr>
                  <w:tcW w:w="457" w:type="pct"/>
                  <w:vAlign w:val="center"/>
                </w:tcPr>
                <w:p w14:paraId="127A17DC">
                  <w:pPr>
                    <w:pStyle w:val="41"/>
                    <w:rPr>
                      <w:color w:val="auto"/>
                    </w:rPr>
                  </w:pPr>
                  <w:r>
                    <w:rPr>
                      <w:color w:val="auto"/>
                    </w:rPr>
                    <w:t>30万套</w:t>
                  </w:r>
                </w:p>
              </w:tc>
              <w:tc>
                <w:tcPr>
                  <w:tcW w:w="2390" w:type="pct"/>
                  <w:vAlign w:val="center"/>
                </w:tcPr>
                <w:p w14:paraId="0365F023">
                  <w:pPr>
                    <w:pStyle w:val="41"/>
                    <w:rPr>
                      <w:color w:val="auto"/>
                    </w:rPr>
                  </w:pPr>
                  <w:r>
                    <w:rPr>
                      <w:color w:val="auto"/>
                    </w:rPr>
                    <w:t>三十三、汽车制造业-36；汽车零部件及配件制造 367其他（年用非溶剂型低VOCs含量涂料10吨以下的除外</w:t>
                  </w:r>
                </w:p>
              </w:tc>
              <w:tc>
                <w:tcPr>
                  <w:tcW w:w="321" w:type="pct"/>
                  <w:vAlign w:val="center"/>
                </w:tcPr>
                <w:p w14:paraId="573208B1">
                  <w:pPr>
                    <w:pStyle w:val="41"/>
                    <w:rPr>
                      <w:color w:val="auto"/>
                    </w:rPr>
                  </w:pPr>
                  <w:r>
                    <w:rPr>
                      <w:color w:val="auto"/>
                    </w:rPr>
                    <w:t>报告表</w:t>
                  </w:r>
                </w:p>
              </w:tc>
            </w:tr>
          </w:tbl>
          <w:p w14:paraId="48FFF19A">
            <w:pPr>
              <w:pStyle w:val="12"/>
              <w:ind w:firstLine="482"/>
              <w:rPr>
                <w:b w:val="0"/>
                <w:bCs/>
                <w:color w:val="auto"/>
              </w:rPr>
            </w:pPr>
            <w:r>
              <w:rPr>
                <w:color w:val="auto"/>
              </w:rPr>
              <w:t>2、项目选址、四至情况</w:t>
            </w:r>
          </w:p>
          <w:p w14:paraId="5077BF8B">
            <w:pPr>
              <w:ind w:firstLine="480"/>
              <w:rPr>
                <w:color w:val="auto"/>
              </w:rPr>
            </w:pPr>
            <w:r>
              <w:rPr>
                <w:color w:val="auto"/>
              </w:rPr>
              <w:t>本项目选址位于乐昌市产业转移工业园金岭4路13号，项目中心点位坐标为东经，113°24'54.857"，北纬25°7'46.815″。项目具体地理位置见附图1。</w:t>
            </w:r>
          </w:p>
          <w:p w14:paraId="7273AA30">
            <w:pPr>
              <w:ind w:firstLine="480"/>
              <w:rPr>
                <w:color w:val="auto"/>
              </w:rPr>
            </w:pPr>
            <w:r>
              <w:rPr>
                <w:color w:val="auto"/>
              </w:rPr>
              <w:t>项目四至情况：根据现场踏勘，项目北侧、东侧为农田，南侧为园区空置厂房，西侧为空地。项目周边交通较为便利，为原料及产品的运输提供了良好的运输条件。项目四至图见附图2。</w:t>
            </w:r>
          </w:p>
          <w:p w14:paraId="498781C9">
            <w:pPr>
              <w:pStyle w:val="12"/>
              <w:ind w:firstLine="482"/>
              <w:rPr>
                <w:color w:val="auto"/>
              </w:rPr>
            </w:pPr>
            <w:r>
              <w:rPr>
                <w:color w:val="auto"/>
              </w:rPr>
              <w:t>3、建设规模及内容</w:t>
            </w:r>
          </w:p>
          <w:p w14:paraId="020677DE">
            <w:pPr>
              <w:ind w:firstLine="480"/>
              <w:rPr>
                <w:bCs/>
                <w:color w:val="auto"/>
              </w:rPr>
            </w:pPr>
            <w:r>
              <w:rPr>
                <w:bCs/>
                <w:color w:val="auto"/>
              </w:rPr>
              <w:t>根据建设单位提供的资料，本项目属于扩建项目，位于乐昌市产业转移工业园金岭4路13号。厂房占地面积17932.7m</w:t>
            </w:r>
            <w:r>
              <w:rPr>
                <w:bCs/>
                <w:color w:val="auto"/>
                <w:vertAlign w:val="superscript"/>
              </w:rPr>
              <w:t>2</w:t>
            </w:r>
            <w:r>
              <w:rPr>
                <w:bCs/>
                <w:color w:val="auto"/>
              </w:rPr>
              <w:t>，建筑面积</w:t>
            </w:r>
            <w:r>
              <w:rPr>
                <w:rFonts w:hint="eastAsia"/>
                <w:bCs/>
                <w:color w:val="auto"/>
              </w:rPr>
              <w:t>9845.27</w:t>
            </w:r>
            <w:r>
              <w:rPr>
                <w:bCs/>
                <w:color w:val="auto"/>
              </w:rPr>
              <w:t>m</w:t>
            </w:r>
            <w:r>
              <w:rPr>
                <w:bCs/>
                <w:color w:val="auto"/>
                <w:vertAlign w:val="superscript"/>
              </w:rPr>
              <w:t>2</w:t>
            </w:r>
            <w:r>
              <w:rPr>
                <w:bCs/>
                <w:color w:val="auto"/>
              </w:rPr>
              <w:t>，</w:t>
            </w:r>
            <w:r>
              <w:rPr>
                <w:rFonts w:hint="eastAsia"/>
                <w:bCs/>
                <w:color w:val="auto"/>
              </w:rPr>
              <w:t>原有建筑为A厂房建筑面积4320m</w:t>
            </w:r>
            <w:r>
              <w:rPr>
                <w:rFonts w:hint="eastAsia"/>
                <w:bCs/>
                <w:color w:val="auto"/>
                <w:vertAlign w:val="superscript"/>
              </w:rPr>
              <w:t>2</w:t>
            </w:r>
            <w:r>
              <w:rPr>
                <w:rFonts w:hint="eastAsia"/>
                <w:bCs/>
                <w:color w:val="auto"/>
              </w:rPr>
              <w:t>、宿舍楼513.27m</w:t>
            </w:r>
            <w:r>
              <w:rPr>
                <w:rFonts w:hint="eastAsia"/>
                <w:bCs/>
                <w:color w:val="auto"/>
                <w:vertAlign w:val="superscript"/>
              </w:rPr>
              <w:t>2</w:t>
            </w:r>
            <w:r>
              <w:rPr>
                <w:rFonts w:hint="eastAsia"/>
                <w:bCs/>
                <w:color w:val="auto"/>
              </w:rPr>
              <w:t>、办公楼 561m</w:t>
            </w:r>
            <w:r>
              <w:rPr>
                <w:rFonts w:hint="eastAsia"/>
                <w:bCs/>
                <w:color w:val="auto"/>
                <w:vertAlign w:val="superscript"/>
              </w:rPr>
              <w:t>2</w:t>
            </w:r>
            <w:r>
              <w:rPr>
                <w:rFonts w:hint="eastAsia"/>
                <w:bCs/>
                <w:color w:val="auto"/>
              </w:rPr>
              <w:t>；本项目</w:t>
            </w:r>
            <w:r>
              <w:rPr>
                <w:bCs/>
                <w:color w:val="auto"/>
              </w:rPr>
              <w:t>主要扩建内容为B厂房 3600m</w:t>
            </w:r>
            <w:r>
              <w:rPr>
                <w:bCs/>
                <w:color w:val="auto"/>
                <w:vertAlign w:val="superscript"/>
              </w:rPr>
              <w:t>2</w:t>
            </w:r>
            <w:r>
              <w:rPr>
                <w:bCs/>
                <w:color w:val="auto"/>
              </w:rPr>
              <w:t>、C厂房</w:t>
            </w:r>
            <w:r>
              <w:rPr>
                <w:color w:val="auto"/>
              </w:rPr>
              <w:t xml:space="preserve"> 555m</w:t>
            </w:r>
            <w:r>
              <w:rPr>
                <w:color w:val="auto"/>
                <w:vertAlign w:val="superscript"/>
              </w:rPr>
              <w:t>2</w:t>
            </w:r>
            <w:r>
              <w:rPr>
                <w:color w:val="auto"/>
              </w:rPr>
              <w:t>及研发楼 296m</w:t>
            </w:r>
            <w:r>
              <w:rPr>
                <w:color w:val="auto"/>
                <w:vertAlign w:val="superscript"/>
              </w:rPr>
              <w:t>2</w:t>
            </w:r>
            <w:r>
              <w:rPr>
                <w:bCs/>
                <w:color w:val="auto"/>
              </w:rPr>
              <w:t>。项目扩建前后工程组成详见表2-2。</w:t>
            </w:r>
          </w:p>
          <w:p w14:paraId="437296D7">
            <w:pPr>
              <w:pStyle w:val="10"/>
              <w:ind w:firstLine="422"/>
              <w:rPr>
                <w:rFonts w:hint="default"/>
                <w:color w:val="auto"/>
                <w:kern w:val="2"/>
              </w:rPr>
            </w:pPr>
          </w:p>
          <w:p w14:paraId="5A8049AD">
            <w:pPr>
              <w:pStyle w:val="10"/>
              <w:ind w:firstLine="422"/>
              <w:rPr>
                <w:rFonts w:hint="default"/>
                <w:color w:val="auto"/>
                <w:kern w:val="2"/>
              </w:rPr>
            </w:pPr>
          </w:p>
          <w:p w14:paraId="0BBDF828">
            <w:pPr>
              <w:pStyle w:val="10"/>
              <w:ind w:firstLine="422"/>
              <w:rPr>
                <w:rFonts w:hint="default"/>
                <w:color w:val="auto"/>
                <w:kern w:val="2"/>
              </w:rPr>
            </w:pPr>
          </w:p>
          <w:p w14:paraId="4DF7A768">
            <w:pPr>
              <w:pStyle w:val="10"/>
              <w:ind w:firstLine="422"/>
              <w:rPr>
                <w:rFonts w:hint="default"/>
                <w:color w:val="auto"/>
                <w:kern w:val="2"/>
              </w:rPr>
            </w:pPr>
            <w:r>
              <w:rPr>
                <w:rFonts w:hint="default"/>
                <w:color w:val="auto"/>
                <w:kern w:val="2"/>
              </w:rPr>
              <w:t>表2-2 项目工程组成一览表</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4"/>
              <w:gridCol w:w="573"/>
              <w:gridCol w:w="1027"/>
              <w:gridCol w:w="2610"/>
              <w:gridCol w:w="2445"/>
              <w:gridCol w:w="1096"/>
            </w:tblGrid>
            <w:tr w14:paraId="6CC2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Align w:val="center"/>
                </w:tcPr>
                <w:p w14:paraId="3647CDEA">
                  <w:pPr>
                    <w:pStyle w:val="41"/>
                    <w:rPr>
                      <w:b/>
                      <w:bCs/>
                      <w:color w:val="auto"/>
                      <w:kern w:val="21"/>
                    </w:rPr>
                  </w:pPr>
                  <w:r>
                    <w:rPr>
                      <w:b/>
                      <w:bCs/>
                      <w:color w:val="auto"/>
                      <w:kern w:val="21"/>
                    </w:rPr>
                    <w:t>工程分类</w:t>
                  </w:r>
                </w:p>
              </w:tc>
              <w:tc>
                <w:tcPr>
                  <w:tcW w:w="1600" w:type="dxa"/>
                  <w:gridSpan w:val="2"/>
                  <w:vAlign w:val="center"/>
                </w:tcPr>
                <w:p w14:paraId="694F3428">
                  <w:pPr>
                    <w:pStyle w:val="41"/>
                    <w:rPr>
                      <w:b/>
                      <w:bCs/>
                      <w:color w:val="auto"/>
                      <w:kern w:val="21"/>
                    </w:rPr>
                  </w:pPr>
                  <w:r>
                    <w:rPr>
                      <w:b/>
                      <w:bCs/>
                      <w:color w:val="auto"/>
                      <w:kern w:val="21"/>
                    </w:rPr>
                    <w:t>单项工程名称</w:t>
                  </w:r>
                </w:p>
              </w:tc>
              <w:tc>
                <w:tcPr>
                  <w:tcW w:w="2610" w:type="dxa"/>
                  <w:vAlign w:val="center"/>
                </w:tcPr>
                <w:p w14:paraId="35021816">
                  <w:pPr>
                    <w:pStyle w:val="41"/>
                    <w:rPr>
                      <w:b/>
                      <w:bCs/>
                      <w:color w:val="auto"/>
                      <w:kern w:val="21"/>
                    </w:rPr>
                  </w:pPr>
                  <w:r>
                    <w:rPr>
                      <w:b/>
                      <w:bCs/>
                      <w:color w:val="auto"/>
                      <w:kern w:val="21"/>
                    </w:rPr>
                    <w:t>扩建前工程内容</w:t>
                  </w:r>
                </w:p>
              </w:tc>
              <w:tc>
                <w:tcPr>
                  <w:tcW w:w="2445" w:type="dxa"/>
                  <w:vAlign w:val="center"/>
                </w:tcPr>
                <w:p w14:paraId="1787A6F9">
                  <w:pPr>
                    <w:pStyle w:val="41"/>
                    <w:rPr>
                      <w:b/>
                      <w:bCs/>
                      <w:color w:val="auto"/>
                      <w:kern w:val="21"/>
                    </w:rPr>
                  </w:pPr>
                  <w:r>
                    <w:rPr>
                      <w:b/>
                      <w:bCs/>
                      <w:color w:val="auto"/>
                      <w:kern w:val="21"/>
                    </w:rPr>
                    <w:t>扩建后工程内容</w:t>
                  </w:r>
                </w:p>
              </w:tc>
              <w:tc>
                <w:tcPr>
                  <w:tcW w:w="1096" w:type="dxa"/>
                  <w:vAlign w:val="center"/>
                </w:tcPr>
                <w:p w14:paraId="26F90951">
                  <w:pPr>
                    <w:pStyle w:val="41"/>
                    <w:rPr>
                      <w:b/>
                      <w:bCs/>
                      <w:color w:val="auto"/>
                      <w:kern w:val="21"/>
                    </w:rPr>
                  </w:pPr>
                  <w:r>
                    <w:rPr>
                      <w:b/>
                      <w:bCs/>
                      <w:color w:val="auto"/>
                      <w:kern w:val="21"/>
                    </w:rPr>
                    <w:t>备注</w:t>
                  </w:r>
                </w:p>
              </w:tc>
            </w:tr>
            <w:tr w14:paraId="44CDE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574" w:type="dxa"/>
                  <w:vMerge w:val="restart"/>
                  <w:vAlign w:val="center"/>
                </w:tcPr>
                <w:p w14:paraId="1F112EBF">
                  <w:pPr>
                    <w:pStyle w:val="41"/>
                    <w:rPr>
                      <w:color w:val="auto"/>
                      <w:kern w:val="21"/>
                    </w:rPr>
                  </w:pPr>
                  <w:r>
                    <w:rPr>
                      <w:color w:val="auto"/>
                      <w:kern w:val="21"/>
                    </w:rPr>
                    <w:t>主体工程</w:t>
                  </w:r>
                </w:p>
              </w:tc>
              <w:tc>
                <w:tcPr>
                  <w:tcW w:w="1600" w:type="dxa"/>
                  <w:gridSpan w:val="2"/>
                  <w:vAlign w:val="center"/>
                </w:tcPr>
                <w:p w14:paraId="5875064A">
                  <w:pPr>
                    <w:pStyle w:val="41"/>
                    <w:rPr>
                      <w:color w:val="auto"/>
                      <w:kern w:val="21"/>
                    </w:rPr>
                  </w:pPr>
                  <w:r>
                    <w:rPr>
                      <w:color w:val="auto"/>
                      <w:kern w:val="21"/>
                    </w:rPr>
                    <w:t>A厂房</w:t>
                  </w:r>
                </w:p>
              </w:tc>
              <w:tc>
                <w:tcPr>
                  <w:tcW w:w="2610" w:type="dxa"/>
                  <w:vAlign w:val="center"/>
                </w:tcPr>
                <w:p w14:paraId="2C9F8BF9">
                  <w:pPr>
                    <w:pStyle w:val="41"/>
                    <w:rPr>
                      <w:color w:val="auto"/>
                      <w:kern w:val="21"/>
                    </w:rPr>
                  </w:pPr>
                  <w:r>
                    <w:rPr>
                      <w:color w:val="auto"/>
                      <w:kern w:val="21"/>
                    </w:rPr>
                    <w:t>面积约 4320m</w:t>
                  </w:r>
                  <w:r>
                    <w:rPr>
                      <w:color w:val="auto"/>
                      <w:kern w:val="21"/>
                      <w:vertAlign w:val="superscript"/>
                    </w:rPr>
                    <w:t>2</w:t>
                  </w:r>
                  <w:r>
                    <w:rPr>
                      <w:color w:val="auto"/>
                      <w:kern w:val="21"/>
                    </w:rPr>
                    <w:t>，2 层，1 层为钣金、弯管、抛光、焊接、打磨、喷粉、烘烤、打包以及装配；2 层为仓库</w:t>
                  </w:r>
                </w:p>
              </w:tc>
              <w:tc>
                <w:tcPr>
                  <w:tcW w:w="2445" w:type="dxa"/>
                  <w:vAlign w:val="center"/>
                </w:tcPr>
                <w:p w14:paraId="54DCCA1F">
                  <w:pPr>
                    <w:pStyle w:val="41"/>
                    <w:rPr>
                      <w:color w:val="auto"/>
                      <w:kern w:val="21"/>
                    </w:rPr>
                  </w:pPr>
                  <w:r>
                    <w:rPr>
                      <w:color w:val="auto"/>
                      <w:kern w:val="21"/>
                    </w:rPr>
                    <w:t>保持不变</w:t>
                  </w:r>
                </w:p>
              </w:tc>
              <w:tc>
                <w:tcPr>
                  <w:tcW w:w="1096" w:type="dxa"/>
                  <w:vAlign w:val="center"/>
                </w:tcPr>
                <w:p w14:paraId="78ACE995">
                  <w:pPr>
                    <w:pStyle w:val="41"/>
                    <w:rPr>
                      <w:color w:val="auto"/>
                      <w:kern w:val="21"/>
                    </w:rPr>
                  </w:pPr>
                  <w:r>
                    <w:rPr>
                      <w:color w:val="auto"/>
                      <w:kern w:val="21"/>
                    </w:rPr>
                    <w:t>依托原有</w:t>
                  </w:r>
                </w:p>
              </w:tc>
            </w:tr>
            <w:tr w14:paraId="53B82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574" w:type="dxa"/>
                  <w:vMerge w:val="continue"/>
                  <w:vAlign w:val="center"/>
                </w:tcPr>
                <w:p w14:paraId="2EF32269">
                  <w:pPr>
                    <w:pStyle w:val="41"/>
                    <w:rPr>
                      <w:color w:val="auto"/>
                      <w:kern w:val="21"/>
                    </w:rPr>
                  </w:pPr>
                </w:p>
              </w:tc>
              <w:tc>
                <w:tcPr>
                  <w:tcW w:w="1600" w:type="dxa"/>
                  <w:gridSpan w:val="2"/>
                  <w:vAlign w:val="center"/>
                </w:tcPr>
                <w:p w14:paraId="28B22143">
                  <w:pPr>
                    <w:pStyle w:val="41"/>
                    <w:rPr>
                      <w:color w:val="auto"/>
                      <w:kern w:val="21"/>
                    </w:rPr>
                  </w:pPr>
                  <w:r>
                    <w:rPr>
                      <w:color w:val="auto"/>
                      <w:kern w:val="21"/>
                    </w:rPr>
                    <w:t>B厂房</w:t>
                  </w:r>
                </w:p>
              </w:tc>
              <w:tc>
                <w:tcPr>
                  <w:tcW w:w="2610" w:type="dxa"/>
                  <w:vAlign w:val="center"/>
                </w:tcPr>
                <w:p w14:paraId="6CF90BA0">
                  <w:pPr>
                    <w:pStyle w:val="41"/>
                    <w:rPr>
                      <w:color w:val="auto"/>
                      <w:kern w:val="21"/>
                    </w:rPr>
                  </w:pPr>
                  <w:r>
                    <w:rPr>
                      <w:color w:val="auto"/>
                      <w:kern w:val="21"/>
                    </w:rPr>
                    <w:t>面积约 3600m</w:t>
                  </w:r>
                  <w:r>
                    <w:rPr>
                      <w:color w:val="auto"/>
                      <w:kern w:val="21"/>
                      <w:vertAlign w:val="superscript"/>
                    </w:rPr>
                    <w:t>2</w:t>
                  </w:r>
                  <w:r>
                    <w:rPr>
                      <w:color w:val="auto"/>
                      <w:kern w:val="21"/>
                    </w:rPr>
                    <w:t>，2 层，为二期规划建设厂房，一期暂不建设</w:t>
                  </w:r>
                </w:p>
              </w:tc>
              <w:tc>
                <w:tcPr>
                  <w:tcW w:w="2445" w:type="dxa"/>
                  <w:vAlign w:val="center"/>
                </w:tcPr>
                <w:p w14:paraId="69B81F0E">
                  <w:pPr>
                    <w:pStyle w:val="41"/>
                    <w:rPr>
                      <w:color w:val="auto"/>
                      <w:kern w:val="21"/>
                    </w:rPr>
                  </w:pPr>
                  <w:r>
                    <w:rPr>
                      <w:color w:val="auto"/>
                      <w:kern w:val="21"/>
                    </w:rPr>
                    <w:t>单层，建筑面积约2668m</w:t>
                  </w:r>
                  <w:r>
                    <w:rPr>
                      <w:color w:val="auto"/>
                      <w:kern w:val="21"/>
                      <w:vertAlign w:val="superscript"/>
                    </w:rPr>
                    <w:t>2</w:t>
                  </w:r>
                  <w:r>
                    <w:rPr>
                      <w:color w:val="auto"/>
                      <w:kern w:val="21"/>
                    </w:rPr>
                    <w:t>，开料、机加工、焊接、电泳</w:t>
                  </w:r>
                </w:p>
              </w:tc>
              <w:tc>
                <w:tcPr>
                  <w:tcW w:w="1096" w:type="dxa"/>
                  <w:vAlign w:val="center"/>
                </w:tcPr>
                <w:p w14:paraId="66E8B300">
                  <w:pPr>
                    <w:pStyle w:val="41"/>
                    <w:rPr>
                      <w:color w:val="auto"/>
                      <w:kern w:val="21"/>
                    </w:rPr>
                  </w:pPr>
                  <w:r>
                    <w:rPr>
                      <w:color w:val="auto"/>
                      <w:kern w:val="21"/>
                    </w:rPr>
                    <w:t>新建厂房</w:t>
                  </w:r>
                </w:p>
              </w:tc>
            </w:tr>
            <w:tr w14:paraId="20D72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74" w:type="dxa"/>
                  <w:vMerge w:val="continue"/>
                  <w:vAlign w:val="center"/>
                </w:tcPr>
                <w:p w14:paraId="45D0B096">
                  <w:pPr>
                    <w:pStyle w:val="41"/>
                    <w:rPr>
                      <w:color w:val="auto"/>
                      <w:kern w:val="21"/>
                    </w:rPr>
                  </w:pPr>
                </w:p>
              </w:tc>
              <w:tc>
                <w:tcPr>
                  <w:tcW w:w="1600" w:type="dxa"/>
                  <w:gridSpan w:val="2"/>
                  <w:vAlign w:val="center"/>
                </w:tcPr>
                <w:p w14:paraId="3784C4CB">
                  <w:pPr>
                    <w:pStyle w:val="41"/>
                    <w:rPr>
                      <w:color w:val="auto"/>
                      <w:kern w:val="21"/>
                    </w:rPr>
                  </w:pPr>
                  <w:r>
                    <w:rPr>
                      <w:color w:val="auto"/>
                      <w:kern w:val="21"/>
                    </w:rPr>
                    <w:t>C厂房</w:t>
                  </w:r>
                </w:p>
              </w:tc>
              <w:tc>
                <w:tcPr>
                  <w:tcW w:w="2610" w:type="dxa"/>
                  <w:vAlign w:val="center"/>
                </w:tcPr>
                <w:p w14:paraId="51E89753">
                  <w:pPr>
                    <w:pStyle w:val="41"/>
                    <w:rPr>
                      <w:color w:val="auto"/>
                      <w:kern w:val="21"/>
                    </w:rPr>
                  </w:pPr>
                  <w:r>
                    <w:rPr>
                      <w:color w:val="auto"/>
                      <w:kern w:val="21"/>
                    </w:rPr>
                    <w:t>面积约 555m</w:t>
                  </w:r>
                  <w:r>
                    <w:rPr>
                      <w:color w:val="auto"/>
                      <w:kern w:val="21"/>
                      <w:vertAlign w:val="superscript"/>
                    </w:rPr>
                    <w:t>2</w:t>
                  </w:r>
                  <w:r>
                    <w:rPr>
                      <w:color w:val="auto"/>
                      <w:kern w:val="21"/>
                    </w:rPr>
                    <w:t>，为二期规划建设厂房，一期暂不建设</w:t>
                  </w:r>
                </w:p>
              </w:tc>
              <w:tc>
                <w:tcPr>
                  <w:tcW w:w="2445" w:type="dxa"/>
                  <w:vAlign w:val="center"/>
                </w:tcPr>
                <w:p w14:paraId="3B2D3190">
                  <w:pPr>
                    <w:pStyle w:val="41"/>
                    <w:rPr>
                      <w:color w:val="auto"/>
                      <w:kern w:val="21"/>
                    </w:rPr>
                  </w:pPr>
                  <w:r>
                    <w:rPr>
                      <w:color w:val="auto"/>
                      <w:kern w:val="21"/>
                    </w:rPr>
                    <w:t>单层，建筑面积约524m</w:t>
                  </w:r>
                  <w:r>
                    <w:rPr>
                      <w:color w:val="auto"/>
                      <w:kern w:val="21"/>
                      <w:vertAlign w:val="superscript"/>
                    </w:rPr>
                    <w:t>2</w:t>
                  </w:r>
                  <w:r>
                    <w:rPr>
                      <w:color w:val="auto"/>
                      <w:kern w:val="21"/>
                    </w:rPr>
                    <w:t>，喷粉、粉末固化</w:t>
                  </w:r>
                </w:p>
              </w:tc>
              <w:tc>
                <w:tcPr>
                  <w:tcW w:w="1096" w:type="dxa"/>
                  <w:vAlign w:val="center"/>
                </w:tcPr>
                <w:p w14:paraId="4B68C67D">
                  <w:pPr>
                    <w:pStyle w:val="41"/>
                    <w:rPr>
                      <w:color w:val="auto"/>
                      <w:kern w:val="21"/>
                    </w:rPr>
                  </w:pPr>
                  <w:r>
                    <w:rPr>
                      <w:color w:val="auto"/>
                      <w:kern w:val="21"/>
                    </w:rPr>
                    <w:t>新建厂房</w:t>
                  </w:r>
                </w:p>
              </w:tc>
            </w:tr>
            <w:tr w14:paraId="3C190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restart"/>
                  <w:vAlign w:val="center"/>
                </w:tcPr>
                <w:p w14:paraId="0179D8A3">
                  <w:pPr>
                    <w:pStyle w:val="41"/>
                    <w:rPr>
                      <w:color w:val="auto"/>
                      <w:kern w:val="21"/>
                    </w:rPr>
                  </w:pPr>
                  <w:r>
                    <w:rPr>
                      <w:color w:val="auto"/>
                      <w:kern w:val="21"/>
                    </w:rPr>
                    <w:t>辅助工程</w:t>
                  </w:r>
                </w:p>
              </w:tc>
              <w:tc>
                <w:tcPr>
                  <w:tcW w:w="1600" w:type="dxa"/>
                  <w:gridSpan w:val="2"/>
                  <w:vAlign w:val="center"/>
                </w:tcPr>
                <w:p w14:paraId="109FE5D0">
                  <w:pPr>
                    <w:pStyle w:val="41"/>
                    <w:rPr>
                      <w:color w:val="auto"/>
                      <w:kern w:val="21"/>
                    </w:rPr>
                  </w:pPr>
                  <w:r>
                    <w:rPr>
                      <w:color w:val="auto"/>
                      <w:kern w:val="21"/>
                    </w:rPr>
                    <w:t>研发楼</w:t>
                  </w:r>
                </w:p>
              </w:tc>
              <w:tc>
                <w:tcPr>
                  <w:tcW w:w="2610" w:type="dxa"/>
                  <w:vAlign w:val="center"/>
                </w:tcPr>
                <w:p w14:paraId="5655CBB5">
                  <w:pPr>
                    <w:pStyle w:val="41"/>
                    <w:rPr>
                      <w:color w:val="auto"/>
                      <w:kern w:val="21"/>
                    </w:rPr>
                  </w:pPr>
                  <w:r>
                    <w:rPr>
                      <w:color w:val="auto"/>
                    </w:rPr>
                    <w:t>面积约 296m</w:t>
                  </w:r>
                  <w:r>
                    <w:rPr>
                      <w:color w:val="auto"/>
                      <w:vertAlign w:val="superscript"/>
                    </w:rPr>
                    <w:t>2</w:t>
                  </w:r>
                  <w:r>
                    <w:rPr>
                      <w:color w:val="auto"/>
                    </w:rPr>
                    <w:t>，3 层，为二期规划建设厂房，一期暂不建设</w:t>
                  </w:r>
                </w:p>
              </w:tc>
              <w:tc>
                <w:tcPr>
                  <w:tcW w:w="2445" w:type="dxa"/>
                  <w:vAlign w:val="center"/>
                </w:tcPr>
                <w:p w14:paraId="76337145">
                  <w:pPr>
                    <w:pStyle w:val="41"/>
                    <w:rPr>
                      <w:color w:val="auto"/>
                    </w:rPr>
                  </w:pPr>
                  <w:r>
                    <w:rPr>
                      <w:color w:val="auto"/>
                    </w:rPr>
                    <w:t>单层面积约296m</w:t>
                  </w:r>
                  <w:r>
                    <w:rPr>
                      <w:color w:val="auto"/>
                      <w:vertAlign w:val="superscript"/>
                    </w:rPr>
                    <w:t>2</w:t>
                  </w:r>
                  <w:r>
                    <w:rPr>
                      <w:color w:val="auto"/>
                    </w:rPr>
                    <w:t>，共3层</w:t>
                  </w:r>
                </w:p>
              </w:tc>
              <w:tc>
                <w:tcPr>
                  <w:tcW w:w="1096" w:type="dxa"/>
                  <w:vAlign w:val="center"/>
                </w:tcPr>
                <w:p w14:paraId="5DD888FE">
                  <w:pPr>
                    <w:pStyle w:val="41"/>
                    <w:rPr>
                      <w:color w:val="auto"/>
                    </w:rPr>
                  </w:pPr>
                  <w:r>
                    <w:rPr>
                      <w:color w:val="auto"/>
                    </w:rPr>
                    <w:t>新建</w:t>
                  </w:r>
                </w:p>
              </w:tc>
            </w:tr>
            <w:tr w14:paraId="618D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28114642">
                  <w:pPr>
                    <w:pStyle w:val="41"/>
                    <w:rPr>
                      <w:color w:val="auto"/>
                      <w:kern w:val="21"/>
                    </w:rPr>
                  </w:pPr>
                </w:p>
              </w:tc>
              <w:tc>
                <w:tcPr>
                  <w:tcW w:w="1600" w:type="dxa"/>
                  <w:gridSpan w:val="2"/>
                  <w:vAlign w:val="center"/>
                </w:tcPr>
                <w:p w14:paraId="743C103C">
                  <w:pPr>
                    <w:pStyle w:val="41"/>
                    <w:rPr>
                      <w:color w:val="auto"/>
                      <w:kern w:val="21"/>
                    </w:rPr>
                  </w:pPr>
                  <w:r>
                    <w:rPr>
                      <w:color w:val="auto"/>
                      <w:kern w:val="21"/>
                    </w:rPr>
                    <w:t>宿舍楼</w:t>
                  </w:r>
                </w:p>
              </w:tc>
              <w:tc>
                <w:tcPr>
                  <w:tcW w:w="2610" w:type="dxa"/>
                  <w:vAlign w:val="center"/>
                </w:tcPr>
                <w:p w14:paraId="091A56C6">
                  <w:pPr>
                    <w:pStyle w:val="41"/>
                    <w:rPr>
                      <w:color w:val="auto"/>
                      <w:kern w:val="21"/>
                    </w:rPr>
                  </w:pPr>
                  <w:r>
                    <w:rPr>
                      <w:color w:val="auto"/>
                    </w:rPr>
                    <w:t>面积约 513.27m</w:t>
                  </w:r>
                  <w:r>
                    <w:rPr>
                      <w:color w:val="auto"/>
                      <w:vertAlign w:val="superscript"/>
                    </w:rPr>
                    <w:t>2</w:t>
                  </w:r>
                  <w:r>
                    <w:rPr>
                      <w:color w:val="auto"/>
                    </w:rPr>
                    <w:t>，6 层，用于员工休息住宿，1 楼设有食堂</w:t>
                  </w:r>
                </w:p>
              </w:tc>
              <w:tc>
                <w:tcPr>
                  <w:tcW w:w="2445" w:type="dxa"/>
                  <w:vAlign w:val="center"/>
                </w:tcPr>
                <w:p w14:paraId="20DA408D">
                  <w:pPr>
                    <w:pStyle w:val="41"/>
                    <w:rPr>
                      <w:color w:val="auto"/>
                    </w:rPr>
                  </w:pPr>
                  <w:r>
                    <w:rPr>
                      <w:color w:val="auto"/>
                    </w:rPr>
                    <w:t>保持不变</w:t>
                  </w:r>
                </w:p>
              </w:tc>
              <w:tc>
                <w:tcPr>
                  <w:tcW w:w="1096" w:type="dxa"/>
                  <w:vAlign w:val="center"/>
                </w:tcPr>
                <w:p w14:paraId="51E8CED1">
                  <w:pPr>
                    <w:pStyle w:val="41"/>
                    <w:rPr>
                      <w:color w:val="auto"/>
                    </w:rPr>
                  </w:pPr>
                  <w:r>
                    <w:rPr>
                      <w:color w:val="auto"/>
                    </w:rPr>
                    <w:t>依托原有</w:t>
                  </w:r>
                </w:p>
              </w:tc>
            </w:tr>
            <w:tr w14:paraId="2F9C5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5EB0BB75">
                  <w:pPr>
                    <w:pStyle w:val="41"/>
                    <w:rPr>
                      <w:color w:val="auto"/>
                      <w:kern w:val="21"/>
                    </w:rPr>
                  </w:pPr>
                </w:p>
              </w:tc>
              <w:tc>
                <w:tcPr>
                  <w:tcW w:w="1600" w:type="dxa"/>
                  <w:gridSpan w:val="2"/>
                  <w:vAlign w:val="center"/>
                </w:tcPr>
                <w:p w14:paraId="6271D036">
                  <w:pPr>
                    <w:pStyle w:val="41"/>
                    <w:rPr>
                      <w:color w:val="auto"/>
                      <w:kern w:val="21"/>
                    </w:rPr>
                  </w:pPr>
                  <w:r>
                    <w:rPr>
                      <w:color w:val="auto"/>
                      <w:kern w:val="21"/>
                    </w:rPr>
                    <w:t>办公楼</w:t>
                  </w:r>
                </w:p>
              </w:tc>
              <w:tc>
                <w:tcPr>
                  <w:tcW w:w="2610" w:type="dxa"/>
                  <w:vAlign w:val="center"/>
                </w:tcPr>
                <w:p w14:paraId="565DA2BA">
                  <w:pPr>
                    <w:pStyle w:val="41"/>
                    <w:rPr>
                      <w:color w:val="auto"/>
                      <w:kern w:val="21"/>
                    </w:rPr>
                  </w:pPr>
                  <w:r>
                    <w:rPr>
                      <w:color w:val="auto"/>
                      <w:kern w:val="21"/>
                    </w:rPr>
                    <w:t>面积约 561m</w:t>
                  </w:r>
                  <w:r>
                    <w:rPr>
                      <w:color w:val="auto"/>
                      <w:kern w:val="21"/>
                      <w:vertAlign w:val="superscript"/>
                    </w:rPr>
                    <w:t>2</w:t>
                  </w:r>
                  <w:r>
                    <w:rPr>
                      <w:color w:val="auto"/>
                      <w:kern w:val="21"/>
                    </w:rPr>
                    <w:t>，3 层，用于厂区办公</w:t>
                  </w:r>
                </w:p>
              </w:tc>
              <w:tc>
                <w:tcPr>
                  <w:tcW w:w="2445" w:type="dxa"/>
                  <w:vAlign w:val="center"/>
                </w:tcPr>
                <w:p w14:paraId="1830D345">
                  <w:pPr>
                    <w:pStyle w:val="41"/>
                    <w:rPr>
                      <w:color w:val="auto"/>
                      <w:kern w:val="21"/>
                    </w:rPr>
                  </w:pPr>
                  <w:r>
                    <w:rPr>
                      <w:color w:val="auto"/>
                      <w:kern w:val="21"/>
                    </w:rPr>
                    <w:t>保持不变</w:t>
                  </w:r>
                </w:p>
              </w:tc>
              <w:tc>
                <w:tcPr>
                  <w:tcW w:w="1096" w:type="dxa"/>
                  <w:vAlign w:val="center"/>
                </w:tcPr>
                <w:p w14:paraId="4D8F6845">
                  <w:pPr>
                    <w:pStyle w:val="41"/>
                    <w:rPr>
                      <w:color w:val="auto"/>
                      <w:kern w:val="21"/>
                    </w:rPr>
                  </w:pPr>
                  <w:r>
                    <w:rPr>
                      <w:color w:val="auto"/>
                      <w:kern w:val="21"/>
                    </w:rPr>
                    <w:t>依托原有</w:t>
                  </w:r>
                </w:p>
              </w:tc>
            </w:tr>
            <w:tr w14:paraId="53D2F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29A5273D">
                  <w:pPr>
                    <w:pStyle w:val="41"/>
                    <w:rPr>
                      <w:color w:val="auto"/>
                      <w:kern w:val="21"/>
                    </w:rPr>
                  </w:pPr>
                </w:p>
              </w:tc>
              <w:tc>
                <w:tcPr>
                  <w:tcW w:w="1600" w:type="dxa"/>
                  <w:gridSpan w:val="2"/>
                  <w:vAlign w:val="center"/>
                </w:tcPr>
                <w:p w14:paraId="3DDD0D7F">
                  <w:pPr>
                    <w:pStyle w:val="41"/>
                    <w:rPr>
                      <w:color w:val="auto"/>
                      <w:kern w:val="21"/>
                    </w:rPr>
                  </w:pPr>
                  <w:r>
                    <w:rPr>
                      <w:color w:val="auto"/>
                      <w:kern w:val="21"/>
                    </w:rPr>
                    <w:t>配电房</w:t>
                  </w:r>
                </w:p>
              </w:tc>
              <w:tc>
                <w:tcPr>
                  <w:tcW w:w="2610" w:type="dxa"/>
                  <w:vAlign w:val="center"/>
                </w:tcPr>
                <w:p w14:paraId="7612F6B8">
                  <w:pPr>
                    <w:pStyle w:val="41"/>
                    <w:rPr>
                      <w:color w:val="auto"/>
                      <w:kern w:val="21"/>
                    </w:rPr>
                  </w:pPr>
                  <w:r>
                    <w:rPr>
                      <w:color w:val="auto"/>
                    </w:rPr>
                    <w:t>面积约 66m</w:t>
                  </w:r>
                  <w:r>
                    <w:rPr>
                      <w:color w:val="auto"/>
                      <w:vertAlign w:val="superscript"/>
                    </w:rPr>
                    <w:t>2</w:t>
                  </w:r>
                  <w:r>
                    <w:rPr>
                      <w:color w:val="auto"/>
                    </w:rPr>
                    <w:t>，1 层，高 3.6m</w:t>
                  </w:r>
                </w:p>
              </w:tc>
              <w:tc>
                <w:tcPr>
                  <w:tcW w:w="2445" w:type="dxa"/>
                  <w:vAlign w:val="center"/>
                </w:tcPr>
                <w:p w14:paraId="19E5EA73">
                  <w:pPr>
                    <w:pStyle w:val="41"/>
                    <w:rPr>
                      <w:color w:val="auto"/>
                    </w:rPr>
                  </w:pPr>
                  <w:r>
                    <w:rPr>
                      <w:color w:val="auto"/>
                    </w:rPr>
                    <w:t>保持不变</w:t>
                  </w:r>
                </w:p>
              </w:tc>
              <w:tc>
                <w:tcPr>
                  <w:tcW w:w="1096" w:type="dxa"/>
                  <w:vAlign w:val="center"/>
                </w:tcPr>
                <w:p w14:paraId="6DB559D7">
                  <w:pPr>
                    <w:pStyle w:val="41"/>
                    <w:rPr>
                      <w:color w:val="auto"/>
                    </w:rPr>
                  </w:pPr>
                  <w:r>
                    <w:rPr>
                      <w:color w:val="auto"/>
                    </w:rPr>
                    <w:t>依托原有</w:t>
                  </w:r>
                </w:p>
              </w:tc>
            </w:tr>
            <w:tr w14:paraId="361F5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160C02B0">
                  <w:pPr>
                    <w:pStyle w:val="41"/>
                    <w:rPr>
                      <w:color w:val="auto"/>
                      <w:kern w:val="21"/>
                    </w:rPr>
                  </w:pPr>
                </w:p>
              </w:tc>
              <w:tc>
                <w:tcPr>
                  <w:tcW w:w="1600" w:type="dxa"/>
                  <w:gridSpan w:val="2"/>
                  <w:vAlign w:val="center"/>
                </w:tcPr>
                <w:p w14:paraId="25BC930E">
                  <w:pPr>
                    <w:pStyle w:val="41"/>
                    <w:rPr>
                      <w:color w:val="auto"/>
                      <w:kern w:val="21"/>
                    </w:rPr>
                  </w:pPr>
                  <w:r>
                    <w:rPr>
                      <w:color w:val="auto"/>
                      <w:kern w:val="21"/>
                    </w:rPr>
                    <w:t>危废间</w:t>
                  </w:r>
                </w:p>
              </w:tc>
              <w:tc>
                <w:tcPr>
                  <w:tcW w:w="2610" w:type="dxa"/>
                  <w:vAlign w:val="center"/>
                </w:tcPr>
                <w:p w14:paraId="63230950">
                  <w:pPr>
                    <w:pStyle w:val="41"/>
                    <w:rPr>
                      <w:color w:val="auto"/>
                      <w:kern w:val="21"/>
                    </w:rPr>
                  </w:pPr>
                  <w:r>
                    <w:rPr>
                      <w:color w:val="auto"/>
                      <w:kern w:val="21"/>
                    </w:rPr>
                    <w:t>10m</w:t>
                  </w:r>
                  <w:r>
                    <w:rPr>
                      <w:color w:val="auto"/>
                      <w:kern w:val="21"/>
                      <w:vertAlign w:val="superscript"/>
                    </w:rPr>
                    <w:t>2</w:t>
                  </w:r>
                </w:p>
              </w:tc>
              <w:tc>
                <w:tcPr>
                  <w:tcW w:w="2445" w:type="dxa"/>
                  <w:vAlign w:val="center"/>
                </w:tcPr>
                <w:p w14:paraId="362791EC">
                  <w:pPr>
                    <w:pStyle w:val="41"/>
                    <w:rPr>
                      <w:color w:val="auto"/>
                      <w:kern w:val="21"/>
                    </w:rPr>
                  </w:pPr>
                  <w:r>
                    <w:rPr>
                      <w:color w:val="auto"/>
                      <w:kern w:val="21"/>
                    </w:rPr>
                    <w:t>保持不变</w:t>
                  </w:r>
                </w:p>
              </w:tc>
              <w:tc>
                <w:tcPr>
                  <w:tcW w:w="1096" w:type="dxa"/>
                  <w:vAlign w:val="center"/>
                </w:tcPr>
                <w:p w14:paraId="1FC96E3C">
                  <w:pPr>
                    <w:pStyle w:val="41"/>
                    <w:rPr>
                      <w:color w:val="auto"/>
                      <w:kern w:val="21"/>
                    </w:rPr>
                  </w:pPr>
                  <w:r>
                    <w:rPr>
                      <w:color w:val="auto"/>
                      <w:kern w:val="21"/>
                    </w:rPr>
                    <w:t>依托原有</w:t>
                  </w:r>
                </w:p>
              </w:tc>
            </w:tr>
            <w:tr w14:paraId="7FDF2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6A1A01A6">
                  <w:pPr>
                    <w:pStyle w:val="41"/>
                    <w:rPr>
                      <w:color w:val="auto"/>
                      <w:kern w:val="21"/>
                    </w:rPr>
                  </w:pPr>
                </w:p>
              </w:tc>
              <w:tc>
                <w:tcPr>
                  <w:tcW w:w="1600" w:type="dxa"/>
                  <w:gridSpan w:val="2"/>
                  <w:vAlign w:val="center"/>
                </w:tcPr>
                <w:p w14:paraId="72ECD0DE">
                  <w:pPr>
                    <w:pStyle w:val="41"/>
                    <w:rPr>
                      <w:color w:val="auto"/>
                      <w:kern w:val="21"/>
                    </w:rPr>
                  </w:pPr>
                  <w:r>
                    <w:rPr>
                      <w:color w:val="auto"/>
                      <w:kern w:val="21"/>
                    </w:rPr>
                    <w:t>一般固废暂存区</w:t>
                  </w:r>
                </w:p>
              </w:tc>
              <w:tc>
                <w:tcPr>
                  <w:tcW w:w="2610" w:type="dxa"/>
                  <w:vAlign w:val="center"/>
                </w:tcPr>
                <w:p w14:paraId="0303BEAD">
                  <w:pPr>
                    <w:pStyle w:val="41"/>
                    <w:rPr>
                      <w:color w:val="auto"/>
                      <w:kern w:val="21"/>
                    </w:rPr>
                  </w:pPr>
                  <w:r>
                    <w:rPr>
                      <w:color w:val="auto"/>
                      <w:kern w:val="21"/>
                    </w:rPr>
                    <w:t>10m</w:t>
                  </w:r>
                  <w:r>
                    <w:rPr>
                      <w:color w:val="auto"/>
                      <w:kern w:val="21"/>
                      <w:vertAlign w:val="superscript"/>
                    </w:rPr>
                    <w:t>2</w:t>
                  </w:r>
                </w:p>
              </w:tc>
              <w:tc>
                <w:tcPr>
                  <w:tcW w:w="2445" w:type="dxa"/>
                  <w:vAlign w:val="center"/>
                </w:tcPr>
                <w:p w14:paraId="69EA1CA7">
                  <w:pPr>
                    <w:pStyle w:val="41"/>
                    <w:rPr>
                      <w:color w:val="auto"/>
                      <w:kern w:val="21"/>
                    </w:rPr>
                  </w:pPr>
                  <w:r>
                    <w:rPr>
                      <w:color w:val="auto"/>
                      <w:kern w:val="21"/>
                    </w:rPr>
                    <w:t>保持不变</w:t>
                  </w:r>
                </w:p>
              </w:tc>
              <w:tc>
                <w:tcPr>
                  <w:tcW w:w="1096" w:type="dxa"/>
                  <w:vAlign w:val="center"/>
                </w:tcPr>
                <w:p w14:paraId="7D9A2E6D">
                  <w:pPr>
                    <w:pStyle w:val="41"/>
                    <w:rPr>
                      <w:color w:val="auto"/>
                      <w:kern w:val="21"/>
                    </w:rPr>
                  </w:pPr>
                  <w:r>
                    <w:rPr>
                      <w:color w:val="auto"/>
                      <w:kern w:val="21"/>
                    </w:rPr>
                    <w:t>依托原有</w:t>
                  </w:r>
                </w:p>
              </w:tc>
            </w:tr>
            <w:tr w14:paraId="19414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restart"/>
                  <w:vAlign w:val="center"/>
                </w:tcPr>
                <w:p w14:paraId="1556769C">
                  <w:pPr>
                    <w:pStyle w:val="41"/>
                    <w:rPr>
                      <w:color w:val="auto"/>
                      <w:kern w:val="21"/>
                    </w:rPr>
                  </w:pPr>
                  <w:r>
                    <w:rPr>
                      <w:color w:val="auto"/>
                      <w:kern w:val="21"/>
                    </w:rPr>
                    <w:t>公用工程</w:t>
                  </w:r>
                </w:p>
              </w:tc>
              <w:tc>
                <w:tcPr>
                  <w:tcW w:w="1600" w:type="dxa"/>
                  <w:gridSpan w:val="2"/>
                  <w:vAlign w:val="center"/>
                </w:tcPr>
                <w:p w14:paraId="4576ED94">
                  <w:pPr>
                    <w:pStyle w:val="41"/>
                    <w:rPr>
                      <w:color w:val="auto"/>
                      <w:kern w:val="21"/>
                    </w:rPr>
                  </w:pPr>
                  <w:r>
                    <w:rPr>
                      <w:color w:val="auto"/>
                      <w:kern w:val="21"/>
                    </w:rPr>
                    <w:t>供水工程</w:t>
                  </w:r>
                </w:p>
              </w:tc>
              <w:tc>
                <w:tcPr>
                  <w:tcW w:w="2610" w:type="dxa"/>
                  <w:vAlign w:val="center"/>
                </w:tcPr>
                <w:p w14:paraId="602E34AC">
                  <w:pPr>
                    <w:pStyle w:val="41"/>
                    <w:rPr>
                      <w:color w:val="auto"/>
                      <w:kern w:val="21"/>
                    </w:rPr>
                  </w:pPr>
                  <w:r>
                    <w:rPr>
                      <w:color w:val="auto"/>
                      <w:kern w:val="21"/>
                    </w:rPr>
                    <w:t>市政供水管网供给</w:t>
                  </w:r>
                </w:p>
              </w:tc>
              <w:tc>
                <w:tcPr>
                  <w:tcW w:w="2445" w:type="dxa"/>
                  <w:vAlign w:val="center"/>
                </w:tcPr>
                <w:p w14:paraId="7E5DBAAB">
                  <w:pPr>
                    <w:pStyle w:val="41"/>
                    <w:rPr>
                      <w:color w:val="auto"/>
                      <w:kern w:val="21"/>
                    </w:rPr>
                  </w:pPr>
                  <w:r>
                    <w:rPr>
                      <w:color w:val="auto"/>
                      <w:kern w:val="21"/>
                    </w:rPr>
                    <w:t>保持不变</w:t>
                  </w:r>
                </w:p>
              </w:tc>
              <w:tc>
                <w:tcPr>
                  <w:tcW w:w="1096" w:type="dxa"/>
                  <w:vAlign w:val="center"/>
                </w:tcPr>
                <w:p w14:paraId="18D7A559">
                  <w:pPr>
                    <w:pStyle w:val="41"/>
                    <w:rPr>
                      <w:color w:val="auto"/>
                      <w:kern w:val="21"/>
                    </w:rPr>
                  </w:pPr>
                  <w:r>
                    <w:rPr>
                      <w:color w:val="auto"/>
                      <w:kern w:val="21"/>
                    </w:rPr>
                    <w:t>依托原有</w:t>
                  </w:r>
                </w:p>
              </w:tc>
            </w:tr>
            <w:tr w14:paraId="65483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6EF3A21F">
                  <w:pPr>
                    <w:pStyle w:val="41"/>
                    <w:rPr>
                      <w:color w:val="auto"/>
                      <w:kern w:val="21"/>
                    </w:rPr>
                  </w:pPr>
                </w:p>
              </w:tc>
              <w:tc>
                <w:tcPr>
                  <w:tcW w:w="1600" w:type="dxa"/>
                  <w:gridSpan w:val="2"/>
                  <w:vAlign w:val="center"/>
                </w:tcPr>
                <w:p w14:paraId="584BB5FE">
                  <w:pPr>
                    <w:pStyle w:val="41"/>
                    <w:rPr>
                      <w:color w:val="auto"/>
                      <w:kern w:val="21"/>
                    </w:rPr>
                  </w:pPr>
                  <w:r>
                    <w:rPr>
                      <w:color w:val="auto"/>
                      <w:kern w:val="21"/>
                    </w:rPr>
                    <w:t>供电工程</w:t>
                  </w:r>
                </w:p>
              </w:tc>
              <w:tc>
                <w:tcPr>
                  <w:tcW w:w="2610" w:type="dxa"/>
                  <w:vAlign w:val="center"/>
                </w:tcPr>
                <w:p w14:paraId="5C546F5E">
                  <w:pPr>
                    <w:pStyle w:val="41"/>
                    <w:rPr>
                      <w:color w:val="auto"/>
                      <w:kern w:val="21"/>
                    </w:rPr>
                  </w:pPr>
                  <w:r>
                    <w:rPr>
                      <w:color w:val="auto"/>
                      <w:kern w:val="21"/>
                    </w:rPr>
                    <w:t>市政供电管网，主要供应设备用电、照明及办公用电</w:t>
                  </w:r>
                </w:p>
              </w:tc>
              <w:tc>
                <w:tcPr>
                  <w:tcW w:w="2445" w:type="dxa"/>
                  <w:vAlign w:val="center"/>
                </w:tcPr>
                <w:p w14:paraId="6FDA723A">
                  <w:pPr>
                    <w:pStyle w:val="41"/>
                    <w:rPr>
                      <w:color w:val="auto"/>
                      <w:kern w:val="21"/>
                    </w:rPr>
                  </w:pPr>
                  <w:r>
                    <w:rPr>
                      <w:color w:val="auto"/>
                      <w:kern w:val="21"/>
                    </w:rPr>
                    <w:t>保持不变</w:t>
                  </w:r>
                </w:p>
              </w:tc>
              <w:tc>
                <w:tcPr>
                  <w:tcW w:w="1096" w:type="dxa"/>
                  <w:vAlign w:val="center"/>
                </w:tcPr>
                <w:p w14:paraId="2ABBED96">
                  <w:pPr>
                    <w:pStyle w:val="41"/>
                    <w:rPr>
                      <w:color w:val="auto"/>
                      <w:kern w:val="21"/>
                    </w:rPr>
                  </w:pPr>
                  <w:r>
                    <w:rPr>
                      <w:color w:val="auto"/>
                      <w:kern w:val="21"/>
                    </w:rPr>
                    <w:t>依托原有</w:t>
                  </w:r>
                </w:p>
              </w:tc>
            </w:tr>
            <w:tr w14:paraId="1D7C2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494F9DF8">
                  <w:pPr>
                    <w:pStyle w:val="41"/>
                    <w:rPr>
                      <w:color w:val="auto"/>
                      <w:kern w:val="21"/>
                    </w:rPr>
                  </w:pPr>
                </w:p>
              </w:tc>
              <w:tc>
                <w:tcPr>
                  <w:tcW w:w="1600" w:type="dxa"/>
                  <w:gridSpan w:val="2"/>
                  <w:vAlign w:val="center"/>
                </w:tcPr>
                <w:p w14:paraId="4669D60F">
                  <w:pPr>
                    <w:pStyle w:val="41"/>
                    <w:rPr>
                      <w:color w:val="auto"/>
                      <w:kern w:val="21"/>
                    </w:rPr>
                  </w:pPr>
                  <w:r>
                    <w:rPr>
                      <w:color w:val="auto"/>
                      <w:kern w:val="21"/>
                    </w:rPr>
                    <w:t>消防</w:t>
                  </w:r>
                </w:p>
              </w:tc>
              <w:tc>
                <w:tcPr>
                  <w:tcW w:w="2610" w:type="dxa"/>
                  <w:vAlign w:val="center"/>
                </w:tcPr>
                <w:p w14:paraId="753401CB">
                  <w:pPr>
                    <w:pStyle w:val="41"/>
                    <w:rPr>
                      <w:color w:val="auto"/>
                      <w:kern w:val="21"/>
                    </w:rPr>
                  </w:pPr>
                  <w:r>
                    <w:rPr>
                      <w:color w:val="auto"/>
                      <w:kern w:val="21"/>
                    </w:rPr>
                    <w:t>项目设有消防水泵水池1个，容积为400m</w:t>
                  </w:r>
                  <w:r>
                    <w:rPr>
                      <w:color w:val="auto"/>
                      <w:kern w:val="21"/>
                      <w:vertAlign w:val="superscript"/>
                    </w:rPr>
                    <w:t>3</w:t>
                  </w:r>
                </w:p>
              </w:tc>
              <w:tc>
                <w:tcPr>
                  <w:tcW w:w="2445" w:type="dxa"/>
                  <w:vAlign w:val="center"/>
                </w:tcPr>
                <w:p w14:paraId="2C0AD019">
                  <w:pPr>
                    <w:pStyle w:val="41"/>
                    <w:rPr>
                      <w:color w:val="auto"/>
                      <w:kern w:val="21"/>
                    </w:rPr>
                  </w:pPr>
                  <w:r>
                    <w:rPr>
                      <w:color w:val="auto"/>
                      <w:kern w:val="21"/>
                    </w:rPr>
                    <w:t>保持不变</w:t>
                  </w:r>
                </w:p>
              </w:tc>
              <w:tc>
                <w:tcPr>
                  <w:tcW w:w="1096" w:type="dxa"/>
                  <w:vAlign w:val="center"/>
                </w:tcPr>
                <w:p w14:paraId="6F3B8925">
                  <w:pPr>
                    <w:pStyle w:val="41"/>
                    <w:rPr>
                      <w:color w:val="auto"/>
                      <w:kern w:val="21"/>
                    </w:rPr>
                  </w:pPr>
                  <w:r>
                    <w:rPr>
                      <w:color w:val="auto"/>
                      <w:kern w:val="21"/>
                    </w:rPr>
                    <w:t>依托原有</w:t>
                  </w:r>
                </w:p>
              </w:tc>
            </w:tr>
            <w:tr w14:paraId="30DA8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restart"/>
                  <w:vAlign w:val="center"/>
                </w:tcPr>
                <w:p w14:paraId="2AF9C2FB">
                  <w:pPr>
                    <w:pStyle w:val="41"/>
                    <w:rPr>
                      <w:color w:val="auto"/>
                      <w:kern w:val="21"/>
                    </w:rPr>
                  </w:pPr>
                  <w:r>
                    <w:rPr>
                      <w:color w:val="auto"/>
                      <w:kern w:val="21"/>
                    </w:rPr>
                    <w:t>环保工程</w:t>
                  </w:r>
                </w:p>
              </w:tc>
              <w:tc>
                <w:tcPr>
                  <w:tcW w:w="573" w:type="dxa"/>
                  <w:vMerge w:val="restart"/>
                  <w:vAlign w:val="center"/>
                </w:tcPr>
                <w:p w14:paraId="0A13F408">
                  <w:pPr>
                    <w:pStyle w:val="41"/>
                    <w:rPr>
                      <w:color w:val="auto"/>
                      <w:kern w:val="21"/>
                    </w:rPr>
                  </w:pPr>
                  <w:r>
                    <w:rPr>
                      <w:color w:val="auto"/>
                      <w:kern w:val="21"/>
                    </w:rPr>
                    <w:t>废气</w:t>
                  </w:r>
                </w:p>
              </w:tc>
              <w:tc>
                <w:tcPr>
                  <w:tcW w:w="1027" w:type="dxa"/>
                  <w:vAlign w:val="center"/>
                </w:tcPr>
                <w:p w14:paraId="6A417F66">
                  <w:pPr>
                    <w:pStyle w:val="41"/>
                    <w:rPr>
                      <w:color w:val="auto"/>
                      <w:kern w:val="21"/>
                    </w:rPr>
                  </w:pPr>
                  <w:r>
                    <w:rPr>
                      <w:color w:val="auto"/>
                      <w:kern w:val="21"/>
                    </w:rPr>
                    <w:t>厂房A抛光粉尘、焊接废气、打磨粉尘</w:t>
                  </w:r>
                </w:p>
              </w:tc>
              <w:tc>
                <w:tcPr>
                  <w:tcW w:w="2610" w:type="dxa"/>
                  <w:vAlign w:val="center"/>
                </w:tcPr>
                <w:p w14:paraId="159FF6D2">
                  <w:pPr>
                    <w:pStyle w:val="41"/>
                    <w:rPr>
                      <w:color w:val="auto"/>
                      <w:kern w:val="21"/>
                    </w:rPr>
                  </w:pPr>
                  <w:r>
                    <w:rPr>
                      <w:color w:val="auto"/>
                      <w:kern w:val="21"/>
                    </w:rPr>
                    <w:t>经“布袋除尘”处理后由15m排气筒DA001排放</w:t>
                  </w:r>
                </w:p>
              </w:tc>
              <w:tc>
                <w:tcPr>
                  <w:tcW w:w="2445" w:type="dxa"/>
                  <w:vAlign w:val="center"/>
                </w:tcPr>
                <w:p w14:paraId="1B95642C">
                  <w:pPr>
                    <w:pStyle w:val="41"/>
                    <w:rPr>
                      <w:color w:val="auto"/>
                      <w:kern w:val="21"/>
                    </w:rPr>
                  </w:pPr>
                  <w:r>
                    <w:rPr>
                      <w:color w:val="auto"/>
                      <w:kern w:val="21"/>
                    </w:rPr>
                    <w:t>保持不变</w:t>
                  </w:r>
                </w:p>
              </w:tc>
              <w:tc>
                <w:tcPr>
                  <w:tcW w:w="1096" w:type="dxa"/>
                  <w:vAlign w:val="center"/>
                </w:tcPr>
                <w:p w14:paraId="0F791C0C">
                  <w:pPr>
                    <w:pStyle w:val="41"/>
                    <w:rPr>
                      <w:color w:val="auto"/>
                      <w:kern w:val="21"/>
                    </w:rPr>
                  </w:pPr>
                  <w:r>
                    <w:rPr>
                      <w:color w:val="auto"/>
                      <w:kern w:val="21"/>
                    </w:rPr>
                    <w:t>依托原有</w:t>
                  </w:r>
                </w:p>
              </w:tc>
            </w:tr>
            <w:tr w14:paraId="6EEAF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6EA3D735">
                  <w:pPr>
                    <w:pStyle w:val="41"/>
                    <w:rPr>
                      <w:color w:val="auto"/>
                      <w:kern w:val="21"/>
                    </w:rPr>
                  </w:pPr>
                </w:p>
              </w:tc>
              <w:tc>
                <w:tcPr>
                  <w:tcW w:w="573" w:type="dxa"/>
                  <w:vMerge w:val="continue"/>
                  <w:vAlign w:val="center"/>
                </w:tcPr>
                <w:p w14:paraId="0BC99E65">
                  <w:pPr>
                    <w:pStyle w:val="41"/>
                    <w:rPr>
                      <w:color w:val="auto"/>
                      <w:kern w:val="21"/>
                    </w:rPr>
                  </w:pPr>
                </w:p>
              </w:tc>
              <w:tc>
                <w:tcPr>
                  <w:tcW w:w="1027" w:type="dxa"/>
                  <w:vAlign w:val="center"/>
                </w:tcPr>
                <w:p w14:paraId="542A9EB4">
                  <w:pPr>
                    <w:pStyle w:val="41"/>
                    <w:rPr>
                      <w:color w:val="auto"/>
                      <w:kern w:val="21"/>
                    </w:rPr>
                  </w:pPr>
                  <w:r>
                    <w:rPr>
                      <w:color w:val="auto"/>
                      <w:kern w:val="21"/>
                    </w:rPr>
                    <w:t>厂房B喷砂废气</w:t>
                  </w:r>
                </w:p>
              </w:tc>
              <w:tc>
                <w:tcPr>
                  <w:tcW w:w="2610" w:type="dxa"/>
                  <w:vAlign w:val="center"/>
                </w:tcPr>
                <w:p w14:paraId="4F14B0B0">
                  <w:pPr>
                    <w:pStyle w:val="41"/>
                    <w:rPr>
                      <w:color w:val="auto"/>
                      <w:kern w:val="21"/>
                    </w:rPr>
                  </w:pPr>
                  <w:r>
                    <w:rPr>
                      <w:color w:val="auto"/>
                      <w:kern w:val="21"/>
                    </w:rPr>
                    <w:t>/</w:t>
                  </w:r>
                </w:p>
              </w:tc>
              <w:tc>
                <w:tcPr>
                  <w:tcW w:w="2445" w:type="dxa"/>
                  <w:vAlign w:val="center"/>
                </w:tcPr>
                <w:p w14:paraId="2C951321">
                  <w:pPr>
                    <w:pStyle w:val="41"/>
                    <w:rPr>
                      <w:color w:val="auto"/>
                      <w:kern w:val="21"/>
                    </w:rPr>
                  </w:pPr>
                  <w:r>
                    <w:rPr>
                      <w:color w:val="auto"/>
                      <w:kern w:val="21"/>
                    </w:rPr>
                    <w:t>经“高效大旋风回收系统+滤筒式除尘器”处理后由15m排气筒DA002排放</w:t>
                  </w:r>
                </w:p>
              </w:tc>
              <w:tc>
                <w:tcPr>
                  <w:tcW w:w="1096" w:type="dxa"/>
                  <w:vAlign w:val="center"/>
                </w:tcPr>
                <w:p w14:paraId="058B53DC">
                  <w:pPr>
                    <w:pStyle w:val="41"/>
                    <w:rPr>
                      <w:color w:val="auto"/>
                      <w:kern w:val="21"/>
                    </w:rPr>
                  </w:pPr>
                  <w:r>
                    <w:rPr>
                      <w:color w:val="auto"/>
                      <w:kern w:val="21"/>
                    </w:rPr>
                    <w:t>新建</w:t>
                  </w:r>
                </w:p>
              </w:tc>
            </w:tr>
            <w:tr w14:paraId="3CC5A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506F953E">
                  <w:pPr>
                    <w:pStyle w:val="41"/>
                    <w:rPr>
                      <w:color w:val="auto"/>
                      <w:kern w:val="21"/>
                    </w:rPr>
                  </w:pPr>
                </w:p>
              </w:tc>
              <w:tc>
                <w:tcPr>
                  <w:tcW w:w="573" w:type="dxa"/>
                  <w:vMerge w:val="continue"/>
                  <w:vAlign w:val="center"/>
                </w:tcPr>
                <w:p w14:paraId="34F55800">
                  <w:pPr>
                    <w:pStyle w:val="41"/>
                    <w:rPr>
                      <w:color w:val="auto"/>
                      <w:kern w:val="21"/>
                    </w:rPr>
                  </w:pPr>
                </w:p>
              </w:tc>
              <w:tc>
                <w:tcPr>
                  <w:tcW w:w="1027" w:type="dxa"/>
                  <w:vAlign w:val="center"/>
                </w:tcPr>
                <w:p w14:paraId="65ED9768">
                  <w:pPr>
                    <w:pStyle w:val="41"/>
                    <w:rPr>
                      <w:color w:val="auto"/>
                      <w:kern w:val="21"/>
                    </w:rPr>
                  </w:pPr>
                  <w:r>
                    <w:rPr>
                      <w:color w:val="auto"/>
                      <w:kern w:val="21"/>
                    </w:rPr>
                    <w:t>厂房B电泳烘干废气及燃液化石油气燃烧器</w:t>
                  </w:r>
                </w:p>
              </w:tc>
              <w:tc>
                <w:tcPr>
                  <w:tcW w:w="2610" w:type="dxa"/>
                  <w:vAlign w:val="center"/>
                </w:tcPr>
                <w:p w14:paraId="7EDBF207">
                  <w:pPr>
                    <w:pStyle w:val="41"/>
                    <w:rPr>
                      <w:color w:val="auto"/>
                      <w:kern w:val="21"/>
                    </w:rPr>
                  </w:pPr>
                  <w:r>
                    <w:rPr>
                      <w:color w:val="auto"/>
                      <w:kern w:val="21"/>
                    </w:rPr>
                    <w:t>/</w:t>
                  </w:r>
                </w:p>
              </w:tc>
              <w:tc>
                <w:tcPr>
                  <w:tcW w:w="2445" w:type="dxa"/>
                  <w:vAlign w:val="center"/>
                </w:tcPr>
                <w:p w14:paraId="1CF05F48">
                  <w:pPr>
                    <w:pStyle w:val="41"/>
                    <w:rPr>
                      <w:color w:val="auto"/>
                      <w:kern w:val="21"/>
                    </w:rPr>
                  </w:pPr>
                  <w:r>
                    <w:rPr>
                      <w:color w:val="auto"/>
                      <w:kern w:val="21"/>
                    </w:rPr>
                    <w:t>经“</w:t>
                  </w:r>
                  <w:r>
                    <w:rPr>
                      <w:rFonts w:hint="eastAsia"/>
                      <w:color w:val="auto"/>
                      <w:kern w:val="21"/>
                      <w:lang w:eastAsia="zh-CN"/>
                    </w:rPr>
                    <w:t>喷淋塔+干式过滤+二级活性炭</w:t>
                  </w:r>
                  <w:r>
                    <w:rPr>
                      <w:color w:val="auto"/>
                      <w:kern w:val="21"/>
                    </w:rPr>
                    <w:t>吸附装置”处理后由15m排气筒DA003排放</w:t>
                  </w:r>
                </w:p>
              </w:tc>
              <w:tc>
                <w:tcPr>
                  <w:tcW w:w="1096" w:type="dxa"/>
                  <w:vAlign w:val="center"/>
                </w:tcPr>
                <w:p w14:paraId="443F47D2">
                  <w:pPr>
                    <w:pStyle w:val="41"/>
                    <w:rPr>
                      <w:color w:val="auto"/>
                      <w:kern w:val="21"/>
                    </w:rPr>
                  </w:pPr>
                  <w:r>
                    <w:rPr>
                      <w:color w:val="auto"/>
                      <w:kern w:val="21"/>
                    </w:rPr>
                    <w:t>新建</w:t>
                  </w:r>
                </w:p>
              </w:tc>
            </w:tr>
            <w:tr w14:paraId="4646B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1A6684BC">
                  <w:pPr>
                    <w:pStyle w:val="41"/>
                    <w:rPr>
                      <w:color w:val="auto"/>
                      <w:kern w:val="21"/>
                    </w:rPr>
                  </w:pPr>
                </w:p>
              </w:tc>
              <w:tc>
                <w:tcPr>
                  <w:tcW w:w="573" w:type="dxa"/>
                  <w:vMerge w:val="continue"/>
                  <w:vAlign w:val="center"/>
                </w:tcPr>
                <w:p w14:paraId="3B184473">
                  <w:pPr>
                    <w:pStyle w:val="41"/>
                    <w:rPr>
                      <w:color w:val="auto"/>
                      <w:kern w:val="21"/>
                    </w:rPr>
                  </w:pPr>
                </w:p>
              </w:tc>
              <w:tc>
                <w:tcPr>
                  <w:tcW w:w="1027" w:type="dxa"/>
                  <w:vAlign w:val="center"/>
                </w:tcPr>
                <w:p w14:paraId="35A2A12D">
                  <w:pPr>
                    <w:pStyle w:val="41"/>
                    <w:rPr>
                      <w:color w:val="auto"/>
                      <w:kern w:val="21"/>
                    </w:rPr>
                  </w:pPr>
                  <w:r>
                    <w:rPr>
                      <w:color w:val="auto"/>
                      <w:kern w:val="21"/>
                    </w:rPr>
                    <w:t>厂房C粉末固化废气及燃液化石油气燃烧器</w:t>
                  </w:r>
                </w:p>
              </w:tc>
              <w:tc>
                <w:tcPr>
                  <w:tcW w:w="2610" w:type="dxa"/>
                  <w:vAlign w:val="center"/>
                </w:tcPr>
                <w:p w14:paraId="3B65E825">
                  <w:pPr>
                    <w:pStyle w:val="41"/>
                    <w:rPr>
                      <w:color w:val="auto"/>
                      <w:kern w:val="21"/>
                    </w:rPr>
                  </w:pPr>
                  <w:r>
                    <w:rPr>
                      <w:color w:val="auto"/>
                      <w:kern w:val="21"/>
                    </w:rPr>
                    <w:t>/</w:t>
                  </w:r>
                </w:p>
              </w:tc>
              <w:tc>
                <w:tcPr>
                  <w:tcW w:w="2445" w:type="dxa"/>
                  <w:vAlign w:val="center"/>
                </w:tcPr>
                <w:p w14:paraId="4C8978F3">
                  <w:pPr>
                    <w:pStyle w:val="41"/>
                    <w:rPr>
                      <w:color w:val="auto"/>
                      <w:kern w:val="21"/>
                    </w:rPr>
                  </w:pPr>
                  <w:r>
                    <w:rPr>
                      <w:color w:val="auto"/>
                      <w:kern w:val="21"/>
                    </w:rPr>
                    <w:t>经“</w:t>
                  </w:r>
                  <w:r>
                    <w:rPr>
                      <w:rFonts w:hint="eastAsia"/>
                      <w:color w:val="auto"/>
                      <w:kern w:val="21"/>
                      <w:lang w:eastAsia="zh-CN"/>
                    </w:rPr>
                    <w:t>喷淋塔+干式过滤+二级活性炭</w:t>
                  </w:r>
                  <w:r>
                    <w:rPr>
                      <w:color w:val="auto"/>
                      <w:kern w:val="21"/>
                    </w:rPr>
                    <w:t>吸附装置”处理后由15m排气筒DA004排放</w:t>
                  </w:r>
                </w:p>
              </w:tc>
              <w:tc>
                <w:tcPr>
                  <w:tcW w:w="1096" w:type="dxa"/>
                  <w:vAlign w:val="center"/>
                </w:tcPr>
                <w:p w14:paraId="14EF421B">
                  <w:pPr>
                    <w:pStyle w:val="41"/>
                    <w:rPr>
                      <w:color w:val="auto"/>
                      <w:kern w:val="21"/>
                    </w:rPr>
                  </w:pPr>
                  <w:r>
                    <w:rPr>
                      <w:color w:val="auto"/>
                      <w:kern w:val="21"/>
                    </w:rPr>
                    <w:t>新建</w:t>
                  </w:r>
                </w:p>
              </w:tc>
            </w:tr>
            <w:tr w14:paraId="6ED98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79BAAE0B">
                  <w:pPr>
                    <w:pStyle w:val="41"/>
                    <w:rPr>
                      <w:color w:val="auto"/>
                      <w:kern w:val="21"/>
                    </w:rPr>
                  </w:pPr>
                </w:p>
              </w:tc>
              <w:tc>
                <w:tcPr>
                  <w:tcW w:w="573" w:type="dxa"/>
                  <w:vMerge w:val="continue"/>
                  <w:vAlign w:val="center"/>
                </w:tcPr>
                <w:p w14:paraId="76A63336">
                  <w:pPr>
                    <w:pStyle w:val="41"/>
                    <w:rPr>
                      <w:color w:val="auto"/>
                      <w:kern w:val="21"/>
                    </w:rPr>
                  </w:pPr>
                </w:p>
              </w:tc>
              <w:tc>
                <w:tcPr>
                  <w:tcW w:w="1027" w:type="dxa"/>
                  <w:vAlign w:val="center"/>
                </w:tcPr>
                <w:p w14:paraId="233E73EB">
                  <w:pPr>
                    <w:pStyle w:val="41"/>
                    <w:rPr>
                      <w:color w:val="auto"/>
                      <w:kern w:val="21"/>
                    </w:rPr>
                  </w:pPr>
                  <w:r>
                    <w:rPr>
                      <w:color w:val="auto"/>
                      <w:kern w:val="21"/>
                    </w:rPr>
                    <w:t>厂房C焊接烟尘</w:t>
                  </w:r>
                </w:p>
              </w:tc>
              <w:tc>
                <w:tcPr>
                  <w:tcW w:w="2610" w:type="dxa"/>
                  <w:vAlign w:val="center"/>
                </w:tcPr>
                <w:p w14:paraId="196B2BC4">
                  <w:pPr>
                    <w:pStyle w:val="41"/>
                    <w:rPr>
                      <w:color w:val="auto"/>
                      <w:kern w:val="21"/>
                    </w:rPr>
                  </w:pPr>
                  <w:r>
                    <w:rPr>
                      <w:color w:val="auto"/>
                      <w:kern w:val="21"/>
                    </w:rPr>
                    <w:t>/</w:t>
                  </w:r>
                </w:p>
              </w:tc>
              <w:tc>
                <w:tcPr>
                  <w:tcW w:w="2445" w:type="dxa"/>
                  <w:vAlign w:val="center"/>
                </w:tcPr>
                <w:p w14:paraId="6B38BABF">
                  <w:pPr>
                    <w:pStyle w:val="41"/>
                    <w:rPr>
                      <w:color w:val="auto"/>
                      <w:kern w:val="21"/>
                    </w:rPr>
                  </w:pPr>
                  <w:r>
                    <w:rPr>
                      <w:color w:val="auto"/>
                      <w:kern w:val="21"/>
                    </w:rPr>
                    <w:t>移动式烟尘净化器收集处理后无组织排放</w:t>
                  </w:r>
                </w:p>
              </w:tc>
              <w:tc>
                <w:tcPr>
                  <w:tcW w:w="1096" w:type="dxa"/>
                  <w:vAlign w:val="center"/>
                </w:tcPr>
                <w:p w14:paraId="6FDCE6F8">
                  <w:pPr>
                    <w:pStyle w:val="41"/>
                    <w:rPr>
                      <w:color w:val="auto"/>
                      <w:kern w:val="21"/>
                    </w:rPr>
                  </w:pPr>
                  <w:r>
                    <w:rPr>
                      <w:color w:val="auto"/>
                      <w:kern w:val="21"/>
                    </w:rPr>
                    <w:t>新建</w:t>
                  </w:r>
                </w:p>
              </w:tc>
            </w:tr>
            <w:tr w14:paraId="7C9DD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7D2A4BA8">
                  <w:pPr>
                    <w:pStyle w:val="41"/>
                    <w:rPr>
                      <w:color w:val="auto"/>
                      <w:kern w:val="21"/>
                    </w:rPr>
                  </w:pPr>
                </w:p>
              </w:tc>
              <w:tc>
                <w:tcPr>
                  <w:tcW w:w="573" w:type="dxa"/>
                  <w:vMerge w:val="continue"/>
                  <w:vAlign w:val="center"/>
                </w:tcPr>
                <w:p w14:paraId="2E98827C">
                  <w:pPr>
                    <w:pStyle w:val="41"/>
                    <w:rPr>
                      <w:color w:val="auto"/>
                      <w:kern w:val="21"/>
                    </w:rPr>
                  </w:pPr>
                </w:p>
              </w:tc>
              <w:tc>
                <w:tcPr>
                  <w:tcW w:w="1027" w:type="dxa"/>
                  <w:vAlign w:val="center"/>
                </w:tcPr>
                <w:p w14:paraId="72CC8A8D">
                  <w:pPr>
                    <w:pStyle w:val="41"/>
                    <w:rPr>
                      <w:color w:val="auto"/>
                      <w:kern w:val="21"/>
                    </w:rPr>
                  </w:pPr>
                  <w:r>
                    <w:rPr>
                      <w:color w:val="auto"/>
                      <w:kern w:val="21"/>
                    </w:rPr>
                    <w:t>厂房C开料废气</w:t>
                  </w:r>
                </w:p>
              </w:tc>
              <w:tc>
                <w:tcPr>
                  <w:tcW w:w="2610" w:type="dxa"/>
                  <w:vAlign w:val="center"/>
                </w:tcPr>
                <w:p w14:paraId="21264AC4">
                  <w:pPr>
                    <w:pStyle w:val="41"/>
                    <w:rPr>
                      <w:color w:val="auto"/>
                      <w:kern w:val="21"/>
                    </w:rPr>
                  </w:pPr>
                  <w:r>
                    <w:rPr>
                      <w:color w:val="auto"/>
                      <w:kern w:val="21"/>
                    </w:rPr>
                    <w:t>/</w:t>
                  </w:r>
                </w:p>
              </w:tc>
              <w:tc>
                <w:tcPr>
                  <w:tcW w:w="2445" w:type="dxa"/>
                  <w:vAlign w:val="center"/>
                </w:tcPr>
                <w:p w14:paraId="1A14C3C1">
                  <w:pPr>
                    <w:pStyle w:val="41"/>
                    <w:rPr>
                      <w:color w:val="auto"/>
                      <w:kern w:val="21"/>
                    </w:rPr>
                  </w:pPr>
                  <w:r>
                    <w:rPr>
                      <w:color w:val="auto"/>
                      <w:kern w:val="21"/>
                    </w:rPr>
                    <w:t>重力沉降、厂房阻隔，无组织排放</w:t>
                  </w:r>
                </w:p>
              </w:tc>
              <w:tc>
                <w:tcPr>
                  <w:tcW w:w="1096" w:type="dxa"/>
                  <w:vAlign w:val="center"/>
                </w:tcPr>
                <w:p w14:paraId="11B9CF15">
                  <w:pPr>
                    <w:pStyle w:val="41"/>
                    <w:rPr>
                      <w:color w:val="auto"/>
                      <w:kern w:val="21"/>
                    </w:rPr>
                  </w:pPr>
                  <w:r>
                    <w:rPr>
                      <w:color w:val="auto"/>
                      <w:kern w:val="21"/>
                    </w:rPr>
                    <w:t>新建</w:t>
                  </w:r>
                </w:p>
              </w:tc>
            </w:tr>
            <w:tr w14:paraId="10560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574" w:type="dxa"/>
                  <w:vMerge w:val="continue"/>
                  <w:vAlign w:val="center"/>
                </w:tcPr>
                <w:p w14:paraId="1E2F6B01">
                  <w:pPr>
                    <w:pStyle w:val="41"/>
                    <w:rPr>
                      <w:color w:val="auto"/>
                      <w:kern w:val="21"/>
                    </w:rPr>
                  </w:pPr>
                </w:p>
              </w:tc>
              <w:tc>
                <w:tcPr>
                  <w:tcW w:w="573" w:type="dxa"/>
                  <w:vMerge w:val="continue"/>
                  <w:vAlign w:val="center"/>
                </w:tcPr>
                <w:p w14:paraId="78EC195E">
                  <w:pPr>
                    <w:pStyle w:val="41"/>
                    <w:rPr>
                      <w:color w:val="auto"/>
                      <w:kern w:val="21"/>
                    </w:rPr>
                  </w:pPr>
                </w:p>
              </w:tc>
              <w:tc>
                <w:tcPr>
                  <w:tcW w:w="1027" w:type="dxa"/>
                  <w:vAlign w:val="center"/>
                </w:tcPr>
                <w:p w14:paraId="2B458375">
                  <w:pPr>
                    <w:pStyle w:val="41"/>
                    <w:rPr>
                      <w:color w:val="auto"/>
                      <w:kern w:val="21"/>
                    </w:rPr>
                  </w:pPr>
                  <w:r>
                    <w:rPr>
                      <w:color w:val="auto"/>
                      <w:kern w:val="21"/>
                    </w:rPr>
                    <w:t>厂房C机加工粉尘</w:t>
                  </w:r>
                </w:p>
              </w:tc>
              <w:tc>
                <w:tcPr>
                  <w:tcW w:w="2610" w:type="dxa"/>
                  <w:vAlign w:val="center"/>
                </w:tcPr>
                <w:p w14:paraId="0C0DDB42">
                  <w:pPr>
                    <w:pStyle w:val="41"/>
                    <w:rPr>
                      <w:color w:val="auto"/>
                      <w:kern w:val="21"/>
                    </w:rPr>
                  </w:pPr>
                  <w:r>
                    <w:rPr>
                      <w:color w:val="auto"/>
                      <w:kern w:val="21"/>
                    </w:rPr>
                    <w:t>/</w:t>
                  </w:r>
                </w:p>
              </w:tc>
              <w:tc>
                <w:tcPr>
                  <w:tcW w:w="2445" w:type="dxa"/>
                  <w:vAlign w:val="center"/>
                </w:tcPr>
                <w:p w14:paraId="018155DF">
                  <w:pPr>
                    <w:pStyle w:val="41"/>
                    <w:rPr>
                      <w:color w:val="auto"/>
                      <w:kern w:val="21"/>
                    </w:rPr>
                  </w:pPr>
                  <w:r>
                    <w:rPr>
                      <w:color w:val="auto"/>
                      <w:kern w:val="21"/>
                    </w:rPr>
                    <w:t>移动式布袋除尘器</w:t>
                  </w:r>
                </w:p>
              </w:tc>
              <w:tc>
                <w:tcPr>
                  <w:tcW w:w="1096" w:type="dxa"/>
                  <w:vAlign w:val="center"/>
                </w:tcPr>
                <w:p w14:paraId="6C00486A">
                  <w:pPr>
                    <w:pStyle w:val="41"/>
                    <w:rPr>
                      <w:color w:val="auto"/>
                      <w:kern w:val="21"/>
                    </w:rPr>
                  </w:pPr>
                  <w:r>
                    <w:rPr>
                      <w:color w:val="auto"/>
                      <w:kern w:val="21"/>
                    </w:rPr>
                    <w:t>新建</w:t>
                  </w:r>
                </w:p>
              </w:tc>
            </w:tr>
            <w:tr w14:paraId="0EC02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34B6AC71">
                  <w:pPr>
                    <w:pStyle w:val="41"/>
                    <w:rPr>
                      <w:color w:val="auto"/>
                      <w:kern w:val="21"/>
                    </w:rPr>
                  </w:pPr>
                </w:p>
              </w:tc>
              <w:tc>
                <w:tcPr>
                  <w:tcW w:w="573" w:type="dxa"/>
                  <w:vMerge w:val="continue"/>
                  <w:vAlign w:val="center"/>
                </w:tcPr>
                <w:p w14:paraId="238D974B">
                  <w:pPr>
                    <w:pStyle w:val="41"/>
                    <w:rPr>
                      <w:color w:val="auto"/>
                      <w:kern w:val="21"/>
                    </w:rPr>
                  </w:pPr>
                </w:p>
              </w:tc>
              <w:tc>
                <w:tcPr>
                  <w:tcW w:w="1027" w:type="dxa"/>
                  <w:vAlign w:val="center"/>
                </w:tcPr>
                <w:p w14:paraId="1FF6B4CF">
                  <w:pPr>
                    <w:pStyle w:val="41"/>
                    <w:rPr>
                      <w:color w:val="auto"/>
                      <w:kern w:val="21"/>
                    </w:rPr>
                  </w:pPr>
                  <w:r>
                    <w:rPr>
                      <w:color w:val="auto"/>
                      <w:kern w:val="21"/>
                    </w:rPr>
                    <w:t>食堂油烟</w:t>
                  </w:r>
                </w:p>
              </w:tc>
              <w:tc>
                <w:tcPr>
                  <w:tcW w:w="2610" w:type="dxa"/>
                  <w:vAlign w:val="center"/>
                </w:tcPr>
                <w:p w14:paraId="1CEB41A4">
                  <w:pPr>
                    <w:pStyle w:val="41"/>
                    <w:rPr>
                      <w:color w:val="auto"/>
                      <w:kern w:val="21"/>
                    </w:rPr>
                  </w:pPr>
                  <w:r>
                    <w:rPr>
                      <w:color w:val="auto"/>
                      <w:kern w:val="21"/>
                    </w:rPr>
                    <w:t>经静电油烟净化器处理后采用抽风机由内置烟井引至大楼顶楼排放</w:t>
                  </w:r>
                </w:p>
              </w:tc>
              <w:tc>
                <w:tcPr>
                  <w:tcW w:w="2445" w:type="dxa"/>
                  <w:vAlign w:val="center"/>
                </w:tcPr>
                <w:p w14:paraId="5F792DAA">
                  <w:pPr>
                    <w:pStyle w:val="41"/>
                    <w:rPr>
                      <w:rFonts w:eastAsia="Times New Roman"/>
                      <w:color w:val="auto"/>
                      <w:kern w:val="21"/>
                    </w:rPr>
                  </w:pPr>
                  <w:r>
                    <w:rPr>
                      <w:color w:val="auto"/>
                      <w:kern w:val="21"/>
                    </w:rPr>
                    <w:t>保持不变</w:t>
                  </w:r>
                </w:p>
              </w:tc>
              <w:tc>
                <w:tcPr>
                  <w:tcW w:w="1096" w:type="dxa"/>
                  <w:vAlign w:val="center"/>
                </w:tcPr>
                <w:p w14:paraId="36337D01">
                  <w:pPr>
                    <w:pStyle w:val="41"/>
                    <w:rPr>
                      <w:color w:val="auto"/>
                      <w:kern w:val="21"/>
                    </w:rPr>
                  </w:pPr>
                  <w:r>
                    <w:rPr>
                      <w:color w:val="auto"/>
                      <w:kern w:val="21"/>
                    </w:rPr>
                    <w:t>依托原有</w:t>
                  </w:r>
                </w:p>
              </w:tc>
            </w:tr>
            <w:tr w14:paraId="02E8D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4024BE34">
                  <w:pPr>
                    <w:pStyle w:val="41"/>
                    <w:rPr>
                      <w:color w:val="auto"/>
                      <w:kern w:val="21"/>
                    </w:rPr>
                  </w:pPr>
                </w:p>
              </w:tc>
              <w:tc>
                <w:tcPr>
                  <w:tcW w:w="573" w:type="dxa"/>
                  <w:vMerge w:val="restart"/>
                  <w:vAlign w:val="center"/>
                </w:tcPr>
                <w:p w14:paraId="2E9FC494">
                  <w:pPr>
                    <w:pStyle w:val="41"/>
                    <w:rPr>
                      <w:color w:val="auto"/>
                      <w:kern w:val="21"/>
                    </w:rPr>
                  </w:pPr>
                  <w:r>
                    <w:rPr>
                      <w:color w:val="auto"/>
                      <w:kern w:val="21"/>
                    </w:rPr>
                    <w:t>废水</w:t>
                  </w:r>
                </w:p>
              </w:tc>
              <w:tc>
                <w:tcPr>
                  <w:tcW w:w="1027" w:type="dxa"/>
                  <w:vAlign w:val="center"/>
                </w:tcPr>
                <w:p w14:paraId="165EABDE">
                  <w:pPr>
                    <w:pStyle w:val="41"/>
                    <w:rPr>
                      <w:color w:val="auto"/>
                      <w:kern w:val="21"/>
                    </w:rPr>
                  </w:pPr>
                  <w:r>
                    <w:rPr>
                      <w:color w:val="auto"/>
                      <w:kern w:val="21"/>
                    </w:rPr>
                    <w:t>生活污水</w:t>
                  </w:r>
                </w:p>
              </w:tc>
              <w:tc>
                <w:tcPr>
                  <w:tcW w:w="2610" w:type="dxa"/>
                  <w:vAlign w:val="center"/>
                </w:tcPr>
                <w:p w14:paraId="1D0D091B">
                  <w:pPr>
                    <w:pStyle w:val="41"/>
                    <w:rPr>
                      <w:color w:val="auto"/>
                      <w:kern w:val="21"/>
                    </w:rPr>
                  </w:pPr>
                  <w:r>
                    <w:rPr>
                      <w:color w:val="auto"/>
                      <w:kern w:val="21"/>
                    </w:rPr>
                    <w:t>经“隔油隔渣池+三级化粪池”预处理后排至园区污水处理厂</w:t>
                  </w:r>
                </w:p>
              </w:tc>
              <w:tc>
                <w:tcPr>
                  <w:tcW w:w="2445" w:type="dxa"/>
                  <w:vAlign w:val="center"/>
                </w:tcPr>
                <w:p w14:paraId="360C7B09">
                  <w:pPr>
                    <w:pStyle w:val="41"/>
                    <w:rPr>
                      <w:rFonts w:eastAsia="Times New Roman"/>
                      <w:color w:val="auto"/>
                      <w:kern w:val="21"/>
                    </w:rPr>
                  </w:pPr>
                  <w:r>
                    <w:rPr>
                      <w:color w:val="auto"/>
                      <w:kern w:val="21"/>
                    </w:rPr>
                    <w:t>保持不变</w:t>
                  </w:r>
                </w:p>
              </w:tc>
              <w:tc>
                <w:tcPr>
                  <w:tcW w:w="1096" w:type="dxa"/>
                  <w:vAlign w:val="center"/>
                </w:tcPr>
                <w:p w14:paraId="24D55BF1">
                  <w:pPr>
                    <w:pStyle w:val="41"/>
                    <w:rPr>
                      <w:color w:val="auto"/>
                      <w:kern w:val="21"/>
                    </w:rPr>
                  </w:pPr>
                  <w:r>
                    <w:rPr>
                      <w:color w:val="auto"/>
                      <w:kern w:val="21"/>
                    </w:rPr>
                    <w:t>依托原有</w:t>
                  </w:r>
                </w:p>
              </w:tc>
            </w:tr>
            <w:tr w14:paraId="6BFFA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2814F785">
                  <w:pPr>
                    <w:pStyle w:val="41"/>
                    <w:rPr>
                      <w:color w:val="auto"/>
                      <w:kern w:val="21"/>
                    </w:rPr>
                  </w:pPr>
                </w:p>
              </w:tc>
              <w:tc>
                <w:tcPr>
                  <w:tcW w:w="573" w:type="dxa"/>
                  <w:vMerge w:val="continue"/>
                  <w:vAlign w:val="center"/>
                </w:tcPr>
                <w:p w14:paraId="43AF1973">
                  <w:pPr>
                    <w:pStyle w:val="41"/>
                    <w:rPr>
                      <w:color w:val="auto"/>
                      <w:kern w:val="21"/>
                    </w:rPr>
                  </w:pPr>
                </w:p>
              </w:tc>
              <w:tc>
                <w:tcPr>
                  <w:tcW w:w="1027" w:type="dxa"/>
                  <w:vAlign w:val="center"/>
                </w:tcPr>
                <w:p w14:paraId="5B35B0F1">
                  <w:pPr>
                    <w:pStyle w:val="41"/>
                    <w:rPr>
                      <w:color w:val="auto"/>
                      <w:kern w:val="21"/>
                    </w:rPr>
                  </w:pPr>
                  <w:r>
                    <w:rPr>
                      <w:color w:val="auto"/>
                      <w:kern w:val="21"/>
                    </w:rPr>
                    <w:t>生产废气</w:t>
                  </w:r>
                </w:p>
              </w:tc>
              <w:tc>
                <w:tcPr>
                  <w:tcW w:w="2610" w:type="dxa"/>
                  <w:vAlign w:val="center"/>
                </w:tcPr>
                <w:p w14:paraId="3F9F23EA">
                  <w:pPr>
                    <w:pStyle w:val="41"/>
                    <w:rPr>
                      <w:color w:val="auto"/>
                      <w:kern w:val="21"/>
                    </w:rPr>
                  </w:pPr>
                  <w:r>
                    <w:rPr>
                      <w:color w:val="auto"/>
                      <w:kern w:val="21"/>
                    </w:rPr>
                    <w:t>/</w:t>
                  </w:r>
                </w:p>
              </w:tc>
              <w:tc>
                <w:tcPr>
                  <w:tcW w:w="2445" w:type="dxa"/>
                  <w:vAlign w:val="center"/>
                </w:tcPr>
                <w:p w14:paraId="51937FD2">
                  <w:pPr>
                    <w:pStyle w:val="41"/>
                    <w:rPr>
                      <w:color w:val="auto"/>
                      <w:kern w:val="21"/>
                    </w:rPr>
                  </w:pPr>
                  <w:r>
                    <w:rPr>
                      <w:color w:val="auto"/>
                      <w:kern w:val="21"/>
                    </w:rPr>
                    <w:t>经“混凝沉淀池+砂滤-碳滤”预处理后排至园区污水处理厂</w:t>
                  </w:r>
                </w:p>
              </w:tc>
              <w:tc>
                <w:tcPr>
                  <w:tcW w:w="1096" w:type="dxa"/>
                  <w:vAlign w:val="center"/>
                </w:tcPr>
                <w:p w14:paraId="68D38CE1">
                  <w:pPr>
                    <w:pStyle w:val="41"/>
                    <w:rPr>
                      <w:color w:val="auto"/>
                      <w:kern w:val="21"/>
                    </w:rPr>
                  </w:pPr>
                  <w:r>
                    <w:rPr>
                      <w:color w:val="auto"/>
                      <w:kern w:val="21"/>
                    </w:rPr>
                    <w:t>新建</w:t>
                  </w:r>
                </w:p>
              </w:tc>
            </w:tr>
            <w:tr w14:paraId="51B13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2929F0DC">
                  <w:pPr>
                    <w:pStyle w:val="41"/>
                    <w:rPr>
                      <w:color w:val="auto"/>
                      <w:kern w:val="21"/>
                    </w:rPr>
                  </w:pPr>
                </w:p>
              </w:tc>
              <w:tc>
                <w:tcPr>
                  <w:tcW w:w="573" w:type="dxa"/>
                  <w:vAlign w:val="center"/>
                </w:tcPr>
                <w:p w14:paraId="1BDCF97A">
                  <w:pPr>
                    <w:pStyle w:val="41"/>
                    <w:rPr>
                      <w:color w:val="auto"/>
                      <w:kern w:val="21"/>
                    </w:rPr>
                  </w:pPr>
                  <w:r>
                    <w:rPr>
                      <w:color w:val="auto"/>
                      <w:kern w:val="21"/>
                    </w:rPr>
                    <w:t>噪声</w:t>
                  </w:r>
                </w:p>
              </w:tc>
              <w:tc>
                <w:tcPr>
                  <w:tcW w:w="1027" w:type="dxa"/>
                  <w:vAlign w:val="center"/>
                </w:tcPr>
                <w:p w14:paraId="4D6A2313">
                  <w:pPr>
                    <w:pStyle w:val="41"/>
                    <w:rPr>
                      <w:color w:val="auto"/>
                      <w:kern w:val="21"/>
                    </w:rPr>
                  </w:pPr>
                  <w:r>
                    <w:rPr>
                      <w:color w:val="auto"/>
                      <w:kern w:val="21"/>
                    </w:rPr>
                    <w:t>生产设备</w:t>
                  </w:r>
                </w:p>
              </w:tc>
              <w:tc>
                <w:tcPr>
                  <w:tcW w:w="2610" w:type="dxa"/>
                  <w:vAlign w:val="center"/>
                </w:tcPr>
                <w:p w14:paraId="04FA8B9F">
                  <w:pPr>
                    <w:pStyle w:val="41"/>
                    <w:rPr>
                      <w:color w:val="auto"/>
                      <w:kern w:val="21"/>
                    </w:rPr>
                  </w:pPr>
                  <w:r>
                    <w:rPr>
                      <w:color w:val="auto"/>
                      <w:kern w:val="21"/>
                    </w:rPr>
                    <w:t>选用低噪声设备，减振、隔声、合理布局等</w:t>
                  </w:r>
                </w:p>
              </w:tc>
              <w:tc>
                <w:tcPr>
                  <w:tcW w:w="2445" w:type="dxa"/>
                  <w:vAlign w:val="center"/>
                </w:tcPr>
                <w:p w14:paraId="738EBA67">
                  <w:pPr>
                    <w:pStyle w:val="41"/>
                    <w:rPr>
                      <w:color w:val="auto"/>
                      <w:kern w:val="21"/>
                    </w:rPr>
                  </w:pPr>
                  <w:r>
                    <w:rPr>
                      <w:color w:val="auto"/>
                      <w:kern w:val="21"/>
                    </w:rPr>
                    <w:t>保持不变</w:t>
                  </w:r>
                </w:p>
              </w:tc>
              <w:tc>
                <w:tcPr>
                  <w:tcW w:w="1096" w:type="dxa"/>
                  <w:vAlign w:val="center"/>
                </w:tcPr>
                <w:p w14:paraId="7AFC0BB6">
                  <w:pPr>
                    <w:pStyle w:val="41"/>
                    <w:rPr>
                      <w:color w:val="auto"/>
                      <w:kern w:val="21"/>
                    </w:rPr>
                  </w:pPr>
                  <w:r>
                    <w:rPr>
                      <w:color w:val="auto"/>
                      <w:kern w:val="21"/>
                    </w:rPr>
                    <w:t>依托原有</w:t>
                  </w:r>
                </w:p>
              </w:tc>
            </w:tr>
            <w:tr w14:paraId="34A95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58CA50AD">
                  <w:pPr>
                    <w:pStyle w:val="41"/>
                    <w:rPr>
                      <w:color w:val="auto"/>
                      <w:kern w:val="21"/>
                    </w:rPr>
                  </w:pPr>
                </w:p>
              </w:tc>
              <w:tc>
                <w:tcPr>
                  <w:tcW w:w="573" w:type="dxa"/>
                  <w:vMerge w:val="restart"/>
                  <w:vAlign w:val="center"/>
                </w:tcPr>
                <w:p w14:paraId="472A4968">
                  <w:pPr>
                    <w:pStyle w:val="41"/>
                    <w:rPr>
                      <w:color w:val="auto"/>
                      <w:kern w:val="21"/>
                    </w:rPr>
                  </w:pPr>
                  <w:r>
                    <w:rPr>
                      <w:color w:val="auto"/>
                      <w:kern w:val="21"/>
                    </w:rPr>
                    <w:t>固体废物</w:t>
                  </w:r>
                </w:p>
              </w:tc>
              <w:tc>
                <w:tcPr>
                  <w:tcW w:w="1027" w:type="dxa"/>
                  <w:vAlign w:val="center"/>
                </w:tcPr>
                <w:p w14:paraId="104714E8">
                  <w:pPr>
                    <w:pStyle w:val="41"/>
                    <w:rPr>
                      <w:color w:val="auto"/>
                      <w:kern w:val="21"/>
                    </w:rPr>
                  </w:pPr>
                  <w:r>
                    <w:rPr>
                      <w:color w:val="auto"/>
                      <w:kern w:val="21"/>
                    </w:rPr>
                    <w:t>生活垃圾</w:t>
                  </w:r>
                </w:p>
              </w:tc>
              <w:tc>
                <w:tcPr>
                  <w:tcW w:w="2610" w:type="dxa"/>
                  <w:vAlign w:val="center"/>
                </w:tcPr>
                <w:p w14:paraId="5E405CE0">
                  <w:pPr>
                    <w:pStyle w:val="41"/>
                    <w:rPr>
                      <w:color w:val="auto"/>
                      <w:kern w:val="21"/>
                    </w:rPr>
                  </w:pPr>
                  <w:r>
                    <w:rPr>
                      <w:color w:val="auto"/>
                      <w:kern w:val="21"/>
                    </w:rPr>
                    <w:t>环卫部门统一清运处理</w:t>
                  </w:r>
                </w:p>
              </w:tc>
              <w:tc>
                <w:tcPr>
                  <w:tcW w:w="2445" w:type="dxa"/>
                  <w:vAlign w:val="center"/>
                </w:tcPr>
                <w:p w14:paraId="2A52A92A">
                  <w:pPr>
                    <w:pStyle w:val="41"/>
                    <w:rPr>
                      <w:rFonts w:eastAsia="Times New Roman"/>
                      <w:color w:val="auto"/>
                      <w:kern w:val="21"/>
                    </w:rPr>
                  </w:pPr>
                  <w:r>
                    <w:rPr>
                      <w:color w:val="auto"/>
                      <w:kern w:val="21"/>
                    </w:rPr>
                    <w:t>保持不变</w:t>
                  </w:r>
                </w:p>
              </w:tc>
              <w:tc>
                <w:tcPr>
                  <w:tcW w:w="1096" w:type="dxa"/>
                  <w:vAlign w:val="center"/>
                </w:tcPr>
                <w:p w14:paraId="6AFA8202">
                  <w:pPr>
                    <w:pStyle w:val="41"/>
                    <w:rPr>
                      <w:rFonts w:eastAsia="Times New Roman"/>
                      <w:color w:val="auto"/>
                      <w:kern w:val="21"/>
                    </w:rPr>
                  </w:pPr>
                  <w:r>
                    <w:rPr>
                      <w:color w:val="auto"/>
                      <w:kern w:val="21"/>
                    </w:rPr>
                    <w:t>依托原有</w:t>
                  </w:r>
                </w:p>
              </w:tc>
            </w:tr>
            <w:tr w14:paraId="15B1D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0FEDB80A">
                  <w:pPr>
                    <w:pStyle w:val="41"/>
                    <w:rPr>
                      <w:color w:val="auto"/>
                      <w:kern w:val="21"/>
                    </w:rPr>
                  </w:pPr>
                </w:p>
              </w:tc>
              <w:tc>
                <w:tcPr>
                  <w:tcW w:w="573" w:type="dxa"/>
                  <w:vMerge w:val="continue"/>
                  <w:vAlign w:val="center"/>
                </w:tcPr>
                <w:p w14:paraId="217CDC2B">
                  <w:pPr>
                    <w:pStyle w:val="41"/>
                    <w:rPr>
                      <w:color w:val="auto"/>
                      <w:kern w:val="21"/>
                    </w:rPr>
                  </w:pPr>
                </w:p>
              </w:tc>
              <w:tc>
                <w:tcPr>
                  <w:tcW w:w="1027" w:type="dxa"/>
                  <w:vAlign w:val="center"/>
                </w:tcPr>
                <w:p w14:paraId="3C0DF2CF">
                  <w:pPr>
                    <w:pStyle w:val="41"/>
                    <w:rPr>
                      <w:color w:val="auto"/>
                    </w:rPr>
                  </w:pPr>
                  <w:r>
                    <w:rPr>
                      <w:color w:val="auto"/>
                    </w:rPr>
                    <w:t>废边角料</w:t>
                  </w:r>
                </w:p>
              </w:tc>
              <w:tc>
                <w:tcPr>
                  <w:tcW w:w="2610" w:type="dxa"/>
                  <w:vMerge w:val="restart"/>
                  <w:vAlign w:val="center"/>
                </w:tcPr>
                <w:p w14:paraId="13AF7393">
                  <w:pPr>
                    <w:pStyle w:val="41"/>
                    <w:rPr>
                      <w:color w:val="auto"/>
                      <w:kern w:val="21"/>
                    </w:rPr>
                  </w:pPr>
                  <w:r>
                    <w:rPr>
                      <w:color w:val="auto"/>
                      <w:kern w:val="21"/>
                    </w:rPr>
                    <w:t>收集后全部外售给资源回收部门回收利用</w:t>
                  </w:r>
                </w:p>
              </w:tc>
              <w:tc>
                <w:tcPr>
                  <w:tcW w:w="2445" w:type="dxa"/>
                  <w:vMerge w:val="restart"/>
                  <w:vAlign w:val="center"/>
                </w:tcPr>
                <w:p w14:paraId="7857CDA7">
                  <w:pPr>
                    <w:pStyle w:val="41"/>
                    <w:rPr>
                      <w:color w:val="auto"/>
                      <w:kern w:val="21"/>
                    </w:rPr>
                  </w:pPr>
                  <w:r>
                    <w:rPr>
                      <w:color w:val="auto"/>
                      <w:kern w:val="21"/>
                    </w:rPr>
                    <w:t>保持不变</w:t>
                  </w:r>
                </w:p>
              </w:tc>
              <w:tc>
                <w:tcPr>
                  <w:tcW w:w="1096" w:type="dxa"/>
                  <w:vMerge w:val="restart"/>
                  <w:vAlign w:val="center"/>
                </w:tcPr>
                <w:p w14:paraId="620D111D">
                  <w:pPr>
                    <w:pStyle w:val="41"/>
                    <w:rPr>
                      <w:color w:val="auto"/>
                      <w:kern w:val="21"/>
                    </w:rPr>
                  </w:pPr>
                  <w:r>
                    <w:rPr>
                      <w:color w:val="auto"/>
                      <w:kern w:val="21"/>
                    </w:rPr>
                    <w:t>依托原有</w:t>
                  </w:r>
                </w:p>
              </w:tc>
            </w:tr>
            <w:tr w14:paraId="70A0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2FE35ADE">
                  <w:pPr>
                    <w:pStyle w:val="41"/>
                    <w:rPr>
                      <w:color w:val="auto"/>
                      <w:kern w:val="21"/>
                    </w:rPr>
                  </w:pPr>
                </w:p>
              </w:tc>
              <w:tc>
                <w:tcPr>
                  <w:tcW w:w="573" w:type="dxa"/>
                  <w:vMerge w:val="continue"/>
                  <w:vAlign w:val="center"/>
                </w:tcPr>
                <w:p w14:paraId="52561A51">
                  <w:pPr>
                    <w:pStyle w:val="41"/>
                    <w:rPr>
                      <w:color w:val="auto"/>
                      <w:kern w:val="21"/>
                    </w:rPr>
                  </w:pPr>
                </w:p>
              </w:tc>
              <w:tc>
                <w:tcPr>
                  <w:tcW w:w="1027" w:type="dxa"/>
                  <w:vAlign w:val="center"/>
                </w:tcPr>
                <w:p w14:paraId="453670A4">
                  <w:pPr>
                    <w:pStyle w:val="41"/>
                    <w:rPr>
                      <w:color w:val="auto"/>
                    </w:rPr>
                  </w:pPr>
                  <w:r>
                    <w:rPr>
                      <w:color w:val="auto"/>
                    </w:rPr>
                    <w:t>金属粉尘</w:t>
                  </w:r>
                </w:p>
              </w:tc>
              <w:tc>
                <w:tcPr>
                  <w:tcW w:w="2610" w:type="dxa"/>
                  <w:vMerge w:val="continue"/>
                  <w:vAlign w:val="center"/>
                </w:tcPr>
                <w:p w14:paraId="4CE68B17">
                  <w:pPr>
                    <w:pStyle w:val="41"/>
                    <w:rPr>
                      <w:color w:val="auto"/>
                      <w:kern w:val="21"/>
                    </w:rPr>
                  </w:pPr>
                </w:p>
              </w:tc>
              <w:tc>
                <w:tcPr>
                  <w:tcW w:w="2445" w:type="dxa"/>
                  <w:vMerge w:val="continue"/>
                  <w:vAlign w:val="center"/>
                </w:tcPr>
                <w:p w14:paraId="6AA65E44">
                  <w:pPr>
                    <w:pStyle w:val="41"/>
                    <w:rPr>
                      <w:color w:val="auto"/>
                      <w:kern w:val="21"/>
                    </w:rPr>
                  </w:pPr>
                </w:p>
              </w:tc>
              <w:tc>
                <w:tcPr>
                  <w:tcW w:w="1096" w:type="dxa"/>
                  <w:vMerge w:val="continue"/>
                  <w:vAlign w:val="center"/>
                </w:tcPr>
                <w:p w14:paraId="3175EF6B">
                  <w:pPr>
                    <w:pStyle w:val="41"/>
                    <w:rPr>
                      <w:color w:val="auto"/>
                      <w:kern w:val="21"/>
                    </w:rPr>
                  </w:pPr>
                </w:p>
              </w:tc>
            </w:tr>
            <w:tr w14:paraId="2C183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53C41367">
                  <w:pPr>
                    <w:pStyle w:val="41"/>
                    <w:rPr>
                      <w:color w:val="auto"/>
                      <w:kern w:val="21"/>
                    </w:rPr>
                  </w:pPr>
                </w:p>
              </w:tc>
              <w:tc>
                <w:tcPr>
                  <w:tcW w:w="573" w:type="dxa"/>
                  <w:vMerge w:val="continue"/>
                  <w:vAlign w:val="center"/>
                </w:tcPr>
                <w:p w14:paraId="29221651">
                  <w:pPr>
                    <w:pStyle w:val="41"/>
                    <w:rPr>
                      <w:color w:val="auto"/>
                      <w:kern w:val="21"/>
                    </w:rPr>
                  </w:pPr>
                </w:p>
              </w:tc>
              <w:tc>
                <w:tcPr>
                  <w:tcW w:w="1027" w:type="dxa"/>
                  <w:vAlign w:val="center"/>
                </w:tcPr>
                <w:p w14:paraId="524DECD6">
                  <w:pPr>
                    <w:pStyle w:val="41"/>
                    <w:rPr>
                      <w:color w:val="auto"/>
                    </w:rPr>
                  </w:pPr>
                  <w:r>
                    <w:rPr>
                      <w:color w:val="auto"/>
                    </w:rPr>
                    <w:t>废麻轮、布轮</w:t>
                  </w:r>
                </w:p>
              </w:tc>
              <w:tc>
                <w:tcPr>
                  <w:tcW w:w="2610" w:type="dxa"/>
                  <w:vMerge w:val="continue"/>
                  <w:vAlign w:val="center"/>
                </w:tcPr>
                <w:p w14:paraId="01D9D4C3">
                  <w:pPr>
                    <w:pStyle w:val="41"/>
                    <w:rPr>
                      <w:color w:val="auto"/>
                      <w:kern w:val="21"/>
                    </w:rPr>
                  </w:pPr>
                </w:p>
              </w:tc>
              <w:tc>
                <w:tcPr>
                  <w:tcW w:w="2445" w:type="dxa"/>
                  <w:vMerge w:val="continue"/>
                  <w:vAlign w:val="center"/>
                </w:tcPr>
                <w:p w14:paraId="3E815E83">
                  <w:pPr>
                    <w:pStyle w:val="41"/>
                    <w:rPr>
                      <w:color w:val="auto"/>
                      <w:kern w:val="21"/>
                    </w:rPr>
                  </w:pPr>
                </w:p>
              </w:tc>
              <w:tc>
                <w:tcPr>
                  <w:tcW w:w="1096" w:type="dxa"/>
                  <w:vMerge w:val="continue"/>
                  <w:vAlign w:val="center"/>
                </w:tcPr>
                <w:p w14:paraId="4C8866EF">
                  <w:pPr>
                    <w:pStyle w:val="41"/>
                    <w:rPr>
                      <w:color w:val="auto"/>
                      <w:kern w:val="21"/>
                    </w:rPr>
                  </w:pPr>
                </w:p>
              </w:tc>
            </w:tr>
            <w:tr w14:paraId="48E96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03976031">
                  <w:pPr>
                    <w:pStyle w:val="41"/>
                    <w:rPr>
                      <w:color w:val="auto"/>
                      <w:kern w:val="21"/>
                    </w:rPr>
                  </w:pPr>
                </w:p>
              </w:tc>
              <w:tc>
                <w:tcPr>
                  <w:tcW w:w="573" w:type="dxa"/>
                  <w:vMerge w:val="continue"/>
                  <w:vAlign w:val="center"/>
                </w:tcPr>
                <w:p w14:paraId="6519F76D">
                  <w:pPr>
                    <w:pStyle w:val="41"/>
                    <w:rPr>
                      <w:color w:val="auto"/>
                      <w:kern w:val="21"/>
                    </w:rPr>
                  </w:pPr>
                </w:p>
              </w:tc>
              <w:tc>
                <w:tcPr>
                  <w:tcW w:w="1027" w:type="dxa"/>
                  <w:vAlign w:val="center"/>
                </w:tcPr>
                <w:p w14:paraId="5512D553">
                  <w:pPr>
                    <w:pStyle w:val="41"/>
                    <w:rPr>
                      <w:color w:val="auto"/>
                    </w:rPr>
                  </w:pPr>
                  <w:r>
                    <w:rPr>
                      <w:color w:val="auto"/>
                    </w:rPr>
                    <w:t>焊渣</w:t>
                  </w:r>
                </w:p>
              </w:tc>
              <w:tc>
                <w:tcPr>
                  <w:tcW w:w="2610" w:type="dxa"/>
                  <w:vMerge w:val="continue"/>
                  <w:vAlign w:val="center"/>
                </w:tcPr>
                <w:p w14:paraId="4A6B1598">
                  <w:pPr>
                    <w:pStyle w:val="41"/>
                    <w:rPr>
                      <w:color w:val="auto"/>
                      <w:kern w:val="21"/>
                    </w:rPr>
                  </w:pPr>
                </w:p>
              </w:tc>
              <w:tc>
                <w:tcPr>
                  <w:tcW w:w="2445" w:type="dxa"/>
                  <w:vMerge w:val="continue"/>
                  <w:vAlign w:val="center"/>
                </w:tcPr>
                <w:p w14:paraId="332C3E94">
                  <w:pPr>
                    <w:pStyle w:val="41"/>
                    <w:rPr>
                      <w:color w:val="auto"/>
                      <w:kern w:val="21"/>
                    </w:rPr>
                  </w:pPr>
                </w:p>
              </w:tc>
              <w:tc>
                <w:tcPr>
                  <w:tcW w:w="1096" w:type="dxa"/>
                  <w:vMerge w:val="continue"/>
                  <w:vAlign w:val="center"/>
                </w:tcPr>
                <w:p w14:paraId="672F048A">
                  <w:pPr>
                    <w:pStyle w:val="41"/>
                    <w:rPr>
                      <w:color w:val="auto"/>
                      <w:kern w:val="21"/>
                    </w:rPr>
                  </w:pPr>
                </w:p>
              </w:tc>
            </w:tr>
            <w:tr w14:paraId="61CAD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6510E4E7">
                  <w:pPr>
                    <w:pStyle w:val="41"/>
                    <w:rPr>
                      <w:color w:val="auto"/>
                      <w:kern w:val="21"/>
                    </w:rPr>
                  </w:pPr>
                </w:p>
              </w:tc>
              <w:tc>
                <w:tcPr>
                  <w:tcW w:w="573" w:type="dxa"/>
                  <w:vMerge w:val="continue"/>
                  <w:vAlign w:val="center"/>
                </w:tcPr>
                <w:p w14:paraId="262B19BE">
                  <w:pPr>
                    <w:pStyle w:val="41"/>
                    <w:rPr>
                      <w:color w:val="auto"/>
                      <w:kern w:val="21"/>
                    </w:rPr>
                  </w:pPr>
                </w:p>
              </w:tc>
              <w:tc>
                <w:tcPr>
                  <w:tcW w:w="1027" w:type="dxa"/>
                  <w:vAlign w:val="center"/>
                </w:tcPr>
                <w:p w14:paraId="2E2B58CA">
                  <w:pPr>
                    <w:pStyle w:val="41"/>
                    <w:rPr>
                      <w:color w:val="auto"/>
                      <w:kern w:val="21"/>
                    </w:rPr>
                  </w:pPr>
                  <w:r>
                    <w:rPr>
                      <w:color w:val="auto"/>
                      <w:kern w:val="21"/>
                    </w:rPr>
                    <w:t>废树脂粉末</w:t>
                  </w:r>
                </w:p>
              </w:tc>
              <w:tc>
                <w:tcPr>
                  <w:tcW w:w="2610" w:type="dxa"/>
                  <w:vAlign w:val="center"/>
                </w:tcPr>
                <w:p w14:paraId="468C3674">
                  <w:pPr>
                    <w:pStyle w:val="41"/>
                    <w:rPr>
                      <w:color w:val="auto"/>
                      <w:kern w:val="21"/>
                    </w:rPr>
                  </w:pPr>
                  <w:r>
                    <w:rPr>
                      <w:color w:val="auto"/>
                      <w:kern w:val="21"/>
                    </w:rPr>
                    <w:t>/</w:t>
                  </w:r>
                </w:p>
              </w:tc>
              <w:tc>
                <w:tcPr>
                  <w:tcW w:w="2445" w:type="dxa"/>
                  <w:vAlign w:val="center"/>
                </w:tcPr>
                <w:p w14:paraId="2549EA03">
                  <w:pPr>
                    <w:pStyle w:val="41"/>
                    <w:rPr>
                      <w:color w:val="auto"/>
                      <w:kern w:val="21"/>
                    </w:rPr>
                  </w:pPr>
                  <w:r>
                    <w:rPr>
                      <w:color w:val="auto"/>
                      <w:kern w:val="21"/>
                    </w:rPr>
                    <w:t>回用于喷粉工序</w:t>
                  </w:r>
                </w:p>
              </w:tc>
              <w:tc>
                <w:tcPr>
                  <w:tcW w:w="1096" w:type="dxa"/>
                  <w:vAlign w:val="center"/>
                </w:tcPr>
                <w:p w14:paraId="486F048E">
                  <w:pPr>
                    <w:pStyle w:val="41"/>
                    <w:rPr>
                      <w:color w:val="auto"/>
                      <w:kern w:val="21"/>
                    </w:rPr>
                  </w:pPr>
                  <w:r>
                    <w:rPr>
                      <w:color w:val="auto"/>
                      <w:kern w:val="21"/>
                    </w:rPr>
                    <w:t>新建</w:t>
                  </w:r>
                </w:p>
              </w:tc>
            </w:tr>
            <w:tr w14:paraId="33285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574" w:type="dxa"/>
                  <w:vMerge w:val="continue"/>
                  <w:vAlign w:val="center"/>
                </w:tcPr>
                <w:p w14:paraId="31CB29D2">
                  <w:pPr>
                    <w:pStyle w:val="41"/>
                    <w:rPr>
                      <w:color w:val="auto"/>
                      <w:kern w:val="21"/>
                    </w:rPr>
                  </w:pPr>
                </w:p>
              </w:tc>
              <w:tc>
                <w:tcPr>
                  <w:tcW w:w="573" w:type="dxa"/>
                  <w:vMerge w:val="continue"/>
                  <w:vAlign w:val="center"/>
                </w:tcPr>
                <w:p w14:paraId="2FD27F33">
                  <w:pPr>
                    <w:pStyle w:val="41"/>
                    <w:rPr>
                      <w:color w:val="auto"/>
                      <w:kern w:val="21"/>
                    </w:rPr>
                  </w:pPr>
                </w:p>
              </w:tc>
              <w:tc>
                <w:tcPr>
                  <w:tcW w:w="1027" w:type="dxa"/>
                  <w:vAlign w:val="center"/>
                </w:tcPr>
                <w:p w14:paraId="605929D6">
                  <w:pPr>
                    <w:pStyle w:val="41"/>
                    <w:rPr>
                      <w:color w:val="auto"/>
                    </w:rPr>
                  </w:pPr>
                  <w:r>
                    <w:rPr>
                      <w:color w:val="auto"/>
                    </w:rPr>
                    <w:t>废活性炭及其吸附物</w:t>
                  </w:r>
                </w:p>
              </w:tc>
              <w:tc>
                <w:tcPr>
                  <w:tcW w:w="2610" w:type="dxa"/>
                  <w:vMerge w:val="restart"/>
                  <w:vAlign w:val="center"/>
                </w:tcPr>
                <w:p w14:paraId="32357F19">
                  <w:pPr>
                    <w:pStyle w:val="41"/>
                    <w:rPr>
                      <w:color w:val="auto"/>
                      <w:kern w:val="21"/>
                    </w:rPr>
                  </w:pPr>
                  <w:r>
                    <w:rPr>
                      <w:color w:val="auto"/>
                      <w:kern w:val="21"/>
                    </w:rPr>
                    <w:t>收集后暂存于危废间，定期交由有资质单位处理处置</w:t>
                  </w:r>
                </w:p>
              </w:tc>
              <w:tc>
                <w:tcPr>
                  <w:tcW w:w="2445" w:type="dxa"/>
                  <w:vMerge w:val="restart"/>
                  <w:vAlign w:val="center"/>
                </w:tcPr>
                <w:p w14:paraId="408D8316">
                  <w:pPr>
                    <w:pStyle w:val="41"/>
                    <w:rPr>
                      <w:rFonts w:eastAsia="Times New Roman"/>
                      <w:color w:val="auto"/>
                      <w:kern w:val="21"/>
                    </w:rPr>
                  </w:pPr>
                  <w:r>
                    <w:rPr>
                      <w:color w:val="auto"/>
                      <w:kern w:val="21"/>
                    </w:rPr>
                    <w:t>保持不变</w:t>
                  </w:r>
                </w:p>
              </w:tc>
              <w:tc>
                <w:tcPr>
                  <w:tcW w:w="1096" w:type="dxa"/>
                  <w:vMerge w:val="restart"/>
                  <w:vAlign w:val="center"/>
                </w:tcPr>
                <w:p w14:paraId="561998C7">
                  <w:pPr>
                    <w:pStyle w:val="41"/>
                    <w:rPr>
                      <w:rFonts w:eastAsia="Times New Roman"/>
                      <w:color w:val="auto"/>
                      <w:kern w:val="21"/>
                    </w:rPr>
                  </w:pPr>
                  <w:r>
                    <w:rPr>
                      <w:color w:val="auto"/>
                      <w:kern w:val="21"/>
                    </w:rPr>
                    <w:t>依托原有</w:t>
                  </w:r>
                </w:p>
              </w:tc>
            </w:tr>
            <w:tr w14:paraId="5A76B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74" w:type="dxa"/>
                  <w:vMerge w:val="continue"/>
                  <w:vAlign w:val="center"/>
                </w:tcPr>
                <w:p w14:paraId="362523DA">
                  <w:pPr>
                    <w:pStyle w:val="41"/>
                    <w:rPr>
                      <w:color w:val="auto"/>
                      <w:kern w:val="21"/>
                    </w:rPr>
                  </w:pPr>
                </w:p>
              </w:tc>
              <w:tc>
                <w:tcPr>
                  <w:tcW w:w="573" w:type="dxa"/>
                  <w:vMerge w:val="continue"/>
                  <w:vAlign w:val="center"/>
                </w:tcPr>
                <w:p w14:paraId="4E4CB065">
                  <w:pPr>
                    <w:pStyle w:val="41"/>
                    <w:rPr>
                      <w:color w:val="auto"/>
                      <w:kern w:val="21"/>
                    </w:rPr>
                  </w:pPr>
                </w:p>
              </w:tc>
              <w:tc>
                <w:tcPr>
                  <w:tcW w:w="1027" w:type="dxa"/>
                  <w:vAlign w:val="center"/>
                </w:tcPr>
                <w:p w14:paraId="2082AE30">
                  <w:pPr>
                    <w:pStyle w:val="41"/>
                    <w:rPr>
                      <w:color w:val="auto"/>
                    </w:rPr>
                  </w:pPr>
                  <w:r>
                    <w:rPr>
                      <w:color w:val="auto"/>
                    </w:rPr>
                    <w:t>废槽液</w:t>
                  </w:r>
                </w:p>
              </w:tc>
              <w:tc>
                <w:tcPr>
                  <w:tcW w:w="2610" w:type="dxa"/>
                  <w:vMerge w:val="continue"/>
                  <w:vAlign w:val="center"/>
                </w:tcPr>
                <w:p w14:paraId="49C88473">
                  <w:pPr>
                    <w:pStyle w:val="41"/>
                    <w:rPr>
                      <w:color w:val="auto"/>
                      <w:kern w:val="21"/>
                    </w:rPr>
                  </w:pPr>
                </w:p>
              </w:tc>
              <w:tc>
                <w:tcPr>
                  <w:tcW w:w="2445" w:type="dxa"/>
                  <w:vMerge w:val="continue"/>
                  <w:vAlign w:val="center"/>
                </w:tcPr>
                <w:p w14:paraId="3B6B5B4D">
                  <w:pPr>
                    <w:pStyle w:val="41"/>
                    <w:rPr>
                      <w:color w:val="auto"/>
                      <w:kern w:val="21"/>
                    </w:rPr>
                  </w:pPr>
                </w:p>
              </w:tc>
              <w:tc>
                <w:tcPr>
                  <w:tcW w:w="1096" w:type="dxa"/>
                  <w:vMerge w:val="continue"/>
                  <w:vAlign w:val="center"/>
                </w:tcPr>
                <w:p w14:paraId="6522F8DB">
                  <w:pPr>
                    <w:pStyle w:val="41"/>
                    <w:rPr>
                      <w:color w:val="auto"/>
                      <w:kern w:val="21"/>
                    </w:rPr>
                  </w:pPr>
                </w:p>
              </w:tc>
            </w:tr>
          </w:tbl>
          <w:p w14:paraId="3907EEE3">
            <w:pPr>
              <w:pStyle w:val="12"/>
              <w:ind w:firstLine="482"/>
              <w:rPr>
                <w:color w:val="auto"/>
              </w:rPr>
            </w:pPr>
            <w:r>
              <w:rPr>
                <w:color w:val="auto"/>
              </w:rPr>
              <w:t>4、产品方案</w:t>
            </w:r>
          </w:p>
          <w:p w14:paraId="5B61BC07">
            <w:pPr>
              <w:ind w:firstLine="480"/>
              <w:rPr>
                <w:color w:val="auto"/>
              </w:rPr>
            </w:pPr>
            <w:r>
              <w:rPr>
                <w:color w:val="auto"/>
              </w:rPr>
              <w:t>项目主要从事汽车零配件生产，项目扩建前后产品方案见表2-3。</w:t>
            </w:r>
          </w:p>
          <w:p w14:paraId="1EECE762">
            <w:pPr>
              <w:pStyle w:val="22"/>
              <w:rPr>
                <w:bCs/>
                <w:color w:val="auto"/>
                <w:szCs w:val="28"/>
                <w:highlight w:val="green"/>
              </w:rPr>
            </w:pPr>
            <w:r>
              <w:rPr>
                <w:bCs/>
                <w:color w:val="auto"/>
                <w:szCs w:val="28"/>
              </w:rPr>
              <w:t>表2-3 主要产品方案</w:t>
            </w:r>
          </w:p>
          <w:tbl>
            <w:tblPr>
              <w:tblStyle w:val="23"/>
              <w:tblW w:w="83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2"/>
              <w:gridCol w:w="1779"/>
              <w:gridCol w:w="1325"/>
              <w:gridCol w:w="1449"/>
              <w:gridCol w:w="1449"/>
              <w:gridCol w:w="1449"/>
            </w:tblGrid>
            <w:tr w14:paraId="0D18B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14:paraId="29E75F39">
                  <w:pPr>
                    <w:pStyle w:val="41"/>
                    <w:rPr>
                      <w:b/>
                      <w:bCs/>
                      <w:color w:val="auto"/>
                    </w:rPr>
                  </w:pPr>
                  <w:r>
                    <w:rPr>
                      <w:b/>
                      <w:bCs/>
                      <w:color w:val="auto"/>
                    </w:rPr>
                    <w:t>序号</w:t>
                  </w:r>
                </w:p>
              </w:tc>
              <w:tc>
                <w:tcPr>
                  <w:tcW w:w="1779" w:type="dxa"/>
                  <w:vAlign w:val="center"/>
                </w:tcPr>
                <w:p w14:paraId="5ADC9277">
                  <w:pPr>
                    <w:pStyle w:val="41"/>
                    <w:rPr>
                      <w:b/>
                      <w:bCs/>
                      <w:color w:val="auto"/>
                    </w:rPr>
                  </w:pPr>
                  <w:r>
                    <w:rPr>
                      <w:b/>
                      <w:bCs/>
                      <w:color w:val="auto"/>
                    </w:rPr>
                    <w:t>产品名称</w:t>
                  </w:r>
                </w:p>
              </w:tc>
              <w:tc>
                <w:tcPr>
                  <w:tcW w:w="1325" w:type="dxa"/>
                  <w:vAlign w:val="center"/>
                </w:tcPr>
                <w:p w14:paraId="527A21D9">
                  <w:pPr>
                    <w:pStyle w:val="41"/>
                    <w:rPr>
                      <w:b/>
                      <w:bCs/>
                      <w:color w:val="auto"/>
                    </w:rPr>
                  </w:pPr>
                  <w:r>
                    <w:rPr>
                      <w:b/>
                      <w:bCs/>
                      <w:color w:val="auto"/>
                    </w:rPr>
                    <w:t>单位</w:t>
                  </w:r>
                </w:p>
              </w:tc>
              <w:tc>
                <w:tcPr>
                  <w:tcW w:w="1449" w:type="dxa"/>
                  <w:vAlign w:val="center"/>
                </w:tcPr>
                <w:p w14:paraId="57F1A067">
                  <w:pPr>
                    <w:pStyle w:val="41"/>
                    <w:rPr>
                      <w:b/>
                      <w:bCs/>
                      <w:color w:val="auto"/>
                    </w:rPr>
                  </w:pPr>
                  <w:r>
                    <w:rPr>
                      <w:b/>
                      <w:bCs/>
                      <w:color w:val="auto"/>
                    </w:rPr>
                    <w:t>扩建前项目年产量</w:t>
                  </w:r>
                </w:p>
              </w:tc>
              <w:tc>
                <w:tcPr>
                  <w:tcW w:w="1449" w:type="dxa"/>
                  <w:vAlign w:val="center"/>
                </w:tcPr>
                <w:p w14:paraId="40CA8E2D">
                  <w:pPr>
                    <w:pStyle w:val="41"/>
                    <w:rPr>
                      <w:b/>
                      <w:bCs/>
                      <w:color w:val="auto"/>
                    </w:rPr>
                  </w:pPr>
                  <w:r>
                    <w:rPr>
                      <w:b/>
                      <w:bCs/>
                      <w:color w:val="auto"/>
                    </w:rPr>
                    <w:t>扩建后项目年产量</w:t>
                  </w:r>
                </w:p>
              </w:tc>
              <w:tc>
                <w:tcPr>
                  <w:tcW w:w="1449" w:type="dxa"/>
                  <w:vAlign w:val="center"/>
                </w:tcPr>
                <w:p w14:paraId="7C67671A">
                  <w:pPr>
                    <w:pStyle w:val="41"/>
                    <w:rPr>
                      <w:b/>
                      <w:bCs/>
                      <w:color w:val="auto"/>
                    </w:rPr>
                  </w:pPr>
                  <w:r>
                    <w:rPr>
                      <w:b/>
                      <w:bCs/>
                      <w:color w:val="auto"/>
                    </w:rPr>
                    <w:t>变化量</w:t>
                  </w:r>
                </w:p>
              </w:tc>
            </w:tr>
            <w:tr w14:paraId="113F1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vAlign w:val="center"/>
                </w:tcPr>
                <w:p w14:paraId="50FA0F88">
                  <w:pPr>
                    <w:pStyle w:val="41"/>
                    <w:rPr>
                      <w:color w:val="auto"/>
                    </w:rPr>
                  </w:pPr>
                  <w:r>
                    <w:rPr>
                      <w:color w:val="auto"/>
                    </w:rPr>
                    <w:t>1</w:t>
                  </w:r>
                </w:p>
              </w:tc>
              <w:tc>
                <w:tcPr>
                  <w:tcW w:w="1779" w:type="dxa"/>
                  <w:vAlign w:val="center"/>
                </w:tcPr>
                <w:p w14:paraId="4BA53167">
                  <w:pPr>
                    <w:pStyle w:val="41"/>
                    <w:rPr>
                      <w:color w:val="auto"/>
                    </w:rPr>
                  </w:pPr>
                  <w:r>
                    <w:rPr>
                      <w:color w:val="auto"/>
                    </w:rPr>
                    <w:t>汽车零配件</w:t>
                  </w:r>
                </w:p>
              </w:tc>
              <w:tc>
                <w:tcPr>
                  <w:tcW w:w="1325" w:type="dxa"/>
                  <w:vAlign w:val="center"/>
                </w:tcPr>
                <w:p w14:paraId="4A4EB5A0">
                  <w:pPr>
                    <w:pStyle w:val="41"/>
                    <w:rPr>
                      <w:color w:val="auto"/>
                    </w:rPr>
                  </w:pPr>
                  <w:r>
                    <w:rPr>
                      <w:color w:val="auto"/>
                    </w:rPr>
                    <w:t>万套/年</w:t>
                  </w:r>
                </w:p>
              </w:tc>
              <w:tc>
                <w:tcPr>
                  <w:tcW w:w="1449" w:type="dxa"/>
                  <w:vAlign w:val="center"/>
                </w:tcPr>
                <w:p w14:paraId="3E9ED9B1">
                  <w:pPr>
                    <w:pStyle w:val="41"/>
                    <w:rPr>
                      <w:color w:val="auto"/>
                    </w:rPr>
                  </w:pPr>
                  <w:r>
                    <w:rPr>
                      <w:color w:val="auto"/>
                    </w:rPr>
                    <w:t>10</w:t>
                  </w:r>
                </w:p>
              </w:tc>
              <w:tc>
                <w:tcPr>
                  <w:tcW w:w="1449" w:type="dxa"/>
                  <w:vAlign w:val="center"/>
                </w:tcPr>
                <w:p w14:paraId="420F8C55">
                  <w:pPr>
                    <w:pStyle w:val="41"/>
                    <w:rPr>
                      <w:color w:val="auto"/>
                    </w:rPr>
                  </w:pPr>
                  <w:r>
                    <w:rPr>
                      <w:color w:val="auto"/>
                    </w:rPr>
                    <w:t>30</w:t>
                  </w:r>
                </w:p>
              </w:tc>
              <w:tc>
                <w:tcPr>
                  <w:tcW w:w="1449" w:type="dxa"/>
                  <w:vAlign w:val="center"/>
                </w:tcPr>
                <w:p w14:paraId="7EDA1F20">
                  <w:pPr>
                    <w:pStyle w:val="41"/>
                    <w:rPr>
                      <w:color w:val="auto"/>
                    </w:rPr>
                  </w:pPr>
                  <w:r>
                    <w:rPr>
                      <w:color w:val="auto"/>
                    </w:rPr>
                    <w:t>+20</w:t>
                  </w:r>
                </w:p>
              </w:tc>
            </w:tr>
            <w:tr w14:paraId="39A2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3" w:type="dxa"/>
                  <w:gridSpan w:val="6"/>
                  <w:vAlign w:val="center"/>
                </w:tcPr>
                <w:p w14:paraId="7E6561C7">
                  <w:pPr>
                    <w:pStyle w:val="41"/>
                    <w:jc w:val="left"/>
                    <w:rPr>
                      <w:rStyle w:val="71"/>
                      <w:color w:val="auto"/>
                    </w:rPr>
                  </w:pPr>
                  <w:r>
                    <w:rPr>
                      <w:color w:val="auto"/>
                    </w:rPr>
                    <w:t>注：汽车零配件主要为保险杠、龙门架、行李框等</w:t>
                  </w:r>
                  <w:r>
                    <w:rPr>
                      <w:rStyle w:val="71"/>
                      <w:color w:val="auto"/>
                    </w:rPr>
                    <w:t>。</w:t>
                  </w:r>
                </w:p>
                <w:p w14:paraId="2C3BB376">
                  <w:pPr>
                    <w:pStyle w:val="41"/>
                    <w:ind w:firstLine="420" w:firstLineChars="200"/>
                    <w:jc w:val="left"/>
                    <w:rPr>
                      <w:color w:val="auto"/>
                    </w:rPr>
                  </w:pPr>
                  <w:r>
                    <w:rPr>
                      <w:rStyle w:val="71"/>
                      <w:color w:val="auto"/>
                    </w:rPr>
                    <w:t>扩建后所有产品都需要电泳、喷粉及粉末固化。</w:t>
                  </w:r>
                </w:p>
              </w:tc>
            </w:tr>
          </w:tbl>
          <w:p w14:paraId="7FD8CB44">
            <w:pPr>
              <w:pStyle w:val="12"/>
              <w:ind w:firstLine="482"/>
              <w:rPr>
                <w:color w:val="auto"/>
              </w:rPr>
            </w:pPr>
            <w:r>
              <w:rPr>
                <w:color w:val="auto"/>
              </w:rPr>
              <w:t>5、主要原辅材料及能源消耗</w:t>
            </w:r>
          </w:p>
          <w:p w14:paraId="5B92B1B2">
            <w:pPr>
              <w:ind w:firstLine="480"/>
              <w:rPr>
                <w:color w:val="auto"/>
              </w:rPr>
            </w:pPr>
            <w:r>
              <w:rPr>
                <w:color w:val="auto"/>
              </w:rPr>
              <w:t>本项目原辅材料及能源消耗量详见表2-4。</w:t>
            </w:r>
          </w:p>
          <w:p w14:paraId="66283966">
            <w:pPr>
              <w:pStyle w:val="22"/>
              <w:rPr>
                <w:color w:val="auto"/>
                <w:szCs w:val="21"/>
              </w:rPr>
            </w:pPr>
            <w:r>
              <w:rPr>
                <w:color w:val="auto"/>
                <w:szCs w:val="21"/>
              </w:rPr>
              <w:t>表2-4 主要原辅材料及能源消耗情况一览表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840"/>
              <w:gridCol w:w="841"/>
              <w:gridCol w:w="1375"/>
              <w:gridCol w:w="1008"/>
              <w:gridCol w:w="1021"/>
              <w:gridCol w:w="995"/>
              <w:gridCol w:w="372"/>
              <w:gridCol w:w="1874"/>
            </w:tblGrid>
            <w:tr w14:paraId="4A4D0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7" w:hRule="atLeast"/>
                <w:jc w:val="center"/>
              </w:trPr>
              <w:tc>
                <w:tcPr>
                  <w:tcW w:w="1681" w:type="dxa"/>
                  <w:gridSpan w:val="2"/>
                  <w:vMerge w:val="restart"/>
                  <w:tcBorders>
                    <w:top w:val="single" w:color="auto" w:sz="4" w:space="0"/>
                    <w:left w:val="single" w:color="auto" w:sz="4" w:space="0"/>
                    <w:right w:val="single" w:color="auto" w:sz="4" w:space="0"/>
                  </w:tcBorders>
                  <w:vAlign w:val="center"/>
                </w:tcPr>
                <w:p w14:paraId="3C2A0FB1">
                  <w:pPr>
                    <w:pStyle w:val="20"/>
                    <w:rPr>
                      <w:b/>
                      <w:bCs/>
                      <w:color w:val="auto"/>
                    </w:rPr>
                  </w:pPr>
                  <w:bookmarkStart w:id="2" w:name="OLE_LINK1"/>
                  <w:r>
                    <w:rPr>
                      <w:b/>
                      <w:bCs/>
                      <w:color w:val="auto"/>
                    </w:rPr>
                    <w:t>名称</w:t>
                  </w:r>
                </w:p>
              </w:tc>
              <w:tc>
                <w:tcPr>
                  <w:tcW w:w="3404" w:type="dxa"/>
                  <w:gridSpan w:val="3"/>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07B4172">
                  <w:pPr>
                    <w:pStyle w:val="20"/>
                    <w:rPr>
                      <w:b/>
                      <w:bCs/>
                      <w:color w:val="auto"/>
                    </w:rPr>
                  </w:pPr>
                  <w:r>
                    <w:rPr>
                      <w:b/>
                      <w:bCs/>
                      <w:color w:val="auto"/>
                    </w:rPr>
                    <w:t>年用量</w:t>
                  </w:r>
                </w:p>
              </w:tc>
              <w:tc>
                <w:tcPr>
                  <w:tcW w:w="995" w:type="dxa"/>
                  <w:vMerge w:val="restart"/>
                  <w:tcBorders>
                    <w:top w:val="single" w:color="auto" w:sz="4" w:space="0"/>
                    <w:left w:val="single" w:color="auto" w:sz="4" w:space="0"/>
                    <w:right w:val="single" w:color="auto" w:sz="4" w:space="0"/>
                  </w:tcBorders>
                  <w:vAlign w:val="center"/>
                </w:tcPr>
                <w:p w14:paraId="77154804">
                  <w:pPr>
                    <w:pStyle w:val="20"/>
                    <w:rPr>
                      <w:b/>
                      <w:bCs/>
                      <w:color w:val="auto"/>
                    </w:rPr>
                  </w:pPr>
                  <w:r>
                    <w:rPr>
                      <w:b/>
                      <w:bCs/>
                      <w:color w:val="auto"/>
                    </w:rPr>
                    <w:t>最大储存量</w:t>
                  </w:r>
                </w:p>
                <w:p w14:paraId="09CC1D3A">
                  <w:pPr>
                    <w:pStyle w:val="20"/>
                    <w:rPr>
                      <w:b/>
                      <w:bCs/>
                      <w:color w:val="auto"/>
                    </w:rPr>
                  </w:pPr>
                  <w:r>
                    <w:rPr>
                      <w:b/>
                      <w:bCs/>
                      <w:color w:val="auto"/>
                    </w:rPr>
                    <w:t>（t）</w:t>
                  </w:r>
                </w:p>
              </w:tc>
              <w:tc>
                <w:tcPr>
                  <w:tcW w:w="372" w:type="dxa"/>
                  <w:vMerge w:val="restart"/>
                  <w:tcBorders>
                    <w:top w:val="single" w:color="auto" w:sz="4" w:space="0"/>
                    <w:left w:val="single" w:color="auto" w:sz="4" w:space="0"/>
                    <w:right w:val="single" w:color="auto" w:sz="4" w:space="0"/>
                  </w:tcBorders>
                  <w:vAlign w:val="center"/>
                </w:tcPr>
                <w:p w14:paraId="5EDCC949">
                  <w:pPr>
                    <w:pStyle w:val="20"/>
                    <w:rPr>
                      <w:b/>
                      <w:bCs/>
                      <w:color w:val="auto"/>
                    </w:rPr>
                  </w:pPr>
                  <w:r>
                    <w:rPr>
                      <w:b/>
                      <w:bCs/>
                      <w:color w:val="auto"/>
                    </w:rPr>
                    <w:t>单位</w:t>
                  </w:r>
                </w:p>
              </w:tc>
              <w:tc>
                <w:tcPr>
                  <w:tcW w:w="1874" w:type="dxa"/>
                  <w:vMerge w:val="restart"/>
                  <w:tcBorders>
                    <w:top w:val="single" w:color="auto" w:sz="4" w:space="0"/>
                    <w:left w:val="single" w:color="auto" w:sz="4" w:space="0"/>
                    <w:right w:val="single" w:color="auto" w:sz="4" w:space="0"/>
                  </w:tcBorders>
                  <w:vAlign w:val="center"/>
                </w:tcPr>
                <w:p w14:paraId="0377FEA9">
                  <w:pPr>
                    <w:pStyle w:val="20"/>
                    <w:rPr>
                      <w:b/>
                      <w:bCs/>
                      <w:color w:val="auto"/>
                    </w:rPr>
                  </w:pPr>
                  <w:r>
                    <w:rPr>
                      <w:b/>
                      <w:bCs/>
                      <w:color w:val="auto"/>
                    </w:rPr>
                    <w:t>包装参数</w:t>
                  </w:r>
                </w:p>
              </w:tc>
            </w:tr>
            <w:tr w14:paraId="430C8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7" w:hRule="atLeast"/>
                <w:jc w:val="center"/>
              </w:trPr>
              <w:tc>
                <w:tcPr>
                  <w:tcW w:w="1681" w:type="dxa"/>
                  <w:gridSpan w:val="2"/>
                  <w:vMerge w:val="continue"/>
                  <w:tcBorders>
                    <w:left w:val="single" w:color="auto" w:sz="4" w:space="0"/>
                    <w:bottom w:val="single" w:color="auto" w:sz="4" w:space="0"/>
                    <w:right w:val="single" w:color="auto" w:sz="4" w:space="0"/>
                  </w:tcBorders>
                  <w:vAlign w:val="center"/>
                </w:tcPr>
                <w:p w14:paraId="2ABFDD91">
                  <w:pPr>
                    <w:pStyle w:val="20"/>
                    <w:rPr>
                      <w:color w:val="auto"/>
                    </w:rPr>
                  </w:pP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19538E0F">
                  <w:pPr>
                    <w:pStyle w:val="20"/>
                    <w:rPr>
                      <w:color w:val="auto"/>
                    </w:rPr>
                  </w:pPr>
                  <w:r>
                    <w:rPr>
                      <w:color w:val="auto"/>
                    </w:rPr>
                    <w:t>扩建前</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F34D71C">
                  <w:pPr>
                    <w:pStyle w:val="20"/>
                    <w:rPr>
                      <w:color w:val="auto"/>
                    </w:rPr>
                  </w:pPr>
                  <w:r>
                    <w:rPr>
                      <w:color w:val="auto"/>
                    </w:rPr>
                    <w:t>扩建后</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1C1DE3B3">
                  <w:pPr>
                    <w:pStyle w:val="20"/>
                    <w:rPr>
                      <w:color w:val="auto"/>
                    </w:rPr>
                  </w:pPr>
                  <w:r>
                    <w:rPr>
                      <w:color w:val="auto"/>
                    </w:rPr>
                    <w:t>变化量</w:t>
                  </w:r>
                </w:p>
              </w:tc>
              <w:tc>
                <w:tcPr>
                  <w:tcW w:w="995" w:type="dxa"/>
                  <w:vMerge w:val="continue"/>
                  <w:tcBorders>
                    <w:left w:val="single" w:color="auto" w:sz="4" w:space="0"/>
                    <w:bottom w:val="single" w:color="auto" w:sz="4" w:space="0"/>
                    <w:right w:val="single" w:color="auto" w:sz="4" w:space="0"/>
                  </w:tcBorders>
                  <w:vAlign w:val="center"/>
                </w:tcPr>
                <w:p w14:paraId="288FCB3F">
                  <w:pPr>
                    <w:pStyle w:val="20"/>
                    <w:rPr>
                      <w:color w:val="auto"/>
                    </w:rPr>
                  </w:pPr>
                </w:p>
              </w:tc>
              <w:tc>
                <w:tcPr>
                  <w:tcW w:w="372" w:type="dxa"/>
                  <w:vMerge w:val="continue"/>
                  <w:tcBorders>
                    <w:left w:val="single" w:color="auto" w:sz="4" w:space="0"/>
                    <w:bottom w:val="single" w:color="auto" w:sz="4" w:space="0"/>
                    <w:right w:val="single" w:color="auto" w:sz="4" w:space="0"/>
                  </w:tcBorders>
                  <w:vAlign w:val="center"/>
                </w:tcPr>
                <w:p w14:paraId="1CFC8F33">
                  <w:pPr>
                    <w:pStyle w:val="20"/>
                    <w:rPr>
                      <w:color w:val="auto"/>
                    </w:rPr>
                  </w:pPr>
                </w:p>
              </w:tc>
              <w:tc>
                <w:tcPr>
                  <w:tcW w:w="1874" w:type="dxa"/>
                  <w:vMerge w:val="continue"/>
                  <w:tcBorders>
                    <w:left w:val="single" w:color="auto" w:sz="4" w:space="0"/>
                    <w:bottom w:val="single" w:color="auto" w:sz="4" w:space="0"/>
                    <w:right w:val="single" w:color="auto" w:sz="4" w:space="0"/>
                  </w:tcBorders>
                  <w:vAlign w:val="center"/>
                </w:tcPr>
                <w:p w14:paraId="6589050C">
                  <w:pPr>
                    <w:pStyle w:val="20"/>
                    <w:rPr>
                      <w:color w:val="auto"/>
                    </w:rPr>
                  </w:pPr>
                </w:p>
              </w:tc>
            </w:tr>
            <w:tr w14:paraId="696B1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02CD7636">
                  <w:pPr>
                    <w:pStyle w:val="20"/>
                    <w:rPr>
                      <w:color w:val="auto"/>
                    </w:rPr>
                  </w:pPr>
                  <w:r>
                    <w:rPr>
                      <w:color w:val="auto"/>
                    </w:rPr>
                    <w:t>钢板</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83EB052">
                  <w:pPr>
                    <w:pStyle w:val="20"/>
                    <w:rPr>
                      <w:color w:val="auto"/>
                    </w:rPr>
                  </w:pPr>
                  <w:r>
                    <w:rPr>
                      <w:color w:val="auto"/>
                      <w:vertAlign w:val="superscript"/>
                    </w:rPr>
                    <w:t>①</w:t>
                  </w:r>
                  <w:r>
                    <w:rPr>
                      <w:color w:val="auto"/>
                    </w:rPr>
                    <w:t>56.82</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ED745A1">
                  <w:pPr>
                    <w:pStyle w:val="20"/>
                    <w:rPr>
                      <w:color w:val="auto"/>
                    </w:rPr>
                  </w:pPr>
                  <w:r>
                    <w:rPr>
                      <w:color w:val="auto"/>
                    </w:rPr>
                    <w:t>113.64</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B2EC404">
                  <w:pPr>
                    <w:pStyle w:val="20"/>
                    <w:rPr>
                      <w:color w:val="auto"/>
                    </w:rPr>
                  </w:pPr>
                  <w:r>
                    <w:rPr>
                      <w:color w:val="auto"/>
                    </w:rPr>
                    <w:t>+56.82</w:t>
                  </w:r>
                </w:p>
              </w:tc>
              <w:tc>
                <w:tcPr>
                  <w:tcW w:w="995" w:type="dxa"/>
                  <w:tcBorders>
                    <w:top w:val="single" w:color="auto" w:sz="4" w:space="0"/>
                    <w:left w:val="single" w:color="auto" w:sz="4" w:space="0"/>
                    <w:bottom w:val="single" w:color="auto" w:sz="4" w:space="0"/>
                    <w:right w:val="single" w:color="auto" w:sz="4" w:space="0"/>
                  </w:tcBorders>
                  <w:vAlign w:val="center"/>
                </w:tcPr>
                <w:p w14:paraId="23516F8B">
                  <w:pPr>
                    <w:pStyle w:val="20"/>
                    <w:rPr>
                      <w:color w:val="auto"/>
                    </w:rPr>
                  </w:pPr>
                  <w:r>
                    <w:rPr>
                      <w:color w:val="auto"/>
                    </w:rPr>
                    <w:t>10</w:t>
                  </w:r>
                </w:p>
              </w:tc>
              <w:tc>
                <w:tcPr>
                  <w:tcW w:w="372" w:type="dxa"/>
                  <w:tcBorders>
                    <w:top w:val="single" w:color="auto" w:sz="4" w:space="0"/>
                    <w:left w:val="single" w:color="auto" w:sz="4" w:space="0"/>
                    <w:bottom w:val="single" w:color="auto" w:sz="4" w:space="0"/>
                    <w:right w:val="single" w:color="auto" w:sz="4" w:space="0"/>
                  </w:tcBorders>
                  <w:vAlign w:val="center"/>
                </w:tcPr>
                <w:p w14:paraId="47CB9291">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29F6B26C">
                  <w:pPr>
                    <w:pStyle w:val="20"/>
                    <w:rPr>
                      <w:color w:val="auto"/>
                    </w:rPr>
                  </w:pPr>
                  <w:r>
                    <w:rPr>
                      <w:color w:val="auto"/>
                    </w:rPr>
                    <w:t>/</w:t>
                  </w:r>
                </w:p>
              </w:tc>
            </w:tr>
            <w:tr w14:paraId="39286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4A8F3B6C">
                  <w:pPr>
                    <w:pStyle w:val="20"/>
                    <w:rPr>
                      <w:color w:val="auto"/>
                    </w:rPr>
                  </w:pPr>
                  <w:r>
                    <w:rPr>
                      <w:color w:val="auto"/>
                    </w:rPr>
                    <w:t>热轧卷板</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8A76B30">
                  <w:pPr>
                    <w:pStyle w:val="20"/>
                    <w:rPr>
                      <w:color w:val="auto"/>
                    </w:rPr>
                  </w:pPr>
                  <w:r>
                    <w:rPr>
                      <w:color w:val="auto"/>
                      <w:vertAlign w:val="superscript"/>
                    </w:rPr>
                    <w:t>①</w:t>
                  </w:r>
                  <w:r>
                    <w:rPr>
                      <w:color w:val="auto"/>
                    </w:rPr>
                    <w:t>59.94</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2A71596">
                  <w:pPr>
                    <w:pStyle w:val="20"/>
                    <w:rPr>
                      <w:color w:val="auto"/>
                    </w:rPr>
                  </w:pPr>
                  <w:r>
                    <w:rPr>
                      <w:color w:val="auto"/>
                    </w:rPr>
                    <w:t>119.88</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F030963">
                  <w:pPr>
                    <w:pStyle w:val="20"/>
                    <w:rPr>
                      <w:color w:val="auto"/>
                    </w:rPr>
                  </w:pPr>
                  <w:r>
                    <w:rPr>
                      <w:color w:val="auto"/>
                    </w:rPr>
                    <w:t>+59.94</w:t>
                  </w:r>
                </w:p>
              </w:tc>
              <w:tc>
                <w:tcPr>
                  <w:tcW w:w="995" w:type="dxa"/>
                  <w:tcBorders>
                    <w:top w:val="single" w:color="auto" w:sz="4" w:space="0"/>
                    <w:left w:val="single" w:color="auto" w:sz="4" w:space="0"/>
                    <w:bottom w:val="single" w:color="auto" w:sz="4" w:space="0"/>
                    <w:right w:val="single" w:color="auto" w:sz="4" w:space="0"/>
                  </w:tcBorders>
                  <w:vAlign w:val="center"/>
                </w:tcPr>
                <w:p w14:paraId="2290ECC2">
                  <w:pPr>
                    <w:pStyle w:val="20"/>
                    <w:rPr>
                      <w:color w:val="auto"/>
                    </w:rPr>
                  </w:pPr>
                  <w:r>
                    <w:rPr>
                      <w:color w:val="auto"/>
                    </w:rPr>
                    <w:t>10</w:t>
                  </w:r>
                </w:p>
              </w:tc>
              <w:tc>
                <w:tcPr>
                  <w:tcW w:w="372" w:type="dxa"/>
                  <w:tcBorders>
                    <w:top w:val="single" w:color="auto" w:sz="4" w:space="0"/>
                    <w:left w:val="single" w:color="auto" w:sz="4" w:space="0"/>
                    <w:bottom w:val="single" w:color="auto" w:sz="4" w:space="0"/>
                    <w:right w:val="single" w:color="auto" w:sz="4" w:space="0"/>
                  </w:tcBorders>
                  <w:vAlign w:val="center"/>
                </w:tcPr>
                <w:p w14:paraId="77161E8D">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55F89BDD">
                  <w:pPr>
                    <w:pStyle w:val="20"/>
                    <w:rPr>
                      <w:color w:val="auto"/>
                    </w:rPr>
                  </w:pPr>
                  <w:r>
                    <w:rPr>
                      <w:color w:val="auto"/>
                    </w:rPr>
                    <w:t>/</w:t>
                  </w:r>
                </w:p>
              </w:tc>
            </w:tr>
            <w:tr w14:paraId="2B507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4030BC16">
                  <w:pPr>
                    <w:pStyle w:val="20"/>
                    <w:rPr>
                      <w:color w:val="auto"/>
                    </w:rPr>
                  </w:pPr>
                  <w:r>
                    <w:rPr>
                      <w:color w:val="auto"/>
                    </w:rPr>
                    <w:t>不锈钢管</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85DDD87">
                  <w:pPr>
                    <w:pStyle w:val="20"/>
                    <w:rPr>
                      <w:color w:val="auto"/>
                    </w:rPr>
                  </w:pPr>
                  <w:r>
                    <w:rPr>
                      <w:color w:val="auto"/>
                      <w:vertAlign w:val="superscript"/>
                    </w:rPr>
                    <w:t>①</w:t>
                  </w:r>
                  <w:r>
                    <w:rPr>
                      <w:color w:val="auto"/>
                    </w:rPr>
                    <w:t>562.075</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1CA5760">
                  <w:pPr>
                    <w:pStyle w:val="20"/>
                    <w:rPr>
                      <w:color w:val="auto"/>
                    </w:rPr>
                  </w:pPr>
                  <w:r>
                    <w:rPr>
                      <w:color w:val="auto"/>
                    </w:rPr>
                    <w:t>3153.48</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D71C882">
                  <w:pPr>
                    <w:pStyle w:val="20"/>
                    <w:rPr>
                      <w:color w:val="auto"/>
                    </w:rPr>
                  </w:pPr>
                  <w:r>
                    <w:rPr>
                      <w:color w:val="auto"/>
                    </w:rPr>
                    <w:t>+2591.4</w:t>
                  </w:r>
                </w:p>
              </w:tc>
              <w:tc>
                <w:tcPr>
                  <w:tcW w:w="995" w:type="dxa"/>
                  <w:tcBorders>
                    <w:top w:val="single" w:color="auto" w:sz="4" w:space="0"/>
                    <w:left w:val="single" w:color="auto" w:sz="4" w:space="0"/>
                    <w:bottom w:val="single" w:color="auto" w:sz="4" w:space="0"/>
                    <w:right w:val="single" w:color="auto" w:sz="4" w:space="0"/>
                  </w:tcBorders>
                  <w:vAlign w:val="center"/>
                </w:tcPr>
                <w:p w14:paraId="36182958">
                  <w:pPr>
                    <w:pStyle w:val="20"/>
                    <w:rPr>
                      <w:color w:val="auto"/>
                    </w:rPr>
                  </w:pPr>
                  <w:r>
                    <w:rPr>
                      <w:color w:val="auto"/>
                    </w:rPr>
                    <w:t>270</w:t>
                  </w:r>
                </w:p>
              </w:tc>
              <w:tc>
                <w:tcPr>
                  <w:tcW w:w="372" w:type="dxa"/>
                  <w:tcBorders>
                    <w:top w:val="single" w:color="auto" w:sz="4" w:space="0"/>
                    <w:left w:val="single" w:color="auto" w:sz="4" w:space="0"/>
                    <w:bottom w:val="single" w:color="auto" w:sz="4" w:space="0"/>
                    <w:right w:val="single" w:color="auto" w:sz="4" w:space="0"/>
                  </w:tcBorders>
                  <w:vAlign w:val="center"/>
                </w:tcPr>
                <w:p w14:paraId="39EFCFF7">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3688A120">
                  <w:pPr>
                    <w:pStyle w:val="20"/>
                    <w:rPr>
                      <w:color w:val="auto"/>
                    </w:rPr>
                  </w:pPr>
                  <w:r>
                    <w:rPr>
                      <w:color w:val="auto"/>
                    </w:rPr>
                    <w:t>/</w:t>
                  </w:r>
                </w:p>
              </w:tc>
            </w:tr>
            <w:tr w14:paraId="39599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0D7F3DD5">
                  <w:pPr>
                    <w:pStyle w:val="20"/>
                    <w:rPr>
                      <w:color w:val="auto"/>
                    </w:rPr>
                  </w:pPr>
                  <w:r>
                    <w:rPr>
                      <w:color w:val="auto"/>
                    </w:rPr>
                    <w:t>冷板</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89F88C0">
                  <w:pPr>
                    <w:pStyle w:val="20"/>
                    <w:rPr>
                      <w:color w:val="auto"/>
                    </w:rPr>
                  </w:pPr>
                  <w:r>
                    <w:rPr>
                      <w:color w:val="auto"/>
                      <w:vertAlign w:val="superscript"/>
                    </w:rPr>
                    <w:t>①</w:t>
                  </w:r>
                  <w:r>
                    <w:rPr>
                      <w:color w:val="auto"/>
                    </w:rPr>
                    <w:t>72.07</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095608B">
                  <w:pPr>
                    <w:pStyle w:val="20"/>
                    <w:rPr>
                      <w:color w:val="auto"/>
                    </w:rPr>
                  </w:pPr>
                  <w:r>
                    <w:rPr>
                      <w:color w:val="auto"/>
                    </w:rPr>
                    <w:t>144.14</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46B7227">
                  <w:pPr>
                    <w:pStyle w:val="20"/>
                    <w:rPr>
                      <w:color w:val="auto"/>
                    </w:rPr>
                  </w:pPr>
                  <w:r>
                    <w:rPr>
                      <w:color w:val="auto"/>
                    </w:rPr>
                    <w:t>+72.07</w:t>
                  </w:r>
                </w:p>
              </w:tc>
              <w:tc>
                <w:tcPr>
                  <w:tcW w:w="995" w:type="dxa"/>
                  <w:tcBorders>
                    <w:top w:val="single" w:color="auto" w:sz="4" w:space="0"/>
                    <w:left w:val="single" w:color="auto" w:sz="4" w:space="0"/>
                    <w:bottom w:val="single" w:color="auto" w:sz="4" w:space="0"/>
                    <w:right w:val="single" w:color="auto" w:sz="4" w:space="0"/>
                  </w:tcBorders>
                  <w:vAlign w:val="center"/>
                </w:tcPr>
                <w:p w14:paraId="27E6A266">
                  <w:pPr>
                    <w:pStyle w:val="20"/>
                    <w:rPr>
                      <w:color w:val="auto"/>
                    </w:rPr>
                  </w:pPr>
                  <w:r>
                    <w:rPr>
                      <w:color w:val="auto"/>
                    </w:rPr>
                    <w:t>12</w:t>
                  </w:r>
                </w:p>
              </w:tc>
              <w:tc>
                <w:tcPr>
                  <w:tcW w:w="372" w:type="dxa"/>
                  <w:tcBorders>
                    <w:top w:val="single" w:color="auto" w:sz="4" w:space="0"/>
                    <w:left w:val="single" w:color="auto" w:sz="4" w:space="0"/>
                    <w:bottom w:val="single" w:color="auto" w:sz="4" w:space="0"/>
                    <w:right w:val="single" w:color="auto" w:sz="4" w:space="0"/>
                  </w:tcBorders>
                  <w:vAlign w:val="center"/>
                </w:tcPr>
                <w:p w14:paraId="097581D0">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19937D00">
                  <w:pPr>
                    <w:pStyle w:val="20"/>
                    <w:rPr>
                      <w:color w:val="auto"/>
                    </w:rPr>
                  </w:pPr>
                  <w:r>
                    <w:rPr>
                      <w:color w:val="auto"/>
                    </w:rPr>
                    <w:t>/</w:t>
                  </w:r>
                </w:p>
              </w:tc>
            </w:tr>
            <w:tr w14:paraId="12281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1C77B7EE">
                  <w:pPr>
                    <w:pStyle w:val="20"/>
                    <w:rPr>
                      <w:color w:val="auto"/>
                    </w:rPr>
                  </w:pPr>
                  <w:r>
                    <w:rPr>
                      <w:color w:val="auto"/>
                    </w:rPr>
                    <w:t>焊管</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41915DF">
                  <w:pPr>
                    <w:pStyle w:val="20"/>
                    <w:rPr>
                      <w:color w:val="auto"/>
                    </w:rPr>
                  </w:pPr>
                  <w:r>
                    <w:rPr>
                      <w:color w:val="auto"/>
                      <w:vertAlign w:val="superscript"/>
                    </w:rPr>
                    <w:t>①</w:t>
                  </w:r>
                  <w:r>
                    <w:rPr>
                      <w:color w:val="auto"/>
                    </w:rPr>
                    <w:t>15329.79</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59414D5">
                  <w:pPr>
                    <w:pStyle w:val="20"/>
                    <w:rPr>
                      <w:color w:val="auto"/>
                    </w:rPr>
                  </w:pPr>
                  <w:r>
                    <w:rPr>
                      <w:color w:val="auto"/>
                    </w:rPr>
                    <w:t>30659.58</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CA2C3A5">
                  <w:pPr>
                    <w:pStyle w:val="20"/>
                    <w:rPr>
                      <w:color w:val="auto"/>
                    </w:rPr>
                  </w:pPr>
                  <w:r>
                    <w:rPr>
                      <w:color w:val="auto"/>
                    </w:rPr>
                    <w:t>+15329.79</w:t>
                  </w:r>
                </w:p>
              </w:tc>
              <w:tc>
                <w:tcPr>
                  <w:tcW w:w="995" w:type="dxa"/>
                  <w:tcBorders>
                    <w:top w:val="single" w:color="auto" w:sz="4" w:space="0"/>
                    <w:left w:val="single" w:color="auto" w:sz="4" w:space="0"/>
                    <w:bottom w:val="single" w:color="auto" w:sz="4" w:space="0"/>
                    <w:right w:val="single" w:color="auto" w:sz="4" w:space="0"/>
                  </w:tcBorders>
                  <w:vAlign w:val="center"/>
                </w:tcPr>
                <w:p w14:paraId="3B322C69">
                  <w:pPr>
                    <w:pStyle w:val="20"/>
                    <w:rPr>
                      <w:color w:val="auto"/>
                    </w:rPr>
                  </w:pPr>
                  <w:r>
                    <w:rPr>
                      <w:color w:val="auto"/>
                    </w:rPr>
                    <w:t>640</w:t>
                  </w:r>
                </w:p>
              </w:tc>
              <w:tc>
                <w:tcPr>
                  <w:tcW w:w="372" w:type="dxa"/>
                  <w:tcBorders>
                    <w:top w:val="single" w:color="auto" w:sz="4" w:space="0"/>
                    <w:left w:val="single" w:color="auto" w:sz="4" w:space="0"/>
                    <w:bottom w:val="single" w:color="auto" w:sz="4" w:space="0"/>
                    <w:right w:val="single" w:color="auto" w:sz="4" w:space="0"/>
                  </w:tcBorders>
                  <w:vAlign w:val="center"/>
                </w:tcPr>
                <w:p w14:paraId="64745FF6">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77845992">
                  <w:pPr>
                    <w:pStyle w:val="20"/>
                    <w:rPr>
                      <w:color w:val="auto"/>
                    </w:rPr>
                  </w:pPr>
                  <w:r>
                    <w:rPr>
                      <w:color w:val="auto"/>
                    </w:rPr>
                    <w:t>/</w:t>
                  </w:r>
                </w:p>
              </w:tc>
            </w:tr>
            <w:tr w14:paraId="47ACA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113F4FB2">
                  <w:pPr>
                    <w:pStyle w:val="20"/>
                    <w:rPr>
                      <w:color w:val="auto"/>
                    </w:rPr>
                  </w:pPr>
                  <w:r>
                    <w:rPr>
                      <w:color w:val="auto"/>
                    </w:rPr>
                    <w:t>热板</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EC183CF">
                  <w:pPr>
                    <w:pStyle w:val="20"/>
                    <w:rPr>
                      <w:color w:val="auto"/>
                    </w:rPr>
                  </w:pPr>
                  <w:r>
                    <w:rPr>
                      <w:color w:val="auto"/>
                      <w:vertAlign w:val="superscript"/>
                    </w:rPr>
                    <w:t>①</w:t>
                  </w:r>
                  <w:r>
                    <w:rPr>
                      <w:color w:val="auto"/>
                    </w:rPr>
                    <w:t>108.025</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9E159D9">
                  <w:pPr>
                    <w:pStyle w:val="20"/>
                    <w:rPr>
                      <w:color w:val="auto"/>
                    </w:rPr>
                  </w:pPr>
                  <w:r>
                    <w:rPr>
                      <w:color w:val="auto"/>
                    </w:rPr>
                    <w:t>216.05</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06581C3">
                  <w:pPr>
                    <w:pStyle w:val="20"/>
                    <w:rPr>
                      <w:color w:val="auto"/>
                    </w:rPr>
                  </w:pPr>
                  <w:r>
                    <w:rPr>
                      <w:color w:val="auto"/>
                    </w:rPr>
                    <w:t>+108.025</w:t>
                  </w:r>
                </w:p>
              </w:tc>
              <w:tc>
                <w:tcPr>
                  <w:tcW w:w="995" w:type="dxa"/>
                  <w:tcBorders>
                    <w:top w:val="single" w:color="auto" w:sz="4" w:space="0"/>
                    <w:left w:val="single" w:color="auto" w:sz="4" w:space="0"/>
                    <w:bottom w:val="single" w:color="auto" w:sz="4" w:space="0"/>
                    <w:right w:val="single" w:color="auto" w:sz="4" w:space="0"/>
                  </w:tcBorders>
                  <w:vAlign w:val="center"/>
                </w:tcPr>
                <w:p w14:paraId="5BD51D20">
                  <w:pPr>
                    <w:pStyle w:val="20"/>
                    <w:rPr>
                      <w:color w:val="auto"/>
                    </w:rPr>
                  </w:pPr>
                  <w:r>
                    <w:rPr>
                      <w:color w:val="auto"/>
                    </w:rPr>
                    <w:t>20</w:t>
                  </w:r>
                </w:p>
              </w:tc>
              <w:tc>
                <w:tcPr>
                  <w:tcW w:w="372" w:type="dxa"/>
                  <w:tcBorders>
                    <w:top w:val="single" w:color="auto" w:sz="4" w:space="0"/>
                    <w:left w:val="single" w:color="auto" w:sz="4" w:space="0"/>
                    <w:bottom w:val="single" w:color="auto" w:sz="4" w:space="0"/>
                    <w:right w:val="single" w:color="auto" w:sz="4" w:space="0"/>
                  </w:tcBorders>
                  <w:vAlign w:val="center"/>
                </w:tcPr>
                <w:p w14:paraId="523FAB0C">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3B1B23C8">
                  <w:pPr>
                    <w:pStyle w:val="20"/>
                    <w:rPr>
                      <w:color w:val="auto"/>
                    </w:rPr>
                  </w:pPr>
                  <w:r>
                    <w:rPr>
                      <w:color w:val="auto"/>
                    </w:rPr>
                    <w:t>/</w:t>
                  </w:r>
                </w:p>
              </w:tc>
            </w:tr>
            <w:tr w14:paraId="3A9FD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22FB7846">
                  <w:pPr>
                    <w:pStyle w:val="20"/>
                    <w:rPr>
                      <w:color w:val="auto"/>
                    </w:rPr>
                  </w:pPr>
                  <w:r>
                    <w:rPr>
                      <w:color w:val="auto"/>
                    </w:rPr>
                    <w:t>花纹板</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B639674">
                  <w:pPr>
                    <w:pStyle w:val="20"/>
                    <w:rPr>
                      <w:color w:val="auto"/>
                    </w:rPr>
                  </w:pPr>
                  <w:r>
                    <w:rPr>
                      <w:color w:val="auto"/>
                      <w:vertAlign w:val="superscript"/>
                    </w:rPr>
                    <w:t>①</w:t>
                  </w:r>
                  <w:r>
                    <w:rPr>
                      <w:color w:val="auto"/>
                    </w:rPr>
                    <w:t>3.315</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4724CC4">
                  <w:pPr>
                    <w:pStyle w:val="20"/>
                    <w:rPr>
                      <w:color w:val="auto"/>
                    </w:rPr>
                  </w:pPr>
                  <w:r>
                    <w:rPr>
                      <w:color w:val="auto"/>
                    </w:rPr>
                    <w:t>6.63</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41034C6">
                  <w:pPr>
                    <w:pStyle w:val="20"/>
                    <w:rPr>
                      <w:color w:val="auto"/>
                    </w:rPr>
                  </w:pPr>
                  <w:r>
                    <w:rPr>
                      <w:color w:val="auto"/>
                    </w:rPr>
                    <w:t>+3.315</w:t>
                  </w:r>
                </w:p>
              </w:tc>
              <w:tc>
                <w:tcPr>
                  <w:tcW w:w="995" w:type="dxa"/>
                  <w:tcBorders>
                    <w:top w:val="single" w:color="auto" w:sz="4" w:space="0"/>
                    <w:left w:val="single" w:color="auto" w:sz="4" w:space="0"/>
                    <w:bottom w:val="single" w:color="auto" w:sz="4" w:space="0"/>
                    <w:right w:val="single" w:color="auto" w:sz="4" w:space="0"/>
                  </w:tcBorders>
                  <w:vAlign w:val="center"/>
                </w:tcPr>
                <w:p w14:paraId="6183F4B2">
                  <w:pPr>
                    <w:pStyle w:val="20"/>
                    <w:rPr>
                      <w:color w:val="auto"/>
                    </w:rPr>
                  </w:pPr>
                  <w:r>
                    <w:rPr>
                      <w:color w:val="auto"/>
                    </w:rPr>
                    <w:t>1</w:t>
                  </w:r>
                </w:p>
              </w:tc>
              <w:tc>
                <w:tcPr>
                  <w:tcW w:w="372" w:type="dxa"/>
                  <w:tcBorders>
                    <w:top w:val="single" w:color="auto" w:sz="4" w:space="0"/>
                    <w:left w:val="single" w:color="auto" w:sz="4" w:space="0"/>
                    <w:bottom w:val="single" w:color="auto" w:sz="4" w:space="0"/>
                    <w:right w:val="single" w:color="auto" w:sz="4" w:space="0"/>
                  </w:tcBorders>
                  <w:vAlign w:val="center"/>
                </w:tcPr>
                <w:p w14:paraId="66957E48">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6FA67386">
                  <w:pPr>
                    <w:pStyle w:val="20"/>
                    <w:rPr>
                      <w:color w:val="auto"/>
                    </w:rPr>
                  </w:pPr>
                  <w:r>
                    <w:rPr>
                      <w:color w:val="auto"/>
                    </w:rPr>
                    <w:t>/</w:t>
                  </w:r>
                </w:p>
              </w:tc>
            </w:tr>
            <w:tr w14:paraId="7AFD2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10724FE6">
                  <w:pPr>
                    <w:pStyle w:val="20"/>
                    <w:rPr>
                      <w:color w:val="auto"/>
                    </w:rPr>
                  </w:pPr>
                  <w:r>
                    <w:rPr>
                      <w:color w:val="auto"/>
                    </w:rPr>
                    <w:t>J1冷轧不锈钢卷板</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8EC9943">
                  <w:pPr>
                    <w:pStyle w:val="20"/>
                    <w:rPr>
                      <w:color w:val="auto"/>
                    </w:rPr>
                  </w:pPr>
                  <w:r>
                    <w:rPr>
                      <w:color w:val="auto"/>
                      <w:vertAlign w:val="superscript"/>
                    </w:rPr>
                    <w:t>①</w:t>
                  </w:r>
                  <w:r>
                    <w:rPr>
                      <w:color w:val="auto"/>
                    </w:rPr>
                    <w:t>69.355</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EAB1C86">
                  <w:pPr>
                    <w:pStyle w:val="20"/>
                    <w:rPr>
                      <w:color w:val="auto"/>
                    </w:rPr>
                  </w:pPr>
                  <w:r>
                    <w:rPr>
                      <w:color w:val="auto"/>
                    </w:rPr>
                    <w:t>138.71</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E3F8260">
                  <w:pPr>
                    <w:pStyle w:val="20"/>
                    <w:rPr>
                      <w:color w:val="auto"/>
                    </w:rPr>
                  </w:pPr>
                  <w:r>
                    <w:rPr>
                      <w:color w:val="auto"/>
                    </w:rPr>
                    <w:t>+69.355</w:t>
                  </w:r>
                </w:p>
              </w:tc>
              <w:tc>
                <w:tcPr>
                  <w:tcW w:w="995" w:type="dxa"/>
                  <w:tcBorders>
                    <w:top w:val="single" w:color="auto" w:sz="4" w:space="0"/>
                    <w:left w:val="single" w:color="auto" w:sz="4" w:space="0"/>
                    <w:bottom w:val="single" w:color="auto" w:sz="4" w:space="0"/>
                    <w:right w:val="single" w:color="auto" w:sz="4" w:space="0"/>
                  </w:tcBorders>
                  <w:vAlign w:val="center"/>
                </w:tcPr>
                <w:p w14:paraId="1D491471">
                  <w:pPr>
                    <w:pStyle w:val="20"/>
                    <w:rPr>
                      <w:color w:val="auto"/>
                    </w:rPr>
                  </w:pPr>
                  <w:r>
                    <w:rPr>
                      <w:color w:val="auto"/>
                    </w:rPr>
                    <w:t>12</w:t>
                  </w:r>
                </w:p>
              </w:tc>
              <w:tc>
                <w:tcPr>
                  <w:tcW w:w="372" w:type="dxa"/>
                  <w:tcBorders>
                    <w:top w:val="single" w:color="auto" w:sz="4" w:space="0"/>
                    <w:left w:val="single" w:color="auto" w:sz="4" w:space="0"/>
                    <w:bottom w:val="single" w:color="auto" w:sz="4" w:space="0"/>
                    <w:right w:val="single" w:color="auto" w:sz="4" w:space="0"/>
                  </w:tcBorders>
                  <w:vAlign w:val="center"/>
                </w:tcPr>
                <w:p w14:paraId="522194C8">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7DB5AC93">
                  <w:pPr>
                    <w:pStyle w:val="20"/>
                    <w:rPr>
                      <w:color w:val="auto"/>
                    </w:rPr>
                  </w:pPr>
                  <w:r>
                    <w:rPr>
                      <w:color w:val="auto"/>
                    </w:rPr>
                    <w:t>/</w:t>
                  </w:r>
                </w:p>
              </w:tc>
            </w:tr>
            <w:tr w14:paraId="5BD98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6AFABDF3">
                  <w:pPr>
                    <w:pStyle w:val="20"/>
                    <w:rPr>
                      <w:color w:val="auto"/>
                    </w:rPr>
                  </w:pPr>
                  <w:r>
                    <w:rPr>
                      <w:color w:val="auto"/>
                    </w:rPr>
                    <w:t>不锈钢</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098CD4B">
                  <w:pPr>
                    <w:pStyle w:val="20"/>
                    <w:rPr>
                      <w:color w:val="auto"/>
                    </w:rPr>
                  </w:pPr>
                  <w:r>
                    <w:rPr>
                      <w:color w:val="auto"/>
                    </w:rPr>
                    <w:t>1861.33</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2883A38">
                  <w:pPr>
                    <w:pStyle w:val="20"/>
                    <w:rPr>
                      <w:color w:val="auto"/>
                    </w:rPr>
                  </w:pPr>
                  <w:r>
                    <w:rPr>
                      <w:color w:val="auto"/>
                    </w:rPr>
                    <w:t>0</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32E444B">
                  <w:pPr>
                    <w:pStyle w:val="20"/>
                    <w:rPr>
                      <w:color w:val="auto"/>
                    </w:rPr>
                  </w:pPr>
                  <w:r>
                    <w:rPr>
                      <w:color w:val="auto"/>
                    </w:rPr>
                    <w:t>-1861.33</w:t>
                  </w:r>
                </w:p>
              </w:tc>
              <w:tc>
                <w:tcPr>
                  <w:tcW w:w="995" w:type="dxa"/>
                  <w:tcBorders>
                    <w:top w:val="single" w:color="auto" w:sz="4" w:space="0"/>
                    <w:left w:val="single" w:color="auto" w:sz="4" w:space="0"/>
                    <w:bottom w:val="single" w:color="auto" w:sz="4" w:space="0"/>
                    <w:right w:val="single" w:color="auto" w:sz="4" w:space="0"/>
                  </w:tcBorders>
                  <w:vAlign w:val="center"/>
                </w:tcPr>
                <w:p w14:paraId="304946CE">
                  <w:pPr>
                    <w:pStyle w:val="20"/>
                    <w:rPr>
                      <w:color w:val="auto"/>
                    </w:rPr>
                  </w:pPr>
                  <w:r>
                    <w:rPr>
                      <w:color w:val="auto"/>
                    </w:rPr>
                    <w:t>0</w:t>
                  </w:r>
                </w:p>
              </w:tc>
              <w:tc>
                <w:tcPr>
                  <w:tcW w:w="372" w:type="dxa"/>
                  <w:tcBorders>
                    <w:top w:val="single" w:color="auto" w:sz="4" w:space="0"/>
                    <w:left w:val="single" w:color="auto" w:sz="4" w:space="0"/>
                    <w:bottom w:val="single" w:color="auto" w:sz="4" w:space="0"/>
                    <w:right w:val="single" w:color="auto" w:sz="4" w:space="0"/>
                  </w:tcBorders>
                  <w:vAlign w:val="center"/>
                </w:tcPr>
                <w:p w14:paraId="23CAD561">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2EE1B368">
                  <w:pPr>
                    <w:pStyle w:val="20"/>
                    <w:rPr>
                      <w:color w:val="auto"/>
                    </w:rPr>
                  </w:pPr>
                  <w:r>
                    <w:rPr>
                      <w:color w:val="auto"/>
                    </w:rPr>
                    <w:t>/</w:t>
                  </w:r>
                </w:p>
              </w:tc>
            </w:tr>
            <w:tr w14:paraId="24A6B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342C63F4">
                  <w:pPr>
                    <w:pStyle w:val="20"/>
                    <w:rPr>
                      <w:color w:val="auto"/>
                    </w:rPr>
                  </w:pPr>
                  <w:r>
                    <w:rPr>
                      <w:color w:val="auto"/>
                    </w:rPr>
                    <w:t>不锈钢带</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8ADD450">
                  <w:pPr>
                    <w:pStyle w:val="20"/>
                    <w:rPr>
                      <w:color w:val="auto"/>
                    </w:rPr>
                  </w:pPr>
                  <w:r>
                    <w:rPr>
                      <w:color w:val="auto"/>
                    </w:rPr>
                    <w:t>168</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85C867F">
                  <w:pPr>
                    <w:pStyle w:val="20"/>
                    <w:rPr>
                      <w:color w:val="auto"/>
                    </w:rPr>
                  </w:pPr>
                  <w:r>
                    <w:rPr>
                      <w:color w:val="auto"/>
                    </w:rPr>
                    <w:t>0</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DEC0C43">
                  <w:pPr>
                    <w:pStyle w:val="20"/>
                    <w:rPr>
                      <w:color w:val="auto"/>
                    </w:rPr>
                  </w:pPr>
                  <w:r>
                    <w:rPr>
                      <w:color w:val="auto"/>
                    </w:rPr>
                    <w:t>-168</w:t>
                  </w:r>
                </w:p>
              </w:tc>
              <w:tc>
                <w:tcPr>
                  <w:tcW w:w="995" w:type="dxa"/>
                  <w:tcBorders>
                    <w:top w:val="single" w:color="auto" w:sz="4" w:space="0"/>
                    <w:left w:val="single" w:color="auto" w:sz="4" w:space="0"/>
                    <w:bottom w:val="single" w:color="auto" w:sz="4" w:space="0"/>
                    <w:right w:val="single" w:color="auto" w:sz="4" w:space="0"/>
                  </w:tcBorders>
                  <w:vAlign w:val="center"/>
                </w:tcPr>
                <w:p w14:paraId="7C7AC879">
                  <w:pPr>
                    <w:pStyle w:val="20"/>
                    <w:rPr>
                      <w:color w:val="auto"/>
                    </w:rPr>
                  </w:pPr>
                  <w:r>
                    <w:rPr>
                      <w:color w:val="auto"/>
                    </w:rPr>
                    <w:t>0</w:t>
                  </w:r>
                </w:p>
              </w:tc>
              <w:tc>
                <w:tcPr>
                  <w:tcW w:w="372" w:type="dxa"/>
                  <w:tcBorders>
                    <w:top w:val="single" w:color="auto" w:sz="4" w:space="0"/>
                    <w:left w:val="single" w:color="auto" w:sz="4" w:space="0"/>
                    <w:bottom w:val="single" w:color="auto" w:sz="4" w:space="0"/>
                    <w:right w:val="single" w:color="auto" w:sz="4" w:space="0"/>
                  </w:tcBorders>
                  <w:vAlign w:val="center"/>
                </w:tcPr>
                <w:p w14:paraId="58363262">
                  <w:pPr>
                    <w:pStyle w:val="20"/>
                    <w:rPr>
                      <w:color w:val="auto"/>
                    </w:rPr>
                  </w:pPr>
                  <w:r>
                    <w:rPr>
                      <w:color w:val="auto"/>
                    </w:rPr>
                    <w:t>吨</w:t>
                  </w:r>
                </w:p>
              </w:tc>
              <w:tc>
                <w:tcPr>
                  <w:tcW w:w="1874" w:type="dxa"/>
                  <w:tcBorders>
                    <w:top w:val="single" w:color="auto" w:sz="4" w:space="0"/>
                    <w:left w:val="single" w:color="auto" w:sz="4" w:space="0"/>
                    <w:bottom w:val="single" w:color="auto" w:sz="4" w:space="0"/>
                    <w:right w:val="single" w:color="auto" w:sz="4" w:space="0"/>
                  </w:tcBorders>
                  <w:vAlign w:val="center"/>
                </w:tcPr>
                <w:p w14:paraId="4DE76648">
                  <w:pPr>
                    <w:pStyle w:val="20"/>
                    <w:rPr>
                      <w:color w:val="auto"/>
                    </w:rPr>
                  </w:pPr>
                  <w:r>
                    <w:rPr>
                      <w:color w:val="auto"/>
                    </w:rPr>
                    <w:t>/</w:t>
                  </w:r>
                </w:p>
              </w:tc>
            </w:tr>
            <w:tr w14:paraId="1BA90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5C0CF68A">
                  <w:pPr>
                    <w:pStyle w:val="20"/>
                    <w:rPr>
                      <w:color w:val="auto"/>
                    </w:rPr>
                  </w:pPr>
                  <w:r>
                    <w:rPr>
                      <w:color w:val="auto"/>
                    </w:rPr>
                    <w:t>胶带</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A81DDBD">
                  <w:pPr>
                    <w:pStyle w:val="20"/>
                    <w:rPr>
                      <w:color w:val="auto"/>
                    </w:rPr>
                  </w:pPr>
                  <w:r>
                    <w:rPr>
                      <w:color w:val="auto"/>
                      <w:vertAlign w:val="superscript"/>
                    </w:rPr>
                    <w:t>①</w:t>
                  </w:r>
                  <w:r>
                    <w:rPr>
                      <w:color w:val="auto"/>
                    </w:rPr>
                    <w:t>510257.31</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0F32F16">
                  <w:pPr>
                    <w:pStyle w:val="20"/>
                    <w:rPr>
                      <w:color w:val="auto"/>
                    </w:rPr>
                  </w:pPr>
                  <w:r>
                    <w:rPr>
                      <w:color w:val="auto"/>
                    </w:rPr>
                    <w:t>1020514.62</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52C3A86">
                  <w:pPr>
                    <w:pStyle w:val="20"/>
                    <w:rPr>
                      <w:color w:val="auto"/>
                    </w:rPr>
                  </w:pPr>
                  <w:r>
                    <w:rPr>
                      <w:color w:val="auto"/>
                    </w:rPr>
                    <w:t>+510257.31</w:t>
                  </w:r>
                </w:p>
              </w:tc>
              <w:tc>
                <w:tcPr>
                  <w:tcW w:w="995" w:type="dxa"/>
                  <w:tcBorders>
                    <w:top w:val="single" w:color="auto" w:sz="4" w:space="0"/>
                    <w:left w:val="single" w:color="auto" w:sz="4" w:space="0"/>
                    <w:bottom w:val="single" w:color="auto" w:sz="4" w:space="0"/>
                    <w:right w:val="single" w:color="auto" w:sz="4" w:space="0"/>
                  </w:tcBorders>
                  <w:vAlign w:val="center"/>
                </w:tcPr>
                <w:p w14:paraId="3AF1D873">
                  <w:pPr>
                    <w:pStyle w:val="20"/>
                    <w:rPr>
                      <w:color w:val="auto"/>
                    </w:rPr>
                  </w:pPr>
                  <w:r>
                    <w:rPr>
                      <w:color w:val="auto"/>
                    </w:rPr>
                    <w:t>21260</w:t>
                  </w:r>
                </w:p>
              </w:tc>
              <w:tc>
                <w:tcPr>
                  <w:tcW w:w="372" w:type="dxa"/>
                  <w:tcBorders>
                    <w:top w:val="single" w:color="auto" w:sz="4" w:space="0"/>
                    <w:left w:val="single" w:color="auto" w:sz="4" w:space="0"/>
                    <w:bottom w:val="single" w:color="auto" w:sz="4" w:space="0"/>
                    <w:right w:val="single" w:color="auto" w:sz="4" w:space="0"/>
                  </w:tcBorders>
                  <w:vAlign w:val="center"/>
                </w:tcPr>
                <w:p w14:paraId="7693117D">
                  <w:pPr>
                    <w:pStyle w:val="20"/>
                    <w:rPr>
                      <w:color w:val="auto"/>
                    </w:rPr>
                  </w:pPr>
                  <w:r>
                    <w:rPr>
                      <w:color w:val="auto"/>
                    </w:rPr>
                    <w:t>平方</w:t>
                  </w:r>
                </w:p>
              </w:tc>
              <w:tc>
                <w:tcPr>
                  <w:tcW w:w="1874" w:type="dxa"/>
                  <w:tcBorders>
                    <w:top w:val="single" w:color="auto" w:sz="4" w:space="0"/>
                    <w:left w:val="single" w:color="auto" w:sz="4" w:space="0"/>
                    <w:bottom w:val="single" w:color="auto" w:sz="4" w:space="0"/>
                    <w:right w:val="single" w:color="auto" w:sz="4" w:space="0"/>
                  </w:tcBorders>
                  <w:vAlign w:val="center"/>
                </w:tcPr>
                <w:p w14:paraId="3A9FC5EE">
                  <w:pPr>
                    <w:pStyle w:val="20"/>
                    <w:rPr>
                      <w:color w:val="auto"/>
                    </w:rPr>
                  </w:pPr>
                  <w:r>
                    <w:rPr>
                      <w:color w:val="auto"/>
                    </w:rPr>
                    <w:t>/</w:t>
                  </w:r>
                </w:p>
              </w:tc>
            </w:tr>
            <w:tr w14:paraId="4996E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537E27F7">
                  <w:pPr>
                    <w:pStyle w:val="20"/>
                    <w:rPr>
                      <w:color w:val="auto"/>
                    </w:rPr>
                  </w:pPr>
                  <w:r>
                    <w:rPr>
                      <w:color w:val="auto"/>
                    </w:rPr>
                    <w:t>大角码</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4662E9A">
                  <w:pPr>
                    <w:pStyle w:val="20"/>
                    <w:rPr>
                      <w:color w:val="auto"/>
                    </w:rPr>
                  </w:pPr>
                  <w:r>
                    <w:rPr>
                      <w:color w:val="auto"/>
                      <w:vertAlign w:val="superscript"/>
                    </w:rPr>
                    <w:t>①</w:t>
                  </w:r>
                  <w:r>
                    <w:rPr>
                      <w:color w:val="auto"/>
                    </w:rPr>
                    <w:t>17562</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B5D1C16">
                  <w:pPr>
                    <w:pStyle w:val="20"/>
                    <w:rPr>
                      <w:color w:val="auto"/>
                    </w:rPr>
                  </w:pPr>
                  <w:r>
                    <w:rPr>
                      <w:color w:val="auto"/>
                    </w:rPr>
                    <w:t>35124</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7C38CA4">
                  <w:pPr>
                    <w:pStyle w:val="20"/>
                    <w:rPr>
                      <w:color w:val="auto"/>
                    </w:rPr>
                  </w:pPr>
                  <w:r>
                    <w:rPr>
                      <w:color w:val="auto"/>
                    </w:rPr>
                    <w:t>+17562</w:t>
                  </w:r>
                </w:p>
              </w:tc>
              <w:tc>
                <w:tcPr>
                  <w:tcW w:w="995" w:type="dxa"/>
                  <w:tcBorders>
                    <w:top w:val="single" w:color="auto" w:sz="4" w:space="0"/>
                    <w:left w:val="single" w:color="auto" w:sz="4" w:space="0"/>
                    <w:bottom w:val="single" w:color="auto" w:sz="4" w:space="0"/>
                    <w:right w:val="single" w:color="auto" w:sz="4" w:space="0"/>
                  </w:tcBorders>
                  <w:vAlign w:val="center"/>
                </w:tcPr>
                <w:p w14:paraId="410AE19B">
                  <w:pPr>
                    <w:pStyle w:val="20"/>
                    <w:rPr>
                      <w:color w:val="auto"/>
                    </w:rPr>
                  </w:pPr>
                  <w:r>
                    <w:rPr>
                      <w:color w:val="auto"/>
                    </w:rPr>
                    <w:t>2927</w:t>
                  </w:r>
                </w:p>
              </w:tc>
              <w:tc>
                <w:tcPr>
                  <w:tcW w:w="372" w:type="dxa"/>
                  <w:tcBorders>
                    <w:top w:val="single" w:color="auto" w:sz="4" w:space="0"/>
                    <w:left w:val="single" w:color="auto" w:sz="4" w:space="0"/>
                    <w:bottom w:val="single" w:color="auto" w:sz="4" w:space="0"/>
                    <w:right w:val="single" w:color="auto" w:sz="4" w:space="0"/>
                  </w:tcBorders>
                  <w:vAlign w:val="center"/>
                </w:tcPr>
                <w:p w14:paraId="399EF776">
                  <w:pPr>
                    <w:pStyle w:val="20"/>
                    <w:rPr>
                      <w:color w:val="auto"/>
                    </w:rPr>
                  </w:pPr>
                  <w:r>
                    <w:rPr>
                      <w:color w:val="auto"/>
                    </w:rPr>
                    <w:t>套</w:t>
                  </w:r>
                </w:p>
              </w:tc>
              <w:tc>
                <w:tcPr>
                  <w:tcW w:w="1874" w:type="dxa"/>
                  <w:tcBorders>
                    <w:top w:val="single" w:color="auto" w:sz="4" w:space="0"/>
                    <w:left w:val="single" w:color="auto" w:sz="4" w:space="0"/>
                    <w:bottom w:val="single" w:color="auto" w:sz="4" w:space="0"/>
                    <w:right w:val="single" w:color="auto" w:sz="4" w:space="0"/>
                  </w:tcBorders>
                  <w:vAlign w:val="center"/>
                </w:tcPr>
                <w:p w14:paraId="3EB5B22B">
                  <w:pPr>
                    <w:pStyle w:val="20"/>
                    <w:rPr>
                      <w:color w:val="auto"/>
                    </w:rPr>
                  </w:pPr>
                  <w:r>
                    <w:rPr>
                      <w:color w:val="auto"/>
                    </w:rPr>
                    <w:t>/</w:t>
                  </w:r>
                </w:p>
              </w:tc>
            </w:tr>
            <w:tr w14:paraId="72AAA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2BD8115A">
                  <w:pPr>
                    <w:pStyle w:val="20"/>
                    <w:rPr>
                      <w:color w:val="auto"/>
                    </w:rPr>
                  </w:pPr>
                  <w:r>
                    <w:rPr>
                      <w:color w:val="auto"/>
                    </w:rPr>
                    <w:t>二氧化碳（40L）</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943F349">
                  <w:pPr>
                    <w:pStyle w:val="20"/>
                    <w:rPr>
                      <w:color w:val="auto"/>
                    </w:rPr>
                  </w:pPr>
                  <w:r>
                    <w:rPr>
                      <w:color w:val="auto"/>
                      <w:vertAlign w:val="superscript"/>
                    </w:rPr>
                    <w:t>①</w:t>
                  </w:r>
                  <w:r>
                    <w:rPr>
                      <w:color w:val="auto"/>
                    </w:rPr>
                    <w:t>66</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A1D12BF">
                  <w:pPr>
                    <w:pStyle w:val="20"/>
                    <w:rPr>
                      <w:color w:val="auto"/>
                    </w:rPr>
                  </w:pPr>
                  <w:r>
                    <w:rPr>
                      <w:color w:val="auto"/>
                    </w:rPr>
                    <w:t>132</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31A9672">
                  <w:pPr>
                    <w:pStyle w:val="20"/>
                    <w:rPr>
                      <w:color w:val="auto"/>
                    </w:rPr>
                  </w:pPr>
                  <w:r>
                    <w:rPr>
                      <w:color w:val="auto"/>
                    </w:rPr>
                    <w:t>+66</w:t>
                  </w:r>
                </w:p>
              </w:tc>
              <w:tc>
                <w:tcPr>
                  <w:tcW w:w="995" w:type="dxa"/>
                  <w:tcBorders>
                    <w:top w:val="single" w:color="auto" w:sz="4" w:space="0"/>
                    <w:left w:val="single" w:color="auto" w:sz="4" w:space="0"/>
                    <w:bottom w:val="single" w:color="auto" w:sz="4" w:space="0"/>
                    <w:right w:val="single" w:color="auto" w:sz="4" w:space="0"/>
                  </w:tcBorders>
                  <w:vAlign w:val="center"/>
                </w:tcPr>
                <w:p w14:paraId="429AE547">
                  <w:pPr>
                    <w:pStyle w:val="20"/>
                    <w:rPr>
                      <w:color w:val="auto"/>
                    </w:rPr>
                  </w:pPr>
                  <w:r>
                    <w:rPr>
                      <w:color w:val="auto"/>
                    </w:rPr>
                    <w:t>11</w:t>
                  </w:r>
                </w:p>
              </w:tc>
              <w:tc>
                <w:tcPr>
                  <w:tcW w:w="372" w:type="dxa"/>
                  <w:tcBorders>
                    <w:top w:val="single" w:color="auto" w:sz="4" w:space="0"/>
                    <w:left w:val="single" w:color="auto" w:sz="4" w:space="0"/>
                    <w:bottom w:val="single" w:color="auto" w:sz="4" w:space="0"/>
                    <w:right w:val="single" w:color="auto" w:sz="4" w:space="0"/>
                  </w:tcBorders>
                  <w:vAlign w:val="center"/>
                </w:tcPr>
                <w:p w14:paraId="7E112D66">
                  <w:pPr>
                    <w:pStyle w:val="20"/>
                    <w:rPr>
                      <w:color w:val="auto"/>
                    </w:rPr>
                  </w:pPr>
                  <w:r>
                    <w:rPr>
                      <w:color w:val="auto"/>
                    </w:rPr>
                    <w:t>瓶</w:t>
                  </w:r>
                </w:p>
              </w:tc>
              <w:tc>
                <w:tcPr>
                  <w:tcW w:w="1874" w:type="dxa"/>
                  <w:tcBorders>
                    <w:top w:val="single" w:color="auto" w:sz="4" w:space="0"/>
                    <w:left w:val="single" w:color="auto" w:sz="4" w:space="0"/>
                    <w:bottom w:val="single" w:color="auto" w:sz="4" w:space="0"/>
                    <w:right w:val="single" w:color="auto" w:sz="4" w:space="0"/>
                  </w:tcBorders>
                  <w:vAlign w:val="center"/>
                </w:tcPr>
                <w:p w14:paraId="62A31EA4">
                  <w:pPr>
                    <w:pStyle w:val="20"/>
                    <w:rPr>
                      <w:color w:val="auto"/>
                    </w:rPr>
                  </w:pPr>
                  <w:r>
                    <w:rPr>
                      <w:color w:val="auto"/>
                    </w:rPr>
                    <w:t>/</w:t>
                  </w:r>
                </w:p>
              </w:tc>
            </w:tr>
            <w:tr w14:paraId="6E5FA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4BE9AA85">
                  <w:pPr>
                    <w:pStyle w:val="20"/>
                    <w:rPr>
                      <w:color w:val="auto"/>
                    </w:rPr>
                  </w:pPr>
                  <w:r>
                    <w:rPr>
                      <w:color w:val="auto"/>
                    </w:rPr>
                    <w:t>钢管</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388172F">
                  <w:pPr>
                    <w:pStyle w:val="20"/>
                    <w:rPr>
                      <w:color w:val="auto"/>
                    </w:rPr>
                  </w:pPr>
                  <w:r>
                    <w:rPr>
                      <w:color w:val="auto"/>
                      <w:vertAlign w:val="superscript"/>
                    </w:rPr>
                    <w:t>①</w:t>
                  </w:r>
                  <w:r>
                    <w:rPr>
                      <w:color w:val="auto"/>
                    </w:rPr>
                    <w:t>642</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A9B686D">
                  <w:pPr>
                    <w:pStyle w:val="20"/>
                    <w:rPr>
                      <w:color w:val="auto"/>
                    </w:rPr>
                  </w:pPr>
                  <w:r>
                    <w:rPr>
                      <w:color w:val="auto"/>
                    </w:rPr>
                    <w:t>1284</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3DBA0EE">
                  <w:pPr>
                    <w:pStyle w:val="20"/>
                    <w:rPr>
                      <w:color w:val="auto"/>
                    </w:rPr>
                  </w:pPr>
                  <w:r>
                    <w:rPr>
                      <w:color w:val="auto"/>
                    </w:rPr>
                    <w:t>+642</w:t>
                  </w:r>
                </w:p>
              </w:tc>
              <w:tc>
                <w:tcPr>
                  <w:tcW w:w="995" w:type="dxa"/>
                  <w:tcBorders>
                    <w:top w:val="single" w:color="auto" w:sz="4" w:space="0"/>
                    <w:left w:val="single" w:color="auto" w:sz="4" w:space="0"/>
                    <w:bottom w:val="single" w:color="auto" w:sz="4" w:space="0"/>
                    <w:right w:val="single" w:color="auto" w:sz="4" w:space="0"/>
                  </w:tcBorders>
                  <w:vAlign w:val="center"/>
                </w:tcPr>
                <w:p w14:paraId="6732AECA">
                  <w:pPr>
                    <w:pStyle w:val="20"/>
                    <w:rPr>
                      <w:color w:val="auto"/>
                    </w:rPr>
                  </w:pPr>
                  <w:r>
                    <w:rPr>
                      <w:color w:val="auto"/>
                    </w:rPr>
                    <w:t>107</w:t>
                  </w:r>
                </w:p>
              </w:tc>
              <w:tc>
                <w:tcPr>
                  <w:tcW w:w="372" w:type="dxa"/>
                  <w:tcBorders>
                    <w:top w:val="single" w:color="auto" w:sz="4" w:space="0"/>
                    <w:left w:val="single" w:color="auto" w:sz="4" w:space="0"/>
                    <w:bottom w:val="single" w:color="auto" w:sz="4" w:space="0"/>
                    <w:right w:val="single" w:color="auto" w:sz="4" w:space="0"/>
                  </w:tcBorders>
                  <w:vAlign w:val="center"/>
                </w:tcPr>
                <w:p w14:paraId="52C76418">
                  <w:pPr>
                    <w:pStyle w:val="20"/>
                    <w:rPr>
                      <w:color w:val="auto"/>
                    </w:rPr>
                  </w:pPr>
                  <w:r>
                    <w:rPr>
                      <w:color w:val="auto"/>
                    </w:rPr>
                    <w:t>条</w:t>
                  </w:r>
                </w:p>
              </w:tc>
              <w:tc>
                <w:tcPr>
                  <w:tcW w:w="1874" w:type="dxa"/>
                  <w:tcBorders>
                    <w:top w:val="single" w:color="auto" w:sz="4" w:space="0"/>
                    <w:left w:val="single" w:color="auto" w:sz="4" w:space="0"/>
                    <w:bottom w:val="single" w:color="auto" w:sz="4" w:space="0"/>
                    <w:right w:val="single" w:color="auto" w:sz="4" w:space="0"/>
                  </w:tcBorders>
                  <w:vAlign w:val="center"/>
                </w:tcPr>
                <w:p w14:paraId="2D8111F3">
                  <w:pPr>
                    <w:pStyle w:val="20"/>
                    <w:rPr>
                      <w:color w:val="auto"/>
                    </w:rPr>
                  </w:pPr>
                  <w:r>
                    <w:rPr>
                      <w:color w:val="auto"/>
                    </w:rPr>
                    <w:t>/</w:t>
                  </w:r>
                </w:p>
              </w:tc>
            </w:tr>
            <w:tr w14:paraId="0C142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14A6D38D">
                  <w:pPr>
                    <w:pStyle w:val="20"/>
                    <w:rPr>
                      <w:color w:val="auto"/>
                    </w:rPr>
                  </w:pPr>
                  <w:r>
                    <w:rPr>
                      <w:color w:val="auto"/>
                    </w:rPr>
                    <w:t>大脚码</w:t>
                  </w:r>
                </w:p>
              </w:tc>
              <w:tc>
                <w:tcPr>
                  <w:tcW w:w="1375" w:type="dxa"/>
                  <w:tcBorders>
                    <w:top w:val="single" w:color="auto" w:sz="4" w:space="0"/>
                    <w:left w:val="single" w:color="auto" w:sz="4" w:space="0"/>
                    <w:bottom w:val="single" w:color="auto" w:sz="4" w:space="0"/>
                    <w:right w:val="single" w:color="auto" w:sz="4" w:space="0"/>
                  </w:tcBorders>
                  <w:vAlign w:val="center"/>
                </w:tcPr>
                <w:p w14:paraId="2C6EB41D">
                  <w:pPr>
                    <w:pStyle w:val="20"/>
                    <w:rPr>
                      <w:color w:val="auto"/>
                    </w:rPr>
                  </w:pPr>
                  <w:r>
                    <w:rPr>
                      <w:color w:val="auto"/>
                      <w:vertAlign w:val="superscript"/>
                    </w:rPr>
                    <w:t>①</w:t>
                  </w:r>
                  <w:r>
                    <w:rPr>
                      <w:color w:val="auto"/>
                    </w:rPr>
                    <w:t>1500</w:t>
                  </w:r>
                </w:p>
              </w:tc>
              <w:tc>
                <w:tcPr>
                  <w:tcW w:w="1008" w:type="dxa"/>
                  <w:tcBorders>
                    <w:top w:val="single" w:color="auto" w:sz="4" w:space="0"/>
                    <w:left w:val="single" w:color="auto" w:sz="4" w:space="0"/>
                    <w:bottom w:val="single" w:color="auto" w:sz="4" w:space="0"/>
                    <w:right w:val="single" w:color="auto" w:sz="4" w:space="0"/>
                  </w:tcBorders>
                  <w:vAlign w:val="center"/>
                </w:tcPr>
                <w:p w14:paraId="1447C1B3">
                  <w:pPr>
                    <w:pStyle w:val="20"/>
                    <w:rPr>
                      <w:color w:val="auto"/>
                    </w:rPr>
                  </w:pPr>
                  <w:r>
                    <w:rPr>
                      <w:color w:val="auto"/>
                    </w:rPr>
                    <w:t>3000</w:t>
                  </w:r>
                </w:p>
              </w:tc>
              <w:tc>
                <w:tcPr>
                  <w:tcW w:w="1021" w:type="dxa"/>
                  <w:tcBorders>
                    <w:top w:val="single" w:color="auto" w:sz="4" w:space="0"/>
                    <w:left w:val="single" w:color="auto" w:sz="4" w:space="0"/>
                    <w:bottom w:val="single" w:color="auto" w:sz="4" w:space="0"/>
                    <w:right w:val="single" w:color="auto" w:sz="4" w:space="0"/>
                  </w:tcBorders>
                  <w:vAlign w:val="center"/>
                </w:tcPr>
                <w:p w14:paraId="27A7ED46">
                  <w:pPr>
                    <w:pStyle w:val="20"/>
                    <w:rPr>
                      <w:color w:val="auto"/>
                    </w:rPr>
                  </w:pPr>
                  <w:r>
                    <w:rPr>
                      <w:color w:val="auto"/>
                    </w:rPr>
                    <w:t>+1500</w:t>
                  </w:r>
                </w:p>
              </w:tc>
              <w:tc>
                <w:tcPr>
                  <w:tcW w:w="995" w:type="dxa"/>
                  <w:tcBorders>
                    <w:top w:val="single" w:color="auto" w:sz="4" w:space="0"/>
                    <w:left w:val="single" w:color="auto" w:sz="4" w:space="0"/>
                    <w:bottom w:val="single" w:color="auto" w:sz="4" w:space="0"/>
                    <w:right w:val="single" w:color="auto" w:sz="4" w:space="0"/>
                  </w:tcBorders>
                  <w:vAlign w:val="center"/>
                </w:tcPr>
                <w:p w14:paraId="2DA18D63">
                  <w:pPr>
                    <w:pStyle w:val="20"/>
                    <w:rPr>
                      <w:color w:val="auto"/>
                    </w:rPr>
                  </w:pPr>
                  <w:r>
                    <w:rPr>
                      <w:color w:val="auto"/>
                    </w:rPr>
                    <w:t>250</w:t>
                  </w:r>
                </w:p>
              </w:tc>
              <w:tc>
                <w:tcPr>
                  <w:tcW w:w="372" w:type="dxa"/>
                  <w:tcBorders>
                    <w:top w:val="single" w:color="auto" w:sz="4" w:space="0"/>
                    <w:left w:val="single" w:color="auto" w:sz="4" w:space="0"/>
                    <w:bottom w:val="single" w:color="auto" w:sz="4" w:space="0"/>
                    <w:right w:val="single" w:color="auto" w:sz="4" w:space="0"/>
                  </w:tcBorders>
                  <w:vAlign w:val="center"/>
                </w:tcPr>
                <w:p w14:paraId="61216228">
                  <w:pPr>
                    <w:pStyle w:val="20"/>
                    <w:rPr>
                      <w:color w:val="auto"/>
                    </w:rPr>
                  </w:pPr>
                  <w:r>
                    <w:rPr>
                      <w:color w:val="auto"/>
                    </w:rPr>
                    <w:t>套</w:t>
                  </w:r>
                </w:p>
              </w:tc>
              <w:tc>
                <w:tcPr>
                  <w:tcW w:w="1874" w:type="dxa"/>
                  <w:tcBorders>
                    <w:top w:val="single" w:color="auto" w:sz="4" w:space="0"/>
                    <w:left w:val="single" w:color="auto" w:sz="4" w:space="0"/>
                    <w:bottom w:val="single" w:color="auto" w:sz="4" w:space="0"/>
                    <w:right w:val="single" w:color="auto" w:sz="4" w:space="0"/>
                  </w:tcBorders>
                  <w:vAlign w:val="center"/>
                </w:tcPr>
                <w:p w14:paraId="19A9A73E">
                  <w:pPr>
                    <w:pStyle w:val="20"/>
                    <w:rPr>
                      <w:color w:val="auto"/>
                    </w:rPr>
                  </w:pPr>
                  <w:r>
                    <w:rPr>
                      <w:color w:val="auto"/>
                    </w:rPr>
                    <w:t>/</w:t>
                  </w:r>
                </w:p>
              </w:tc>
            </w:tr>
            <w:tr w14:paraId="1ADE6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7A4D5E24">
                  <w:pPr>
                    <w:pStyle w:val="20"/>
                    <w:rPr>
                      <w:color w:val="auto"/>
                    </w:rPr>
                  </w:pPr>
                  <w:r>
                    <w:rPr>
                      <w:color w:val="auto"/>
                    </w:rPr>
                    <w:t>氩气（40L）</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5E46B2E">
                  <w:pPr>
                    <w:pStyle w:val="20"/>
                    <w:rPr>
                      <w:color w:val="auto"/>
                    </w:rPr>
                  </w:pPr>
                  <w:r>
                    <w:rPr>
                      <w:color w:val="auto"/>
                      <w:vertAlign w:val="superscript"/>
                    </w:rPr>
                    <w:t>①</w:t>
                  </w:r>
                  <w:r>
                    <w:rPr>
                      <w:color w:val="auto"/>
                    </w:rPr>
                    <w:t>5022</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7035F68">
                  <w:pPr>
                    <w:pStyle w:val="20"/>
                    <w:rPr>
                      <w:color w:val="auto"/>
                    </w:rPr>
                  </w:pPr>
                  <w:r>
                    <w:rPr>
                      <w:color w:val="auto"/>
                    </w:rPr>
                    <w:t>10044</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A9F46FD">
                  <w:pPr>
                    <w:pStyle w:val="20"/>
                    <w:rPr>
                      <w:color w:val="auto"/>
                    </w:rPr>
                  </w:pPr>
                  <w:r>
                    <w:rPr>
                      <w:color w:val="auto"/>
                    </w:rPr>
                    <w:t>+5022</w:t>
                  </w:r>
                </w:p>
              </w:tc>
              <w:tc>
                <w:tcPr>
                  <w:tcW w:w="995" w:type="dxa"/>
                  <w:tcBorders>
                    <w:top w:val="single" w:color="auto" w:sz="4" w:space="0"/>
                    <w:left w:val="single" w:color="auto" w:sz="4" w:space="0"/>
                    <w:bottom w:val="single" w:color="auto" w:sz="4" w:space="0"/>
                    <w:right w:val="single" w:color="auto" w:sz="4" w:space="0"/>
                  </w:tcBorders>
                  <w:vAlign w:val="center"/>
                </w:tcPr>
                <w:p w14:paraId="446BAA9D">
                  <w:pPr>
                    <w:pStyle w:val="20"/>
                    <w:rPr>
                      <w:color w:val="auto"/>
                    </w:rPr>
                  </w:pPr>
                  <w:r>
                    <w:rPr>
                      <w:color w:val="auto"/>
                    </w:rPr>
                    <w:t>210</w:t>
                  </w:r>
                </w:p>
              </w:tc>
              <w:tc>
                <w:tcPr>
                  <w:tcW w:w="372" w:type="dxa"/>
                  <w:tcBorders>
                    <w:top w:val="single" w:color="auto" w:sz="4" w:space="0"/>
                    <w:left w:val="single" w:color="auto" w:sz="4" w:space="0"/>
                    <w:bottom w:val="single" w:color="auto" w:sz="4" w:space="0"/>
                    <w:right w:val="single" w:color="auto" w:sz="4" w:space="0"/>
                  </w:tcBorders>
                  <w:vAlign w:val="center"/>
                </w:tcPr>
                <w:p w14:paraId="08FEABDB">
                  <w:pPr>
                    <w:pStyle w:val="20"/>
                    <w:rPr>
                      <w:color w:val="auto"/>
                    </w:rPr>
                  </w:pPr>
                  <w:r>
                    <w:rPr>
                      <w:color w:val="auto"/>
                    </w:rPr>
                    <w:t>瓶</w:t>
                  </w:r>
                </w:p>
              </w:tc>
              <w:tc>
                <w:tcPr>
                  <w:tcW w:w="1874" w:type="dxa"/>
                  <w:tcBorders>
                    <w:top w:val="single" w:color="auto" w:sz="4" w:space="0"/>
                    <w:left w:val="single" w:color="auto" w:sz="4" w:space="0"/>
                    <w:bottom w:val="single" w:color="auto" w:sz="4" w:space="0"/>
                    <w:right w:val="single" w:color="auto" w:sz="4" w:space="0"/>
                  </w:tcBorders>
                  <w:vAlign w:val="center"/>
                </w:tcPr>
                <w:p w14:paraId="4FFEF9E5">
                  <w:pPr>
                    <w:pStyle w:val="20"/>
                    <w:rPr>
                      <w:color w:val="auto"/>
                    </w:rPr>
                  </w:pPr>
                  <w:r>
                    <w:rPr>
                      <w:color w:val="auto"/>
                    </w:rPr>
                    <w:t>/</w:t>
                  </w:r>
                </w:p>
              </w:tc>
            </w:tr>
            <w:tr w14:paraId="7F370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052B12DD">
                  <w:pPr>
                    <w:pStyle w:val="20"/>
                    <w:rPr>
                      <w:color w:val="auto"/>
                    </w:rPr>
                  </w:pPr>
                  <w:r>
                    <w:rPr>
                      <w:color w:val="auto"/>
                    </w:rPr>
                    <w:t>混合气（Ar+CO</w:t>
                  </w:r>
                  <w:r>
                    <w:rPr>
                      <w:color w:val="auto"/>
                      <w:vertAlign w:val="subscript"/>
                    </w:rPr>
                    <w:t>2</w:t>
                  </w:r>
                  <w:r>
                    <w:rPr>
                      <w:color w:val="auto"/>
                    </w:rPr>
                    <w:t xml:space="preserve"> 40L）</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62622A71">
                  <w:pPr>
                    <w:pStyle w:val="20"/>
                    <w:rPr>
                      <w:color w:val="auto"/>
                    </w:rPr>
                  </w:pPr>
                  <w:r>
                    <w:rPr>
                      <w:color w:val="auto"/>
                      <w:vertAlign w:val="superscript"/>
                    </w:rPr>
                    <w:t>①</w:t>
                  </w:r>
                  <w:r>
                    <w:rPr>
                      <w:color w:val="auto"/>
                    </w:rPr>
                    <w:t>2958</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947ACBE">
                  <w:pPr>
                    <w:pStyle w:val="20"/>
                    <w:rPr>
                      <w:color w:val="auto"/>
                    </w:rPr>
                  </w:pPr>
                  <w:r>
                    <w:rPr>
                      <w:color w:val="auto"/>
                    </w:rPr>
                    <w:t>5916</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1F5BB59">
                  <w:pPr>
                    <w:pStyle w:val="20"/>
                    <w:rPr>
                      <w:color w:val="auto"/>
                    </w:rPr>
                  </w:pPr>
                  <w:r>
                    <w:rPr>
                      <w:color w:val="auto"/>
                    </w:rPr>
                    <w:t>+2958</w:t>
                  </w:r>
                </w:p>
              </w:tc>
              <w:tc>
                <w:tcPr>
                  <w:tcW w:w="995" w:type="dxa"/>
                  <w:tcBorders>
                    <w:top w:val="single" w:color="auto" w:sz="4" w:space="0"/>
                    <w:left w:val="single" w:color="auto" w:sz="4" w:space="0"/>
                    <w:bottom w:val="single" w:color="auto" w:sz="4" w:space="0"/>
                    <w:right w:val="single" w:color="auto" w:sz="4" w:space="0"/>
                  </w:tcBorders>
                  <w:vAlign w:val="center"/>
                </w:tcPr>
                <w:p w14:paraId="25304557">
                  <w:pPr>
                    <w:pStyle w:val="20"/>
                    <w:rPr>
                      <w:color w:val="auto"/>
                    </w:rPr>
                  </w:pPr>
                  <w:r>
                    <w:rPr>
                      <w:color w:val="auto"/>
                    </w:rPr>
                    <w:t>124</w:t>
                  </w:r>
                </w:p>
              </w:tc>
              <w:tc>
                <w:tcPr>
                  <w:tcW w:w="372" w:type="dxa"/>
                  <w:tcBorders>
                    <w:top w:val="single" w:color="auto" w:sz="4" w:space="0"/>
                    <w:left w:val="single" w:color="auto" w:sz="4" w:space="0"/>
                    <w:bottom w:val="single" w:color="auto" w:sz="4" w:space="0"/>
                    <w:right w:val="single" w:color="auto" w:sz="4" w:space="0"/>
                  </w:tcBorders>
                  <w:vAlign w:val="center"/>
                </w:tcPr>
                <w:p w14:paraId="424C8E16">
                  <w:pPr>
                    <w:pStyle w:val="20"/>
                    <w:rPr>
                      <w:color w:val="auto"/>
                    </w:rPr>
                  </w:pPr>
                  <w:r>
                    <w:rPr>
                      <w:color w:val="auto"/>
                    </w:rPr>
                    <w:t>支</w:t>
                  </w:r>
                </w:p>
              </w:tc>
              <w:tc>
                <w:tcPr>
                  <w:tcW w:w="1874" w:type="dxa"/>
                  <w:tcBorders>
                    <w:top w:val="single" w:color="auto" w:sz="4" w:space="0"/>
                    <w:left w:val="single" w:color="auto" w:sz="4" w:space="0"/>
                    <w:bottom w:val="single" w:color="auto" w:sz="4" w:space="0"/>
                    <w:right w:val="single" w:color="auto" w:sz="4" w:space="0"/>
                  </w:tcBorders>
                  <w:vAlign w:val="center"/>
                </w:tcPr>
                <w:p w14:paraId="410BC781">
                  <w:pPr>
                    <w:pStyle w:val="20"/>
                    <w:rPr>
                      <w:color w:val="auto"/>
                    </w:rPr>
                  </w:pPr>
                  <w:r>
                    <w:rPr>
                      <w:color w:val="auto"/>
                    </w:rPr>
                    <w:t>/</w:t>
                  </w:r>
                </w:p>
              </w:tc>
            </w:tr>
            <w:tr w14:paraId="04595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543B4A83">
                  <w:pPr>
                    <w:pStyle w:val="20"/>
                    <w:rPr>
                      <w:color w:val="auto"/>
                    </w:rPr>
                  </w:pPr>
                  <w:r>
                    <w:rPr>
                      <w:color w:val="auto"/>
                    </w:rPr>
                    <w:t>氮气（40L）</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C4D3BEB">
                  <w:pPr>
                    <w:pStyle w:val="20"/>
                    <w:rPr>
                      <w:color w:val="auto"/>
                    </w:rPr>
                  </w:pPr>
                  <w:r>
                    <w:rPr>
                      <w:color w:val="auto"/>
                      <w:vertAlign w:val="superscript"/>
                    </w:rPr>
                    <w:t>①</w:t>
                  </w:r>
                  <w:r>
                    <w:rPr>
                      <w:color w:val="auto"/>
                    </w:rPr>
                    <w:t>696</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24F5A67">
                  <w:pPr>
                    <w:pStyle w:val="20"/>
                    <w:rPr>
                      <w:color w:val="auto"/>
                    </w:rPr>
                  </w:pPr>
                  <w:r>
                    <w:rPr>
                      <w:color w:val="auto"/>
                    </w:rPr>
                    <w:t>1392</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20B27AD">
                  <w:pPr>
                    <w:pStyle w:val="20"/>
                    <w:rPr>
                      <w:color w:val="auto"/>
                    </w:rPr>
                  </w:pPr>
                  <w:r>
                    <w:rPr>
                      <w:color w:val="auto"/>
                    </w:rPr>
                    <w:t>+696</w:t>
                  </w:r>
                </w:p>
              </w:tc>
              <w:tc>
                <w:tcPr>
                  <w:tcW w:w="995" w:type="dxa"/>
                  <w:tcBorders>
                    <w:top w:val="single" w:color="auto" w:sz="4" w:space="0"/>
                    <w:left w:val="single" w:color="auto" w:sz="4" w:space="0"/>
                    <w:bottom w:val="single" w:color="auto" w:sz="4" w:space="0"/>
                    <w:right w:val="single" w:color="auto" w:sz="4" w:space="0"/>
                  </w:tcBorders>
                  <w:vAlign w:val="center"/>
                </w:tcPr>
                <w:p w14:paraId="0CD11839">
                  <w:pPr>
                    <w:pStyle w:val="20"/>
                    <w:rPr>
                      <w:color w:val="auto"/>
                    </w:rPr>
                  </w:pPr>
                  <w:r>
                    <w:rPr>
                      <w:color w:val="auto"/>
                    </w:rPr>
                    <w:t>30</w:t>
                  </w:r>
                </w:p>
              </w:tc>
              <w:tc>
                <w:tcPr>
                  <w:tcW w:w="372" w:type="dxa"/>
                  <w:tcBorders>
                    <w:top w:val="single" w:color="auto" w:sz="4" w:space="0"/>
                    <w:left w:val="single" w:color="auto" w:sz="4" w:space="0"/>
                    <w:bottom w:val="single" w:color="auto" w:sz="4" w:space="0"/>
                    <w:right w:val="single" w:color="auto" w:sz="4" w:space="0"/>
                  </w:tcBorders>
                  <w:vAlign w:val="center"/>
                </w:tcPr>
                <w:p w14:paraId="7D37D2AF">
                  <w:pPr>
                    <w:pStyle w:val="20"/>
                    <w:rPr>
                      <w:color w:val="auto"/>
                    </w:rPr>
                  </w:pPr>
                  <w:r>
                    <w:rPr>
                      <w:color w:val="auto"/>
                    </w:rPr>
                    <w:t>支</w:t>
                  </w:r>
                </w:p>
              </w:tc>
              <w:tc>
                <w:tcPr>
                  <w:tcW w:w="1874" w:type="dxa"/>
                  <w:tcBorders>
                    <w:top w:val="single" w:color="auto" w:sz="4" w:space="0"/>
                    <w:left w:val="single" w:color="auto" w:sz="4" w:space="0"/>
                    <w:bottom w:val="single" w:color="auto" w:sz="4" w:space="0"/>
                    <w:right w:val="single" w:color="auto" w:sz="4" w:space="0"/>
                  </w:tcBorders>
                  <w:vAlign w:val="center"/>
                </w:tcPr>
                <w:p w14:paraId="008D8731">
                  <w:pPr>
                    <w:pStyle w:val="20"/>
                    <w:rPr>
                      <w:color w:val="auto"/>
                    </w:rPr>
                  </w:pPr>
                  <w:r>
                    <w:rPr>
                      <w:color w:val="auto"/>
                    </w:rPr>
                    <w:t>/</w:t>
                  </w:r>
                </w:p>
              </w:tc>
            </w:tr>
            <w:tr w14:paraId="29EF5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637FDC79">
                  <w:pPr>
                    <w:pStyle w:val="20"/>
                    <w:rPr>
                      <w:color w:val="auto"/>
                    </w:rPr>
                  </w:pPr>
                  <w:r>
                    <w:rPr>
                      <w:color w:val="auto"/>
                    </w:rPr>
                    <w:t>角码配件</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319BF959">
                  <w:pPr>
                    <w:pStyle w:val="20"/>
                    <w:rPr>
                      <w:color w:val="auto"/>
                    </w:rPr>
                  </w:pPr>
                  <w:r>
                    <w:rPr>
                      <w:color w:val="auto"/>
                      <w:vertAlign w:val="superscript"/>
                    </w:rPr>
                    <w:t>①</w:t>
                  </w:r>
                  <w:r>
                    <w:rPr>
                      <w:color w:val="auto"/>
                    </w:rPr>
                    <w:t>24474</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EAC5529">
                  <w:pPr>
                    <w:pStyle w:val="20"/>
                    <w:rPr>
                      <w:color w:val="auto"/>
                    </w:rPr>
                  </w:pPr>
                  <w:r>
                    <w:rPr>
                      <w:color w:val="auto"/>
                    </w:rPr>
                    <w:t>48948</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AAC7EE9">
                  <w:pPr>
                    <w:pStyle w:val="20"/>
                    <w:rPr>
                      <w:color w:val="auto"/>
                    </w:rPr>
                  </w:pPr>
                  <w:r>
                    <w:rPr>
                      <w:color w:val="auto"/>
                    </w:rPr>
                    <w:t>+24474</w:t>
                  </w:r>
                </w:p>
              </w:tc>
              <w:tc>
                <w:tcPr>
                  <w:tcW w:w="995" w:type="dxa"/>
                  <w:tcBorders>
                    <w:top w:val="single" w:color="auto" w:sz="4" w:space="0"/>
                    <w:left w:val="single" w:color="auto" w:sz="4" w:space="0"/>
                    <w:bottom w:val="single" w:color="auto" w:sz="4" w:space="0"/>
                    <w:right w:val="single" w:color="auto" w:sz="4" w:space="0"/>
                  </w:tcBorders>
                  <w:vAlign w:val="center"/>
                </w:tcPr>
                <w:p w14:paraId="098D5E06">
                  <w:pPr>
                    <w:pStyle w:val="20"/>
                    <w:rPr>
                      <w:color w:val="auto"/>
                    </w:rPr>
                  </w:pPr>
                  <w:r>
                    <w:rPr>
                      <w:color w:val="auto"/>
                    </w:rPr>
                    <w:t>4079</w:t>
                  </w:r>
                </w:p>
              </w:tc>
              <w:tc>
                <w:tcPr>
                  <w:tcW w:w="372" w:type="dxa"/>
                  <w:tcBorders>
                    <w:top w:val="single" w:color="auto" w:sz="4" w:space="0"/>
                    <w:left w:val="single" w:color="auto" w:sz="4" w:space="0"/>
                    <w:bottom w:val="single" w:color="auto" w:sz="4" w:space="0"/>
                    <w:right w:val="single" w:color="auto" w:sz="4" w:space="0"/>
                  </w:tcBorders>
                  <w:vAlign w:val="center"/>
                </w:tcPr>
                <w:p w14:paraId="02A40CC2">
                  <w:pPr>
                    <w:pStyle w:val="20"/>
                    <w:rPr>
                      <w:color w:val="auto"/>
                    </w:rPr>
                  </w:pPr>
                  <w:r>
                    <w:rPr>
                      <w:color w:val="auto"/>
                    </w:rPr>
                    <w:t>件</w:t>
                  </w:r>
                </w:p>
              </w:tc>
              <w:tc>
                <w:tcPr>
                  <w:tcW w:w="1874" w:type="dxa"/>
                  <w:tcBorders>
                    <w:top w:val="single" w:color="auto" w:sz="4" w:space="0"/>
                    <w:left w:val="single" w:color="auto" w:sz="4" w:space="0"/>
                    <w:bottom w:val="single" w:color="auto" w:sz="4" w:space="0"/>
                    <w:right w:val="single" w:color="auto" w:sz="4" w:space="0"/>
                  </w:tcBorders>
                  <w:vAlign w:val="center"/>
                </w:tcPr>
                <w:p w14:paraId="71F2694A">
                  <w:pPr>
                    <w:pStyle w:val="20"/>
                    <w:rPr>
                      <w:color w:val="auto"/>
                    </w:rPr>
                  </w:pPr>
                  <w:r>
                    <w:rPr>
                      <w:color w:val="auto"/>
                    </w:rPr>
                    <w:t>/</w:t>
                  </w:r>
                </w:p>
              </w:tc>
            </w:tr>
            <w:tr w14:paraId="36F15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2444BEAB">
                  <w:pPr>
                    <w:pStyle w:val="20"/>
                    <w:rPr>
                      <w:color w:val="auto"/>
                    </w:rPr>
                  </w:pPr>
                  <w:r>
                    <w:rPr>
                      <w:color w:val="auto"/>
                    </w:rPr>
                    <w:t>定风翼</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C9966C9">
                  <w:pPr>
                    <w:pStyle w:val="20"/>
                    <w:rPr>
                      <w:color w:val="auto"/>
                    </w:rPr>
                  </w:pPr>
                  <w:r>
                    <w:rPr>
                      <w:color w:val="auto"/>
                      <w:vertAlign w:val="superscript"/>
                    </w:rPr>
                    <w:t>①</w:t>
                  </w:r>
                  <w:r>
                    <w:rPr>
                      <w:color w:val="auto"/>
                    </w:rPr>
                    <w:t>1944</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1F5A3635">
                  <w:pPr>
                    <w:pStyle w:val="20"/>
                    <w:rPr>
                      <w:color w:val="auto"/>
                    </w:rPr>
                  </w:pPr>
                  <w:r>
                    <w:rPr>
                      <w:color w:val="auto"/>
                    </w:rPr>
                    <w:t>3888</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71E014F6">
                  <w:pPr>
                    <w:pStyle w:val="20"/>
                    <w:rPr>
                      <w:color w:val="auto"/>
                    </w:rPr>
                  </w:pPr>
                  <w:r>
                    <w:rPr>
                      <w:color w:val="auto"/>
                    </w:rPr>
                    <w:t>+1944</w:t>
                  </w:r>
                </w:p>
              </w:tc>
              <w:tc>
                <w:tcPr>
                  <w:tcW w:w="995" w:type="dxa"/>
                  <w:tcBorders>
                    <w:top w:val="single" w:color="auto" w:sz="4" w:space="0"/>
                    <w:left w:val="single" w:color="auto" w:sz="4" w:space="0"/>
                    <w:bottom w:val="single" w:color="auto" w:sz="4" w:space="0"/>
                    <w:right w:val="single" w:color="auto" w:sz="4" w:space="0"/>
                  </w:tcBorders>
                  <w:vAlign w:val="center"/>
                </w:tcPr>
                <w:p w14:paraId="0CF6F529">
                  <w:pPr>
                    <w:pStyle w:val="20"/>
                    <w:rPr>
                      <w:color w:val="auto"/>
                    </w:rPr>
                  </w:pPr>
                  <w:r>
                    <w:rPr>
                      <w:color w:val="auto"/>
                    </w:rPr>
                    <w:t>324</w:t>
                  </w:r>
                </w:p>
              </w:tc>
              <w:tc>
                <w:tcPr>
                  <w:tcW w:w="372" w:type="dxa"/>
                  <w:tcBorders>
                    <w:top w:val="single" w:color="auto" w:sz="4" w:space="0"/>
                    <w:left w:val="single" w:color="auto" w:sz="4" w:space="0"/>
                    <w:bottom w:val="single" w:color="auto" w:sz="4" w:space="0"/>
                    <w:right w:val="single" w:color="auto" w:sz="4" w:space="0"/>
                  </w:tcBorders>
                  <w:vAlign w:val="center"/>
                </w:tcPr>
                <w:p w14:paraId="1E8D490C">
                  <w:pPr>
                    <w:pStyle w:val="20"/>
                    <w:rPr>
                      <w:color w:val="auto"/>
                    </w:rPr>
                  </w:pPr>
                  <w:r>
                    <w:rPr>
                      <w:color w:val="auto"/>
                    </w:rPr>
                    <w:t>套</w:t>
                  </w:r>
                </w:p>
              </w:tc>
              <w:tc>
                <w:tcPr>
                  <w:tcW w:w="1874" w:type="dxa"/>
                  <w:tcBorders>
                    <w:top w:val="single" w:color="auto" w:sz="4" w:space="0"/>
                    <w:left w:val="single" w:color="auto" w:sz="4" w:space="0"/>
                    <w:bottom w:val="single" w:color="auto" w:sz="4" w:space="0"/>
                    <w:right w:val="single" w:color="auto" w:sz="4" w:space="0"/>
                  </w:tcBorders>
                  <w:vAlign w:val="center"/>
                </w:tcPr>
                <w:p w14:paraId="18E6038E">
                  <w:pPr>
                    <w:pStyle w:val="20"/>
                    <w:rPr>
                      <w:color w:val="auto"/>
                    </w:rPr>
                  </w:pPr>
                  <w:r>
                    <w:rPr>
                      <w:color w:val="auto"/>
                    </w:rPr>
                    <w:t>/</w:t>
                  </w:r>
                </w:p>
              </w:tc>
            </w:tr>
            <w:tr w14:paraId="1B812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tcBorders>
                    <w:top w:val="single" w:color="auto" w:sz="4" w:space="0"/>
                    <w:left w:val="single" w:color="auto" w:sz="4" w:space="0"/>
                    <w:bottom w:val="single" w:color="auto" w:sz="4" w:space="0"/>
                    <w:right w:val="single" w:color="auto" w:sz="4" w:space="0"/>
                  </w:tcBorders>
                  <w:vAlign w:val="center"/>
                </w:tcPr>
                <w:p w14:paraId="7237105C">
                  <w:pPr>
                    <w:pStyle w:val="20"/>
                    <w:rPr>
                      <w:color w:val="auto"/>
                    </w:rPr>
                  </w:pPr>
                  <w:r>
                    <w:rPr>
                      <w:color w:val="auto"/>
                    </w:rPr>
                    <w:t>圆管</w:t>
                  </w:r>
                </w:p>
              </w:tc>
              <w:tc>
                <w:tcPr>
                  <w:tcW w:w="137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D5856DC">
                  <w:pPr>
                    <w:pStyle w:val="20"/>
                    <w:rPr>
                      <w:color w:val="auto"/>
                    </w:rPr>
                  </w:pPr>
                  <w:r>
                    <w:rPr>
                      <w:color w:val="auto"/>
                      <w:vertAlign w:val="superscript"/>
                    </w:rPr>
                    <w:t>①</w:t>
                  </w:r>
                  <w:r>
                    <w:rPr>
                      <w:color w:val="auto"/>
                    </w:rPr>
                    <w:t>498</w:t>
                  </w:r>
                </w:p>
              </w:tc>
              <w:tc>
                <w:tcPr>
                  <w:tcW w:w="10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49E3D73">
                  <w:pPr>
                    <w:pStyle w:val="20"/>
                    <w:rPr>
                      <w:color w:val="auto"/>
                    </w:rPr>
                  </w:pPr>
                  <w:r>
                    <w:rPr>
                      <w:color w:val="auto"/>
                    </w:rPr>
                    <w:t>996</w:t>
                  </w:r>
                </w:p>
              </w:tc>
              <w:tc>
                <w:tcPr>
                  <w:tcW w:w="1021"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5F4EE1A4">
                  <w:pPr>
                    <w:pStyle w:val="20"/>
                    <w:rPr>
                      <w:color w:val="auto"/>
                    </w:rPr>
                  </w:pPr>
                  <w:r>
                    <w:rPr>
                      <w:color w:val="auto"/>
                    </w:rPr>
                    <w:t>+498</w:t>
                  </w:r>
                </w:p>
              </w:tc>
              <w:tc>
                <w:tcPr>
                  <w:tcW w:w="995" w:type="dxa"/>
                  <w:tcBorders>
                    <w:top w:val="single" w:color="auto" w:sz="4" w:space="0"/>
                    <w:left w:val="single" w:color="auto" w:sz="4" w:space="0"/>
                    <w:bottom w:val="single" w:color="auto" w:sz="4" w:space="0"/>
                    <w:right w:val="single" w:color="auto" w:sz="4" w:space="0"/>
                  </w:tcBorders>
                  <w:vAlign w:val="center"/>
                </w:tcPr>
                <w:p w14:paraId="3A51D4BA">
                  <w:pPr>
                    <w:pStyle w:val="20"/>
                    <w:rPr>
                      <w:color w:val="auto"/>
                    </w:rPr>
                  </w:pPr>
                  <w:r>
                    <w:rPr>
                      <w:color w:val="auto"/>
                    </w:rPr>
                    <w:t>83</w:t>
                  </w:r>
                </w:p>
              </w:tc>
              <w:tc>
                <w:tcPr>
                  <w:tcW w:w="372" w:type="dxa"/>
                  <w:tcBorders>
                    <w:top w:val="single" w:color="auto" w:sz="4" w:space="0"/>
                    <w:left w:val="single" w:color="auto" w:sz="4" w:space="0"/>
                    <w:bottom w:val="single" w:color="auto" w:sz="4" w:space="0"/>
                    <w:right w:val="single" w:color="auto" w:sz="4" w:space="0"/>
                  </w:tcBorders>
                  <w:vAlign w:val="center"/>
                </w:tcPr>
                <w:p w14:paraId="4CEE9791">
                  <w:pPr>
                    <w:pStyle w:val="20"/>
                    <w:rPr>
                      <w:color w:val="auto"/>
                    </w:rPr>
                  </w:pPr>
                  <w:r>
                    <w:rPr>
                      <w:color w:val="auto"/>
                    </w:rPr>
                    <w:t>套</w:t>
                  </w:r>
                </w:p>
              </w:tc>
              <w:tc>
                <w:tcPr>
                  <w:tcW w:w="1874" w:type="dxa"/>
                  <w:tcBorders>
                    <w:top w:val="single" w:color="auto" w:sz="4" w:space="0"/>
                    <w:left w:val="single" w:color="auto" w:sz="4" w:space="0"/>
                    <w:bottom w:val="single" w:color="auto" w:sz="4" w:space="0"/>
                    <w:right w:val="single" w:color="auto" w:sz="4" w:space="0"/>
                  </w:tcBorders>
                  <w:vAlign w:val="center"/>
                </w:tcPr>
                <w:p w14:paraId="0317B257">
                  <w:pPr>
                    <w:pStyle w:val="20"/>
                    <w:rPr>
                      <w:color w:val="auto"/>
                    </w:rPr>
                  </w:pPr>
                  <w:r>
                    <w:rPr>
                      <w:color w:val="auto"/>
                    </w:rPr>
                    <w:t>/</w:t>
                  </w:r>
                </w:p>
              </w:tc>
            </w:tr>
            <w:tr w14:paraId="0CCEE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3957B78F">
                  <w:pPr>
                    <w:pStyle w:val="20"/>
                    <w:rPr>
                      <w:color w:val="auto"/>
                    </w:rPr>
                  </w:pPr>
                  <w:r>
                    <w:rPr>
                      <w:color w:val="auto"/>
                    </w:rPr>
                    <w:t>底座</w:t>
                  </w:r>
                </w:p>
              </w:tc>
              <w:tc>
                <w:tcPr>
                  <w:tcW w:w="1375" w:type="dxa"/>
                  <w:vAlign w:val="center"/>
                </w:tcPr>
                <w:p w14:paraId="58ECAD86">
                  <w:pPr>
                    <w:pStyle w:val="20"/>
                    <w:rPr>
                      <w:color w:val="auto"/>
                    </w:rPr>
                  </w:pPr>
                  <w:r>
                    <w:rPr>
                      <w:color w:val="auto"/>
                      <w:vertAlign w:val="superscript"/>
                    </w:rPr>
                    <w:t>①</w:t>
                  </w:r>
                  <w:r>
                    <w:rPr>
                      <w:color w:val="auto"/>
                    </w:rPr>
                    <w:t>2904</w:t>
                  </w:r>
                </w:p>
              </w:tc>
              <w:tc>
                <w:tcPr>
                  <w:tcW w:w="1008" w:type="dxa"/>
                  <w:vAlign w:val="center"/>
                </w:tcPr>
                <w:p w14:paraId="322EDA56">
                  <w:pPr>
                    <w:pStyle w:val="20"/>
                    <w:rPr>
                      <w:color w:val="auto"/>
                    </w:rPr>
                  </w:pPr>
                  <w:r>
                    <w:rPr>
                      <w:color w:val="auto"/>
                    </w:rPr>
                    <w:t>5808</w:t>
                  </w:r>
                </w:p>
              </w:tc>
              <w:tc>
                <w:tcPr>
                  <w:tcW w:w="1021" w:type="dxa"/>
                  <w:vAlign w:val="center"/>
                </w:tcPr>
                <w:p w14:paraId="6BFEA878">
                  <w:pPr>
                    <w:pStyle w:val="20"/>
                    <w:rPr>
                      <w:color w:val="auto"/>
                    </w:rPr>
                  </w:pPr>
                  <w:r>
                    <w:rPr>
                      <w:color w:val="auto"/>
                    </w:rPr>
                    <w:t>+2904</w:t>
                  </w:r>
                </w:p>
              </w:tc>
              <w:tc>
                <w:tcPr>
                  <w:tcW w:w="995" w:type="dxa"/>
                  <w:vAlign w:val="center"/>
                </w:tcPr>
                <w:p w14:paraId="3C67C2CA">
                  <w:pPr>
                    <w:pStyle w:val="20"/>
                    <w:rPr>
                      <w:color w:val="auto"/>
                    </w:rPr>
                  </w:pPr>
                  <w:r>
                    <w:rPr>
                      <w:color w:val="auto"/>
                    </w:rPr>
                    <w:t>484</w:t>
                  </w:r>
                </w:p>
              </w:tc>
              <w:tc>
                <w:tcPr>
                  <w:tcW w:w="372" w:type="dxa"/>
                  <w:vAlign w:val="center"/>
                </w:tcPr>
                <w:p w14:paraId="142F9ACC">
                  <w:pPr>
                    <w:pStyle w:val="20"/>
                    <w:rPr>
                      <w:color w:val="auto"/>
                    </w:rPr>
                  </w:pPr>
                  <w:r>
                    <w:rPr>
                      <w:color w:val="auto"/>
                    </w:rPr>
                    <w:t>套</w:t>
                  </w:r>
                </w:p>
              </w:tc>
              <w:tc>
                <w:tcPr>
                  <w:tcW w:w="1874" w:type="dxa"/>
                  <w:vAlign w:val="center"/>
                </w:tcPr>
                <w:p w14:paraId="7C984EBD">
                  <w:pPr>
                    <w:pStyle w:val="20"/>
                    <w:rPr>
                      <w:color w:val="auto"/>
                    </w:rPr>
                  </w:pPr>
                  <w:r>
                    <w:rPr>
                      <w:color w:val="auto"/>
                    </w:rPr>
                    <w:t>/</w:t>
                  </w:r>
                </w:p>
              </w:tc>
            </w:tr>
            <w:tr w14:paraId="36F0C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0934A138">
                  <w:pPr>
                    <w:pStyle w:val="20"/>
                    <w:rPr>
                      <w:color w:val="auto"/>
                    </w:rPr>
                  </w:pPr>
                  <w:r>
                    <w:rPr>
                      <w:color w:val="auto"/>
                    </w:rPr>
                    <w:t>底胶</w:t>
                  </w:r>
                </w:p>
              </w:tc>
              <w:tc>
                <w:tcPr>
                  <w:tcW w:w="1375" w:type="dxa"/>
                  <w:vAlign w:val="center"/>
                </w:tcPr>
                <w:p w14:paraId="0214A268">
                  <w:pPr>
                    <w:pStyle w:val="20"/>
                    <w:rPr>
                      <w:color w:val="auto"/>
                    </w:rPr>
                  </w:pPr>
                  <w:r>
                    <w:rPr>
                      <w:color w:val="auto"/>
                      <w:vertAlign w:val="superscript"/>
                    </w:rPr>
                    <w:t>①</w:t>
                  </w:r>
                  <w:r>
                    <w:rPr>
                      <w:color w:val="auto"/>
                    </w:rPr>
                    <w:t>696</w:t>
                  </w:r>
                </w:p>
              </w:tc>
              <w:tc>
                <w:tcPr>
                  <w:tcW w:w="1008" w:type="dxa"/>
                  <w:vAlign w:val="center"/>
                </w:tcPr>
                <w:p w14:paraId="77E73BFC">
                  <w:pPr>
                    <w:pStyle w:val="20"/>
                    <w:rPr>
                      <w:color w:val="auto"/>
                    </w:rPr>
                  </w:pPr>
                  <w:r>
                    <w:rPr>
                      <w:color w:val="auto"/>
                    </w:rPr>
                    <w:t>1392</w:t>
                  </w:r>
                </w:p>
              </w:tc>
              <w:tc>
                <w:tcPr>
                  <w:tcW w:w="1021" w:type="dxa"/>
                  <w:vAlign w:val="center"/>
                </w:tcPr>
                <w:p w14:paraId="1EE1034C">
                  <w:pPr>
                    <w:pStyle w:val="20"/>
                    <w:rPr>
                      <w:color w:val="auto"/>
                    </w:rPr>
                  </w:pPr>
                  <w:r>
                    <w:rPr>
                      <w:color w:val="auto"/>
                    </w:rPr>
                    <w:t>+696</w:t>
                  </w:r>
                </w:p>
              </w:tc>
              <w:tc>
                <w:tcPr>
                  <w:tcW w:w="995" w:type="dxa"/>
                  <w:vAlign w:val="center"/>
                </w:tcPr>
                <w:p w14:paraId="25FF7564">
                  <w:pPr>
                    <w:pStyle w:val="20"/>
                    <w:rPr>
                      <w:color w:val="auto"/>
                    </w:rPr>
                  </w:pPr>
                  <w:r>
                    <w:rPr>
                      <w:color w:val="auto"/>
                    </w:rPr>
                    <w:t>116</w:t>
                  </w:r>
                </w:p>
              </w:tc>
              <w:tc>
                <w:tcPr>
                  <w:tcW w:w="372" w:type="dxa"/>
                  <w:vAlign w:val="center"/>
                </w:tcPr>
                <w:p w14:paraId="7137B6AB">
                  <w:pPr>
                    <w:pStyle w:val="20"/>
                    <w:rPr>
                      <w:color w:val="auto"/>
                    </w:rPr>
                  </w:pPr>
                  <w:r>
                    <w:rPr>
                      <w:color w:val="auto"/>
                    </w:rPr>
                    <w:t>套</w:t>
                  </w:r>
                </w:p>
              </w:tc>
              <w:tc>
                <w:tcPr>
                  <w:tcW w:w="1874" w:type="dxa"/>
                  <w:vAlign w:val="center"/>
                </w:tcPr>
                <w:p w14:paraId="4CC9AF19">
                  <w:pPr>
                    <w:pStyle w:val="20"/>
                    <w:rPr>
                      <w:color w:val="auto"/>
                    </w:rPr>
                  </w:pPr>
                  <w:r>
                    <w:rPr>
                      <w:color w:val="auto"/>
                    </w:rPr>
                    <w:t>/</w:t>
                  </w:r>
                </w:p>
              </w:tc>
            </w:tr>
            <w:tr w14:paraId="68398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1AD728B3">
                  <w:pPr>
                    <w:pStyle w:val="20"/>
                    <w:rPr>
                      <w:color w:val="auto"/>
                    </w:rPr>
                  </w:pPr>
                  <w:r>
                    <w:rPr>
                      <w:color w:val="auto"/>
                    </w:rPr>
                    <w:t>卡扣胶</w:t>
                  </w:r>
                </w:p>
              </w:tc>
              <w:tc>
                <w:tcPr>
                  <w:tcW w:w="1375" w:type="dxa"/>
                  <w:vAlign w:val="center"/>
                </w:tcPr>
                <w:p w14:paraId="533DE988">
                  <w:pPr>
                    <w:pStyle w:val="20"/>
                    <w:rPr>
                      <w:color w:val="auto"/>
                    </w:rPr>
                  </w:pPr>
                  <w:r>
                    <w:rPr>
                      <w:color w:val="auto"/>
                      <w:vertAlign w:val="superscript"/>
                    </w:rPr>
                    <w:t>①</w:t>
                  </w:r>
                  <w:r>
                    <w:rPr>
                      <w:color w:val="auto"/>
                    </w:rPr>
                    <w:t>58200</w:t>
                  </w:r>
                </w:p>
              </w:tc>
              <w:tc>
                <w:tcPr>
                  <w:tcW w:w="1008" w:type="dxa"/>
                  <w:vAlign w:val="center"/>
                </w:tcPr>
                <w:p w14:paraId="5D644752">
                  <w:pPr>
                    <w:pStyle w:val="20"/>
                    <w:rPr>
                      <w:color w:val="auto"/>
                    </w:rPr>
                  </w:pPr>
                  <w:r>
                    <w:rPr>
                      <w:color w:val="auto"/>
                    </w:rPr>
                    <w:t>116400</w:t>
                  </w:r>
                </w:p>
              </w:tc>
              <w:tc>
                <w:tcPr>
                  <w:tcW w:w="1021" w:type="dxa"/>
                  <w:vAlign w:val="center"/>
                </w:tcPr>
                <w:p w14:paraId="1F4BBF4D">
                  <w:pPr>
                    <w:pStyle w:val="20"/>
                    <w:rPr>
                      <w:color w:val="auto"/>
                    </w:rPr>
                  </w:pPr>
                  <w:r>
                    <w:rPr>
                      <w:color w:val="auto"/>
                    </w:rPr>
                    <w:t>+58200</w:t>
                  </w:r>
                </w:p>
              </w:tc>
              <w:tc>
                <w:tcPr>
                  <w:tcW w:w="995" w:type="dxa"/>
                  <w:vAlign w:val="center"/>
                </w:tcPr>
                <w:p w14:paraId="58E7BAC2">
                  <w:pPr>
                    <w:pStyle w:val="20"/>
                    <w:rPr>
                      <w:color w:val="auto"/>
                    </w:rPr>
                  </w:pPr>
                  <w:r>
                    <w:rPr>
                      <w:color w:val="auto"/>
                    </w:rPr>
                    <w:t>9700</w:t>
                  </w:r>
                </w:p>
              </w:tc>
              <w:tc>
                <w:tcPr>
                  <w:tcW w:w="372" w:type="dxa"/>
                  <w:vAlign w:val="center"/>
                </w:tcPr>
                <w:p w14:paraId="013FA9C9">
                  <w:pPr>
                    <w:pStyle w:val="20"/>
                    <w:rPr>
                      <w:color w:val="auto"/>
                    </w:rPr>
                  </w:pPr>
                  <w:r>
                    <w:rPr>
                      <w:color w:val="auto"/>
                    </w:rPr>
                    <w:t>件</w:t>
                  </w:r>
                </w:p>
              </w:tc>
              <w:tc>
                <w:tcPr>
                  <w:tcW w:w="1874" w:type="dxa"/>
                  <w:vAlign w:val="center"/>
                </w:tcPr>
                <w:p w14:paraId="57932127">
                  <w:pPr>
                    <w:pStyle w:val="20"/>
                    <w:rPr>
                      <w:color w:val="auto"/>
                    </w:rPr>
                  </w:pPr>
                  <w:r>
                    <w:rPr>
                      <w:color w:val="auto"/>
                    </w:rPr>
                    <w:t>/</w:t>
                  </w:r>
                </w:p>
              </w:tc>
            </w:tr>
            <w:tr w14:paraId="7361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79CBC9FE">
                  <w:pPr>
                    <w:pStyle w:val="20"/>
                    <w:rPr>
                      <w:color w:val="auto"/>
                    </w:rPr>
                  </w:pPr>
                  <w:r>
                    <w:rPr>
                      <w:color w:val="auto"/>
                    </w:rPr>
                    <w:t>喷咀</w:t>
                  </w:r>
                </w:p>
              </w:tc>
              <w:tc>
                <w:tcPr>
                  <w:tcW w:w="1375" w:type="dxa"/>
                  <w:vAlign w:val="center"/>
                </w:tcPr>
                <w:p w14:paraId="7CDEF1C8">
                  <w:pPr>
                    <w:pStyle w:val="20"/>
                    <w:rPr>
                      <w:color w:val="auto"/>
                    </w:rPr>
                  </w:pPr>
                  <w:r>
                    <w:rPr>
                      <w:color w:val="auto"/>
                      <w:vertAlign w:val="superscript"/>
                    </w:rPr>
                    <w:t>①</w:t>
                  </w:r>
                  <w:r>
                    <w:rPr>
                      <w:color w:val="auto"/>
                    </w:rPr>
                    <w:t>9060</w:t>
                  </w:r>
                </w:p>
              </w:tc>
              <w:tc>
                <w:tcPr>
                  <w:tcW w:w="1008" w:type="dxa"/>
                  <w:vAlign w:val="center"/>
                </w:tcPr>
                <w:p w14:paraId="4490DF36">
                  <w:pPr>
                    <w:pStyle w:val="20"/>
                    <w:rPr>
                      <w:color w:val="auto"/>
                    </w:rPr>
                  </w:pPr>
                  <w:r>
                    <w:rPr>
                      <w:color w:val="auto"/>
                    </w:rPr>
                    <w:t>18120</w:t>
                  </w:r>
                </w:p>
              </w:tc>
              <w:tc>
                <w:tcPr>
                  <w:tcW w:w="1021" w:type="dxa"/>
                  <w:vAlign w:val="center"/>
                </w:tcPr>
                <w:p w14:paraId="71CF129C">
                  <w:pPr>
                    <w:pStyle w:val="20"/>
                    <w:rPr>
                      <w:color w:val="auto"/>
                    </w:rPr>
                  </w:pPr>
                  <w:r>
                    <w:rPr>
                      <w:color w:val="auto"/>
                    </w:rPr>
                    <w:t>+9060</w:t>
                  </w:r>
                </w:p>
              </w:tc>
              <w:tc>
                <w:tcPr>
                  <w:tcW w:w="995" w:type="dxa"/>
                  <w:vAlign w:val="center"/>
                </w:tcPr>
                <w:p w14:paraId="7D7FFDB6">
                  <w:pPr>
                    <w:pStyle w:val="20"/>
                    <w:rPr>
                      <w:color w:val="auto"/>
                    </w:rPr>
                  </w:pPr>
                  <w:r>
                    <w:rPr>
                      <w:color w:val="auto"/>
                    </w:rPr>
                    <w:t>1510</w:t>
                  </w:r>
                </w:p>
              </w:tc>
              <w:tc>
                <w:tcPr>
                  <w:tcW w:w="372" w:type="dxa"/>
                  <w:vAlign w:val="center"/>
                </w:tcPr>
                <w:p w14:paraId="7EF37A1A">
                  <w:pPr>
                    <w:pStyle w:val="20"/>
                    <w:rPr>
                      <w:color w:val="auto"/>
                    </w:rPr>
                  </w:pPr>
                  <w:r>
                    <w:rPr>
                      <w:color w:val="auto"/>
                    </w:rPr>
                    <w:t>套</w:t>
                  </w:r>
                </w:p>
              </w:tc>
              <w:tc>
                <w:tcPr>
                  <w:tcW w:w="1874" w:type="dxa"/>
                  <w:vAlign w:val="center"/>
                </w:tcPr>
                <w:p w14:paraId="27EF9AF8">
                  <w:pPr>
                    <w:pStyle w:val="20"/>
                    <w:rPr>
                      <w:color w:val="auto"/>
                    </w:rPr>
                  </w:pPr>
                  <w:r>
                    <w:rPr>
                      <w:color w:val="auto"/>
                    </w:rPr>
                    <w:t>/</w:t>
                  </w:r>
                </w:p>
              </w:tc>
            </w:tr>
            <w:tr w14:paraId="1EF11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327DD681">
                  <w:pPr>
                    <w:pStyle w:val="20"/>
                    <w:rPr>
                      <w:color w:val="auto"/>
                    </w:rPr>
                  </w:pPr>
                  <w:r>
                    <w:rPr>
                      <w:color w:val="auto"/>
                    </w:rPr>
                    <w:t>标签</w:t>
                  </w:r>
                </w:p>
              </w:tc>
              <w:tc>
                <w:tcPr>
                  <w:tcW w:w="1375" w:type="dxa"/>
                  <w:vAlign w:val="center"/>
                </w:tcPr>
                <w:p w14:paraId="52AA5CF9">
                  <w:pPr>
                    <w:pStyle w:val="20"/>
                    <w:rPr>
                      <w:color w:val="auto"/>
                    </w:rPr>
                  </w:pPr>
                  <w:r>
                    <w:rPr>
                      <w:color w:val="auto"/>
                      <w:vertAlign w:val="superscript"/>
                    </w:rPr>
                    <w:t>①</w:t>
                  </w:r>
                  <w:r>
                    <w:rPr>
                      <w:color w:val="auto"/>
                    </w:rPr>
                    <w:t>18</w:t>
                  </w:r>
                </w:p>
              </w:tc>
              <w:tc>
                <w:tcPr>
                  <w:tcW w:w="1008" w:type="dxa"/>
                  <w:vAlign w:val="center"/>
                </w:tcPr>
                <w:p w14:paraId="405B03E6">
                  <w:pPr>
                    <w:pStyle w:val="20"/>
                    <w:rPr>
                      <w:color w:val="auto"/>
                    </w:rPr>
                  </w:pPr>
                  <w:r>
                    <w:rPr>
                      <w:color w:val="auto"/>
                    </w:rPr>
                    <w:t>36</w:t>
                  </w:r>
                </w:p>
              </w:tc>
              <w:tc>
                <w:tcPr>
                  <w:tcW w:w="1021" w:type="dxa"/>
                  <w:vAlign w:val="center"/>
                </w:tcPr>
                <w:p w14:paraId="408B94CC">
                  <w:pPr>
                    <w:pStyle w:val="20"/>
                    <w:rPr>
                      <w:color w:val="auto"/>
                    </w:rPr>
                  </w:pPr>
                  <w:r>
                    <w:rPr>
                      <w:color w:val="auto"/>
                    </w:rPr>
                    <w:t>+18</w:t>
                  </w:r>
                </w:p>
              </w:tc>
              <w:tc>
                <w:tcPr>
                  <w:tcW w:w="995" w:type="dxa"/>
                  <w:vAlign w:val="center"/>
                </w:tcPr>
                <w:p w14:paraId="631B73C1">
                  <w:pPr>
                    <w:pStyle w:val="20"/>
                    <w:rPr>
                      <w:color w:val="auto"/>
                    </w:rPr>
                  </w:pPr>
                  <w:r>
                    <w:rPr>
                      <w:color w:val="auto"/>
                    </w:rPr>
                    <w:t>3</w:t>
                  </w:r>
                </w:p>
              </w:tc>
              <w:tc>
                <w:tcPr>
                  <w:tcW w:w="372" w:type="dxa"/>
                  <w:vAlign w:val="center"/>
                </w:tcPr>
                <w:p w14:paraId="69BA42EC">
                  <w:pPr>
                    <w:pStyle w:val="20"/>
                    <w:rPr>
                      <w:color w:val="auto"/>
                    </w:rPr>
                  </w:pPr>
                  <w:r>
                    <w:rPr>
                      <w:color w:val="auto"/>
                    </w:rPr>
                    <w:t>卷</w:t>
                  </w:r>
                </w:p>
              </w:tc>
              <w:tc>
                <w:tcPr>
                  <w:tcW w:w="1874" w:type="dxa"/>
                  <w:vAlign w:val="center"/>
                </w:tcPr>
                <w:p w14:paraId="75C3BFE7">
                  <w:pPr>
                    <w:pStyle w:val="20"/>
                    <w:rPr>
                      <w:color w:val="auto"/>
                    </w:rPr>
                  </w:pPr>
                  <w:r>
                    <w:rPr>
                      <w:color w:val="auto"/>
                    </w:rPr>
                    <w:t>/</w:t>
                  </w:r>
                </w:p>
              </w:tc>
            </w:tr>
            <w:tr w14:paraId="4F3BA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7068E71E">
                  <w:pPr>
                    <w:pStyle w:val="20"/>
                    <w:rPr>
                      <w:color w:val="auto"/>
                    </w:rPr>
                  </w:pPr>
                  <w:r>
                    <w:rPr>
                      <w:color w:val="auto"/>
                    </w:rPr>
                    <w:t>密封条</w:t>
                  </w:r>
                </w:p>
              </w:tc>
              <w:tc>
                <w:tcPr>
                  <w:tcW w:w="1375" w:type="dxa"/>
                  <w:vAlign w:val="center"/>
                </w:tcPr>
                <w:p w14:paraId="49586B2A">
                  <w:pPr>
                    <w:pStyle w:val="20"/>
                    <w:rPr>
                      <w:color w:val="auto"/>
                    </w:rPr>
                  </w:pPr>
                  <w:r>
                    <w:rPr>
                      <w:color w:val="auto"/>
                      <w:vertAlign w:val="superscript"/>
                    </w:rPr>
                    <w:t>①</w:t>
                  </w:r>
                  <w:r>
                    <w:rPr>
                      <w:color w:val="auto"/>
                    </w:rPr>
                    <w:t>86130</w:t>
                  </w:r>
                </w:p>
              </w:tc>
              <w:tc>
                <w:tcPr>
                  <w:tcW w:w="1008" w:type="dxa"/>
                  <w:vAlign w:val="center"/>
                </w:tcPr>
                <w:p w14:paraId="39896784">
                  <w:pPr>
                    <w:pStyle w:val="20"/>
                    <w:rPr>
                      <w:color w:val="auto"/>
                    </w:rPr>
                  </w:pPr>
                  <w:r>
                    <w:rPr>
                      <w:color w:val="auto"/>
                    </w:rPr>
                    <w:t>172260</w:t>
                  </w:r>
                </w:p>
              </w:tc>
              <w:tc>
                <w:tcPr>
                  <w:tcW w:w="1021" w:type="dxa"/>
                  <w:vAlign w:val="center"/>
                </w:tcPr>
                <w:p w14:paraId="4B84E523">
                  <w:pPr>
                    <w:pStyle w:val="20"/>
                    <w:rPr>
                      <w:color w:val="auto"/>
                    </w:rPr>
                  </w:pPr>
                  <w:r>
                    <w:rPr>
                      <w:color w:val="auto"/>
                    </w:rPr>
                    <w:t>86130</w:t>
                  </w:r>
                </w:p>
              </w:tc>
              <w:tc>
                <w:tcPr>
                  <w:tcW w:w="995" w:type="dxa"/>
                  <w:vAlign w:val="center"/>
                </w:tcPr>
                <w:p w14:paraId="4E748A27">
                  <w:pPr>
                    <w:pStyle w:val="20"/>
                    <w:rPr>
                      <w:color w:val="auto"/>
                    </w:rPr>
                  </w:pPr>
                  <w:r>
                    <w:rPr>
                      <w:color w:val="auto"/>
                    </w:rPr>
                    <w:t>14355</w:t>
                  </w:r>
                </w:p>
              </w:tc>
              <w:tc>
                <w:tcPr>
                  <w:tcW w:w="372" w:type="dxa"/>
                  <w:vAlign w:val="center"/>
                </w:tcPr>
                <w:p w14:paraId="336D0244">
                  <w:pPr>
                    <w:pStyle w:val="20"/>
                    <w:rPr>
                      <w:color w:val="auto"/>
                    </w:rPr>
                  </w:pPr>
                  <w:r>
                    <w:rPr>
                      <w:color w:val="auto"/>
                    </w:rPr>
                    <w:t>米</w:t>
                  </w:r>
                </w:p>
              </w:tc>
              <w:tc>
                <w:tcPr>
                  <w:tcW w:w="1874" w:type="dxa"/>
                  <w:vAlign w:val="center"/>
                </w:tcPr>
                <w:p w14:paraId="6B6DB14F">
                  <w:pPr>
                    <w:pStyle w:val="20"/>
                    <w:rPr>
                      <w:color w:val="auto"/>
                    </w:rPr>
                  </w:pPr>
                  <w:r>
                    <w:rPr>
                      <w:color w:val="auto"/>
                    </w:rPr>
                    <w:t>/</w:t>
                  </w:r>
                </w:p>
              </w:tc>
            </w:tr>
            <w:tr w14:paraId="2F5BA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437435E5">
                  <w:pPr>
                    <w:pStyle w:val="20"/>
                    <w:rPr>
                      <w:color w:val="auto"/>
                    </w:rPr>
                  </w:pPr>
                  <w:r>
                    <w:rPr>
                      <w:color w:val="auto"/>
                    </w:rPr>
                    <w:t>焊丝</w:t>
                  </w:r>
                </w:p>
              </w:tc>
              <w:tc>
                <w:tcPr>
                  <w:tcW w:w="1375" w:type="dxa"/>
                  <w:vAlign w:val="center"/>
                </w:tcPr>
                <w:p w14:paraId="00AFBD17">
                  <w:pPr>
                    <w:pStyle w:val="20"/>
                    <w:rPr>
                      <w:color w:val="auto"/>
                    </w:rPr>
                  </w:pPr>
                  <w:r>
                    <w:rPr>
                      <w:color w:val="auto"/>
                      <w:vertAlign w:val="superscript"/>
                    </w:rPr>
                    <w:t>①</w:t>
                  </w:r>
                  <w:r>
                    <w:rPr>
                      <w:color w:val="auto"/>
                    </w:rPr>
                    <w:t>3</w:t>
                  </w:r>
                </w:p>
              </w:tc>
              <w:tc>
                <w:tcPr>
                  <w:tcW w:w="1008" w:type="dxa"/>
                  <w:vAlign w:val="center"/>
                </w:tcPr>
                <w:p w14:paraId="7BAB2BAA">
                  <w:pPr>
                    <w:pStyle w:val="20"/>
                    <w:rPr>
                      <w:color w:val="auto"/>
                    </w:rPr>
                  </w:pPr>
                  <w:r>
                    <w:rPr>
                      <w:color w:val="auto"/>
                    </w:rPr>
                    <w:t>6</w:t>
                  </w:r>
                </w:p>
              </w:tc>
              <w:tc>
                <w:tcPr>
                  <w:tcW w:w="1021" w:type="dxa"/>
                  <w:vAlign w:val="center"/>
                </w:tcPr>
                <w:p w14:paraId="69D89FAE">
                  <w:pPr>
                    <w:pStyle w:val="20"/>
                    <w:rPr>
                      <w:color w:val="auto"/>
                    </w:rPr>
                  </w:pPr>
                  <w:r>
                    <w:rPr>
                      <w:color w:val="auto"/>
                    </w:rPr>
                    <w:t>3</w:t>
                  </w:r>
                </w:p>
              </w:tc>
              <w:tc>
                <w:tcPr>
                  <w:tcW w:w="995" w:type="dxa"/>
                  <w:vAlign w:val="center"/>
                </w:tcPr>
                <w:p w14:paraId="52E4D2FA">
                  <w:pPr>
                    <w:pStyle w:val="20"/>
                    <w:rPr>
                      <w:color w:val="auto"/>
                    </w:rPr>
                  </w:pPr>
                  <w:r>
                    <w:rPr>
                      <w:color w:val="auto"/>
                    </w:rPr>
                    <w:t>1</w:t>
                  </w:r>
                </w:p>
              </w:tc>
              <w:tc>
                <w:tcPr>
                  <w:tcW w:w="372" w:type="dxa"/>
                  <w:vAlign w:val="center"/>
                </w:tcPr>
                <w:p w14:paraId="43BF00B4">
                  <w:pPr>
                    <w:pStyle w:val="20"/>
                    <w:rPr>
                      <w:color w:val="auto"/>
                    </w:rPr>
                  </w:pPr>
                  <w:r>
                    <w:rPr>
                      <w:color w:val="auto"/>
                    </w:rPr>
                    <w:t>吨</w:t>
                  </w:r>
                </w:p>
              </w:tc>
              <w:tc>
                <w:tcPr>
                  <w:tcW w:w="1874" w:type="dxa"/>
                  <w:vAlign w:val="center"/>
                </w:tcPr>
                <w:p w14:paraId="2E91D8FA">
                  <w:pPr>
                    <w:pStyle w:val="20"/>
                    <w:rPr>
                      <w:color w:val="auto"/>
                    </w:rPr>
                  </w:pPr>
                  <w:r>
                    <w:rPr>
                      <w:color w:val="auto"/>
                    </w:rPr>
                    <w:t>/</w:t>
                  </w:r>
                </w:p>
              </w:tc>
            </w:tr>
            <w:tr w14:paraId="37BA1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660FCF6D">
                  <w:pPr>
                    <w:pStyle w:val="20"/>
                    <w:rPr>
                      <w:color w:val="auto"/>
                    </w:rPr>
                  </w:pPr>
                  <w:r>
                    <w:rPr>
                      <w:color w:val="auto"/>
                    </w:rPr>
                    <w:t>蜡</w:t>
                  </w:r>
                </w:p>
              </w:tc>
              <w:tc>
                <w:tcPr>
                  <w:tcW w:w="1375" w:type="dxa"/>
                  <w:vAlign w:val="center"/>
                </w:tcPr>
                <w:p w14:paraId="2CB86B29">
                  <w:pPr>
                    <w:pStyle w:val="20"/>
                    <w:rPr>
                      <w:color w:val="auto"/>
                    </w:rPr>
                  </w:pPr>
                  <w:r>
                    <w:rPr>
                      <w:color w:val="auto"/>
                      <w:vertAlign w:val="superscript"/>
                    </w:rPr>
                    <w:t>①</w:t>
                  </w:r>
                  <w:r>
                    <w:rPr>
                      <w:color w:val="auto"/>
                    </w:rPr>
                    <w:t>15650</w:t>
                  </w:r>
                </w:p>
              </w:tc>
              <w:tc>
                <w:tcPr>
                  <w:tcW w:w="1008" w:type="dxa"/>
                  <w:vAlign w:val="center"/>
                </w:tcPr>
                <w:p w14:paraId="44D3C389">
                  <w:pPr>
                    <w:pStyle w:val="20"/>
                    <w:rPr>
                      <w:color w:val="auto"/>
                    </w:rPr>
                  </w:pPr>
                  <w:r>
                    <w:rPr>
                      <w:color w:val="auto"/>
                    </w:rPr>
                    <w:t>31300</w:t>
                  </w:r>
                </w:p>
              </w:tc>
              <w:tc>
                <w:tcPr>
                  <w:tcW w:w="1021" w:type="dxa"/>
                  <w:vAlign w:val="center"/>
                </w:tcPr>
                <w:p w14:paraId="0B9CFD2D">
                  <w:pPr>
                    <w:pStyle w:val="20"/>
                    <w:rPr>
                      <w:color w:val="auto"/>
                    </w:rPr>
                  </w:pPr>
                  <w:r>
                    <w:rPr>
                      <w:color w:val="auto"/>
                    </w:rPr>
                    <w:t>+15650</w:t>
                  </w:r>
                </w:p>
              </w:tc>
              <w:tc>
                <w:tcPr>
                  <w:tcW w:w="995" w:type="dxa"/>
                  <w:vAlign w:val="center"/>
                </w:tcPr>
                <w:p w14:paraId="59413F44">
                  <w:pPr>
                    <w:pStyle w:val="20"/>
                    <w:rPr>
                      <w:color w:val="auto"/>
                    </w:rPr>
                  </w:pPr>
                  <w:r>
                    <w:rPr>
                      <w:color w:val="auto"/>
                    </w:rPr>
                    <w:t>2600</w:t>
                  </w:r>
                </w:p>
              </w:tc>
              <w:tc>
                <w:tcPr>
                  <w:tcW w:w="372" w:type="dxa"/>
                  <w:vAlign w:val="center"/>
                </w:tcPr>
                <w:p w14:paraId="1B981E20">
                  <w:pPr>
                    <w:pStyle w:val="20"/>
                    <w:rPr>
                      <w:color w:val="auto"/>
                    </w:rPr>
                  </w:pPr>
                  <w:r>
                    <w:rPr>
                      <w:color w:val="auto"/>
                    </w:rPr>
                    <w:t>条</w:t>
                  </w:r>
                </w:p>
              </w:tc>
              <w:tc>
                <w:tcPr>
                  <w:tcW w:w="1874" w:type="dxa"/>
                  <w:vAlign w:val="center"/>
                </w:tcPr>
                <w:p w14:paraId="768FE75C">
                  <w:pPr>
                    <w:pStyle w:val="20"/>
                    <w:rPr>
                      <w:color w:val="auto"/>
                    </w:rPr>
                  </w:pPr>
                  <w:r>
                    <w:rPr>
                      <w:color w:val="auto"/>
                    </w:rPr>
                    <w:t>/</w:t>
                  </w:r>
                </w:p>
              </w:tc>
            </w:tr>
            <w:tr w14:paraId="1FD6D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3F45F6BD">
                  <w:pPr>
                    <w:pStyle w:val="20"/>
                    <w:rPr>
                      <w:color w:val="auto"/>
                    </w:rPr>
                  </w:pPr>
                  <w:r>
                    <w:rPr>
                      <w:color w:val="auto"/>
                    </w:rPr>
                    <w:t>布轮</w:t>
                  </w:r>
                </w:p>
              </w:tc>
              <w:tc>
                <w:tcPr>
                  <w:tcW w:w="1375" w:type="dxa"/>
                  <w:vAlign w:val="center"/>
                </w:tcPr>
                <w:p w14:paraId="3ED538C9">
                  <w:pPr>
                    <w:pStyle w:val="20"/>
                    <w:rPr>
                      <w:color w:val="auto"/>
                    </w:rPr>
                  </w:pPr>
                  <w:r>
                    <w:rPr>
                      <w:color w:val="auto"/>
                      <w:vertAlign w:val="superscript"/>
                    </w:rPr>
                    <w:t>①</w:t>
                  </w:r>
                  <w:r>
                    <w:rPr>
                      <w:color w:val="auto"/>
                    </w:rPr>
                    <w:t>1.76</w:t>
                  </w:r>
                </w:p>
              </w:tc>
              <w:tc>
                <w:tcPr>
                  <w:tcW w:w="1008" w:type="dxa"/>
                  <w:vAlign w:val="center"/>
                </w:tcPr>
                <w:p w14:paraId="030B50A8">
                  <w:pPr>
                    <w:pStyle w:val="20"/>
                    <w:rPr>
                      <w:color w:val="auto"/>
                    </w:rPr>
                  </w:pPr>
                  <w:r>
                    <w:rPr>
                      <w:color w:val="auto"/>
                    </w:rPr>
                    <w:t>+3.52</w:t>
                  </w:r>
                </w:p>
              </w:tc>
              <w:tc>
                <w:tcPr>
                  <w:tcW w:w="1021" w:type="dxa"/>
                  <w:vAlign w:val="center"/>
                </w:tcPr>
                <w:p w14:paraId="791E0CE2">
                  <w:pPr>
                    <w:pStyle w:val="20"/>
                    <w:rPr>
                      <w:color w:val="auto"/>
                    </w:rPr>
                  </w:pPr>
                  <w:r>
                    <w:rPr>
                      <w:color w:val="auto"/>
                    </w:rPr>
                    <w:t>+ 1.76</w:t>
                  </w:r>
                </w:p>
              </w:tc>
              <w:tc>
                <w:tcPr>
                  <w:tcW w:w="995" w:type="dxa"/>
                  <w:vAlign w:val="center"/>
                </w:tcPr>
                <w:p w14:paraId="30121D16">
                  <w:pPr>
                    <w:pStyle w:val="20"/>
                    <w:rPr>
                      <w:color w:val="auto"/>
                    </w:rPr>
                  </w:pPr>
                  <w:r>
                    <w:rPr>
                      <w:color w:val="auto"/>
                    </w:rPr>
                    <w:t>0.15</w:t>
                  </w:r>
                </w:p>
              </w:tc>
              <w:tc>
                <w:tcPr>
                  <w:tcW w:w="372" w:type="dxa"/>
                  <w:vAlign w:val="center"/>
                </w:tcPr>
                <w:p w14:paraId="3F76BC07">
                  <w:pPr>
                    <w:pStyle w:val="20"/>
                    <w:rPr>
                      <w:color w:val="auto"/>
                    </w:rPr>
                  </w:pPr>
                  <w:r>
                    <w:rPr>
                      <w:color w:val="auto"/>
                    </w:rPr>
                    <w:t>t</w:t>
                  </w:r>
                </w:p>
              </w:tc>
              <w:tc>
                <w:tcPr>
                  <w:tcW w:w="1874" w:type="dxa"/>
                  <w:vAlign w:val="center"/>
                </w:tcPr>
                <w:p w14:paraId="4AF7D2D6">
                  <w:pPr>
                    <w:pStyle w:val="20"/>
                    <w:rPr>
                      <w:color w:val="auto"/>
                    </w:rPr>
                  </w:pPr>
                  <w:r>
                    <w:rPr>
                      <w:color w:val="auto"/>
                    </w:rPr>
                    <w:t>/</w:t>
                  </w:r>
                </w:p>
              </w:tc>
            </w:tr>
            <w:tr w14:paraId="3202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26868583">
                  <w:pPr>
                    <w:pStyle w:val="20"/>
                    <w:rPr>
                      <w:color w:val="auto"/>
                    </w:rPr>
                  </w:pPr>
                  <w:r>
                    <w:rPr>
                      <w:color w:val="auto"/>
                    </w:rPr>
                    <w:t>麻轮</w:t>
                  </w:r>
                </w:p>
              </w:tc>
              <w:tc>
                <w:tcPr>
                  <w:tcW w:w="1375" w:type="dxa"/>
                  <w:vAlign w:val="center"/>
                </w:tcPr>
                <w:p w14:paraId="5A741438">
                  <w:pPr>
                    <w:pStyle w:val="20"/>
                    <w:rPr>
                      <w:color w:val="auto"/>
                    </w:rPr>
                  </w:pPr>
                  <w:r>
                    <w:rPr>
                      <w:color w:val="auto"/>
                      <w:vertAlign w:val="superscript"/>
                    </w:rPr>
                    <w:t>①</w:t>
                  </w:r>
                  <w:r>
                    <w:rPr>
                      <w:color w:val="auto"/>
                    </w:rPr>
                    <w:t>4.25</w:t>
                  </w:r>
                </w:p>
              </w:tc>
              <w:tc>
                <w:tcPr>
                  <w:tcW w:w="1008" w:type="dxa"/>
                  <w:vAlign w:val="center"/>
                </w:tcPr>
                <w:p w14:paraId="51DCED4C">
                  <w:pPr>
                    <w:pStyle w:val="20"/>
                    <w:rPr>
                      <w:color w:val="auto"/>
                    </w:rPr>
                  </w:pPr>
                  <w:r>
                    <w:rPr>
                      <w:color w:val="auto"/>
                    </w:rPr>
                    <w:t>+ 8.5</w:t>
                  </w:r>
                </w:p>
              </w:tc>
              <w:tc>
                <w:tcPr>
                  <w:tcW w:w="1021" w:type="dxa"/>
                  <w:vAlign w:val="center"/>
                </w:tcPr>
                <w:p w14:paraId="753D6FA0">
                  <w:pPr>
                    <w:pStyle w:val="20"/>
                    <w:rPr>
                      <w:color w:val="auto"/>
                    </w:rPr>
                  </w:pPr>
                  <w:r>
                    <w:rPr>
                      <w:color w:val="auto"/>
                    </w:rPr>
                    <w:t>+ 4.25</w:t>
                  </w:r>
                </w:p>
              </w:tc>
              <w:tc>
                <w:tcPr>
                  <w:tcW w:w="995" w:type="dxa"/>
                  <w:vAlign w:val="center"/>
                </w:tcPr>
                <w:p w14:paraId="0F07920D">
                  <w:pPr>
                    <w:pStyle w:val="20"/>
                    <w:rPr>
                      <w:color w:val="auto"/>
                    </w:rPr>
                  </w:pPr>
                  <w:r>
                    <w:rPr>
                      <w:color w:val="auto"/>
                    </w:rPr>
                    <w:t>0.71</w:t>
                  </w:r>
                </w:p>
              </w:tc>
              <w:tc>
                <w:tcPr>
                  <w:tcW w:w="372" w:type="dxa"/>
                  <w:vAlign w:val="center"/>
                </w:tcPr>
                <w:p w14:paraId="3F17966A">
                  <w:pPr>
                    <w:pStyle w:val="20"/>
                    <w:rPr>
                      <w:color w:val="auto"/>
                    </w:rPr>
                  </w:pPr>
                  <w:r>
                    <w:rPr>
                      <w:color w:val="auto"/>
                    </w:rPr>
                    <w:t>t</w:t>
                  </w:r>
                </w:p>
              </w:tc>
              <w:tc>
                <w:tcPr>
                  <w:tcW w:w="1874" w:type="dxa"/>
                  <w:vAlign w:val="center"/>
                </w:tcPr>
                <w:p w14:paraId="5BFD44FB">
                  <w:pPr>
                    <w:pStyle w:val="20"/>
                    <w:rPr>
                      <w:color w:val="auto"/>
                    </w:rPr>
                  </w:pPr>
                  <w:r>
                    <w:rPr>
                      <w:color w:val="auto"/>
                    </w:rPr>
                    <w:t>/</w:t>
                  </w:r>
                </w:p>
              </w:tc>
            </w:tr>
            <w:tr w14:paraId="0D059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31D44C0D">
                  <w:pPr>
                    <w:pStyle w:val="20"/>
                    <w:rPr>
                      <w:color w:val="auto"/>
                    </w:rPr>
                  </w:pPr>
                  <w:r>
                    <w:rPr>
                      <w:color w:val="auto"/>
                    </w:rPr>
                    <w:t>花页轮</w:t>
                  </w:r>
                </w:p>
              </w:tc>
              <w:tc>
                <w:tcPr>
                  <w:tcW w:w="1375" w:type="dxa"/>
                  <w:vAlign w:val="center"/>
                </w:tcPr>
                <w:p w14:paraId="1E232ED8">
                  <w:pPr>
                    <w:pStyle w:val="20"/>
                    <w:rPr>
                      <w:color w:val="auto"/>
                    </w:rPr>
                  </w:pPr>
                  <w:r>
                    <w:rPr>
                      <w:color w:val="auto"/>
                      <w:vertAlign w:val="superscript"/>
                    </w:rPr>
                    <w:t>①</w:t>
                  </w:r>
                  <w:r>
                    <w:rPr>
                      <w:color w:val="auto"/>
                    </w:rPr>
                    <w:t>0.25</w:t>
                  </w:r>
                </w:p>
              </w:tc>
              <w:tc>
                <w:tcPr>
                  <w:tcW w:w="1008" w:type="dxa"/>
                  <w:vAlign w:val="center"/>
                </w:tcPr>
                <w:p w14:paraId="16294027">
                  <w:pPr>
                    <w:pStyle w:val="20"/>
                    <w:rPr>
                      <w:color w:val="auto"/>
                    </w:rPr>
                  </w:pPr>
                  <w:r>
                    <w:rPr>
                      <w:color w:val="auto"/>
                    </w:rPr>
                    <w:t xml:space="preserve"> 0.5</w:t>
                  </w:r>
                </w:p>
              </w:tc>
              <w:tc>
                <w:tcPr>
                  <w:tcW w:w="1021" w:type="dxa"/>
                  <w:vAlign w:val="center"/>
                </w:tcPr>
                <w:p w14:paraId="4851A143">
                  <w:pPr>
                    <w:pStyle w:val="20"/>
                    <w:rPr>
                      <w:color w:val="auto"/>
                    </w:rPr>
                  </w:pPr>
                  <w:r>
                    <w:rPr>
                      <w:color w:val="auto"/>
                    </w:rPr>
                    <w:t xml:space="preserve"> 0.25</w:t>
                  </w:r>
                </w:p>
              </w:tc>
              <w:tc>
                <w:tcPr>
                  <w:tcW w:w="995" w:type="dxa"/>
                  <w:vAlign w:val="center"/>
                </w:tcPr>
                <w:p w14:paraId="46F4729A">
                  <w:pPr>
                    <w:pStyle w:val="20"/>
                    <w:rPr>
                      <w:color w:val="auto"/>
                    </w:rPr>
                  </w:pPr>
                  <w:r>
                    <w:rPr>
                      <w:color w:val="auto"/>
                    </w:rPr>
                    <w:t>0.042</w:t>
                  </w:r>
                </w:p>
              </w:tc>
              <w:tc>
                <w:tcPr>
                  <w:tcW w:w="372" w:type="dxa"/>
                  <w:vAlign w:val="center"/>
                </w:tcPr>
                <w:p w14:paraId="102AD99D">
                  <w:pPr>
                    <w:pStyle w:val="20"/>
                    <w:rPr>
                      <w:color w:val="auto"/>
                    </w:rPr>
                  </w:pPr>
                  <w:r>
                    <w:rPr>
                      <w:color w:val="auto"/>
                    </w:rPr>
                    <w:t>t</w:t>
                  </w:r>
                </w:p>
              </w:tc>
              <w:tc>
                <w:tcPr>
                  <w:tcW w:w="1874" w:type="dxa"/>
                  <w:vAlign w:val="center"/>
                </w:tcPr>
                <w:p w14:paraId="4E80550D">
                  <w:pPr>
                    <w:pStyle w:val="20"/>
                    <w:rPr>
                      <w:color w:val="auto"/>
                    </w:rPr>
                  </w:pPr>
                  <w:r>
                    <w:rPr>
                      <w:color w:val="auto"/>
                    </w:rPr>
                    <w:t>/</w:t>
                  </w:r>
                </w:p>
              </w:tc>
            </w:tr>
            <w:tr w14:paraId="383CF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079771C7">
                  <w:pPr>
                    <w:pStyle w:val="20"/>
                    <w:rPr>
                      <w:color w:val="auto"/>
                    </w:rPr>
                  </w:pPr>
                  <w:r>
                    <w:rPr>
                      <w:color w:val="auto"/>
                    </w:rPr>
                    <w:t>砂轮片</w:t>
                  </w:r>
                </w:p>
              </w:tc>
              <w:tc>
                <w:tcPr>
                  <w:tcW w:w="1375" w:type="dxa"/>
                  <w:vAlign w:val="center"/>
                </w:tcPr>
                <w:p w14:paraId="4ADF240A">
                  <w:pPr>
                    <w:pStyle w:val="20"/>
                    <w:rPr>
                      <w:color w:val="auto"/>
                    </w:rPr>
                  </w:pPr>
                  <w:r>
                    <w:rPr>
                      <w:color w:val="auto"/>
                      <w:vertAlign w:val="superscript"/>
                    </w:rPr>
                    <w:t xml:space="preserve"> ①</w:t>
                  </w:r>
                  <w:r>
                    <w:rPr>
                      <w:color w:val="auto"/>
                    </w:rPr>
                    <w:t>0.35</w:t>
                  </w:r>
                </w:p>
              </w:tc>
              <w:tc>
                <w:tcPr>
                  <w:tcW w:w="1008" w:type="dxa"/>
                  <w:vAlign w:val="center"/>
                </w:tcPr>
                <w:p w14:paraId="0F3BA52A">
                  <w:pPr>
                    <w:pStyle w:val="20"/>
                    <w:rPr>
                      <w:color w:val="auto"/>
                    </w:rPr>
                  </w:pPr>
                  <w:r>
                    <w:rPr>
                      <w:color w:val="auto"/>
                    </w:rPr>
                    <w:t xml:space="preserve"> 0.7</w:t>
                  </w:r>
                </w:p>
              </w:tc>
              <w:tc>
                <w:tcPr>
                  <w:tcW w:w="1021" w:type="dxa"/>
                  <w:vAlign w:val="center"/>
                </w:tcPr>
                <w:p w14:paraId="1A77DB97">
                  <w:pPr>
                    <w:pStyle w:val="20"/>
                    <w:rPr>
                      <w:color w:val="auto"/>
                    </w:rPr>
                  </w:pPr>
                  <w:r>
                    <w:rPr>
                      <w:color w:val="auto"/>
                    </w:rPr>
                    <w:t>+ 0.35</w:t>
                  </w:r>
                </w:p>
              </w:tc>
              <w:tc>
                <w:tcPr>
                  <w:tcW w:w="995" w:type="dxa"/>
                  <w:vAlign w:val="center"/>
                </w:tcPr>
                <w:p w14:paraId="08859D72">
                  <w:pPr>
                    <w:pStyle w:val="20"/>
                    <w:rPr>
                      <w:color w:val="auto"/>
                    </w:rPr>
                  </w:pPr>
                  <w:r>
                    <w:rPr>
                      <w:color w:val="auto"/>
                    </w:rPr>
                    <w:t>0.058</w:t>
                  </w:r>
                </w:p>
              </w:tc>
              <w:tc>
                <w:tcPr>
                  <w:tcW w:w="372" w:type="dxa"/>
                  <w:vAlign w:val="center"/>
                </w:tcPr>
                <w:p w14:paraId="06D2F95C">
                  <w:pPr>
                    <w:pStyle w:val="20"/>
                    <w:rPr>
                      <w:color w:val="auto"/>
                    </w:rPr>
                  </w:pPr>
                  <w:r>
                    <w:rPr>
                      <w:color w:val="auto"/>
                    </w:rPr>
                    <w:t>t</w:t>
                  </w:r>
                </w:p>
              </w:tc>
              <w:tc>
                <w:tcPr>
                  <w:tcW w:w="1874" w:type="dxa"/>
                  <w:vAlign w:val="center"/>
                </w:tcPr>
                <w:p w14:paraId="7F89645B">
                  <w:pPr>
                    <w:pStyle w:val="20"/>
                    <w:rPr>
                      <w:color w:val="auto"/>
                    </w:rPr>
                  </w:pPr>
                  <w:r>
                    <w:rPr>
                      <w:color w:val="auto"/>
                    </w:rPr>
                    <w:t>/</w:t>
                  </w:r>
                </w:p>
              </w:tc>
            </w:tr>
            <w:tr w14:paraId="395A5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40" w:type="dxa"/>
                  <w:vMerge w:val="restart"/>
                  <w:vAlign w:val="center"/>
                </w:tcPr>
                <w:p w14:paraId="03325498">
                  <w:pPr>
                    <w:pStyle w:val="20"/>
                    <w:rPr>
                      <w:color w:val="auto"/>
                    </w:rPr>
                  </w:pPr>
                  <w:r>
                    <w:rPr>
                      <w:color w:val="auto"/>
                    </w:rPr>
                    <w:t>水性阴极电泳漆</w:t>
                  </w:r>
                </w:p>
              </w:tc>
              <w:tc>
                <w:tcPr>
                  <w:tcW w:w="841" w:type="dxa"/>
                  <w:vAlign w:val="center"/>
                </w:tcPr>
                <w:p w14:paraId="40F89FB7">
                  <w:pPr>
                    <w:pStyle w:val="20"/>
                    <w:rPr>
                      <w:color w:val="auto"/>
                    </w:rPr>
                  </w:pPr>
                  <w:r>
                    <w:rPr>
                      <w:color w:val="auto"/>
                    </w:rPr>
                    <w:t>色浆</w:t>
                  </w:r>
                </w:p>
              </w:tc>
              <w:tc>
                <w:tcPr>
                  <w:tcW w:w="1375" w:type="dxa"/>
                  <w:vAlign w:val="center"/>
                </w:tcPr>
                <w:p w14:paraId="516B4B73">
                  <w:pPr>
                    <w:pStyle w:val="20"/>
                    <w:rPr>
                      <w:color w:val="auto"/>
                    </w:rPr>
                  </w:pPr>
                  <w:r>
                    <w:rPr>
                      <w:color w:val="auto"/>
                    </w:rPr>
                    <w:t>0</w:t>
                  </w:r>
                </w:p>
              </w:tc>
              <w:tc>
                <w:tcPr>
                  <w:tcW w:w="1008" w:type="dxa"/>
                  <w:vAlign w:val="center"/>
                </w:tcPr>
                <w:p w14:paraId="2AEEDCA7">
                  <w:pPr>
                    <w:pStyle w:val="20"/>
                    <w:rPr>
                      <w:color w:val="auto"/>
                    </w:rPr>
                  </w:pPr>
                  <w:r>
                    <w:rPr>
                      <w:color w:val="auto"/>
                    </w:rPr>
                    <w:t>6.73</w:t>
                  </w:r>
                </w:p>
              </w:tc>
              <w:tc>
                <w:tcPr>
                  <w:tcW w:w="1021" w:type="dxa"/>
                  <w:vAlign w:val="center"/>
                </w:tcPr>
                <w:p w14:paraId="6EB9B480">
                  <w:pPr>
                    <w:pStyle w:val="20"/>
                    <w:rPr>
                      <w:color w:val="auto"/>
                    </w:rPr>
                  </w:pPr>
                  <w:r>
                    <w:rPr>
                      <w:color w:val="auto"/>
                    </w:rPr>
                    <w:t>+6.73</w:t>
                  </w:r>
                </w:p>
              </w:tc>
              <w:tc>
                <w:tcPr>
                  <w:tcW w:w="995" w:type="dxa"/>
                  <w:vAlign w:val="center"/>
                </w:tcPr>
                <w:p w14:paraId="6680073B">
                  <w:pPr>
                    <w:pStyle w:val="20"/>
                    <w:rPr>
                      <w:color w:val="auto"/>
                    </w:rPr>
                  </w:pPr>
                  <w:r>
                    <w:rPr>
                      <w:color w:val="auto"/>
                    </w:rPr>
                    <w:t>0.56</w:t>
                  </w:r>
                </w:p>
              </w:tc>
              <w:tc>
                <w:tcPr>
                  <w:tcW w:w="372" w:type="dxa"/>
                  <w:vAlign w:val="center"/>
                </w:tcPr>
                <w:p w14:paraId="1E80F1C5">
                  <w:pPr>
                    <w:pStyle w:val="20"/>
                    <w:rPr>
                      <w:color w:val="auto"/>
                    </w:rPr>
                  </w:pPr>
                  <w:r>
                    <w:rPr>
                      <w:color w:val="auto"/>
                    </w:rPr>
                    <w:t>t</w:t>
                  </w:r>
                </w:p>
              </w:tc>
              <w:tc>
                <w:tcPr>
                  <w:tcW w:w="1874" w:type="dxa"/>
                  <w:vAlign w:val="center"/>
                </w:tcPr>
                <w:p w14:paraId="686ECD52">
                  <w:pPr>
                    <w:pStyle w:val="20"/>
                    <w:rPr>
                      <w:color w:val="auto"/>
                    </w:rPr>
                  </w:pPr>
                  <w:r>
                    <w:rPr>
                      <w:color w:val="auto"/>
                    </w:rPr>
                    <w:t>60kg/桶</w:t>
                  </w:r>
                </w:p>
              </w:tc>
            </w:tr>
            <w:tr w14:paraId="1DB91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40" w:type="dxa"/>
                  <w:vMerge w:val="continue"/>
                  <w:vAlign w:val="center"/>
                </w:tcPr>
                <w:p w14:paraId="6441BCAF">
                  <w:pPr>
                    <w:pStyle w:val="20"/>
                    <w:rPr>
                      <w:color w:val="auto"/>
                    </w:rPr>
                  </w:pPr>
                </w:p>
              </w:tc>
              <w:tc>
                <w:tcPr>
                  <w:tcW w:w="841" w:type="dxa"/>
                  <w:vAlign w:val="center"/>
                </w:tcPr>
                <w:p w14:paraId="72DFE286">
                  <w:pPr>
                    <w:pStyle w:val="20"/>
                    <w:rPr>
                      <w:color w:val="auto"/>
                    </w:rPr>
                  </w:pPr>
                  <w:r>
                    <w:rPr>
                      <w:color w:val="auto"/>
                    </w:rPr>
                    <w:t>乳液</w:t>
                  </w:r>
                </w:p>
              </w:tc>
              <w:tc>
                <w:tcPr>
                  <w:tcW w:w="1375" w:type="dxa"/>
                  <w:vAlign w:val="center"/>
                </w:tcPr>
                <w:p w14:paraId="30304A75">
                  <w:pPr>
                    <w:pStyle w:val="20"/>
                    <w:rPr>
                      <w:color w:val="auto"/>
                    </w:rPr>
                  </w:pPr>
                  <w:r>
                    <w:rPr>
                      <w:color w:val="auto"/>
                    </w:rPr>
                    <w:t>0</w:t>
                  </w:r>
                </w:p>
              </w:tc>
              <w:tc>
                <w:tcPr>
                  <w:tcW w:w="1008" w:type="dxa"/>
                  <w:vAlign w:val="center"/>
                </w:tcPr>
                <w:p w14:paraId="1819271F">
                  <w:pPr>
                    <w:pStyle w:val="20"/>
                    <w:rPr>
                      <w:color w:val="auto"/>
                    </w:rPr>
                  </w:pPr>
                  <w:r>
                    <w:rPr>
                      <w:color w:val="auto"/>
                    </w:rPr>
                    <w:t>37.03</w:t>
                  </w:r>
                </w:p>
              </w:tc>
              <w:tc>
                <w:tcPr>
                  <w:tcW w:w="1021" w:type="dxa"/>
                  <w:vAlign w:val="center"/>
                </w:tcPr>
                <w:p w14:paraId="0819F1E3">
                  <w:pPr>
                    <w:pStyle w:val="20"/>
                    <w:rPr>
                      <w:color w:val="auto"/>
                    </w:rPr>
                  </w:pPr>
                  <w:r>
                    <w:rPr>
                      <w:color w:val="auto"/>
                    </w:rPr>
                    <w:t>+37.03</w:t>
                  </w:r>
                </w:p>
              </w:tc>
              <w:tc>
                <w:tcPr>
                  <w:tcW w:w="995" w:type="dxa"/>
                  <w:vAlign w:val="center"/>
                </w:tcPr>
                <w:p w14:paraId="7BA71B4F">
                  <w:pPr>
                    <w:pStyle w:val="20"/>
                    <w:rPr>
                      <w:color w:val="auto"/>
                    </w:rPr>
                  </w:pPr>
                  <w:r>
                    <w:rPr>
                      <w:color w:val="auto"/>
                    </w:rPr>
                    <w:t>3.1</w:t>
                  </w:r>
                </w:p>
              </w:tc>
              <w:tc>
                <w:tcPr>
                  <w:tcW w:w="372" w:type="dxa"/>
                  <w:vAlign w:val="center"/>
                </w:tcPr>
                <w:p w14:paraId="272DFE99">
                  <w:pPr>
                    <w:pStyle w:val="20"/>
                    <w:rPr>
                      <w:color w:val="auto"/>
                    </w:rPr>
                  </w:pPr>
                  <w:r>
                    <w:rPr>
                      <w:color w:val="auto"/>
                    </w:rPr>
                    <w:t>t</w:t>
                  </w:r>
                </w:p>
              </w:tc>
              <w:tc>
                <w:tcPr>
                  <w:tcW w:w="1874" w:type="dxa"/>
                  <w:vAlign w:val="center"/>
                </w:tcPr>
                <w:p w14:paraId="6A5C0876">
                  <w:pPr>
                    <w:pStyle w:val="20"/>
                    <w:rPr>
                      <w:color w:val="auto"/>
                    </w:rPr>
                  </w:pPr>
                  <w:r>
                    <w:rPr>
                      <w:color w:val="auto"/>
                    </w:rPr>
                    <w:t>60kg/桶</w:t>
                  </w:r>
                </w:p>
              </w:tc>
            </w:tr>
            <w:tr w14:paraId="7F0D7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54092882">
                  <w:pPr>
                    <w:pStyle w:val="20"/>
                    <w:rPr>
                      <w:color w:val="auto"/>
                    </w:rPr>
                  </w:pPr>
                  <w:r>
                    <w:rPr>
                      <w:color w:val="auto"/>
                    </w:rPr>
                    <w:t>硅烷处理剂</w:t>
                  </w:r>
                </w:p>
              </w:tc>
              <w:tc>
                <w:tcPr>
                  <w:tcW w:w="1375" w:type="dxa"/>
                  <w:vAlign w:val="center"/>
                </w:tcPr>
                <w:p w14:paraId="018BDEA9">
                  <w:pPr>
                    <w:pStyle w:val="20"/>
                    <w:rPr>
                      <w:color w:val="auto"/>
                    </w:rPr>
                  </w:pPr>
                  <w:r>
                    <w:rPr>
                      <w:color w:val="auto"/>
                    </w:rPr>
                    <w:t>0</w:t>
                  </w:r>
                </w:p>
              </w:tc>
              <w:tc>
                <w:tcPr>
                  <w:tcW w:w="1008" w:type="dxa"/>
                  <w:vAlign w:val="center"/>
                </w:tcPr>
                <w:p w14:paraId="5B4027C7">
                  <w:pPr>
                    <w:pStyle w:val="20"/>
                    <w:rPr>
                      <w:color w:val="auto"/>
                    </w:rPr>
                  </w:pPr>
                  <w:r>
                    <w:rPr>
                      <w:color w:val="auto"/>
                    </w:rPr>
                    <w:t>7.05</w:t>
                  </w:r>
                </w:p>
              </w:tc>
              <w:tc>
                <w:tcPr>
                  <w:tcW w:w="1021" w:type="dxa"/>
                  <w:vAlign w:val="center"/>
                </w:tcPr>
                <w:p w14:paraId="30FBFD78">
                  <w:pPr>
                    <w:pStyle w:val="20"/>
                    <w:rPr>
                      <w:color w:val="auto"/>
                    </w:rPr>
                  </w:pPr>
                  <w:r>
                    <w:rPr>
                      <w:color w:val="auto"/>
                    </w:rPr>
                    <w:t>+7.05</w:t>
                  </w:r>
                </w:p>
              </w:tc>
              <w:tc>
                <w:tcPr>
                  <w:tcW w:w="995" w:type="dxa"/>
                  <w:vAlign w:val="center"/>
                </w:tcPr>
                <w:p w14:paraId="52C1AA4D">
                  <w:pPr>
                    <w:pStyle w:val="20"/>
                    <w:rPr>
                      <w:color w:val="auto"/>
                    </w:rPr>
                  </w:pPr>
                  <w:r>
                    <w:rPr>
                      <w:color w:val="auto"/>
                    </w:rPr>
                    <w:t>0.4</w:t>
                  </w:r>
                </w:p>
              </w:tc>
              <w:tc>
                <w:tcPr>
                  <w:tcW w:w="372" w:type="dxa"/>
                  <w:vAlign w:val="center"/>
                </w:tcPr>
                <w:p w14:paraId="316EBE27">
                  <w:pPr>
                    <w:pStyle w:val="20"/>
                    <w:rPr>
                      <w:color w:val="auto"/>
                    </w:rPr>
                  </w:pPr>
                  <w:r>
                    <w:rPr>
                      <w:color w:val="auto"/>
                    </w:rPr>
                    <w:t>t</w:t>
                  </w:r>
                </w:p>
              </w:tc>
              <w:tc>
                <w:tcPr>
                  <w:tcW w:w="1874" w:type="dxa"/>
                  <w:vAlign w:val="center"/>
                </w:tcPr>
                <w:p w14:paraId="2862A8FD">
                  <w:pPr>
                    <w:pStyle w:val="20"/>
                    <w:rPr>
                      <w:color w:val="auto"/>
                    </w:rPr>
                  </w:pPr>
                  <w:r>
                    <w:rPr>
                      <w:color w:val="auto"/>
                    </w:rPr>
                    <w:t>1kg/桶</w:t>
                  </w:r>
                </w:p>
              </w:tc>
            </w:tr>
            <w:tr w14:paraId="3F8BA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0DC55AF5">
                  <w:pPr>
                    <w:pStyle w:val="20"/>
                    <w:rPr>
                      <w:color w:val="auto"/>
                    </w:rPr>
                  </w:pPr>
                  <w:r>
                    <w:rPr>
                      <w:color w:val="auto"/>
                    </w:rPr>
                    <w:t>脱脂剂</w:t>
                  </w:r>
                </w:p>
              </w:tc>
              <w:tc>
                <w:tcPr>
                  <w:tcW w:w="1375" w:type="dxa"/>
                  <w:vAlign w:val="center"/>
                </w:tcPr>
                <w:p w14:paraId="5F91428B">
                  <w:pPr>
                    <w:pStyle w:val="20"/>
                    <w:rPr>
                      <w:color w:val="auto"/>
                    </w:rPr>
                  </w:pPr>
                  <w:r>
                    <w:rPr>
                      <w:color w:val="auto"/>
                    </w:rPr>
                    <w:t>0</w:t>
                  </w:r>
                </w:p>
              </w:tc>
              <w:tc>
                <w:tcPr>
                  <w:tcW w:w="1008" w:type="dxa"/>
                  <w:vAlign w:val="center"/>
                </w:tcPr>
                <w:p w14:paraId="69C590A9">
                  <w:pPr>
                    <w:pStyle w:val="20"/>
                    <w:rPr>
                      <w:color w:val="auto"/>
                    </w:rPr>
                  </w:pPr>
                  <w:r>
                    <w:rPr>
                      <w:color w:val="auto"/>
                    </w:rPr>
                    <w:t>7.05</w:t>
                  </w:r>
                </w:p>
              </w:tc>
              <w:tc>
                <w:tcPr>
                  <w:tcW w:w="1021" w:type="dxa"/>
                  <w:vAlign w:val="center"/>
                </w:tcPr>
                <w:p w14:paraId="0BB2E4B5">
                  <w:pPr>
                    <w:pStyle w:val="20"/>
                    <w:rPr>
                      <w:color w:val="auto"/>
                    </w:rPr>
                  </w:pPr>
                  <w:r>
                    <w:rPr>
                      <w:color w:val="auto"/>
                    </w:rPr>
                    <w:t>+7.05</w:t>
                  </w:r>
                </w:p>
              </w:tc>
              <w:tc>
                <w:tcPr>
                  <w:tcW w:w="995" w:type="dxa"/>
                  <w:vAlign w:val="center"/>
                </w:tcPr>
                <w:p w14:paraId="1F60BADE">
                  <w:pPr>
                    <w:pStyle w:val="20"/>
                    <w:rPr>
                      <w:color w:val="auto"/>
                    </w:rPr>
                  </w:pPr>
                  <w:r>
                    <w:rPr>
                      <w:color w:val="auto"/>
                    </w:rPr>
                    <w:t>0.4</w:t>
                  </w:r>
                </w:p>
              </w:tc>
              <w:tc>
                <w:tcPr>
                  <w:tcW w:w="372" w:type="dxa"/>
                  <w:vAlign w:val="center"/>
                </w:tcPr>
                <w:p w14:paraId="700C4EA4">
                  <w:pPr>
                    <w:pStyle w:val="20"/>
                    <w:rPr>
                      <w:color w:val="auto"/>
                    </w:rPr>
                  </w:pPr>
                  <w:r>
                    <w:rPr>
                      <w:color w:val="auto"/>
                    </w:rPr>
                    <w:t>t</w:t>
                  </w:r>
                </w:p>
              </w:tc>
              <w:tc>
                <w:tcPr>
                  <w:tcW w:w="1874" w:type="dxa"/>
                  <w:vAlign w:val="center"/>
                </w:tcPr>
                <w:p w14:paraId="16B15CFD">
                  <w:pPr>
                    <w:pStyle w:val="20"/>
                    <w:rPr>
                      <w:color w:val="auto"/>
                    </w:rPr>
                  </w:pPr>
                  <w:r>
                    <w:rPr>
                      <w:color w:val="auto"/>
                    </w:rPr>
                    <w:t>1kg/桶</w:t>
                  </w:r>
                </w:p>
              </w:tc>
            </w:tr>
            <w:tr w14:paraId="2275B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6ABB1631">
                  <w:pPr>
                    <w:pStyle w:val="20"/>
                    <w:rPr>
                      <w:color w:val="auto"/>
                    </w:rPr>
                  </w:pPr>
                  <w:r>
                    <w:rPr>
                      <w:color w:val="auto"/>
                    </w:rPr>
                    <w:t>液化石油气</w:t>
                  </w:r>
                </w:p>
              </w:tc>
              <w:tc>
                <w:tcPr>
                  <w:tcW w:w="1375" w:type="dxa"/>
                  <w:vAlign w:val="center"/>
                </w:tcPr>
                <w:p w14:paraId="7300A52F">
                  <w:pPr>
                    <w:pStyle w:val="20"/>
                    <w:rPr>
                      <w:color w:val="auto"/>
                    </w:rPr>
                  </w:pPr>
                  <w:r>
                    <w:rPr>
                      <w:color w:val="auto"/>
                    </w:rPr>
                    <w:t>0</w:t>
                  </w:r>
                </w:p>
              </w:tc>
              <w:tc>
                <w:tcPr>
                  <w:tcW w:w="1008" w:type="dxa"/>
                  <w:vAlign w:val="center"/>
                </w:tcPr>
                <w:p w14:paraId="085CC511">
                  <w:pPr>
                    <w:pStyle w:val="20"/>
                    <w:rPr>
                      <w:color w:val="auto"/>
                    </w:rPr>
                  </w:pPr>
                  <w:r>
                    <w:rPr>
                      <w:color w:val="auto"/>
                    </w:rPr>
                    <w:t>78</w:t>
                  </w:r>
                </w:p>
              </w:tc>
              <w:tc>
                <w:tcPr>
                  <w:tcW w:w="1021" w:type="dxa"/>
                  <w:vAlign w:val="center"/>
                </w:tcPr>
                <w:p w14:paraId="03612639">
                  <w:pPr>
                    <w:pStyle w:val="20"/>
                    <w:rPr>
                      <w:color w:val="auto"/>
                    </w:rPr>
                  </w:pPr>
                  <w:r>
                    <w:rPr>
                      <w:color w:val="auto"/>
                    </w:rPr>
                    <w:t>+78</w:t>
                  </w:r>
                </w:p>
              </w:tc>
              <w:tc>
                <w:tcPr>
                  <w:tcW w:w="995" w:type="dxa"/>
                  <w:vAlign w:val="center"/>
                </w:tcPr>
                <w:p w14:paraId="2CAB1FA9">
                  <w:pPr>
                    <w:pStyle w:val="20"/>
                    <w:rPr>
                      <w:color w:val="auto"/>
                    </w:rPr>
                  </w:pPr>
                  <w:r>
                    <w:rPr>
                      <w:color w:val="auto"/>
                    </w:rPr>
                    <w:t>0.4</w:t>
                  </w:r>
                </w:p>
              </w:tc>
              <w:tc>
                <w:tcPr>
                  <w:tcW w:w="372" w:type="dxa"/>
                  <w:vAlign w:val="center"/>
                </w:tcPr>
                <w:p w14:paraId="08483E9A">
                  <w:pPr>
                    <w:pStyle w:val="20"/>
                    <w:rPr>
                      <w:color w:val="auto"/>
                    </w:rPr>
                  </w:pPr>
                  <w:r>
                    <w:rPr>
                      <w:color w:val="auto"/>
                    </w:rPr>
                    <w:t>t</w:t>
                  </w:r>
                </w:p>
              </w:tc>
              <w:tc>
                <w:tcPr>
                  <w:tcW w:w="1874" w:type="dxa"/>
                  <w:vAlign w:val="center"/>
                </w:tcPr>
                <w:p w14:paraId="22140392">
                  <w:pPr>
                    <w:pStyle w:val="20"/>
                    <w:rPr>
                      <w:color w:val="auto"/>
                    </w:rPr>
                  </w:pPr>
                  <w:r>
                    <w:rPr>
                      <w:color w:val="auto"/>
                    </w:rPr>
                    <w:t>200kg/罐</w:t>
                  </w:r>
                </w:p>
              </w:tc>
            </w:tr>
            <w:tr w14:paraId="3EE05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81" w:type="dxa"/>
                  <w:gridSpan w:val="2"/>
                  <w:vAlign w:val="center"/>
                </w:tcPr>
                <w:p w14:paraId="40CD2F55">
                  <w:pPr>
                    <w:pStyle w:val="20"/>
                    <w:rPr>
                      <w:color w:val="auto"/>
                    </w:rPr>
                  </w:pPr>
                  <w:r>
                    <w:rPr>
                      <w:color w:val="auto"/>
                    </w:rPr>
                    <w:t>树脂粉末</w:t>
                  </w:r>
                </w:p>
              </w:tc>
              <w:tc>
                <w:tcPr>
                  <w:tcW w:w="1375" w:type="dxa"/>
                  <w:vAlign w:val="center"/>
                </w:tcPr>
                <w:p w14:paraId="6360A1F9">
                  <w:pPr>
                    <w:pStyle w:val="20"/>
                    <w:rPr>
                      <w:color w:val="auto"/>
                    </w:rPr>
                  </w:pPr>
                  <w:r>
                    <w:rPr>
                      <w:color w:val="auto"/>
                    </w:rPr>
                    <w:t>0</w:t>
                  </w:r>
                </w:p>
              </w:tc>
              <w:tc>
                <w:tcPr>
                  <w:tcW w:w="1008" w:type="dxa"/>
                  <w:vAlign w:val="center"/>
                </w:tcPr>
                <w:p w14:paraId="4FEF5D35">
                  <w:pPr>
                    <w:pStyle w:val="20"/>
                    <w:rPr>
                      <w:color w:val="auto"/>
                    </w:rPr>
                  </w:pPr>
                  <w:r>
                    <w:rPr>
                      <w:color w:val="auto"/>
                    </w:rPr>
                    <w:t>101</w:t>
                  </w:r>
                </w:p>
              </w:tc>
              <w:tc>
                <w:tcPr>
                  <w:tcW w:w="1021" w:type="dxa"/>
                  <w:vAlign w:val="center"/>
                </w:tcPr>
                <w:p w14:paraId="21F5C9D4">
                  <w:pPr>
                    <w:pStyle w:val="20"/>
                    <w:rPr>
                      <w:color w:val="auto"/>
                    </w:rPr>
                  </w:pPr>
                  <w:r>
                    <w:rPr>
                      <w:color w:val="auto"/>
                    </w:rPr>
                    <w:t>+101</w:t>
                  </w:r>
                </w:p>
              </w:tc>
              <w:tc>
                <w:tcPr>
                  <w:tcW w:w="995" w:type="dxa"/>
                  <w:vAlign w:val="center"/>
                </w:tcPr>
                <w:p w14:paraId="39B8CA45">
                  <w:pPr>
                    <w:pStyle w:val="20"/>
                    <w:rPr>
                      <w:color w:val="auto"/>
                    </w:rPr>
                  </w:pPr>
                  <w:r>
                    <w:rPr>
                      <w:color w:val="auto"/>
                    </w:rPr>
                    <w:t>8.42</w:t>
                  </w:r>
                </w:p>
              </w:tc>
              <w:tc>
                <w:tcPr>
                  <w:tcW w:w="372" w:type="dxa"/>
                  <w:vAlign w:val="center"/>
                </w:tcPr>
                <w:p w14:paraId="17DB5AF6">
                  <w:pPr>
                    <w:pStyle w:val="20"/>
                    <w:rPr>
                      <w:color w:val="auto"/>
                    </w:rPr>
                  </w:pPr>
                  <w:r>
                    <w:rPr>
                      <w:color w:val="auto"/>
                    </w:rPr>
                    <w:t>t</w:t>
                  </w:r>
                </w:p>
              </w:tc>
              <w:tc>
                <w:tcPr>
                  <w:tcW w:w="1874" w:type="dxa"/>
                  <w:vAlign w:val="center"/>
                </w:tcPr>
                <w:p w14:paraId="5CC497D6">
                  <w:pPr>
                    <w:pStyle w:val="20"/>
                    <w:rPr>
                      <w:color w:val="auto"/>
                    </w:rPr>
                  </w:pPr>
                  <w:r>
                    <w:rPr>
                      <w:color w:val="auto"/>
                    </w:rPr>
                    <w:t>25kg/袋</w:t>
                  </w:r>
                </w:p>
              </w:tc>
            </w:tr>
            <w:tr w14:paraId="0643F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326" w:type="dxa"/>
                  <w:gridSpan w:val="8"/>
                  <w:vAlign w:val="center"/>
                </w:tcPr>
                <w:p w14:paraId="1F79CDC8">
                  <w:pPr>
                    <w:pStyle w:val="20"/>
                    <w:rPr>
                      <w:color w:val="auto"/>
                    </w:rPr>
                  </w:pPr>
                  <w:r>
                    <w:rPr>
                      <w:color w:val="auto"/>
                      <w:vertAlign w:val="superscript"/>
                    </w:rPr>
                    <w:t>①</w:t>
                  </w:r>
                  <w:r>
                    <w:rPr>
                      <w:color w:val="auto"/>
                    </w:rPr>
                    <w:t>注：数据来源一期工程《乐昌市鑫东穗汽车用品有限公司乐昌市东穗汽车用品项目环境影响报告表》，企业实际生产过程中原辅材料实际用量为</w:t>
                  </w:r>
                  <w:r>
                    <w:rPr>
                      <w:color w:val="auto"/>
                      <w:vertAlign w:val="superscript"/>
                    </w:rPr>
                    <w:t>①</w:t>
                  </w:r>
                  <w:r>
                    <w:rPr>
                      <w:color w:val="auto"/>
                    </w:rPr>
                    <w:t>用量的67%，则</w:t>
                  </w:r>
                  <w:r>
                    <w:rPr>
                      <w:rFonts w:hint="eastAsia"/>
                      <w:color w:val="auto"/>
                    </w:rPr>
                    <w:t>原审批的原辅材料</w:t>
                  </w:r>
                  <w:r>
                    <w:rPr>
                      <w:rFonts w:hint="eastAsia"/>
                      <w:color w:val="auto"/>
                      <w:vertAlign w:val="superscript"/>
                    </w:rPr>
                    <w:t>①</w:t>
                  </w:r>
                  <w:r>
                    <w:rPr>
                      <w:color w:val="auto"/>
                    </w:rPr>
                    <w:t>用量能达到15万套产能</w:t>
                  </w:r>
                </w:p>
              </w:tc>
            </w:tr>
            <w:bookmarkEnd w:id="2"/>
          </w:tbl>
          <w:p w14:paraId="5FF05421">
            <w:pPr>
              <w:ind w:firstLine="480"/>
              <w:rPr>
                <w:color w:val="auto"/>
              </w:rPr>
            </w:pPr>
            <w:r>
              <w:rPr>
                <w:color w:val="auto"/>
              </w:rPr>
              <w:t>（1）原辅材料理化性质：</w:t>
            </w:r>
          </w:p>
          <w:p w14:paraId="0FC73501">
            <w:pPr>
              <w:ind w:firstLine="480"/>
              <w:rPr>
                <w:color w:val="auto"/>
              </w:rPr>
            </w:pPr>
            <w:r>
              <w:rPr>
                <w:color w:val="auto"/>
              </w:rPr>
              <w:t>电泳槽液：本项目电泳槽液是以色浆、乳液、水以1：5.5：6.5比例在电泳槽中混合使用。根据色浆MSDS各成分为：丙二醇丁醚0.6~0.8%，水48.3~58.3%，炭黑5~10%、高岭土14~26%，环氧树脂14~23%；根据乳液的MSDS各成分为：丙二醇丁醚0.3~0.5%、水60~65%、聚氨酯1~8%、环氧树脂28~35%。</w:t>
            </w:r>
          </w:p>
          <w:p w14:paraId="21ABE8E3">
            <w:pPr>
              <w:ind w:firstLine="480"/>
              <w:rPr>
                <w:color w:val="auto"/>
              </w:rPr>
            </w:pPr>
            <w:r>
              <w:rPr>
                <w:color w:val="auto"/>
              </w:rPr>
              <w:t>扣除掉色浆、乳液中水分及添加的水后，电泳漆中VOCs挥发分含量见表2-5：</w:t>
            </w:r>
          </w:p>
          <w:p w14:paraId="33E5D42E">
            <w:pPr>
              <w:ind w:firstLine="480"/>
              <w:rPr>
                <w:color w:val="auto"/>
              </w:rPr>
            </w:pPr>
            <w:r>
              <w:rPr>
                <w:color w:val="auto"/>
              </w:rPr>
              <w:t>计算公式如下：</w:t>
            </w:r>
          </w:p>
          <w:p w14:paraId="2893221D">
            <w:pPr>
              <w:ind w:firstLine="480"/>
              <w:jc w:val="center"/>
              <w:rPr>
                <w:color w:val="auto"/>
              </w:rPr>
            </w:pPr>
            <w:r>
              <w:rPr>
                <w:color w:val="auto"/>
                <w:position w:val="-62"/>
              </w:rPr>
              <w:object>
                <v:shape id="_x0000_i1025" o:spt="75" type="#_x0000_t75" style="height:45.5pt;width:141pt;" o:ole="t" filled="f" o:preferrelative="t" stroked="f" coordsize="21600,21600">
                  <v:path/>
                  <v:fill on="f" focussize="0,0"/>
                  <v:stroke on="f" joinstyle="miter"/>
                  <v:imagedata r:id="rId22" o:title=""/>
                  <o:lock v:ext="edit" aspectratio="t"/>
                  <w10:wrap type="none"/>
                  <w10:anchorlock/>
                </v:shape>
                <o:OLEObject Type="Embed" ProgID="Equation.KSEE3" ShapeID="_x0000_i1025" DrawAspect="Content" ObjectID="_1468075725" r:id="rId21">
                  <o:LockedField>false</o:LockedField>
                </o:OLEObject>
              </w:object>
            </w:r>
          </w:p>
          <w:p w14:paraId="564B1B0F">
            <w:pPr>
              <w:ind w:firstLine="480"/>
              <w:rPr>
                <w:color w:val="auto"/>
                <w:kern w:val="2"/>
              </w:rPr>
            </w:pPr>
            <w:r>
              <w:rPr>
                <w:color w:val="auto"/>
                <w:kern w:val="2"/>
              </w:rPr>
              <w:t>其中：</w:t>
            </w:r>
          </w:p>
          <w:p w14:paraId="7DEA3ADA">
            <w:pPr>
              <w:ind w:firstLine="480"/>
              <w:rPr>
                <w:color w:val="auto"/>
                <w:kern w:val="2"/>
              </w:rPr>
            </w:pPr>
            <w:r>
              <w:rPr>
                <w:color w:val="auto"/>
                <w:kern w:val="2"/>
              </w:rPr>
              <w:drawing>
                <wp:inline distT="0" distB="0" distL="114300" distR="114300">
                  <wp:extent cx="475615" cy="165735"/>
                  <wp:effectExtent l="0" t="0" r="635" b="5715"/>
                  <wp:docPr id="259"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55"/>
                          <pic:cNvPicPr>
                            <a:picLocks noChangeAspect="1"/>
                          </pic:cNvPicPr>
                        </pic:nvPicPr>
                        <pic:blipFill>
                          <a:blip r:embed="rId23"/>
                          <a:stretch>
                            <a:fillRect/>
                          </a:stretch>
                        </pic:blipFill>
                        <pic:spPr>
                          <a:xfrm>
                            <a:off x="0" y="0"/>
                            <a:ext cx="475615" cy="165735"/>
                          </a:xfrm>
                          <a:prstGeom prst="rect">
                            <a:avLst/>
                          </a:prstGeom>
                          <a:noFill/>
                          <a:ln>
                            <a:noFill/>
                          </a:ln>
                        </pic:spPr>
                      </pic:pic>
                    </a:graphicData>
                  </a:graphic>
                </wp:inline>
              </w:drawing>
            </w:r>
            <w:r>
              <w:rPr>
                <w:color w:val="auto"/>
                <w:kern w:val="2"/>
              </w:rPr>
              <w:t>--底漆扣除水分后的挥发性有机物（VOC）含量的数值，单位为克每升（g/L）；</w:t>
            </w:r>
          </w:p>
          <w:p w14:paraId="4C51A358">
            <w:pPr>
              <w:ind w:firstLine="480"/>
              <w:rPr>
                <w:color w:val="auto"/>
                <w:kern w:val="2"/>
              </w:rPr>
            </w:pPr>
            <w:r>
              <w:rPr>
                <w:color w:val="auto"/>
                <w:kern w:val="2"/>
              </w:rPr>
              <w:drawing>
                <wp:inline distT="0" distB="0" distL="114300" distR="114300">
                  <wp:extent cx="346710" cy="145415"/>
                  <wp:effectExtent l="0" t="0" r="15240" b="5080"/>
                  <wp:docPr id="260"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56"/>
                          <pic:cNvPicPr>
                            <a:picLocks noChangeAspect="1"/>
                          </pic:cNvPicPr>
                        </pic:nvPicPr>
                        <pic:blipFill>
                          <a:blip r:embed="rId24"/>
                          <a:stretch>
                            <a:fillRect/>
                          </a:stretch>
                        </pic:blipFill>
                        <pic:spPr>
                          <a:xfrm>
                            <a:off x="0" y="0"/>
                            <a:ext cx="346710" cy="145415"/>
                          </a:xfrm>
                          <a:prstGeom prst="rect">
                            <a:avLst/>
                          </a:prstGeom>
                          <a:noFill/>
                          <a:ln>
                            <a:noFill/>
                          </a:ln>
                        </pic:spPr>
                      </pic:pic>
                    </a:graphicData>
                  </a:graphic>
                </wp:inline>
              </w:drawing>
            </w:r>
            <w:r>
              <w:rPr>
                <w:color w:val="auto"/>
                <w:kern w:val="2"/>
              </w:rPr>
              <w:t>------不挥发物含量（质量分数）的数值，%；</w:t>
            </w:r>
          </w:p>
          <w:p w14:paraId="43704011">
            <w:pPr>
              <w:ind w:firstLine="480"/>
              <w:rPr>
                <w:color w:val="auto"/>
                <w:kern w:val="2"/>
              </w:rPr>
            </w:pPr>
            <w:r>
              <w:rPr>
                <w:color w:val="auto"/>
                <w:kern w:val="2"/>
              </w:rPr>
              <w:drawing>
                <wp:inline distT="0" distB="0" distL="114300" distR="114300">
                  <wp:extent cx="211455" cy="211455"/>
                  <wp:effectExtent l="0" t="0" r="17145" b="0"/>
                  <wp:docPr id="261"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57"/>
                          <pic:cNvPicPr>
                            <a:picLocks noChangeAspect="1"/>
                          </pic:cNvPicPr>
                        </pic:nvPicPr>
                        <pic:blipFill>
                          <a:blip r:embed="rId25"/>
                          <a:stretch>
                            <a:fillRect/>
                          </a:stretch>
                        </pic:blipFill>
                        <pic:spPr>
                          <a:xfrm>
                            <a:off x="0" y="0"/>
                            <a:ext cx="211455" cy="211455"/>
                          </a:xfrm>
                          <a:prstGeom prst="rect">
                            <a:avLst/>
                          </a:prstGeom>
                          <a:noFill/>
                          <a:ln>
                            <a:noFill/>
                          </a:ln>
                        </pic:spPr>
                      </pic:pic>
                    </a:graphicData>
                  </a:graphic>
                </wp:inline>
              </w:drawing>
            </w:r>
            <w:r>
              <w:rPr>
                <w:color w:val="auto"/>
                <w:kern w:val="2"/>
              </w:rPr>
              <w:t>-----------水分含量（质量分数）的数值，%；</w:t>
            </w:r>
          </w:p>
          <w:p w14:paraId="22E333F2">
            <w:pPr>
              <w:ind w:firstLine="480"/>
              <w:rPr>
                <w:color w:val="auto"/>
                <w:kern w:val="2"/>
              </w:rPr>
            </w:pPr>
            <w:r>
              <w:rPr>
                <w:color w:val="auto"/>
                <w:kern w:val="2"/>
              </w:rPr>
              <w:drawing>
                <wp:inline distT="0" distB="0" distL="114300" distR="114300">
                  <wp:extent cx="117475" cy="133350"/>
                  <wp:effectExtent l="0" t="0" r="15875" b="0"/>
                  <wp:docPr id="262"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58"/>
                          <pic:cNvPicPr>
                            <a:picLocks noChangeAspect="1"/>
                          </pic:cNvPicPr>
                        </pic:nvPicPr>
                        <pic:blipFill>
                          <a:blip r:embed="rId26"/>
                          <a:stretch>
                            <a:fillRect/>
                          </a:stretch>
                        </pic:blipFill>
                        <pic:spPr>
                          <a:xfrm>
                            <a:off x="0" y="0"/>
                            <a:ext cx="117475" cy="133350"/>
                          </a:xfrm>
                          <a:prstGeom prst="rect">
                            <a:avLst/>
                          </a:prstGeom>
                          <a:noFill/>
                          <a:ln>
                            <a:noFill/>
                          </a:ln>
                        </pic:spPr>
                      </pic:pic>
                    </a:graphicData>
                  </a:graphic>
                </wp:inline>
              </w:drawing>
            </w:r>
            <w:r>
              <w:rPr>
                <w:color w:val="auto"/>
                <w:kern w:val="2"/>
              </w:rPr>
              <w:t>------------底漆在28℃时的密度数值，单位为克每毫升（g/mL）；</w:t>
            </w:r>
          </w:p>
          <w:p w14:paraId="43CF6EF6">
            <w:pPr>
              <w:ind w:firstLine="480"/>
              <w:rPr>
                <w:color w:val="auto"/>
                <w:kern w:val="2"/>
              </w:rPr>
            </w:pPr>
            <w:r>
              <w:rPr>
                <w:color w:val="auto"/>
                <w:kern w:val="2"/>
              </w:rPr>
              <w:drawing>
                <wp:inline distT="0" distB="0" distL="114300" distR="114300">
                  <wp:extent cx="157480" cy="172085"/>
                  <wp:effectExtent l="0" t="0" r="13970" b="18415"/>
                  <wp:docPr id="263"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59"/>
                          <pic:cNvPicPr>
                            <a:picLocks noChangeAspect="1"/>
                          </pic:cNvPicPr>
                        </pic:nvPicPr>
                        <pic:blipFill>
                          <a:blip r:embed="rId27"/>
                          <a:stretch>
                            <a:fillRect/>
                          </a:stretch>
                        </pic:blipFill>
                        <pic:spPr>
                          <a:xfrm>
                            <a:off x="0" y="0"/>
                            <a:ext cx="157480" cy="172085"/>
                          </a:xfrm>
                          <a:prstGeom prst="rect">
                            <a:avLst/>
                          </a:prstGeom>
                          <a:noFill/>
                          <a:ln>
                            <a:noFill/>
                          </a:ln>
                        </pic:spPr>
                      </pic:pic>
                    </a:graphicData>
                  </a:graphic>
                </wp:inline>
              </w:drawing>
            </w:r>
            <w:r>
              <w:rPr>
                <w:color w:val="auto"/>
                <w:kern w:val="2"/>
              </w:rPr>
              <w:t>----------水在28℃时的密度数值，单位为克每毫升（g/mL）</w:t>
            </w:r>
            <w:r>
              <w:rPr>
                <w:rFonts w:hint="eastAsia"/>
                <w:color w:val="auto"/>
                <w:kern w:val="2"/>
                <w:lang w:eastAsia="zh-CN"/>
              </w:rPr>
              <w:t>（</w:t>
            </w:r>
            <w:r>
              <w:rPr>
                <w:color w:val="auto"/>
                <w:kern w:val="2"/>
              </w:rPr>
              <w:t>28℃时,</w:t>
            </w:r>
            <w:r>
              <w:rPr>
                <w:color w:val="auto"/>
                <w:kern w:val="2"/>
              </w:rPr>
              <w:drawing>
                <wp:inline distT="0" distB="0" distL="114300" distR="114300">
                  <wp:extent cx="169545" cy="185420"/>
                  <wp:effectExtent l="0" t="0" r="1905" b="3810"/>
                  <wp:docPr id="264"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59"/>
                          <pic:cNvPicPr>
                            <a:picLocks noChangeAspect="1"/>
                          </pic:cNvPicPr>
                        </pic:nvPicPr>
                        <pic:blipFill>
                          <a:blip r:embed="rId27"/>
                          <a:stretch>
                            <a:fillRect/>
                          </a:stretch>
                        </pic:blipFill>
                        <pic:spPr>
                          <a:xfrm>
                            <a:off x="0" y="0"/>
                            <a:ext cx="169545" cy="185420"/>
                          </a:xfrm>
                          <a:prstGeom prst="rect">
                            <a:avLst/>
                          </a:prstGeom>
                          <a:noFill/>
                          <a:ln>
                            <a:noFill/>
                          </a:ln>
                        </pic:spPr>
                      </pic:pic>
                    </a:graphicData>
                  </a:graphic>
                </wp:inline>
              </w:drawing>
            </w:r>
            <w:r>
              <w:rPr>
                <w:color w:val="auto"/>
                <w:kern w:val="2"/>
              </w:rPr>
              <w:t>=0.997g/mL</w:t>
            </w:r>
            <w:r>
              <w:rPr>
                <w:rFonts w:hint="eastAsia"/>
                <w:color w:val="auto"/>
                <w:kern w:val="2"/>
                <w:lang w:eastAsia="zh-CN"/>
              </w:rPr>
              <w:t>）</w:t>
            </w:r>
            <w:r>
              <w:rPr>
                <w:color w:val="auto"/>
                <w:kern w:val="2"/>
              </w:rPr>
              <w:t>。</w:t>
            </w:r>
          </w:p>
          <w:p w14:paraId="0E14E7F0">
            <w:pPr>
              <w:ind w:firstLine="480"/>
              <w:rPr>
                <w:color w:val="auto"/>
                <w:kern w:val="2"/>
              </w:rPr>
            </w:pPr>
            <w:r>
              <w:rPr>
                <w:color w:val="auto"/>
                <w:kern w:val="2"/>
              </w:rPr>
              <w:drawing>
                <wp:inline distT="0" distB="0" distL="114300" distR="114300">
                  <wp:extent cx="211455" cy="211455"/>
                  <wp:effectExtent l="0" t="0" r="17145" b="0"/>
                  <wp:docPr id="2"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7"/>
                          <pic:cNvPicPr>
                            <a:picLocks noChangeAspect="1"/>
                          </pic:cNvPicPr>
                        </pic:nvPicPr>
                        <pic:blipFill>
                          <a:blip r:embed="rId25"/>
                          <a:stretch>
                            <a:fillRect/>
                          </a:stretch>
                        </pic:blipFill>
                        <pic:spPr>
                          <a:xfrm>
                            <a:off x="0" y="0"/>
                            <a:ext cx="211455" cy="211455"/>
                          </a:xfrm>
                          <a:prstGeom prst="rect">
                            <a:avLst/>
                          </a:prstGeom>
                          <a:noFill/>
                          <a:ln>
                            <a:noFill/>
                          </a:ln>
                        </pic:spPr>
                      </pic:pic>
                    </a:graphicData>
                  </a:graphic>
                </wp:inline>
              </w:drawing>
            </w:r>
            <w:r>
              <w:rPr>
                <w:rFonts w:hint="eastAsia"/>
                <w:color w:val="auto"/>
                <w:kern w:val="2"/>
              </w:rPr>
              <w:t>：</w:t>
            </w:r>
            <w:r>
              <w:rPr>
                <w:color w:val="auto"/>
                <w:kern w:val="2"/>
              </w:rPr>
              <w:t>色浆在电泳槽液中的含量为1/13*100%=7.69%，色浆中</w:t>
            </w:r>
            <w:r>
              <w:rPr>
                <w:rFonts w:hint="eastAsia"/>
                <w:color w:val="auto"/>
                <w:kern w:val="2"/>
              </w:rPr>
              <w:t>水</w:t>
            </w:r>
            <w:r>
              <w:rPr>
                <w:color w:val="auto"/>
                <w:kern w:val="2"/>
              </w:rPr>
              <w:t>含量为</w:t>
            </w:r>
            <w:r>
              <w:rPr>
                <w:rFonts w:hint="eastAsia"/>
                <w:color w:val="auto"/>
                <w:kern w:val="2"/>
              </w:rPr>
              <w:t>53.2</w:t>
            </w:r>
            <w:r>
              <w:rPr>
                <w:color w:val="auto"/>
                <w:kern w:val="2"/>
              </w:rPr>
              <w:t>%</w:t>
            </w:r>
            <w:r>
              <w:rPr>
                <w:rFonts w:hint="eastAsia"/>
                <w:color w:val="auto"/>
                <w:kern w:val="2"/>
              </w:rPr>
              <w:t>，</w:t>
            </w:r>
            <w:r>
              <w:rPr>
                <w:color w:val="auto"/>
                <w:kern w:val="2"/>
              </w:rPr>
              <w:t>则色浆中</w:t>
            </w:r>
            <w:r>
              <w:rPr>
                <w:rFonts w:hint="eastAsia"/>
                <w:color w:val="auto"/>
                <w:kern w:val="2"/>
              </w:rPr>
              <w:t>的水</w:t>
            </w:r>
            <w:r>
              <w:rPr>
                <w:color w:val="auto"/>
                <w:kern w:val="2"/>
              </w:rPr>
              <w:t>在电泳槽液中含量为</w:t>
            </w:r>
            <w:r>
              <w:rPr>
                <w:rFonts w:hint="eastAsia"/>
                <w:color w:val="auto"/>
                <w:kern w:val="2"/>
              </w:rPr>
              <w:t>53.2</w:t>
            </w:r>
            <w:r>
              <w:rPr>
                <w:color w:val="auto"/>
                <w:kern w:val="2"/>
              </w:rPr>
              <w:t>%*7.69%=</w:t>
            </w:r>
            <w:r>
              <w:rPr>
                <w:rFonts w:hint="eastAsia"/>
                <w:color w:val="auto"/>
                <w:kern w:val="2"/>
              </w:rPr>
              <w:t>4.09</w:t>
            </w:r>
            <w:r>
              <w:rPr>
                <w:color w:val="auto"/>
                <w:kern w:val="2"/>
              </w:rPr>
              <w:t>%</w:t>
            </w:r>
            <w:r>
              <w:rPr>
                <w:rFonts w:hint="eastAsia"/>
                <w:color w:val="auto"/>
                <w:kern w:val="2"/>
              </w:rPr>
              <w:t>；</w:t>
            </w:r>
            <w:r>
              <w:rPr>
                <w:color w:val="auto"/>
                <w:kern w:val="2"/>
              </w:rPr>
              <w:t>同理可计</w:t>
            </w:r>
            <w:r>
              <w:rPr>
                <w:rFonts w:hint="eastAsia"/>
                <w:color w:val="auto"/>
                <w:kern w:val="2"/>
              </w:rPr>
              <w:t>，</w:t>
            </w:r>
            <w:r>
              <w:rPr>
                <w:color w:val="auto"/>
                <w:kern w:val="2"/>
              </w:rPr>
              <w:t>乳浆中的水</w:t>
            </w:r>
            <w:r>
              <w:rPr>
                <w:rFonts w:hint="eastAsia"/>
                <w:color w:val="auto"/>
                <w:kern w:val="2"/>
              </w:rPr>
              <w:t>在电泳槽液中</w:t>
            </w:r>
            <w:r>
              <w:rPr>
                <w:color w:val="auto"/>
                <w:kern w:val="2"/>
              </w:rPr>
              <w:t>含量为63.5%*</w:t>
            </w:r>
            <w:r>
              <w:rPr>
                <w:rFonts w:hint="eastAsia"/>
                <w:color w:val="auto"/>
                <w:kern w:val="2"/>
              </w:rPr>
              <w:t>42.31</w:t>
            </w:r>
            <w:r>
              <w:rPr>
                <w:color w:val="auto"/>
                <w:kern w:val="2"/>
              </w:rPr>
              <w:t>%=</w:t>
            </w:r>
            <w:r>
              <w:rPr>
                <w:rFonts w:hint="eastAsia"/>
                <w:color w:val="auto"/>
                <w:kern w:val="2"/>
              </w:rPr>
              <w:t>26.87</w:t>
            </w:r>
            <w:r>
              <w:rPr>
                <w:color w:val="auto"/>
                <w:kern w:val="2"/>
              </w:rPr>
              <w:t>%</w:t>
            </w:r>
            <w:r>
              <w:rPr>
                <w:rFonts w:hint="eastAsia"/>
                <w:color w:val="auto"/>
                <w:kern w:val="2"/>
              </w:rPr>
              <w:t>、添加水量为电泳槽液的50%</w:t>
            </w:r>
            <w:r>
              <w:rPr>
                <w:color w:val="auto"/>
                <w:kern w:val="2"/>
              </w:rPr>
              <w:t>，则电泳槽液水含量为80.96%</w:t>
            </w:r>
          </w:p>
          <w:p w14:paraId="58D6D8C4">
            <w:pPr>
              <w:ind w:firstLine="480"/>
              <w:rPr>
                <w:color w:val="auto"/>
                <w:kern w:val="2"/>
              </w:rPr>
            </w:pPr>
            <w:r>
              <w:rPr>
                <w:color w:val="auto"/>
                <w:kern w:val="2"/>
              </w:rPr>
              <w:drawing>
                <wp:inline distT="0" distB="0" distL="114300" distR="114300">
                  <wp:extent cx="346710" cy="145415"/>
                  <wp:effectExtent l="0" t="0" r="15240" b="5080"/>
                  <wp:docPr id="4"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6"/>
                          <pic:cNvPicPr>
                            <a:picLocks noChangeAspect="1"/>
                          </pic:cNvPicPr>
                        </pic:nvPicPr>
                        <pic:blipFill>
                          <a:blip r:embed="rId24"/>
                          <a:stretch>
                            <a:fillRect/>
                          </a:stretch>
                        </pic:blipFill>
                        <pic:spPr>
                          <a:xfrm>
                            <a:off x="0" y="0"/>
                            <a:ext cx="346710" cy="145415"/>
                          </a:xfrm>
                          <a:prstGeom prst="rect">
                            <a:avLst/>
                          </a:prstGeom>
                          <a:noFill/>
                          <a:ln>
                            <a:noFill/>
                          </a:ln>
                        </pic:spPr>
                      </pic:pic>
                    </a:graphicData>
                  </a:graphic>
                </wp:inline>
              </w:drawing>
            </w:r>
            <w:r>
              <w:rPr>
                <w:rFonts w:hint="eastAsia"/>
                <w:color w:val="auto"/>
                <w:kern w:val="2"/>
              </w:rPr>
              <w:t>：</w:t>
            </w:r>
            <w:r>
              <w:rPr>
                <w:color w:val="auto"/>
                <w:kern w:val="2"/>
              </w:rPr>
              <w:t>色浆中</w:t>
            </w:r>
            <w:r>
              <w:rPr>
                <w:rFonts w:hint="eastAsia"/>
                <w:color w:val="auto"/>
                <w:kern w:val="2"/>
              </w:rPr>
              <w:t>不挥发物</w:t>
            </w:r>
            <w:r>
              <w:rPr>
                <w:color w:val="auto"/>
                <w:kern w:val="2"/>
              </w:rPr>
              <w:t>为</w:t>
            </w:r>
            <w:r>
              <w:rPr>
                <w:rFonts w:hint="eastAsia"/>
                <w:color w:val="auto"/>
                <w:kern w:val="2"/>
              </w:rPr>
              <w:t>46</w:t>
            </w:r>
            <w:r>
              <w:rPr>
                <w:color w:val="auto"/>
                <w:kern w:val="2"/>
              </w:rPr>
              <w:t>%，则色浆</w:t>
            </w:r>
            <w:r>
              <w:rPr>
                <w:rFonts w:hint="eastAsia"/>
                <w:color w:val="auto"/>
                <w:kern w:val="2"/>
              </w:rPr>
              <w:t>不挥发物</w:t>
            </w:r>
            <w:r>
              <w:rPr>
                <w:color w:val="auto"/>
                <w:kern w:val="2"/>
              </w:rPr>
              <w:t>在电泳槽液中含量为</w:t>
            </w:r>
            <w:r>
              <w:rPr>
                <w:rFonts w:hint="eastAsia"/>
                <w:color w:val="auto"/>
                <w:kern w:val="2"/>
              </w:rPr>
              <w:t>46</w:t>
            </w:r>
            <w:r>
              <w:rPr>
                <w:color w:val="auto"/>
                <w:kern w:val="2"/>
              </w:rPr>
              <w:t>%*7.69%=</w:t>
            </w:r>
            <w:r>
              <w:rPr>
                <w:rFonts w:hint="eastAsia"/>
                <w:color w:val="auto"/>
                <w:kern w:val="2"/>
              </w:rPr>
              <w:t>3.54</w:t>
            </w:r>
            <w:r>
              <w:rPr>
                <w:color w:val="auto"/>
                <w:kern w:val="2"/>
              </w:rPr>
              <w:t>%；乳浆</w:t>
            </w:r>
            <w:r>
              <w:rPr>
                <w:rFonts w:hint="eastAsia"/>
                <w:color w:val="auto"/>
                <w:kern w:val="2"/>
              </w:rPr>
              <w:t>不挥发物在电泳槽</w:t>
            </w:r>
            <w:r>
              <w:rPr>
                <w:color w:val="auto"/>
                <w:kern w:val="2"/>
              </w:rPr>
              <w:t>中的含量为</w:t>
            </w:r>
            <w:r>
              <w:rPr>
                <w:rFonts w:hint="eastAsia"/>
                <w:color w:val="auto"/>
                <w:kern w:val="2"/>
              </w:rPr>
              <w:t>36</w:t>
            </w:r>
            <w:r>
              <w:rPr>
                <w:color w:val="auto"/>
                <w:kern w:val="2"/>
              </w:rPr>
              <w:t>%*</w:t>
            </w:r>
            <w:r>
              <w:rPr>
                <w:rFonts w:hint="eastAsia"/>
                <w:color w:val="auto"/>
                <w:kern w:val="2"/>
              </w:rPr>
              <w:t>42.31</w:t>
            </w:r>
            <w:r>
              <w:rPr>
                <w:color w:val="auto"/>
                <w:kern w:val="2"/>
              </w:rPr>
              <w:t>%=</w:t>
            </w:r>
            <w:r>
              <w:rPr>
                <w:rFonts w:hint="eastAsia"/>
                <w:color w:val="auto"/>
                <w:kern w:val="2"/>
              </w:rPr>
              <w:t>15.23</w:t>
            </w:r>
            <w:r>
              <w:rPr>
                <w:color w:val="auto"/>
                <w:kern w:val="2"/>
              </w:rPr>
              <w:t>%，则电泳槽液</w:t>
            </w:r>
            <w:r>
              <w:rPr>
                <w:rFonts w:hint="eastAsia"/>
                <w:color w:val="auto"/>
                <w:kern w:val="2"/>
              </w:rPr>
              <w:t>不挥发物</w:t>
            </w:r>
            <w:r>
              <w:rPr>
                <w:color w:val="auto"/>
                <w:kern w:val="2"/>
              </w:rPr>
              <w:t>含量为</w:t>
            </w:r>
            <w:r>
              <w:rPr>
                <w:rFonts w:hint="eastAsia"/>
                <w:color w:val="auto"/>
                <w:kern w:val="2"/>
              </w:rPr>
              <w:t>18.77</w:t>
            </w:r>
            <w:r>
              <w:rPr>
                <w:color w:val="auto"/>
                <w:kern w:val="2"/>
              </w:rPr>
              <w:t>%。</w:t>
            </w:r>
          </w:p>
          <w:p w14:paraId="30F31A21">
            <w:pPr>
              <w:ind w:firstLine="480"/>
              <w:rPr>
                <w:color w:val="auto"/>
                <w:kern w:val="2"/>
              </w:rPr>
            </w:pPr>
            <w:r>
              <w:rPr>
                <w:color w:val="auto"/>
                <w:kern w:val="2"/>
              </w:rPr>
              <w:drawing>
                <wp:inline distT="0" distB="0" distL="114300" distR="114300">
                  <wp:extent cx="117475" cy="133350"/>
                  <wp:effectExtent l="0" t="0" r="15875" b="0"/>
                  <wp:docPr id="5"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8"/>
                          <pic:cNvPicPr>
                            <a:picLocks noChangeAspect="1"/>
                          </pic:cNvPicPr>
                        </pic:nvPicPr>
                        <pic:blipFill>
                          <a:blip r:embed="rId26"/>
                          <a:stretch>
                            <a:fillRect/>
                          </a:stretch>
                        </pic:blipFill>
                        <pic:spPr>
                          <a:xfrm>
                            <a:off x="0" y="0"/>
                            <a:ext cx="117475" cy="133350"/>
                          </a:xfrm>
                          <a:prstGeom prst="rect">
                            <a:avLst/>
                          </a:prstGeom>
                          <a:noFill/>
                          <a:ln>
                            <a:noFill/>
                          </a:ln>
                        </pic:spPr>
                      </pic:pic>
                    </a:graphicData>
                  </a:graphic>
                </wp:inline>
              </w:drawing>
            </w:r>
            <w:r>
              <w:rPr>
                <w:rFonts w:hint="eastAsia"/>
                <w:color w:val="auto"/>
                <w:kern w:val="2"/>
              </w:rPr>
              <w:t>：</w:t>
            </w:r>
            <w:r>
              <w:rPr>
                <w:color w:val="auto"/>
                <w:kern w:val="2"/>
              </w:rPr>
              <w:t>根据建设单位提供资料电泳漆色浆密度为1.29g/cm</w:t>
            </w:r>
            <w:r>
              <w:rPr>
                <w:color w:val="auto"/>
                <w:kern w:val="2"/>
                <w:vertAlign w:val="superscript"/>
              </w:rPr>
              <w:t>3</w:t>
            </w:r>
            <w:r>
              <w:rPr>
                <w:color w:val="auto"/>
                <w:kern w:val="2"/>
              </w:rPr>
              <w:t>、乳液密度为1.05g/cm</w:t>
            </w:r>
            <w:r>
              <w:rPr>
                <w:color w:val="auto"/>
                <w:kern w:val="2"/>
                <w:vertAlign w:val="superscript"/>
              </w:rPr>
              <w:t>3</w:t>
            </w:r>
            <w:r>
              <w:rPr>
                <w:color w:val="auto"/>
                <w:kern w:val="2"/>
              </w:rPr>
              <w:t>，水在28℃时密度为0.997g/cm</w:t>
            </w:r>
            <w:r>
              <w:rPr>
                <w:color w:val="auto"/>
                <w:kern w:val="2"/>
                <w:vertAlign w:val="superscript"/>
              </w:rPr>
              <w:t>3</w:t>
            </w:r>
            <w:r>
              <w:rPr>
                <w:color w:val="auto"/>
                <w:kern w:val="2"/>
              </w:rPr>
              <w:t>，根据色浆、乳液、水的比例，得知电泳槽液的密度为：</w:t>
            </w:r>
            <w:r>
              <w:rPr>
                <w:rFonts w:hint="eastAsia"/>
                <w:color w:val="auto"/>
                <w:kern w:val="2"/>
              </w:rPr>
              <w:t>（1.29+1.05*5.5+0.997*6.5）/13=</w:t>
            </w:r>
            <w:r>
              <w:rPr>
                <w:color w:val="auto"/>
                <w:kern w:val="2"/>
              </w:rPr>
              <w:t>1.04g/cm</w:t>
            </w:r>
            <w:r>
              <w:rPr>
                <w:color w:val="auto"/>
                <w:kern w:val="2"/>
                <w:vertAlign w:val="superscript"/>
              </w:rPr>
              <w:t>3</w:t>
            </w:r>
            <w:r>
              <w:rPr>
                <w:rFonts w:hint="eastAsia"/>
                <w:color w:val="auto"/>
                <w:kern w:val="2"/>
              </w:rPr>
              <w:t>。</w:t>
            </w:r>
          </w:p>
          <w:p w14:paraId="385BBB11">
            <w:pPr>
              <w:ind w:firstLine="480"/>
              <w:rPr>
                <w:color w:val="auto"/>
                <w:kern w:val="2"/>
              </w:rPr>
            </w:pPr>
            <w:r>
              <w:rPr>
                <w:rFonts w:hint="eastAsia"/>
                <w:color w:val="auto"/>
                <w:kern w:val="2"/>
              </w:rPr>
              <w:t>本项目槽液扣除水分后的挥发性有机物计算结果详见表2-5：</w:t>
            </w:r>
          </w:p>
          <w:p w14:paraId="6495BEC9">
            <w:pPr>
              <w:pStyle w:val="10"/>
              <w:ind w:firstLine="422"/>
              <w:rPr>
                <w:rFonts w:hint="default"/>
                <w:color w:val="auto"/>
                <w:kern w:val="2"/>
              </w:rPr>
            </w:pPr>
            <w:r>
              <w:rPr>
                <w:rFonts w:hint="default"/>
                <w:color w:val="auto"/>
                <w:kern w:val="2"/>
              </w:rPr>
              <w:t>表2-5 项目底漆扣除水分后的挥发性有机物计算一览表</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6"/>
              <w:gridCol w:w="1388"/>
              <w:gridCol w:w="1387"/>
              <w:gridCol w:w="1387"/>
              <w:gridCol w:w="1388"/>
              <w:gridCol w:w="1388"/>
            </w:tblGrid>
            <w:tr w14:paraId="43D64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86" w:type="dxa"/>
                  <w:vAlign w:val="center"/>
                </w:tcPr>
                <w:p w14:paraId="3BEACB06">
                  <w:pPr>
                    <w:pStyle w:val="20"/>
                    <w:rPr>
                      <w:b/>
                      <w:bCs/>
                      <w:color w:val="auto"/>
                    </w:rPr>
                  </w:pPr>
                  <w:r>
                    <w:rPr>
                      <w:b/>
                      <w:bCs/>
                      <w:color w:val="auto"/>
                    </w:rPr>
                    <w:t>项目</w:t>
                  </w:r>
                </w:p>
              </w:tc>
              <w:tc>
                <w:tcPr>
                  <w:tcW w:w="1388" w:type="dxa"/>
                  <w:vAlign w:val="center"/>
                </w:tcPr>
                <w:p w14:paraId="0338FA20">
                  <w:pPr>
                    <w:pStyle w:val="20"/>
                    <w:rPr>
                      <w:b/>
                      <w:bCs/>
                      <w:color w:val="auto"/>
                    </w:rPr>
                  </w:pPr>
                  <w:r>
                    <w:rPr>
                      <w:b/>
                      <w:bCs/>
                      <w:color w:val="auto"/>
                    </w:rPr>
                    <w:drawing>
                      <wp:inline distT="0" distB="0" distL="114300" distR="114300">
                        <wp:extent cx="476250" cy="200025"/>
                        <wp:effectExtent l="0" t="0" r="0" b="7620"/>
                        <wp:docPr id="265"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56"/>
                                <pic:cNvPicPr>
                                  <a:picLocks noChangeAspect="1"/>
                                </pic:cNvPicPr>
                              </pic:nvPicPr>
                              <pic:blipFill>
                                <a:blip r:embed="rId24"/>
                                <a:stretch>
                                  <a:fillRect/>
                                </a:stretch>
                              </pic:blipFill>
                              <pic:spPr>
                                <a:xfrm>
                                  <a:off x="0" y="0"/>
                                  <a:ext cx="476250" cy="200025"/>
                                </a:xfrm>
                                <a:prstGeom prst="rect">
                                  <a:avLst/>
                                </a:prstGeom>
                                <a:noFill/>
                                <a:ln>
                                  <a:noFill/>
                                </a:ln>
                              </pic:spPr>
                            </pic:pic>
                          </a:graphicData>
                        </a:graphic>
                      </wp:inline>
                    </w:drawing>
                  </w:r>
                </w:p>
              </w:tc>
              <w:tc>
                <w:tcPr>
                  <w:tcW w:w="1387" w:type="dxa"/>
                  <w:vAlign w:val="center"/>
                </w:tcPr>
                <w:p w14:paraId="6DAB3BFF">
                  <w:pPr>
                    <w:pStyle w:val="20"/>
                    <w:rPr>
                      <w:b/>
                      <w:bCs/>
                      <w:color w:val="auto"/>
                    </w:rPr>
                  </w:pPr>
                  <w:r>
                    <w:rPr>
                      <w:b/>
                      <w:bCs/>
                      <w:color w:val="auto"/>
                    </w:rPr>
                    <w:drawing>
                      <wp:inline distT="0" distB="0" distL="114300" distR="114300">
                        <wp:extent cx="228600" cy="228600"/>
                        <wp:effectExtent l="0" t="0" r="0" b="0"/>
                        <wp:docPr id="266"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57"/>
                                <pic:cNvPicPr>
                                  <a:picLocks noChangeAspect="1"/>
                                </pic:cNvPicPr>
                              </pic:nvPicPr>
                              <pic:blipFill>
                                <a:blip r:embed="rId25"/>
                                <a:stretch>
                                  <a:fillRect/>
                                </a:stretch>
                              </pic:blipFill>
                              <pic:spPr>
                                <a:xfrm>
                                  <a:off x="0" y="0"/>
                                  <a:ext cx="228600" cy="228600"/>
                                </a:xfrm>
                                <a:prstGeom prst="rect">
                                  <a:avLst/>
                                </a:prstGeom>
                                <a:noFill/>
                                <a:ln>
                                  <a:noFill/>
                                </a:ln>
                              </pic:spPr>
                            </pic:pic>
                          </a:graphicData>
                        </a:graphic>
                      </wp:inline>
                    </w:drawing>
                  </w:r>
                </w:p>
              </w:tc>
              <w:tc>
                <w:tcPr>
                  <w:tcW w:w="1387" w:type="dxa"/>
                  <w:vAlign w:val="center"/>
                </w:tcPr>
                <w:p w14:paraId="2882950F">
                  <w:pPr>
                    <w:pStyle w:val="20"/>
                    <w:rPr>
                      <w:b/>
                      <w:bCs/>
                      <w:color w:val="auto"/>
                    </w:rPr>
                  </w:pPr>
                  <w:r>
                    <w:rPr>
                      <w:b/>
                      <w:bCs/>
                      <w:color w:val="auto"/>
                    </w:rPr>
                    <w:drawing>
                      <wp:inline distT="0" distB="0" distL="114300" distR="114300">
                        <wp:extent cx="142875" cy="161925"/>
                        <wp:effectExtent l="0" t="0" r="0" b="7620"/>
                        <wp:docPr id="267"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58"/>
                                <pic:cNvPicPr>
                                  <a:picLocks noChangeAspect="1"/>
                                </pic:cNvPicPr>
                              </pic:nvPicPr>
                              <pic:blipFill>
                                <a:blip r:embed="rId26"/>
                                <a:stretch>
                                  <a:fillRect/>
                                </a:stretch>
                              </pic:blipFill>
                              <pic:spPr>
                                <a:xfrm>
                                  <a:off x="0" y="0"/>
                                  <a:ext cx="142875" cy="161925"/>
                                </a:xfrm>
                                <a:prstGeom prst="rect">
                                  <a:avLst/>
                                </a:prstGeom>
                                <a:noFill/>
                                <a:ln>
                                  <a:noFill/>
                                </a:ln>
                              </pic:spPr>
                            </pic:pic>
                          </a:graphicData>
                        </a:graphic>
                      </wp:inline>
                    </w:drawing>
                  </w:r>
                </w:p>
              </w:tc>
              <w:tc>
                <w:tcPr>
                  <w:tcW w:w="1388" w:type="dxa"/>
                  <w:vAlign w:val="center"/>
                </w:tcPr>
                <w:p w14:paraId="3265B1F9">
                  <w:pPr>
                    <w:pStyle w:val="20"/>
                    <w:rPr>
                      <w:b/>
                      <w:bCs/>
                      <w:color w:val="auto"/>
                    </w:rPr>
                  </w:pPr>
                  <w:r>
                    <w:rPr>
                      <w:b/>
                      <w:bCs/>
                      <w:color w:val="auto"/>
                    </w:rPr>
                    <w:drawing>
                      <wp:inline distT="0" distB="0" distL="114300" distR="114300">
                        <wp:extent cx="209550" cy="228600"/>
                        <wp:effectExtent l="0" t="0" r="0" b="0"/>
                        <wp:docPr id="268"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59"/>
                                <pic:cNvPicPr>
                                  <a:picLocks noChangeAspect="1"/>
                                </pic:cNvPicPr>
                              </pic:nvPicPr>
                              <pic:blipFill>
                                <a:blip r:embed="rId27"/>
                                <a:stretch>
                                  <a:fillRect/>
                                </a:stretch>
                              </pic:blipFill>
                              <pic:spPr>
                                <a:xfrm>
                                  <a:off x="0" y="0"/>
                                  <a:ext cx="209550" cy="228600"/>
                                </a:xfrm>
                                <a:prstGeom prst="rect">
                                  <a:avLst/>
                                </a:prstGeom>
                                <a:noFill/>
                                <a:ln>
                                  <a:noFill/>
                                </a:ln>
                              </pic:spPr>
                            </pic:pic>
                          </a:graphicData>
                        </a:graphic>
                      </wp:inline>
                    </w:drawing>
                  </w:r>
                </w:p>
              </w:tc>
              <w:tc>
                <w:tcPr>
                  <w:tcW w:w="1388" w:type="dxa"/>
                  <w:vAlign w:val="center"/>
                </w:tcPr>
                <w:p w14:paraId="541F8F1D">
                  <w:pPr>
                    <w:pStyle w:val="20"/>
                    <w:rPr>
                      <w:b/>
                      <w:bCs/>
                      <w:color w:val="auto"/>
                    </w:rPr>
                  </w:pPr>
                  <w:r>
                    <w:rPr>
                      <w:b/>
                      <w:bCs/>
                      <w:color w:val="auto"/>
                    </w:rPr>
                    <w:drawing>
                      <wp:inline distT="0" distB="0" distL="114300" distR="114300">
                        <wp:extent cx="657225" cy="228600"/>
                        <wp:effectExtent l="0" t="0" r="9525" b="0"/>
                        <wp:docPr id="269"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55"/>
                                <pic:cNvPicPr>
                                  <a:picLocks noChangeAspect="1"/>
                                </pic:cNvPicPr>
                              </pic:nvPicPr>
                              <pic:blipFill>
                                <a:blip r:embed="rId23"/>
                                <a:stretch>
                                  <a:fillRect/>
                                </a:stretch>
                              </pic:blipFill>
                              <pic:spPr>
                                <a:xfrm>
                                  <a:off x="0" y="0"/>
                                  <a:ext cx="657225" cy="228600"/>
                                </a:xfrm>
                                <a:prstGeom prst="rect">
                                  <a:avLst/>
                                </a:prstGeom>
                                <a:noFill/>
                                <a:ln>
                                  <a:noFill/>
                                </a:ln>
                              </pic:spPr>
                            </pic:pic>
                          </a:graphicData>
                        </a:graphic>
                      </wp:inline>
                    </w:drawing>
                  </w:r>
                </w:p>
              </w:tc>
            </w:tr>
            <w:tr w14:paraId="5E5A0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86" w:type="dxa"/>
                  <w:vAlign w:val="center"/>
                </w:tcPr>
                <w:p w14:paraId="1ED895A8">
                  <w:pPr>
                    <w:pStyle w:val="20"/>
                    <w:rPr>
                      <w:color w:val="auto"/>
                    </w:rPr>
                  </w:pPr>
                  <w:r>
                    <w:rPr>
                      <w:color w:val="auto"/>
                    </w:rPr>
                    <w:t>底漆</w:t>
                  </w:r>
                </w:p>
              </w:tc>
              <w:tc>
                <w:tcPr>
                  <w:tcW w:w="1388" w:type="dxa"/>
                  <w:vAlign w:val="center"/>
                </w:tcPr>
                <w:p w14:paraId="50032E71">
                  <w:pPr>
                    <w:pStyle w:val="20"/>
                    <w:rPr>
                      <w:color w:val="auto"/>
                    </w:rPr>
                  </w:pPr>
                  <w:r>
                    <w:rPr>
                      <w:color w:val="auto"/>
                    </w:rPr>
                    <w:t>18.77%</w:t>
                  </w:r>
                </w:p>
              </w:tc>
              <w:tc>
                <w:tcPr>
                  <w:tcW w:w="1387" w:type="dxa"/>
                  <w:vAlign w:val="center"/>
                </w:tcPr>
                <w:p w14:paraId="0D9103D8">
                  <w:pPr>
                    <w:pStyle w:val="20"/>
                    <w:rPr>
                      <w:color w:val="auto"/>
                    </w:rPr>
                  </w:pPr>
                  <w:r>
                    <w:rPr>
                      <w:color w:val="auto"/>
                    </w:rPr>
                    <w:t>80.96%</w:t>
                  </w:r>
                </w:p>
              </w:tc>
              <w:tc>
                <w:tcPr>
                  <w:tcW w:w="1387" w:type="dxa"/>
                  <w:vAlign w:val="center"/>
                </w:tcPr>
                <w:p w14:paraId="3EBB2884">
                  <w:pPr>
                    <w:pStyle w:val="20"/>
                    <w:rPr>
                      <w:color w:val="auto"/>
                    </w:rPr>
                  </w:pPr>
                  <w:r>
                    <w:rPr>
                      <w:color w:val="auto"/>
                    </w:rPr>
                    <w:t>1.04g/cm</w:t>
                  </w:r>
                  <w:r>
                    <w:rPr>
                      <w:color w:val="auto"/>
                      <w:vertAlign w:val="superscript"/>
                    </w:rPr>
                    <w:t>3</w:t>
                  </w:r>
                </w:p>
              </w:tc>
              <w:tc>
                <w:tcPr>
                  <w:tcW w:w="1388" w:type="dxa"/>
                  <w:vAlign w:val="center"/>
                </w:tcPr>
                <w:p w14:paraId="1DB6A107">
                  <w:pPr>
                    <w:pStyle w:val="20"/>
                    <w:rPr>
                      <w:color w:val="auto"/>
                    </w:rPr>
                  </w:pPr>
                  <w:r>
                    <w:rPr>
                      <w:color w:val="auto"/>
                    </w:rPr>
                    <w:t>0.997g/cm</w:t>
                  </w:r>
                  <w:r>
                    <w:rPr>
                      <w:color w:val="auto"/>
                      <w:vertAlign w:val="superscript"/>
                    </w:rPr>
                    <w:t>3</w:t>
                  </w:r>
                </w:p>
              </w:tc>
              <w:tc>
                <w:tcPr>
                  <w:tcW w:w="1388" w:type="dxa"/>
                  <w:vAlign w:val="center"/>
                </w:tcPr>
                <w:p w14:paraId="325DADEB">
                  <w:pPr>
                    <w:pStyle w:val="20"/>
                    <w:rPr>
                      <w:color w:val="auto"/>
                    </w:rPr>
                  </w:pPr>
                  <w:r>
                    <w:rPr>
                      <w:color w:val="auto"/>
                    </w:rPr>
                    <w:t>18.06</w:t>
                  </w:r>
                  <w:r>
                    <w:rPr>
                      <w:rFonts w:hint="eastAsia"/>
                      <w:color w:val="auto"/>
                    </w:rPr>
                    <w:t>g/L</w:t>
                  </w:r>
                </w:p>
              </w:tc>
            </w:tr>
          </w:tbl>
          <w:p w14:paraId="4615445D">
            <w:pPr>
              <w:ind w:firstLine="480"/>
              <w:rPr>
                <w:color w:val="auto"/>
                <w:kern w:val="2"/>
              </w:rPr>
            </w:pPr>
            <w:r>
              <w:rPr>
                <w:color w:val="auto"/>
                <w:kern w:val="2"/>
              </w:rPr>
              <w:t>对照《低挥发性有机化合物含量涂料产品技术要求》（GB/T 38597-2020）</w:t>
            </w:r>
            <w:r>
              <w:rPr>
                <w:rFonts w:hint="eastAsia"/>
                <w:color w:val="auto"/>
                <w:kern w:val="2"/>
                <w:lang w:val="en-US" w:eastAsia="zh-CN"/>
              </w:rPr>
              <w:t>中表1水性涂料中 VOC 含量的要求--车辆涂料--汽车原厂涂料（乘用车、载货汽车）--电泳底漆≤200g/L</w:t>
            </w:r>
            <w:r>
              <w:rPr>
                <w:color w:val="auto"/>
                <w:kern w:val="2"/>
              </w:rPr>
              <w:t>，</w:t>
            </w:r>
            <w:r>
              <w:rPr>
                <w:rFonts w:hint="default"/>
                <w:b w:val="0"/>
                <w:color w:val="auto"/>
                <w:szCs w:val="24"/>
                <w:lang w:val="en-US" w:eastAsia="zh-CN"/>
              </w:rPr>
              <w:t>项目电泳底漆扣除水分后挥发性有机物含量为18.06g/L，因此</w:t>
            </w:r>
            <w:r>
              <w:rPr>
                <w:rFonts w:hint="eastAsia"/>
                <w:color w:val="auto"/>
                <w:kern w:val="0"/>
                <w:lang w:val="en-US" w:eastAsia="zh-CN"/>
              </w:rPr>
              <w:t>项目电泳</w:t>
            </w:r>
            <w:r>
              <w:rPr>
                <w:color w:val="auto"/>
                <w:kern w:val="0"/>
              </w:rPr>
              <w:t>漆属于</w:t>
            </w:r>
            <w:r>
              <w:rPr>
                <w:color w:val="auto"/>
                <w:kern w:val="2"/>
              </w:rPr>
              <w:t>低挥发性有机化合物含量涂料。</w:t>
            </w:r>
          </w:p>
          <w:p w14:paraId="7053D120">
            <w:pPr>
              <w:ind w:firstLine="480"/>
              <w:rPr>
                <w:color w:val="auto"/>
              </w:rPr>
            </w:pPr>
            <w:r>
              <w:rPr>
                <w:color w:val="auto"/>
                <w:kern w:val="2"/>
              </w:rPr>
              <w:t>硅烷处理剂：本品由多种物质混合而成的混合物，其中有害组分为氟锆酸0.5-2.0 wt%；无色或微白色液体，轻微醇香，易溶于水</w:t>
            </w:r>
            <w:r>
              <w:rPr>
                <w:color w:val="auto"/>
              </w:rPr>
              <w:t>。仅用于金属的表面处理。</w:t>
            </w:r>
          </w:p>
          <w:p w14:paraId="3CE1C4DD">
            <w:pPr>
              <w:ind w:firstLine="480"/>
              <w:rPr>
                <w:color w:val="auto"/>
              </w:rPr>
            </w:pPr>
            <w:r>
              <w:rPr>
                <w:color w:val="auto"/>
              </w:rPr>
              <w:t>脱脂剂：用于金属表面的除油、脱脂、清洗。本品由多种物质混合而成的混合物，其中有害组分为氢氧化钾10%~25%；无色或淡黄色液体，易溶于水。</w:t>
            </w:r>
          </w:p>
          <w:p w14:paraId="4D09EBD7">
            <w:pPr>
              <w:ind w:firstLine="480"/>
              <w:rPr>
                <w:color w:val="auto"/>
              </w:rPr>
            </w:pPr>
            <w:r>
              <w:rPr>
                <w:color w:val="auto"/>
              </w:rPr>
              <w:t>项目所用漆料组分如下表所示：</w:t>
            </w:r>
          </w:p>
          <w:p w14:paraId="3DFABFA7">
            <w:pPr>
              <w:pStyle w:val="22"/>
              <w:rPr>
                <w:color w:val="auto"/>
                <w:szCs w:val="21"/>
              </w:rPr>
            </w:pPr>
            <w:r>
              <w:rPr>
                <w:color w:val="auto"/>
                <w:szCs w:val="21"/>
              </w:rPr>
              <w:t>表2-6 水性阴极电泳漆漆料组分含量一览表</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999"/>
              <w:gridCol w:w="3060"/>
              <w:gridCol w:w="1240"/>
              <w:gridCol w:w="1004"/>
              <w:gridCol w:w="1278"/>
            </w:tblGrid>
            <w:tr w14:paraId="3980D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Align w:val="center"/>
                </w:tcPr>
                <w:p w14:paraId="0126F7C9">
                  <w:pPr>
                    <w:pStyle w:val="41"/>
                    <w:rPr>
                      <w:b/>
                      <w:bCs/>
                      <w:color w:val="auto"/>
                    </w:rPr>
                  </w:pPr>
                  <w:r>
                    <w:rPr>
                      <w:b/>
                      <w:bCs/>
                      <w:color w:val="auto"/>
                    </w:rPr>
                    <w:t>序号</w:t>
                  </w:r>
                </w:p>
              </w:tc>
              <w:tc>
                <w:tcPr>
                  <w:tcW w:w="600" w:type="pct"/>
                  <w:vAlign w:val="center"/>
                </w:tcPr>
                <w:p w14:paraId="0C610C2C">
                  <w:pPr>
                    <w:pStyle w:val="41"/>
                    <w:rPr>
                      <w:b/>
                      <w:bCs/>
                      <w:color w:val="auto"/>
                    </w:rPr>
                  </w:pPr>
                  <w:r>
                    <w:rPr>
                      <w:b/>
                      <w:bCs/>
                      <w:color w:val="auto"/>
                    </w:rPr>
                    <w:t>名称</w:t>
                  </w:r>
                </w:p>
              </w:tc>
              <w:tc>
                <w:tcPr>
                  <w:tcW w:w="2583" w:type="pct"/>
                  <w:gridSpan w:val="2"/>
                  <w:vAlign w:val="center"/>
                </w:tcPr>
                <w:p w14:paraId="1E9FBDCD">
                  <w:pPr>
                    <w:pStyle w:val="41"/>
                    <w:rPr>
                      <w:b/>
                      <w:bCs/>
                      <w:color w:val="auto"/>
                    </w:rPr>
                  </w:pPr>
                  <w:r>
                    <w:rPr>
                      <w:b/>
                      <w:bCs/>
                      <w:color w:val="auto"/>
                    </w:rPr>
                    <w:t>主要组分成分</w:t>
                  </w:r>
                </w:p>
              </w:tc>
              <w:tc>
                <w:tcPr>
                  <w:tcW w:w="603" w:type="pct"/>
                  <w:vAlign w:val="center"/>
                </w:tcPr>
                <w:p w14:paraId="76364F01">
                  <w:pPr>
                    <w:pStyle w:val="41"/>
                    <w:rPr>
                      <w:b/>
                      <w:bCs/>
                      <w:color w:val="auto"/>
                    </w:rPr>
                  </w:pPr>
                  <w:r>
                    <w:rPr>
                      <w:b/>
                      <w:bCs/>
                      <w:color w:val="auto"/>
                    </w:rPr>
                    <w:t>固含率</w:t>
                  </w:r>
                </w:p>
              </w:tc>
              <w:tc>
                <w:tcPr>
                  <w:tcW w:w="767" w:type="pct"/>
                  <w:vAlign w:val="center"/>
                </w:tcPr>
                <w:p w14:paraId="29F9F2F2">
                  <w:pPr>
                    <w:pStyle w:val="41"/>
                    <w:rPr>
                      <w:b/>
                      <w:bCs/>
                      <w:color w:val="auto"/>
                    </w:rPr>
                  </w:pPr>
                  <w:r>
                    <w:rPr>
                      <w:b/>
                      <w:bCs/>
                      <w:color w:val="auto"/>
                    </w:rPr>
                    <w:t>挥发成分</w:t>
                  </w:r>
                </w:p>
              </w:tc>
            </w:tr>
            <w:tr w14:paraId="369F0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restart"/>
                  <w:vAlign w:val="center"/>
                </w:tcPr>
                <w:p w14:paraId="67DB561D">
                  <w:pPr>
                    <w:pStyle w:val="41"/>
                    <w:rPr>
                      <w:color w:val="auto"/>
                    </w:rPr>
                  </w:pPr>
                  <w:r>
                    <w:rPr>
                      <w:color w:val="auto"/>
                    </w:rPr>
                    <w:t>1</w:t>
                  </w:r>
                </w:p>
              </w:tc>
              <w:tc>
                <w:tcPr>
                  <w:tcW w:w="600" w:type="pct"/>
                  <w:vMerge w:val="restart"/>
                  <w:vAlign w:val="center"/>
                </w:tcPr>
                <w:p w14:paraId="1434332F">
                  <w:pPr>
                    <w:pStyle w:val="41"/>
                    <w:rPr>
                      <w:color w:val="auto"/>
                    </w:rPr>
                  </w:pPr>
                  <w:r>
                    <w:rPr>
                      <w:color w:val="auto"/>
                    </w:rPr>
                    <w:t>色浆</w:t>
                  </w:r>
                </w:p>
              </w:tc>
              <w:tc>
                <w:tcPr>
                  <w:tcW w:w="1838" w:type="pct"/>
                  <w:vAlign w:val="center"/>
                </w:tcPr>
                <w:p w14:paraId="234FCA54">
                  <w:pPr>
                    <w:pStyle w:val="41"/>
                    <w:rPr>
                      <w:color w:val="auto"/>
                    </w:rPr>
                  </w:pPr>
                  <w:r>
                    <w:rPr>
                      <w:color w:val="auto"/>
                    </w:rPr>
                    <w:t>水</w:t>
                  </w:r>
                </w:p>
              </w:tc>
              <w:tc>
                <w:tcPr>
                  <w:tcW w:w="744" w:type="pct"/>
                  <w:vAlign w:val="center"/>
                </w:tcPr>
                <w:p w14:paraId="233CF313">
                  <w:pPr>
                    <w:pStyle w:val="41"/>
                    <w:rPr>
                      <w:color w:val="auto"/>
                    </w:rPr>
                  </w:pPr>
                  <w:r>
                    <w:rPr>
                      <w:color w:val="auto"/>
                    </w:rPr>
                    <w:t>48.3~58.3%</w:t>
                  </w:r>
                </w:p>
              </w:tc>
              <w:tc>
                <w:tcPr>
                  <w:tcW w:w="603" w:type="pct"/>
                  <w:vMerge w:val="restart"/>
                  <w:vAlign w:val="center"/>
                </w:tcPr>
                <w:p w14:paraId="6E4C0943">
                  <w:pPr>
                    <w:pStyle w:val="41"/>
                    <w:rPr>
                      <w:color w:val="auto"/>
                    </w:rPr>
                  </w:pPr>
                  <w:r>
                    <w:rPr>
                      <w:color w:val="auto"/>
                    </w:rPr>
                    <w:t>33-59%</w:t>
                  </w:r>
                </w:p>
              </w:tc>
              <w:tc>
                <w:tcPr>
                  <w:tcW w:w="767" w:type="pct"/>
                  <w:vMerge w:val="restart"/>
                  <w:vAlign w:val="center"/>
                </w:tcPr>
                <w:p w14:paraId="413B792D">
                  <w:pPr>
                    <w:pStyle w:val="41"/>
                    <w:rPr>
                      <w:color w:val="auto"/>
                    </w:rPr>
                  </w:pPr>
                  <w:r>
                    <w:rPr>
                      <w:color w:val="auto"/>
                    </w:rPr>
                    <w:t>0.6~0.8%（丙二醇丁醚）</w:t>
                  </w:r>
                </w:p>
              </w:tc>
            </w:tr>
            <w:tr w14:paraId="7CBD2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071E3F7D">
                  <w:pPr>
                    <w:pStyle w:val="41"/>
                    <w:rPr>
                      <w:color w:val="auto"/>
                    </w:rPr>
                  </w:pPr>
                </w:p>
              </w:tc>
              <w:tc>
                <w:tcPr>
                  <w:tcW w:w="600" w:type="pct"/>
                  <w:vMerge w:val="continue"/>
                  <w:vAlign w:val="center"/>
                </w:tcPr>
                <w:p w14:paraId="039F5274">
                  <w:pPr>
                    <w:pStyle w:val="41"/>
                    <w:rPr>
                      <w:color w:val="auto"/>
                    </w:rPr>
                  </w:pPr>
                </w:p>
              </w:tc>
              <w:tc>
                <w:tcPr>
                  <w:tcW w:w="1838" w:type="pct"/>
                  <w:vAlign w:val="center"/>
                </w:tcPr>
                <w:p w14:paraId="357C74B9">
                  <w:pPr>
                    <w:pStyle w:val="41"/>
                    <w:rPr>
                      <w:color w:val="auto"/>
                    </w:rPr>
                  </w:pPr>
                  <w:r>
                    <w:rPr>
                      <w:color w:val="auto"/>
                    </w:rPr>
                    <w:t>丙二醇丁醚</w:t>
                  </w:r>
                </w:p>
              </w:tc>
              <w:tc>
                <w:tcPr>
                  <w:tcW w:w="744" w:type="pct"/>
                  <w:vAlign w:val="center"/>
                </w:tcPr>
                <w:p w14:paraId="5C792112">
                  <w:pPr>
                    <w:pStyle w:val="41"/>
                    <w:rPr>
                      <w:color w:val="auto"/>
                    </w:rPr>
                  </w:pPr>
                  <w:r>
                    <w:rPr>
                      <w:color w:val="auto"/>
                    </w:rPr>
                    <w:t>0.6~0.8%</w:t>
                  </w:r>
                </w:p>
              </w:tc>
              <w:tc>
                <w:tcPr>
                  <w:tcW w:w="603" w:type="pct"/>
                  <w:vMerge w:val="continue"/>
                  <w:vAlign w:val="center"/>
                </w:tcPr>
                <w:p w14:paraId="00D526DD">
                  <w:pPr>
                    <w:pStyle w:val="41"/>
                    <w:rPr>
                      <w:color w:val="auto"/>
                    </w:rPr>
                  </w:pPr>
                </w:p>
              </w:tc>
              <w:tc>
                <w:tcPr>
                  <w:tcW w:w="767" w:type="pct"/>
                  <w:vMerge w:val="continue"/>
                  <w:vAlign w:val="center"/>
                </w:tcPr>
                <w:p w14:paraId="369344C8">
                  <w:pPr>
                    <w:pStyle w:val="41"/>
                    <w:rPr>
                      <w:color w:val="auto"/>
                    </w:rPr>
                  </w:pPr>
                </w:p>
              </w:tc>
            </w:tr>
            <w:tr w14:paraId="544A6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5DB3F9F1">
                  <w:pPr>
                    <w:pStyle w:val="41"/>
                    <w:rPr>
                      <w:color w:val="auto"/>
                    </w:rPr>
                  </w:pPr>
                </w:p>
              </w:tc>
              <w:tc>
                <w:tcPr>
                  <w:tcW w:w="600" w:type="pct"/>
                  <w:vMerge w:val="continue"/>
                  <w:vAlign w:val="center"/>
                </w:tcPr>
                <w:p w14:paraId="3911471B">
                  <w:pPr>
                    <w:pStyle w:val="41"/>
                    <w:rPr>
                      <w:color w:val="auto"/>
                    </w:rPr>
                  </w:pPr>
                </w:p>
              </w:tc>
              <w:tc>
                <w:tcPr>
                  <w:tcW w:w="1838" w:type="pct"/>
                  <w:vAlign w:val="center"/>
                </w:tcPr>
                <w:p w14:paraId="5F484EB8">
                  <w:pPr>
                    <w:pStyle w:val="41"/>
                    <w:rPr>
                      <w:color w:val="auto"/>
                    </w:rPr>
                  </w:pPr>
                  <w:r>
                    <w:rPr>
                      <w:color w:val="auto"/>
                    </w:rPr>
                    <w:t>高岭土</w:t>
                  </w:r>
                </w:p>
              </w:tc>
              <w:tc>
                <w:tcPr>
                  <w:tcW w:w="744" w:type="pct"/>
                  <w:vAlign w:val="center"/>
                </w:tcPr>
                <w:p w14:paraId="454D3C5A">
                  <w:pPr>
                    <w:pStyle w:val="41"/>
                    <w:rPr>
                      <w:color w:val="auto"/>
                    </w:rPr>
                  </w:pPr>
                  <w:r>
                    <w:rPr>
                      <w:color w:val="auto"/>
                    </w:rPr>
                    <w:t>14~26%</w:t>
                  </w:r>
                </w:p>
              </w:tc>
              <w:tc>
                <w:tcPr>
                  <w:tcW w:w="603" w:type="pct"/>
                  <w:vMerge w:val="continue"/>
                  <w:vAlign w:val="center"/>
                </w:tcPr>
                <w:p w14:paraId="13EAC645">
                  <w:pPr>
                    <w:pStyle w:val="41"/>
                    <w:rPr>
                      <w:color w:val="auto"/>
                    </w:rPr>
                  </w:pPr>
                </w:p>
              </w:tc>
              <w:tc>
                <w:tcPr>
                  <w:tcW w:w="767" w:type="pct"/>
                  <w:vMerge w:val="continue"/>
                  <w:vAlign w:val="center"/>
                </w:tcPr>
                <w:p w14:paraId="59358EC1">
                  <w:pPr>
                    <w:pStyle w:val="41"/>
                    <w:rPr>
                      <w:color w:val="auto"/>
                    </w:rPr>
                  </w:pPr>
                </w:p>
              </w:tc>
            </w:tr>
            <w:tr w14:paraId="49D57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0C60C50C">
                  <w:pPr>
                    <w:pStyle w:val="41"/>
                    <w:rPr>
                      <w:color w:val="auto"/>
                    </w:rPr>
                  </w:pPr>
                </w:p>
              </w:tc>
              <w:tc>
                <w:tcPr>
                  <w:tcW w:w="600" w:type="pct"/>
                  <w:vMerge w:val="continue"/>
                  <w:vAlign w:val="center"/>
                </w:tcPr>
                <w:p w14:paraId="27362D78">
                  <w:pPr>
                    <w:pStyle w:val="41"/>
                    <w:rPr>
                      <w:color w:val="auto"/>
                    </w:rPr>
                  </w:pPr>
                </w:p>
              </w:tc>
              <w:tc>
                <w:tcPr>
                  <w:tcW w:w="1838" w:type="pct"/>
                  <w:vAlign w:val="center"/>
                </w:tcPr>
                <w:p w14:paraId="1F2443DD">
                  <w:pPr>
                    <w:pStyle w:val="41"/>
                    <w:rPr>
                      <w:color w:val="auto"/>
                    </w:rPr>
                  </w:pPr>
                  <w:r>
                    <w:rPr>
                      <w:color w:val="auto"/>
                    </w:rPr>
                    <w:t>炭黑</w:t>
                  </w:r>
                </w:p>
              </w:tc>
              <w:tc>
                <w:tcPr>
                  <w:tcW w:w="744" w:type="pct"/>
                  <w:vAlign w:val="center"/>
                </w:tcPr>
                <w:p w14:paraId="66E8D6B3">
                  <w:pPr>
                    <w:pStyle w:val="41"/>
                    <w:rPr>
                      <w:color w:val="auto"/>
                    </w:rPr>
                  </w:pPr>
                  <w:r>
                    <w:rPr>
                      <w:color w:val="auto"/>
                    </w:rPr>
                    <w:t>5~10%</w:t>
                  </w:r>
                </w:p>
              </w:tc>
              <w:tc>
                <w:tcPr>
                  <w:tcW w:w="603" w:type="pct"/>
                  <w:vMerge w:val="continue"/>
                  <w:vAlign w:val="center"/>
                </w:tcPr>
                <w:p w14:paraId="4066D9A5">
                  <w:pPr>
                    <w:pStyle w:val="41"/>
                    <w:rPr>
                      <w:color w:val="auto"/>
                    </w:rPr>
                  </w:pPr>
                </w:p>
              </w:tc>
              <w:tc>
                <w:tcPr>
                  <w:tcW w:w="767" w:type="pct"/>
                  <w:vMerge w:val="continue"/>
                  <w:vAlign w:val="center"/>
                </w:tcPr>
                <w:p w14:paraId="23FF4646">
                  <w:pPr>
                    <w:pStyle w:val="41"/>
                    <w:rPr>
                      <w:color w:val="auto"/>
                    </w:rPr>
                  </w:pPr>
                </w:p>
              </w:tc>
            </w:tr>
            <w:tr w14:paraId="274E9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2BD06941">
                  <w:pPr>
                    <w:pStyle w:val="41"/>
                    <w:rPr>
                      <w:color w:val="auto"/>
                    </w:rPr>
                  </w:pPr>
                </w:p>
              </w:tc>
              <w:tc>
                <w:tcPr>
                  <w:tcW w:w="600" w:type="pct"/>
                  <w:vMerge w:val="continue"/>
                  <w:vAlign w:val="center"/>
                </w:tcPr>
                <w:p w14:paraId="5664B5CC">
                  <w:pPr>
                    <w:pStyle w:val="41"/>
                    <w:rPr>
                      <w:color w:val="auto"/>
                    </w:rPr>
                  </w:pPr>
                </w:p>
              </w:tc>
              <w:tc>
                <w:tcPr>
                  <w:tcW w:w="1838" w:type="pct"/>
                  <w:vAlign w:val="center"/>
                </w:tcPr>
                <w:p w14:paraId="3DFB9518">
                  <w:pPr>
                    <w:pStyle w:val="41"/>
                    <w:rPr>
                      <w:color w:val="auto"/>
                    </w:rPr>
                  </w:pPr>
                  <w:r>
                    <w:rPr>
                      <w:color w:val="auto"/>
                    </w:rPr>
                    <w:t>环氧树脂</w:t>
                  </w:r>
                </w:p>
              </w:tc>
              <w:tc>
                <w:tcPr>
                  <w:tcW w:w="744" w:type="pct"/>
                  <w:vAlign w:val="center"/>
                </w:tcPr>
                <w:p w14:paraId="0B9C00B5">
                  <w:pPr>
                    <w:pStyle w:val="41"/>
                    <w:rPr>
                      <w:color w:val="auto"/>
                    </w:rPr>
                  </w:pPr>
                  <w:r>
                    <w:rPr>
                      <w:color w:val="auto"/>
                    </w:rPr>
                    <w:t>14~23%</w:t>
                  </w:r>
                </w:p>
              </w:tc>
              <w:tc>
                <w:tcPr>
                  <w:tcW w:w="603" w:type="pct"/>
                  <w:vMerge w:val="continue"/>
                  <w:vAlign w:val="center"/>
                </w:tcPr>
                <w:p w14:paraId="5FF7E060">
                  <w:pPr>
                    <w:pStyle w:val="41"/>
                    <w:rPr>
                      <w:color w:val="auto"/>
                    </w:rPr>
                  </w:pPr>
                </w:p>
              </w:tc>
              <w:tc>
                <w:tcPr>
                  <w:tcW w:w="767" w:type="pct"/>
                  <w:vMerge w:val="continue"/>
                  <w:vAlign w:val="center"/>
                </w:tcPr>
                <w:p w14:paraId="06A041C2">
                  <w:pPr>
                    <w:pStyle w:val="41"/>
                    <w:rPr>
                      <w:color w:val="auto"/>
                    </w:rPr>
                  </w:pPr>
                </w:p>
              </w:tc>
            </w:tr>
            <w:tr w14:paraId="5176E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restart"/>
                  <w:vAlign w:val="center"/>
                </w:tcPr>
                <w:p w14:paraId="05E090F5">
                  <w:pPr>
                    <w:pStyle w:val="41"/>
                    <w:rPr>
                      <w:color w:val="auto"/>
                    </w:rPr>
                  </w:pPr>
                  <w:r>
                    <w:rPr>
                      <w:color w:val="auto"/>
                    </w:rPr>
                    <w:t>2</w:t>
                  </w:r>
                </w:p>
              </w:tc>
              <w:tc>
                <w:tcPr>
                  <w:tcW w:w="600" w:type="pct"/>
                  <w:vMerge w:val="restart"/>
                  <w:vAlign w:val="center"/>
                </w:tcPr>
                <w:p w14:paraId="7841781F">
                  <w:pPr>
                    <w:pStyle w:val="41"/>
                    <w:rPr>
                      <w:color w:val="auto"/>
                    </w:rPr>
                  </w:pPr>
                  <w:r>
                    <w:rPr>
                      <w:color w:val="auto"/>
                    </w:rPr>
                    <w:t>乳浆</w:t>
                  </w:r>
                </w:p>
              </w:tc>
              <w:tc>
                <w:tcPr>
                  <w:tcW w:w="1838" w:type="pct"/>
                  <w:vAlign w:val="center"/>
                </w:tcPr>
                <w:p w14:paraId="264BF061">
                  <w:pPr>
                    <w:pStyle w:val="41"/>
                    <w:rPr>
                      <w:color w:val="auto"/>
                    </w:rPr>
                  </w:pPr>
                  <w:r>
                    <w:rPr>
                      <w:color w:val="auto"/>
                    </w:rPr>
                    <w:t>丙二醇丁醚</w:t>
                  </w:r>
                </w:p>
              </w:tc>
              <w:tc>
                <w:tcPr>
                  <w:tcW w:w="744" w:type="pct"/>
                  <w:vAlign w:val="center"/>
                </w:tcPr>
                <w:p w14:paraId="38105354">
                  <w:pPr>
                    <w:pStyle w:val="41"/>
                    <w:rPr>
                      <w:color w:val="auto"/>
                    </w:rPr>
                  </w:pPr>
                  <w:r>
                    <w:rPr>
                      <w:color w:val="auto"/>
                    </w:rPr>
                    <w:t>0.3~0.5%</w:t>
                  </w:r>
                </w:p>
              </w:tc>
              <w:tc>
                <w:tcPr>
                  <w:tcW w:w="603" w:type="pct"/>
                  <w:vMerge w:val="restart"/>
                  <w:vAlign w:val="center"/>
                </w:tcPr>
                <w:p w14:paraId="7C3010C4">
                  <w:pPr>
                    <w:pStyle w:val="41"/>
                    <w:rPr>
                      <w:color w:val="auto"/>
                    </w:rPr>
                  </w:pPr>
                  <w:r>
                    <w:rPr>
                      <w:color w:val="auto"/>
                    </w:rPr>
                    <w:t>29-43%</w:t>
                  </w:r>
                </w:p>
              </w:tc>
              <w:tc>
                <w:tcPr>
                  <w:tcW w:w="767" w:type="pct"/>
                  <w:vMerge w:val="restart"/>
                  <w:vAlign w:val="center"/>
                </w:tcPr>
                <w:p w14:paraId="1D4A2568">
                  <w:pPr>
                    <w:pStyle w:val="41"/>
                    <w:rPr>
                      <w:color w:val="auto"/>
                    </w:rPr>
                  </w:pPr>
                  <w:r>
                    <w:rPr>
                      <w:color w:val="auto"/>
                    </w:rPr>
                    <w:t>0.3~0.5%（丙二醇丁醚）</w:t>
                  </w:r>
                </w:p>
              </w:tc>
            </w:tr>
            <w:tr w14:paraId="45A48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62DA2E25">
                  <w:pPr>
                    <w:pStyle w:val="41"/>
                    <w:rPr>
                      <w:color w:val="auto"/>
                    </w:rPr>
                  </w:pPr>
                </w:p>
              </w:tc>
              <w:tc>
                <w:tcPr>
                  <w:tcW w:w="600" w:type="pct"/>
                  <w:vMerge w:val="continue"/>
                  <w:vAlign w:val="center"/>
                </w:tcPr>
                <w:p w14:paraId="2EDEE4C7">
                  <w:pPr>
                    <w:pStyle w:val="41"/>
                    <w:rPr>
                      <w:color w:val="auto"/>
                    </w:rPr>
                  </w:pPr>
                </w:p>
              </w:tc>
              <w:tc>
                <w:tcPr>
                  <w:tcW w:w="1838" w:type="pct"/>
                  <w:vAlign w:val="center"/>
                </w:tcPr>
                <w:p w14:paraId="1568CDE5">
                  <w:pPr>
                    <w:pStyle w:val="41"/>
                    <w:rPr>
                      <w:color w:val="auto"/>
                    </w:rPr>
                  </w:pPr>
                  <w:r>
                    <w:rPr>
                      <w:color w:val="auto"/>
                    </w:rPr>
                    <w:t>水</w:t>
                  </w:r>
                </w:p>
              </w:tc>
              <w:tc>
                <w:tcPr>
                  <w:tcW w:w="744" w:type="pct"/>
                  <w:vAlign w:val="center"/>
                </w:tcPr>
                <w:p w14:paraId="73BAD286">
                  <w:pPr>
                    <w:pStyle w:val="41"/>
                    <w:rPr>
                      <w:color w:val="auto"/>
                    </w:rPr>
                  </w:pPr>
                  <w:r>
                    <w:rPr>
                      <w:color w:val="auto"/>
                    </w:rPr>
                    <w:t>60~65%</w:t>
                  </w:r>
                </w:p>
              </w:tc>
              <w:tc>
                <w:tcPr>
                  <w:tcW w:w="603" w:type="pct"/>
                  <w:vMerge w:val="continue"/>
                  <w:vAlign w:val="center"/>
                </w:tcPr>
                <w:p w14:paraId="57945313">
                  <w:pPr>
                    <w:pStyle w:val="41"/>
                    <w:rPr>
                      <w:color w:val="auto"/>
                    </w:rPr>
                  </w:pPr>
                </w:p>
              </w:tc>
              <w:tc>
                <w:tcPr>
                  <w:tcW w:w="767" w:type="pct"/>
                  <w:vMerge w:val="continue"/>
                  <w:vAlign w:val="center"/>
                </w:tcPr>
                <w:p w14:paraId="38C97C20">
                  <w:pPr>
                    <w:pStyle w:val="41"/>
                    <w:rPr>
                      <w:color w:val="auto"/>
                    </w:rPr>
                  </w:pPr>
                </w:p>
              </w:tc>
            </w:tr>
            <w:tr w14:paraId="06AC9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59962E76">
                  <w:pPr>
                    <w:pStyle w:val="41"/>
                    <w:rPr>
                      <w:color w:val="auto"/>
                    </w:rPr>
                  </w:pPr>
                </w:p>
              </w:tc>
              <w:tc>
                <w:tcPr>
                  <w:tcW w:w="600" w:type="pct"/>
                  <w:vMerge w:val="continue"/>
                  <w:vAlign w:val="center"/>
                </w:tcPr>
                <w:p w14:paraId="4277EB57">
                  <w:pPr>
                    <w:pStyle w:val="41"/>
                    <w:rPr>
                      <w:color w:val="auto"/>
                    </w:rPr>
                  </w:pPr>
                </w:p>
              </w:tc>
              <w:tc>
                <w:tcPr>
                  <w:tcW w:w="1838" w:type="pct"/>
                  <w:vAlign w:val="center"/>
                </w:tcPr>
                <w:p w14:paraId="33629D2B">
                  <w:pPr>
                    <w:pStyle w:val="41"/>
                    <w:rPr>
                      <w:color w:val="auto"/>
                    </w:rPr>
                  </w:pPr>
                  <w:r>
                    <w:rPr>
                      <w:color w:val="auto"/>
                    </w:rPr>
                    <w:t>聚氨酯</w:t>
                  </w:r>
                </w:p>
              </w:tc>
              <w:tc>
                <w:tcPr>
                  <w:tcW w:w="744" w:type="pct"/>
                  <w:vAlign w:val="center"/>
                </w:tcPr>
                <w:p w14:paraId="275AFCCF">
                  <w:pPr>
                    <w:pStyle w:val="41"/>
                    <w:rPr>
                      <w:color w:val="auto"/>
                    </w:rPr>
                  </w:pPr>
                  <w:r>
                    <w:rPr>
                      <w:color w:val="auto"/>
                    </w:rPr>
                    <w:t>1~8%</w:t>
                  </w:r>
                </w:p>
              </w:tc>
              <w:tc>
                <w:tcPr>
                  <w:tcW w:w="603" w:type="pct"/>
                  <w:vMerge w:val="continue"/>
                  <w:vAlign w:val="center"/>
                </w:tcPr>
                <w:p w14:paraId="7EEBD292">
                  <w:pPr>
                    <w:pStyle w:val="41"/>
                    <w:rPr>
                      <w:color w:val="auto"/>
                    </w:rPr>
                  </w:pPr>
                </w:p>
              </w:tc>
              <w:tc>
                <w:tcPr>
                  <w:tcW w:w="767" w:type="pct"/>
                  <w:vMerge w:val="continue"/>
                  <w:vAlign w:val="center"/>
                </w:tcPr>
                <w:p w14:paraId="37569AB7">
                  <w:pPr>
                    <w:pStyle w:val="41"/>
                    <w:rPr>
                      <w:color w:val="auto"/>
                    </w:rPr>
                  </w:pPr>
                </w:p>
              </w:tc>
            </w:tr>
            <w:tr w14:paraId="0FB9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6" w:type="pct"/>
                  <w:vMerge w:val="continue"/>
                  <w:vAlign w:val="center"/>
                </w:tcPr>
                <w:p w14:paraId="220351D5">
                  <w:pPr>
                    <w:pStyle w:val="41"/>
                    <w:rPr>
                      <w:color w:val="auto"/>
                    </w:rPr>
                  </w:pPr>
                </w:p>
              </w:tc>
              <w:tc>
                <w:tcPr>
                  <w:tcW w:w="600" w:type="pct"/>
                  <w:vMerge w:val="continue"/>
                  <w:vAlign w:val="center"/>
                </w:tcPr>
                <w:p w14:paraId="08D28A8B">
                  <w:pPr>
                    <w:pStyle w:val="41"/>
                    <w:rPr>
                      <w:color w:val="auto"/>
                    </w:rPr>
                  </w:pPr>
                </w:p>
              </w:tc>
              <w:tc>
                <w:tcPr>
                  <w:tcW w:w="1838" w:type="pct"/>
                  <w:vAlign w:val="center"/>
                </w:tcPr>
                <w:p w14:paraId="044C3FD2">
                  <w:pPr>
                    <w:pStyle w:val="41"/>
                    <w:rPr>
                      <w:color w:val="auto"/>
                    </w:rPr>
                  </w:pPr>
                  <w:r>
                    <w:rPr>
                      <w:color w:val="auto"/>
                    </w:rPr>
                    <w:t>环氧树脂</w:t>
                  </w:r>
                </w:p>
              </w:tc>
              <w:tc>
                <w:tcPr>
                  <w:tcW w:w="744" w:type="pct"/>
                  <w:vAlign w:val="center"/>
                </w:tcPr>
                <w:p w14:paraId="3391475B">
                  <w:pPr>
                    <w:pStyle w:val="41"/>
                    <w:rPr>
                      <w:color w:val="auto"/>
                    </w:rPr>
                  </w:pPr>
                  <w:r>
                    <w:rPr>
                      <w:color w:val="auto"/>
                    </w:rPr>
                    <w:t>28~35%</w:t>
                  </w:r>
                </w:p>
              </w:tc>
              <w:tc>
                <w:tcPr>
                  <w:tcW w:w="603" w:type="pct"/>
                  <w:vMerge w:val="continue"/>
                  <w:vAlign w:val="center"/>
                </w:tcPr>
                <w:p w14:paraId="0E51CB1D">
                  <w:pPr>
                    <w:pStyle w:val="41"/>
                    <w:rPr>
                      <w:color w:val="auto"/>
                    </w:rPr>
                  </w:pPr>
                </w:p>
              </w:tc>
              <w:tc>
                <w:tcPr>
                  <w:tcW w:w="767" w:type="pct"/>
                  <w:vMerge w:val="continue"/>
                  <w:vAlign w:val="center"/>
                </w:tcPr>
                <w:p w14:paraId="2F11FF07">
                  <w:pPr>
                    <w:pStyle w:val="41"/>
                    <w:rPr>
                      <w:color w:val="auto"/>
                    </w:rPr>
                  </w:pPr>
                </w:p>
              </w:tc>
            </w:tr>
            <w:tr w14:paraId="361B3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6"/>
                  <w:vAlign w:val="center"/>
                </w:tcPr>
                <w:p w14:paraId="467EE775">
                  <w:pPr>
                    <w:pStyle w:val="41"/>
                    <w:rPr>
                      <w:color w:val="auto"/>
                    </w:rPr>
                  </w:pPr>
                  <w:r>
                    <w:rPr>
                      <w:color w:val="auto"/>
                    </w:rPr>
                    <w:t>注：色浆挥发成分为0.6~0.8%，本项目取最大值0.8%；固含量为33-59%，本项目取中间值46%。漆乳浆挥发成分为0.3~0.5%，本项目取最大值0.5%；固含量为29-43%，本项目取中间值36%。</w:t>
                  </w:r>
                </w:p>
              </w:tc>
            </w:tr>
          </w:tbl>
          <w:p w14:paraId="23CD5BA9">
            <w:pPr>
              <w:ind w:firstLine="480"/>
              <w:rPr>
                <w:color w:val="auto"/>
              </w:rPr>
            </w:pPr>
            <w:r>
              <w:rPr>
                <w:color w:val="auto"/>
              </w:rPr>
              <w:t>（2）项目树脂粉末、电泳漆用量核算</w:t>
            </w:r>
          </w:p>
          <w:p w14:paraId="22AA9726">
            <w:pPr>
              <w:ind w:firstLine="480"/>
              <w:rPr>
                <w:color w:val="auto"/>
              </w:rPr>
            </w:pPr>
            <w:r>
              <w:rPr>
                <w:color w:val="auto"/>
              </w:rPr>
              <w:t>①电泳漆用量计算公式：</w:t>
            </w:r>
          </w:p>
          <w:p w14:paraId="0876E7C8">
            <w:pPr>
              <w:ind w:firstLine="480"/>
              <w:rPr>
                <w:color w:val="auto"/>
              </w:rPr>
            </w:pPr>
            <w:r>
              <w:rPr>
                <w:color w:val="auto"/>
              </w:rPr>
              <w:t>电泳槽液使用量</w:t>
            </w:r>
            <w:r>
              <w:rPr>
                <w:rFonts w:hint="eastAsia"/>
                <w:color w:val="auto"/>
                <w:lang w:eastAsia="zh-CN"/>
              </w:rPr>
              <w:t>（</w:t>
            </w:r>
            <w:r>
              <w:rPr>
                <w:color w:val="auto"/>
              </w:rPr>
              <w:t>t/a</w:t>
            </w:r>
            <w:r>
              <w:rPr>
                <w:rFonts w:hint="eastAsia"/>
                <w:color w:val="auto"/>
                <w:lang w:eastAsia="zh-CN"/>
              </w:rPr>
              <w:t>）</w:t>
            </w:r>
            <w:r>
              <w:rPr>
                <w:color w:val="auto"/>
              </w:rPr>
              <w:t>=喷涂面积（m</w:t>
            </w:r>
            <w:r>
              <w:rPr>
                <w:color w:val="auto"/>
                <w:vertAlign w:val="superscript"/>
              </w:rPr>
              <w:t>2</w:t>
            </w:r>
            <w:r>
              <w:rPr>
                <w:color w:val="auto"/>
              </w:rPr>
              <w:t>）×干漆膜密度</w:t>
            </w:r>
            <w:r>
              <w:rPr>
                <w:rFonts w:hint="eastAsia"/>
                <w:color w:val="auto"/>
                <w:lang w:eastAsia="zh-CN"/>
              </w:rPr>
              <w:t>（</w:t>
            </w:r>
            <w:r>
              <w:rPr>
                <w:color w:val="auto"/>
              </w:rPr>
              <w:t>g/m</w:t>
            </w:r>
            <w:r>
              <w:rPr>
                <w:color w:val="auto"/>
                <w:vertAlign w:val="superscript"/>
              </w:rPr>
              <w:t>3</w:t>
            </w:r>
            <w:r>
              <w:rPr>
                <w:rFonts w:hint="eastAsia"/>
                <w:color w:val="auto"/>
                <w:lang w:eastAsia="zh-CN"/>
              </w:rPr>
              <w:t>）</w:t>
            </w:r>
            <w:r>
              <w:rPr>
                <w:color w:val="auto"/>
              </w:rPr>
              <w:t>×膜厚</w:t>
            </w:r>
            <w:r>
              <w:rPr>
                <w:rFonts w:hint="eastAsia"/>
                <w:color w:val="auto"/>
                <w:lang w:eastAsia="zh-CN"/>
              </w:rPr>
              <w:t>（</w:t>
            </w:r>
            <w:r>
              <w:rPr>
                <w:color w:val="auto"/>
              </w:rPr>
              <w:t>μm</w:t>
            </w:r>
            <w:r>
              <w:rPr>
                <w:rFonts w:hint="eastAsia"/>
                <w:color w:val="auto"/>
                <w:lang w:eastAsia="zh-CN"/>
              </w:rPr>
              <w:t>）</w:t>
            </w:r>
            <w:r>
              <w:rPr>
                <w:color w:val="auto"/>
              </w:rPr>
              <w:t>/（厚漆固分%×漆选用率×10</w:t>
            </w:r>
            <w:r>
              <w:rPr>
                <w:color w:val="auto"/>
                <w:vertAlign w:val="superscript"/>
              </w:rPr>
              <w:t>6</w:t>
            </w:r>
            <w:r>
              <w:rPr>
                <w:color w:val="auto"/>
              </w:rPr>
              <w:t>）</w:t>
            </w:r>
          </w:p>
          <w:p w14:paraId="3B328DAE">
            <w:pPr>
              <w:ind w:firstLine="480"/>
              <w:rPr>
                <w:color w:val="auto"/>
              </w:rPr>
            </w:pPr>
            <w:r>
              <w:rPr>
                <w:color w:val="auto"/>
              </w:rPr>
              <w:t>参数选取：</w:t>
            </w:r>
          </w:p>
          <w:p w14:paraId="3AD214D3">
            <w:pPr>
              <w:ind w:firstLine="480"/>
              <w:rPr>
                <w:color w:val="auto"/>
              </w:rPr>
            </w:pPr>
            <w:r>
              <w:rPr>
                <w:color w:val="auto"/>
              </w:rPr>
              <w:t>a、喷涂面积：本项目从事汽车零部件及配件制造，年产30万套汽车零部件均需要进行电泳及粉末喷涂，根据建设单位提供资料，单套产品喷涂面积为2m</w:t>
            </w:r>
            <w:r>
              <w:rPr>
                <w:color w:val="auto"/>
                <w:vertAlign w:val="superscript"/>
              </w:rPr>
              <w:t>2</w:t>
            </w:r>
            <w:r>
              <w:rPr>
                <w:color w:val="auto"/>
              </w:rPr>
              <w:t>；</w:t>
            </w:r>
          </w:p>
          <w:p w14:paraId="06194909">
            <w:pPr>
              <w:ind w:firstLine="480"/>
              <w:rPr>
                <w:color w:val="auto"/>
              </w:rPr>
            </w:pPr>
            <w:r>
              <w:rPr>
                <w:color w:val="auto"/>
              </w:rPr>
              <w:t>b、膜厚：本项目产品电泳涂层厚度均为25μm；</w:t>
            </w:r>
          </w:p>
          <w:p w14:paraId="1ED4CB3D">
            <w:pPr>
              <w:ind w:firstLine="480"/>
              <w:rPr>
                <w:color w:val="auto"/>
              </w:rPr>
            </w:pPr>
            <w:r>
              <w:rPr>
                <w:color w:val="auto"/>
              </w:rPr>
              <w:t>c、干漆膜密度：干漆膜密度的计算不考虑涂料中的溶剂部分，因为溶剂在涂装过程中会挥发掉，只留下固体成分形成漆膜。这个参数对于了解漆膜的致密程度、估算涂料的覆盖率、评估漆膜性能（如硬度、耐久性）等方面非常重要。在实际应用中，干漆膜密度有助于涂料配方设计、施工成本控制以及对漆膜质量的监控。根据建设单位提供资料，产品电泳干漆膜密度控制在1.3g/cm</w:t>
            </w:r>
            <w:r>
              <w:rPr>
                <w:color w:val="auto"/>
                <w:vertAlign w:val="superscript"/>
              </w:rPr>
              <w:t>3</w:t>
            </w:r>
            <w:r>
              <w:rPr>
                <w:color w:val="auto"/>
              </w:rPr>
              <w:t>；</w:t>
            </w:r>
          </w:p>
          <w:p w14:paraId="41363E24">
            <w:pPr>
              <w:ind w:firstLine="480"/>
              <w:rPr>
                <w:color w:val="auto"/>
              </w:rPr>
            </w:pPr>
            <w:r>
              <w:rPr>
                <w:color w:val="auto"/>
              </w:rPr>
              <w:t>d、涂料固体分：项目电泳液由乳浆、色浆、水均调配后进行使用，其中乳浆、色浆、水配比为色浆：乳浆：水=1：5.5：6.5。</w:t>
            </w:r>
          </w:p>
          <w:p w14:paraId="13A3AD01">
            <w:pPr>
              <w:ind w:firstLine="480"/>
              <w:rPr>
                <w:color w:val="auto"/>
              </w:rPr>
            </w:pPr>
            <w:r>
              <w:rPr>
                <w:color w:val="auto"/>
              </w:rPr>
              <w:t>调配后固含量比例=（色浆固含量*1+乳浆固含量*5.5）/13，则调配后固含量比例=（46%*1+36*5.5）/13=18.76%。</w:t>
            </w:r>
          </w:p>
          <w:p w14:paraId="6BCF1AFF">
            <w:pPr>
              <w:ind w:firstLine="480"/>
              <w:rPr>
                <w:color w:val="auto"/>
              </w:rPr>
            </w:pPr>
            <w:r>
              <w:rPr>
                <w:color w:val="auto"/>
              </w:rPr>
              <w:t>本项目电泳涂料使用量计算参数及计算结果详见表2-6。</w:t>
            </w:r>
          </w:p>
          <w:p w14:paraId="35A22BBA">
            <w:pPr>
              <w:pStyle w:val="22"/>
              <w:rPr>
                <w:color w:val="auto"/>
                <w:szCs w:val="21"/>
              </w:rPr>
            </w:pPr>
            <w:r>
              <w:rPr>
                <w:color w:val="auto"/>
                <w:szCs w:val="21"/>
              </w:rPr>
              <w:t>表2-7 项目水性阴极电泳漆消耗量计算参数及计算结果一览表</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6"/>
              <w:gridCol w:w="868"/>
              <w:gridCol w:w="892"/>
              <w:gridCol w:w="920"/>
              <w:gridCol w:w="1138"/>
              <w:gridCol w:w="932"/>
              <w:gridCol w:w="898"/>
              <w:gridCol w:w="893"/>
              <w:gridCol w:w="919"/>
            </w:tblGrid>
            <w:tr w14:paraId="4A25A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23" w:type="dxa"/>
                  <w:vAlign w:val="center"/>
                </w:tcPr>
                <w:p w14:paraId="59B7AE98">
                  <w:pPr>
                    <w:pStyle w:val="20"/>
                    <w:rPr>
                      <w:b/>
                      <w:bCs/>
                      <w:color w:val="auto"/>
                    </w:rPr>
                  </w:pPr>
                  <w:r>
                    <w:rPr>
                      <w:b/>
                      <w:bCs/>
                      <w:color w:val="auto"/>
                    </w:rPr>
                    <w:t>产品</w:t>
                  </w:r>
                </w:p>
              </w:tc>
              <w:tc>
                <w:tcPr>
                  <w:tcW w:w="924" w:type="dxa"/>
                  <w:vAlign w:val="center"/>
                </w:tcPr>
                <w:p w14:paraId="5F119A18">
                  <w:pPr>
                    <w:pStyle w:val="20"/>
                    <w:rPr>
                      <w:b/>
                      <w:bCs/>
                      <w:color w:val="auto"/>
                    </w:rPr>
                  </w:pPr>
                  <w:r>
                    <w:rPr>
                      <w:b/>
                      <w:bCs/>
                      <w:color w:val="auto"/>
                    </w:rPr>
                    <w:t>涂装方式</w:t>
                  </w:r>
                </w:p>
              </w:tc>
              <w:tc>
                <w:tcPr>
                  <w:tcW w:w="924" w:type="dxa"/>
                  <w:vAlign w:val="center"/>
                </w:tcPr>
                <w:p w14:paraId="686A6E19">
                  <w:pPr>
                    <w:pStyle w:val="20"/>
                    <w:rPr>
                      <w:b/>
                      <w:bCs/>
                      <w:color w:val="auto"/>
                    </w:rPr>
                  </w:pPr>
                  <w:r>
                    <w:rPr>
                      <w:b/>
                      <w:bCs/>
                      <w:color w:val="auto"/>
                    </w:rPr>
                    <w:t>年涂装量（万套）</w:t>
                  </w:r>
                </w:p>
              </w:tc>
              <w:tc>
                <w:tcPr>
                  <w:tcW w:w="925" w:type="dxa"/>
                  <w:vAlign w:val="center"/>
                </w:tcPr>
                <w:p w14:paraId="2C278315">
                  <w:pPr>
                    <w:pStyle w:val="20"/>
                    <w:rPr>
                      <w:b/>
                      <w:bCs/>
                      <w:color w:val="auto"/>
                    </w:rPr>
                  </w:pPr>
                  <w:r>
                    <w:rPr>
                      <w:b/>
                      <w:bCs/>
                      <w:color w:val="auto"/>
                    </w:rPr>
                    <w:t>平均单件涂装面积（m</w:t>
                  </w:r>
                  <w:r>
                    <w:rPr>
                      <w:b/>
                      <w:bCs/>
                      <w:color w:val="auto"/>
                      <w:vertAlign w:val="superscript"/>
                    </w:rPr>
                    <w:t>2</w:t>
                  </w:r>
                  <w:r>
                    <w:rPr>
                      <w:b/>
                      <w:bCs/>
                      <w:color w:val="auto"/>
                    </w:rPr>
                    <w:t>）</w:t>
                  </w:r>
                </w:p>
              </w:tc>
              <w:tc>
                <w:tcPr>
                  <w:tcW w:w="925" w:type="dxa"/>
                  <w:vAlign w:val="center"/>
                </w:tcPr>
                <w:p w14:paraId="68C20A65">
                  <w:pPr>
                    <w:pStyle w:val="20"/>
                    <w:rPr>
                      <w:rFonts w:hint="eastAsia" w:eastAsia="宋体"/>
                      <w:b/>
                      <w:bCs/>
                      <w:color w:val="auto"/>
                      <w:lang w:eastAsia="zh-CN"/>
                    </w:rPr>
                  </w:pPr>
                  <w:r>
                    <w:rPr>
                      <w:b/>
                      <w:bCs/>
                      <w:color w:val="auto"/>
                    </w:rPr>
                    <w:t>干漆膜密度</w:t>
                  </w:r>
                  <w:r>
                    <w:rPr>
                      <w:rFonts w:hint="eastAsia"/>
                      <w:b/>
                      <w:bCs/>
                      <w:color w:val="auto"/>
                      <w:lang w:eastAsia="zh-CN"/>
                    </w:rPr>
                    <w:t>（</w:t>
                  </w:r>
                  <w:r>
                    <w:rPr>
                      <w:b/>
                      <w:bCs/>
                      <w:color w:val="auto"/>
                    </w:rPr>
                    <w:t>g/cm</w:t>
                  </w:r>
                  <w:r>
                    <w:rPr>
                      <w:b/>
                      <w:bCs/>
                      <w:color w:val="auto"/>
                      <w:vertAlign w:val="superscript"/>
                    </w:rPr>
                    <w:t>3</w:t>
                  </w:r>
                  <w:r>
                    <w:rPr>
                      <w:rFonts w:hint="eastAsia"/>
                      <w:b/>
                      <w:bCs/>
                      <w:color w:val="auto"/>
                      <w:lang w:eastAsia="zh-CN"/>
                    </w:rPr>
                    <w:t>）</w:t>
                  </w:r>
                </w:p>
              </w:tc>
              <w:tc>
                <w:tcPr>
                  <w:tcW w:w="923" w:type="dxa"/>
                  <w:vAlign w:val="center"/>
                </w:tcPr>
                <w:p w14:paraId="1B41F34C">
                  <w:pPr>
                    <w:pStyle w:val="20"/>
                    <w:rPr>
                      <w:b/>
                      <w:bCs/>
                      <w:color w:val="auto"/>
                    </w:rPr>
                  </w:pPr>
                  <w:r>
                    <w:rPr>
                      <w:b/>
                      <w:bCs/>
                      <w:color w:val="auto"/>
                    </w:rPr>
                    <w:t>膜厚</w:t>
                  </w:r>
                </w:p>
                <w:p w14:paraId="0639F285">
                  <w:pPr>
                    <w:pStyle w:val="20"/>
                    <w:rPr>
                      <w:rFonts w:hint="eastAsia" w:eastAsia="宋体"/>
                      <w:b/>
                      <w:bCs/>
                      <w:color w:val="auto"/>
                      <w:lang w:eastAsia="zh-CN"/>
                    </w:rPr>
                  </w:pPr>
                  <w:r>
                    <w:rPr>
                      <w:rFonts w:hint="eastAsia"/>
                      <w:b/>
                      <w:bCs/>
                      <w:color w:val="auto"/>
                      <w:lang w:eastAsia="zh-CN"/>
                    </w:rPr>
                    <w:t>（</w:t>
                  </w:r>
                  <w:r>
                    <w:rPr>
                      <w:b/>
                      <w:bCs/>
                      <w:color w:val="auto"/>
                    </w:rPr>
                    <w:t>μm</w:t>
                  </w:r>
                  <w:r>
                    <w:rPr>
                      <w:rFonts w:hint="eastAsia"/>
                      <w:b/>
                      <w:bCs/>
                      <w:color w:val="auto"/>
                      <w:lang w:eastAsia="zh-CN"/>
                    </w:rPr>
                    <w:t>）</w:t>
                  </w:r>
                </w:p>
              </w:tc>
              <w:tc>
                <w:tcPr>
                  <w:tcW w:w="924" w:type="dxa"/>
                  <w:vAlign w:val="center"/>
                </w:tcPr>
                <w:p w14:paraId="6ACD524F">
                  <w:pPr>
                    <w:pStyle w:val="20"/>
                    <w:rPr>
                      <w:b/>
                      <w:bCs/>
                      <w:color w:val="auto"/>
                    </w:rPr>
                  </w:pPr>
                  <w:r>
                    <w:rPr>
                      <w:b/>
                      <w:bCs/>
                      <w:color w:val="auto"/>
                    </w:rPr>
                    <w:t>涂料固体分%</w:t>
                  </w:r>
                </w:p>
              </w:tc>
              <w:tc>
                <w:tcPr>
                  <w:tcW w:w="925" w:type="dxa"/>
                  <w:vAlign w:val="center"/>
                </w:tcPr>
                <w:p w14:paraId="64D120BF">
                  <w:pPr>
                    <w:pStyle w:val="20"/>
                    <w:rPr>
                      <w:b/>
                      <w:bCs/>
                      <w:color w:val="auto"/>
                    </w:rPr>
                  </w:pPr>
                  <w:r>
                    <w:rPr>
                      <w:b/>
                      <w:bCs/>
                      <w:color w:val="auto"/>
                    </w:rPr>
                    <w:t>涂料利用率%</w:t>
                  </w:r>
                </w:p>
              </w:tc>
              <w:tc>
                <w:tcPr>
                  <w:tcW w:w="925" w:type="dxa"/>
                  <w:vAlign w:val="center"/>
                </w:tcPr>
                <w:p w14:paraId="34509FC5">
                  <w:pPr>
                    <w:pStyle w:val="20"/>
                    <w:rPr>
                      <w:b/>
                      <w:bCs/>
                      <w:color w:val="auto"/>
                    </w:rPr>
                  </w:pPr>
                  <w:r>
                    <w:rPr>
                      <w:b/>
                      <w:bCs/>
                      <w:color w:val="auto"/>
                    </w:rPr>
                    <w:t>用量核算（t/a）</w:t>
                  </w:r>
                </w:p>
              </w:tc>
            </w:tr>
            <w:tr w14:paraId="74AC3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vAlign w:val="center"/>
                </w:tcPr>
                <w:p w14:paraId="3658E3F6">
                  <w:pPr>
                    <w:pStyle w:val="20"/>
                    <w:rPr>
                      <w:color w:val="auto"/>
                    </w:rPr>
                  </w:pPr>
                  <w:r>
                    <w:rPr>
                      <w:color w:val="auto"/>
                    </w:rPr>
                    <w:t>汽车零配件</w:t>
                  </w:r>
                </w:p>
              </w:tc>
              <w:tc>
                <w:tcPr>
                  <w:tcW w:w="924" w:type="dxa"/>
                  <w:vAlign w:val="center"/>
                </w:tcPr>
                <w:p w14:paraId="5C48016D">
                  <w:pPr>
                    <w:pStyle w:val="20"/>
                    <w:rPr>
                      <w:color w:val="auto"/>
                    </w:rPr>
                  </w:pPr>
                  <w:r>
                    <w:rPr>
                      <w:color w:val="auto"/>
                    </w:rPr>
                    <w:t>电泳</w:t>
                  </w:r>
                </w:p>
              </w:tc>
              <w:tc>
                <w:tcPr>
                  <w:tcW w:w="924" w:type="dxa"/>
                  <w:vAlign w:val="center"/>
                </w:tcPr>
                <w:p w14:paraId="1DA5DFDA">
                  <w:pPr>
                    <w:pStyle w:val="20"/>
                    <w:rPr>
                      <w:color w:val="auto"/>
                    </w:rPr>
                  </w:pPr>
                  <w:r>
                    <w:rPr>
                      <w:color w:val="auto"/>
                    </w:rPr>
                    <w:t>30</w:t>
                  </w:r>
                </w:p>
              </w:tc>
              <w:tc>
                <w:tcPr>
                  <w:tcW w:w="925" w:type="dxa"/>
                  <w:vAlign w:val="center"/>
                </w:tcPr>
                <w:p w14:paraId="72B795C2">
                  <w:pPr>
                    <w:pStyle w:val="20"/>
                    <w:rPr>
                      <w:color w:val="auto"/>
                    </w:rPr>
                  </w:pPr>
                  <w:r>
                    <w:rPr>
                      <w:color w:val="auto"/>
                    </w:rPr>
                    <w:t>2</w:t>
                  </w:r>
                </w:p>
              </w:tc>
              <w:tc>
                <w:tcPr>
                  <w:tcW w:w="925" w:type="dxa"/>
                  <w:vAlign w:val="center"/>
                </w:tcPr>
                <w:p w14:paraId="4125D4D4">
                  <w:pPr>
                    <w:pStyle w:val="20"/>
                    <w:rPr>
                      <w:color w:val="auto"/>
                    </w:rPr>
                  </w:pPr>
                  <w:r>
                    <w:rPr>
                      <w:color w:val="auto"/>
                    </w:rPr>
                    <w:t>1.3</w:t>
                  </w:r>
                </w:p>
              </w:tc>
              <w:tc>
                <w:tcPr>
                  <w:tcW w:w="923" w:type="dxa"/>
                  <w:vAlign w:val="center"/>
                </w:tcPr>
                <w:p w14:paraId="436A717C">
                  <w:pPr>
                    <w:pStyle w:val="20"/>
                    <w:rPr>
                      <w:color w:val="auto"/>
                    </w:rPr>
                  </w:pPr>
                  <w:r>
                    <w:rPr>
                      <w:color w:val="auto"/>
                    </w:rPr>
                    <w:t>20</w:t>
                  </w:r>
                </w:p>
              </w:tc>
              <w:tc>
                <w:tcPr>
                  <w:tcW w:w="924" w:type="dxa"/>
                  <w:vAlign w:val="center"/>
                </w:tcPr>
                <w:p w14:paraId="38DE1E4A">
                  <w:pPr>
                    <w:pStyle w:val="20"/>
                    <w:rPr>
                      <w:color w:val="auto"/>
                    </w:rPr>
                  </w:pPr>
                  <w:r>
                    <w:rPr>
                      <w:color w:val="auto"/>
                    </w:rPr>
                    <w:t>18.76</w:t>
                  </w:r>
                </w:p>
              </w:tc>
              <w:tc>
                <w:tcPr>
                  <w:tcW w:w="925" w:type="dxa"/>
                  <w:vAlign w:val="center"/>
                </w:tcPr>
                <w:p w14:paraId="0FEA288D">
                  <w:pPr>
                    <w:pStyle w:val="20"/>
                    <w:rPr>
                      <w:color w:val="auto"/>
                    </w:rPr>
                  </w:pPr>
                  <w:r>
                    <w:rPr>
                      <w:color w:val="auto"/>
                    </w:rPr>
                    <w:t>95</w:t>
                  </w:r>
                </w:p>
              </w:tc>
              <w:tc>
                <w:tcPr>
                  <w:tcW w:w="925" w:type="dxa"/>
                  <w:vAlign w:val="center"/>
                </w:tcPr>
                <w:p w14:paraId="2F12E1B5">
                  <w:pPr>
                    <w:pStyle w:val="20"/>
                    <w:rPr>
                      <w:color w:val="auto"/>
                    </w:rPr>
                  </w:pPr>
                  <w:r>
                    <w:rPr>
                      <w:color w:val="auto"/>
                    </w:rPr>
                    <w:t>87.53</w:t>
                  </w:r>
                </w:p>
              </w:tc>
            </w:tr>
            <w:tr w14:paraId="69723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18" w:type="dxa"/>
                  <w:gridSpan w:val="9"/>
                  <w:vAlign w:val="center"/>
                </w:tcPr>
                <w:p w14:paraId="25C32D42">
                  <w:pPr>
                    <w:pStyle w:val="20"/>
                    <w:rPr>
                      <w:color w:val="auto"/>
                    </w:rPr>
                  </w:pPr>
                  <w:r>
                    <w:rPr>
                      <w:color w:val="auto"/>
                    </w:rPr>
                    <w:t>注：项目电泳槽液以水性阴极电泳漆色浆、乳液、水以1：5.5：6.5比例在电泳槽中混合使用，则水性阴极电泳漆色浆用量为6.73t/a、乳浆用量为37.03t/a。</w:t>
                  </w:r>
                </w:p>
              </w:tc>
            </w:tr>
          </w:tbl>
          <w:p w14:paraId="2A88BF8A">
            <w:pPr>
              <w:ind w:firstLine="480"/>
              <w:rPr>
                <w:color w:val="auto"/>
              </w:rPr>
            </w:pPr>
            <w:r>
              <w:rPr>
                <w:color w:val="auto"/>
              </w:rPr>
              <w:t>②粉末涂料用量计算公式：</w:t>
            </w:r>
          </w:p>
          <w:p w14:paraId="3AC2C56D">
            <w:pPr>
              <w:ind w:firstLine="480"/>
              <w:rPr>
                <w:rFonts w:hint="eastAsia" w:eastAsia="宋体"/>
                <w:color w:val="auto"/>
                <w:lang w:eastAsia="zh-CN"/>
              </w:rPr>
            </w:pPr>
            <w:r>
              <w:rPr>
                <w:color w:val="auto"/>
              </w:rPr>
              <w:t>粉末涂料使用量=喷涂面积×厚度×密度×10</w:t>
            </w:r>
            <w:r>
              <w:rPr>
                <w:color w:val="auto"/>
                <w:vertAlign w:val="superscript"/>
              </w:rPr>
              <w:t>-6</w:t>
            </w:r>
            <w:r>
              <w:rPr>
                <w:color w:val="auto"/>
              </w:rPr>
              <w:t>/</w:t>
            </w:r>
            <w:r>
              <w:rPr>
                <w:rFonts w:hint="eastAsia"/>
                <w:color w:val="auto"/>
                <w:lang w:eastAsia="zh-CN"/>
              </w:rPr>
              <w:t>〔</w:t>
            </w:r>
            <w:r>
              <w:rPr>
                <w:color w:val="auto"/>
              </w:rPr>
              <w:t>利用率+（1-利用率）×未利用粉料回用率</w:t>
            </w:r>
            <w:r>
              <w:rPr>
                <w:rFonts w:hint="eastAsia"/>
                <w:color w:val="auto"/>
                <w:lang w:eastAsia="zh-CN"/>
              </w:rPr>
              <w:t>〕</w:t>
            </w:r>
          </w:p>
          <w:p w14:paraId="72FF3012">
            <w:pPr>
              <w:kinsoku w:val="0"/>
              <w:ind w:firstLine="422"/>
              <w:jc w:val="center"/>
              <w:rPr>
                <w:b/>
                <w:color w:val="auto"/>
                <w:kern w:val="2"/>
                <w:sz w:val="21"/>
              </w:rPr>
            </w:pPr>
            <w:r>
              <w:rPr>
                <w:b/>
                <w:color w:val="auto"/>
                <w:kern w:val="2"/>
                <w:sz w:val="21"/>
              </w:rPr>
              <w:t>表2-8 项目粉末涂料使用量计算参数及计算结果一览表</w:t>
            </w:r>
          </w:p>
          <w:tbl>
            <w:tblPr>
              <w:tblStyle w:val="23"/>
              <w:tblW w:w="76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69"/>
              <w:gridCol w:w="535"/>
              <w:gridCol w:w="869"/>
              <w:gridCol w:w="744"/>
              <w:gridCol w:w="763"/>
              <w:gridCol w:w="746"/>
              <w:gridCol w:w="952"/>
              <w:gridCol w:w="687"/>
              <w:gridCol w:w="683"/>
              <w:gridCol w:w="685"/>
            </w:tblGrid>
            <w:tr w14:paraId="1CE70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9" w:hRule="atLeast"/>
                <w:jc w:val="center"/>
              </w:trPr>
              <w:tc>
                <w:tcPr>
                  <w:tcW w:w="987"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1BFBF70">
                  <w:pPr>
                    <w:pStyle w:val="20"/>
                    <w:rPr>
                      <w:b/>
                      <w:bCs/>
                      <w:color w:val="auto"/>
                    </w:rPr>
                  </w:pPr>
                  <w:r>
                    <w:rPr>
                      <w:b/>
                      <w:bCs/>
                      <w:color w:val="auto"/>
                    </w:rPr>
                    <w:t>产品</w:t>
                  </w:r>
                </w:p>
              </w:tc>
              <w:tc>
                <w:tcPr>
                  <w:tcW w:w="54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5013F1D">
                  <w:pPr>
                    <w:pStyle w:val="20"/>
                    <w:rPr>
                      <w:b/>
                      <w:bCs/>
                      <w:color w:val="auto"/>
                    </w:rPr>
                  </w:pPr>
                  <w:r>
                    <w:rPr>
                      <w:b/>
                      <w:bCs/>
                      <w:color w:val="auto"/>
                    </w:rPr>
                    <w:t>涂装方式</w:t>
                  </w:r>
                </w:p>
              </w:tc>
              <w:tc>
                <w:tcPr>
                  <w:tcW w:w="8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DD0885F">
                  <w:pPr>
                    <w:pStyle w:val="20"/>
                    <w:rPr>
                      <w:b/>
                      <w:bCs/>
                      <w:color w:val="auto"/>
                    </w:rPr>
                  </w:pPr>
                  <w:r>
                    <w:rPr>
                      <w:b/>
                      <w:bCs/>
                      <w:color w:val="auto"/>
                    </w:rPr>
                    <w:t>平均单件涂装面积（m</w:t>
                  </w:r>
                  <w:r>
                    <w:rPr>
                      <w:b/>
                      <w:bCs/>
                      <w:color w:val="auto"/>
                      <w:vertAlign w:val="superscript"/>
                    </w:rPr>
                    <w:t>2</w:t>
                  </w:r>
                  <w:r>
                    <w:rPr>
                      <w:b/>
                      <w:bCs/>
                      <w:color w:val="auto"/>
                    </w:rPr>
                    <w:t>）</w:t>
                  </w:r>
                </w:p>
              </w:tc>
              <w:tc>
                <w:tcPr>
                  <w:tcW w:w="75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5D0B231">
                  <w:pPr>
                    <w:pStyle w:val="20"/>
                    <w:rPr>
                      <w:b/>
                      <w:bCs/>
                      <w:color w:val="auto"/>
                    </w:rPr>
                  </w:pPr>
                  <w:r>
                    <w:rPr>
                      <w:b/>
                      <w:bCs/>
                      <w:color w:val="auto"/>
                    </w:rPr>
                    <w:t>年涂装量（万套）</w:t>
                  </w:r>
                </w:p>
              </w:tc>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600A5D9">
                  <w:pPr>
                    <w:pStyle w:val="20"/>
                    <w:rPr>
                      <w:b/>
                      <w:bCs/>
                      <w:color w:val="auto"/>
                    </w:rPr>
                  </w:pPr>
                  <w:r>
                    <w:rPr>
                      <w:b/>
                      <w:bCs/>
                      <w:color w:val="auto"/>
                    </w:rPr>
                    <w:t>年涂装面积（m</w:t>
                  </w:r>
                  <w:r>
                    <w:rPr>
                      <w:b/>
                      <w:bCs/>
                      <w:color w:val="auto"/>
                      <w:vertAlign w:val="superscript"/>
                    </w:rPr>
                    <w:t>2</w:t>
                  </w:r>
                  <w:r>
                    <w:rPr>
                      <w:b/>
                      <w:bCs/>
                      <w:color w:val="auto"/>
                    </w:rPr>
                    <w:t>）</w:t>
                  </w:r>
                </w:p>
              </w:tc>
              <w:tc>
                <w:tcPr>
                  <w:tcW w:w="72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1CD1245">
                  <w:pPr>
                    <w:pStyle w:val="20"/>
                    <w:rPr>
                      <w:b/>
                      <w:bCs/>
                      <w:color w:val="auto"/>
                    </w:rPr>
                  </w:pPr>
                  <w:r>
                    <w:rPr>
                      <w:b/>
                      <w:bCs/>
                      <w:color w:val="auto"/>
                    </w:rPr>
                    <w:t>涂层厚度</w:t>
                  </w:r>
                </w:p>
                <w:p w14:paraId="31142979">
                  <w:pPr>
                    <w:pStyle w:val="20"/>
                    <w:rPr>
                      <w:b/>
                      <w:bCs/>
                      <w:color w:val="auto"/>
                    </w:rPr>
                  </w:pPr>
                  <w:r>
                    <w:rPr>
                      <w:b/>
                      <w:bCs/>
                      <w:color w:val="auto"/>
                    </w:rPr>
                    <w:t>（μm）</w:t>
                  </w:r>
                </w:p>
              </w:tc>
              <w:tc>
                <w:tcPr>
                  <w:tcW w:w="938"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4D9E24F">
                  <w:pPr>
                    <w:pStyle w:val="20"/>
                    <w:rPr>
                      <w:b/>
                      <w:bCs/>
                      <w:color w:val="auto"/>
                    </w:rPr>
                  </w:pPr>
                  <w:r>
                    <w:rPr>
                      <w:b/>
                      <w:bCs/>
                      <w:color w:val="auto"/>
                    </w:rPr>
                    <w:t>密度（g/cm</w:t>
                  </w:r>
                  <w:r>
                    <w:rPr>
                      <w:b/>
                      <w:bCs/>
                      <w:color w:val="auto"/>
                      <w:vertAlign w:val="superscript"/>
                    </w:rPr>
                    <w:t>3</w:t>
                  </w:r>
                  <w:r>
                    <w:rPr>
                      <w:b/>
                      <w:bCs/>
                      <w:color w:val="auto"/>
                    </w:rPr>
                    <w:t>）</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4FD496A">
                  <w:pPr>
                    <w:pStyle w:val="20"/>
                    <w:rPr>
                      <w:b/>
                      <w:bCs/>
                      <w:color w:val="auto"/>
                    </w:rPr>
                  </w:pPr>
                  <w:r>
                    <w:rPr>
                      <w:b/>
                      <w:bCs/>
                      <w:color w:val="auto"/>
                    </w:rPr>
                    <w:t>回用率</w:t>
                  </w:r>
                </w:p>
              </w:tc>
              <w:tc>
                <w:tcPr>
                  <w:tcW w:w="68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EAD658B">
                  <w:pPr>
                    <w:pStyle w:val="20"/>
                    <w:rPr>
                      <w:b/>
                      <w:bCs/>
                      <w:color w:val="auto"/>
                    </w:rPr>
                  </w:pPr>
                  <w:r>
                    <w:rPr>
                      <w:b/>
                      <w:bCs/>
                      <w:color w:val="auto"/>
                    </w:rPr>
                    <w:t>附着率（利用率）</w:t>
                  </w:r>
                </w:p>
              </w:tc>
              <w:tc>
                <w:tcPr>
                  <w:tcW w:w="67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A3B26AC">
                  <w:pPr>
                    <w:pStyle w:val="20"/>
                    <w:rPr>
                      <w:b/>
                      <w:bCs/>
                      <w:color w:val="auto"/>
                    </w:rPr>
                  </w:pPr>
                  <w:r>
                    <w:rPr>
                      <w:b/>
                      <w:bCs/>
                      <w:color w:val="auto"/>
                    </w:rPr>
                    <w:t>用量核算（t/a）</w:t>
                  </w:r>
                </w:p>
              </w:tc>
            </w:tr>
            <w:tr w14:paraId="150DA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987" w:type="dxa"/>
                  <w:tcBorders>
                    <w:top w:val="single" w:color="auto" w:sz="4" w:space="0"/>
                    <w:left w:val="single" w:color="auto" w:sz="4" w:space="0"/>
                    <w:right w:val="single" w:color="auto" w:sz="4" w:space="0"/>
                  </w:tcBorders>
                  <w:tcMar>
                    <w:top w:w="15" w:type="dxa"/>
                    <w:left w:w="15" w:type="dxa"/>
                    <w:bottom w:w="0" w:type="dxa"/>
                    <w:right w:w="15" w:type="dxa"/>
                  </w:tcMar>
                  <w:vAlign w:val="center"/>
                </w:tcPr>
                <w:p w14:paraId="70E99502">
                  <w:pPr>
                    <w:pStyle w:val="20"/>
                    <w:rPr>
                      <w:color w:val="auto"/>
                    </w:rPr>
                  </w:pPr>
                  <w:r>
                    <w:rPr>
                      <w:color w:val="auto"/>
                    </w:rPr>
                    <w:t>汽车零配件</w:t>
                  </w:r>
                </w:p>
              </w:tc>
              <w:tc>
                <w:tcPr>
                  <w:tcW w:w="54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60DF82F">
                  <w:pPr>
                    <w:pStyle w:val="20"/>
                    <w:rPr>
                      <w:color w:val="auto"/>
                    </w:rPr>
                  </w:pPr>
                  <w:r>
                    <w:rPr>
                      <w:color w:val="auto"/>
                    </w:rPr>
                    <w:t>喷粉</w:t>
                  </w:r>
                </w:p>
              </w:tc>
              <w:tc>
                <w:tcPr>
                  <w:tcW w:w="8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406C938">
                  <w:pPr>
                    <w:pStyle w:val="20"/>
                    <w:rPr>
                      <w:color w:val="auto"/>
                    </w:rPr>
                  </w:pPr>
                  <w:r>
                    <w:rPr>
                      <w:color w:val="auto"/>
                    </w:rPr>
                    <w:t>2</w:t>
                  </w:r>
                </w:p>
              </w:tc>
              <w:tc>
                <w:tcPr>
                  <w:tcW w:w="75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7B67160">
                  <w:pPr>
                    <w:pStyle w:val="20"/>
                    <w:rPr>
                      <w:color w:val="auto"/>
                    </w:rPr>
                  </w:pPr>
                  <w:r>
                    <w:rPr>
                      <w:color w:val="auto"/>
                    </w:rPr>
                    <w:t>30</w:t>
                  </w:r>
                </w:p>
              </w:tc>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437524E">
                  <w:pPr>
                    <w:pStyle w:val="20"/>
                    <w:rPr>
                      <w:color w:val="auto"/>
                    </w:rPr>
                  </w:pPr>
                  <w:r>
                    <w:rPr>
                      <w:color w:val="auto"/>
                    </w:rPr>
                    <w:t>600000</w:t>
                  </w:r>
                </w:p>
              </w:tc>
              <w:tc>
                <w:tcPr>
                  <w:tcW w:w="72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4C33B49">
                  <w:pPr>
                    <w:pStyle w:val="20"/>
                    <w:rPr>
                      <w:color w:val="auto"/>
                    </w:rPr>
                  </w:pPr>
                  <w:r>
                    <w:rPr>
                      <w:color w:val="auto"/>
                    </w:rPr>
                    <w:t>70</w:t>
                  </w:r>
                </w:p>
              </w:tc>
              <w:tc>
                <w:tcPr>
                  <w:tcW w:w="938"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0C9AD2B">
                  <w:pPr>
                    <w:pStyle w:val="20"/>
                    <w:rPr>
                      <w:color w:val="auto"/>
                    </w:rPr>
                  </w:pPr>
                  <w:r>
                    <w:rPr>
                      <w:color w:val="auto"/>
                    </w:rPr>
                    <w:t>2.30</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D4E2196">
                  <w:pPr>
                    <w:pStyle w:val="20"/>
                    <w:rPr>
                      <w:color w:val="auto"/>
                    </w:rPr>
                  </w:pPr>
                  <w:r>
                    <w:rPr>
                      <w:color w:val="auto"/>
                    </w:rPr>
                    <w:t>0.882</w:t>
                  </w:r>
                </w:p>
              </w:tc>
              <w:tc>
                <w:tcPr>
                  <w:tcW w:w="68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C360802">
                  <w:pPr>
                    <w:pStyle w:val="20"/>
                    <w:rPr>
                      <w:color w:val="auto"/>
                    </w:rPr>
                  </w:pPr>
                  <w:r>
                    <w:rPr>
                      <w:color w:val="auto"/>
                    </w:rPr>
                    <w:t>65%</w:t>
                  </w:r>
                </w:p>
              </w:tc>
              <w:tc>
                <w:tcPr>
                  <w:tcW w:w="67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145288B">
                  <w:pPr>
                    <w:pStyle w:val="20"/>
                    <w:rPr>
                      <w:color w:val="auto"/>
                    </w:rPr>
                  </w:pPr>
                  <w:r>
                    <w:rPr>
                      <w:color w:val="auto"/>
                    </w:rPr>
                    <w:t xml:space="preserve">101 </w:t>
                  </w:r>
                </w:p>
              </w:tc>
            </w:tr>
          </w:tbl>
          <w:p w14:paraId="74718C5C">
            <w:pPr>
              <w:ind w:firstLine="420"/>
              <w:rPr>
                <w:color w:val="auto"/>
                <w:kern w:val="2"/>
                <w:sz w:val="21"/>
                <w:szCs w:val="21"/>
              </w:rPr>
            </w:pPr>
            <w:r>
              <w:rPr>
                <w:color w:val="auto"/>
                <w:kern w:val="2"/>
                <w:sz w:val="21"/>
                <w:szCs w:val="21"/>
              </w:rPr>
              <w:t>注：①大旋风</w:t>
            </w:r>
            <w:r>
              <w:rPr>
                <w:color w:val="auto"/>
                <w:spacing w:val="-10"/>
                <w:kern w:val="2"/>
                <w:sz w:val="21"/>
                <w:szCs w:val="21"/>
              </w:rPr>
              <w:t>喷房</w:t>
            </w:r>
            <w:r>
              <w:rPr>
                <w:color w:val="auto"/>
                <w:kern w:val="2"/>
                <w:sz w:val="21"/>
                <w:szCs w:val="21"/>
              </w:rPr>
              <w:t>喷粉产生的粉尘（未附着粉料）收集经“高效大旋风回收系统+滤筒式除尘器”处理回用，收集效率为90%，处理效率分别为60%、95%（见后文），即未附着粉料回用率为90%×60%+90%×（1-60%）×95%=88.2%。</w:t>
            </w:r>
          </w:p>
          <w:p w14:paraId="6B9996BB">
            <w:pPr>
              <w:ind w:firstLine="420"/>
              <w:rPr>
                <w:color w:val="auto"/>
                <w:kern w:val="2"/>
                <w:sz w:val="21"/>
                <w:szCs w:val="21"/>
              </w:rPr>
            </w:pPr>
            <w:r>
              <w:rPr>
                <w:color w:val="auto"/>
                <w:kern w:val="2"/>
                <w:sz w:val="21"/>
                <w:szCs w:val="21"/>
              </w:rPr>
              <w:t>②根据《广东省表面涂装</w:t>
            </w:r>
            <w:r>
              <w:rPr>
                <w:rFonts w:hint="eastAsia"/>
                <w:color w:val="auto"/>
                <w:kern w:val="2"/>
                <w:sz w:val="21"/>
                <w:szCs w:val="21"/>
                <w:lang w:eastAsia="zh-CN"/>
              </w:rPr>
              <w:t>（</w:t>
            </w:r>
            <w:r>
              <w:rPr>
                <w:color w:val="auto"/>
                <w:kern w:val="2"/>
                <w:sz w:val="21"/>
                <w:szCs w:val="21"/>
              </w:rPr>
              <w:t>汽车制造业</w:t>
            </w:r>
            <w:r>
              <w:rPr>
                <w:rFonts w:hint="eastAsia"/>
                <w:color w:val="auto"/>
                <w:kern w:val="2"/>
                <w:sz w:val="21"/>
                <w:szCs w:val="21"/>
                <w:lang w:eastAsia="zh-CN"/>
              </w:rPr>
              <w:t>）</w:t>
            </w:r>
            <w:r>
              <w:rPr>
                <w:color w:val="auto"/>
                <w:kern w:val="2"/>
                <w:sz w:val="21"/>
                <w:szCs w:val="21"/>
              </w:rPr>
              <w:t>挥发性有机废气治理技术指南》（粤环〔2015〕4号），静电喷涂涂料利用率高，约为60~70%，按65%计算。</w:t>
            </w:r>
          </w:p>
          <w:p w14:paraId="32310185">
            <w:pPr>
              <w:pStyle w:val="12"/>
              <w:ind w:firstLine="420"/>
              <w:rPr>
                <w:b w:val="0"/>
                <w:bCs/>
                <w:color w:val="auto"/>
                <w:szCs w:val="24"/>
              </w:rPr>
            </w:pPr>
            <w:r>
              <w:rPr>
                <w:b w:val="0"/>
                <w:bCs/>
                <w:color w:val="auto"/>
                <w:kern w:val="2"/>
                <w:sz w:val="21"/>
                <w:szCs w:val="21"/>
              </w:rPr>
              <w:fldChar w:fldCharType="begin"/>
            </w:r>
            <w:r>
              <w:rPr>
                <w:b w:val="0"/>
                <w:bCs/>
                <w:color w:val="auto"/>
                <w:kern w:val="2"/>
                <w:sz w:val="21"/>
                <w:szCs w:val="21"/>
              </w:rPr>
              <w:instrText xml:space="preserve"> = 3 \* GB3 \* MERGEFORMAT </w:instrText>
            </w:r>
            <w:r>
              <w:rPr>
                <w:b w:val="0"/>
                <w:bCs/>
                <w:color w:val="auto"/>
                <w:kern w:val="2"/>
                <w:sz w:val="21"/>
                <w:szCs w:val="21"/>
              </w:rPr>
              <w:fldChar w:fldCharType="separate"/>
            </w:r>
            <w:r>
              <w:rPr>
                <w:b w:val="0"/>
                <w:bCs/>
                <w:color w:val="auto"/>
                <w:kern w:val="2"/>
                <w:sz w:val="21"/>
                <w:szCs w:val="24"/>
              </w:rPr>
              <w:t>③</w:t>
            </w:r>
            <w:r>
              <w:rPr>
                <w:b w:val="0"/>
                <w:bCs/>
                <w:color w:val="auto"/>
                <w:kern w:val="2"/>
                <w:sz w:val="21"/>
                <w:szCs w:val="24"/>
              </w:rPr>
              <w:fldChar w:fldCharType="end"/>
            </w:r>
            <w:r>
              <w:rPr>
                <w:b w:val="0"/>
                <w:bCs/>
                <w:color w:val="auto"/>
                <w:sz w:val="21"/>
                <w:szCs w:val="21"/>
              </w:rPr>
              <w:t>建设单位对项目需要进行粉末喷涂的产品进行了三维测算，测算出的产品表面积见表2-7“</w:t>
            </w:r>
            <w:r>
              <w:rPr>
                <w:rStyle w:val="68"/>
                <w:b w:val="0"/>
                <w:bCs/>
                <w:color w:val="auto"/>
                <w:kern w:val="2"/>
              </w:rPr>
              <w:t>平均单件喷涂面积”栏</w:t>
            </w:r>
            <w:r>
              <w:rPr>
                <w:b w:val="0"/>
                <w:bCs/>
                <w:color w:val="auto"/>
                <w:sz w:val="21"/>
                <w:szCs w:val="21"/>
              </w:rPr>
              <w:t>。</w:t>
            </w:r>
          </w:p>
          <w:p w14:paraId="23F90C40">
            <w:pPr>
              <w:pStyle w:val="12"/>
              <w:ind w:firstLine="482"/>
              <w:rPr>
                <w:color w:val="auto"/>
                <w:szCs w:val="24"/>
              </w:rPr>
            </w:pPr>
            <w:r>
              <w:rPr>
                <w:color w:val="auto"/>
                <w:szCs w:val="24"/>
              </w:rPr>
              <w:t>6、主要生产设备</w:t>
            </w:r>
          </w:p>
          <w:p w14:paraId="01940855">
            <w:pPr>
              <w:ind w:firstLine="480"/>
              <w:rPr>
                <w:color w:val="auto"/>
              </w:rPr>
            </w:pPr>
            <w:r>
              <w:rPr>
                <w:color w:val="auto"/>
              </w:rPr>
              <w:t>本项目主要生产设备见表2-9。</w:t>
            </w:r>
          </w:p>
          <w:p w14:paraId="70FE45F0">
            <w:pPr>
              <w:pStyle w:val="22"/>
              <w:rPr>
                <w:color w:val="auto"/>
                <w:szCs w:val="21"/>
              </w:rPr>
            </w:pPr>
            <w:r>
              <w:rPr>
                <w:color w:val="auto"/>
                <w:szCs w:val="21"/>
              </w:rPr>
              <w:t>表2-9 项目主要生产设备</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9"/>
              <w:gridCol w:w="2801"/>
              <w:gridCol w:w="2584"/>
              <w:gridCol w:w="774"/>
              <w:gridCol w:w="774"/>
              <w:gridCol w:w="794"/>
            </w:tblGrid>
            <w:tr w14:paraId="1E760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Merge w:val="restart"/>
                  <w:vAlign w:val="center"/>
                </w:tcPr>
                <w:p w14:paraId="3C10E2C1">
                  <w:pPr>
                    <w:pStyle w:val="20"/>
                    <w:rPr>
                      <w:b/>
                      <w:bCs/>
                      <w:color w:val="auto"/>
                    </w:rPr>
                  </w:pPr>
                  <w:r>
                    <w:rPr>
                      <w:b/>
                      <w:bCs/>
                      <w:color w:val="auto"/>
                    </w:rPr>
                    <w:t>序号</w:t>
                  </w:r>
                </w:p>
              </w:tc>
              <w:tc>
                <w:tcPr>
                  <w:tcW w:w="2801" w:type="dxa"/>
                  <w:vMerge w:val="restart"/>
                  <w:vAlign w:val="center"/>
                </w:tcPr>
                <w:p w14:paraId="6A70B284">
                  <w:pPr>
                    <w:pStyle w:val="20"/>
                    <w:rPr>
                      <w:b/>
                      <w:bCs/>
                      <w:color w:val="auto"/>
                    </w:rPr>
                  </w:pPr>
                  <w:r>
                    <w:rPr>
                      <w:b/>
                      <w:bCs/>
                      <w:color w:val="auto"/>
                    </w:rPr>
                    <w:t>名称</w:t>
                  </w:r>
                </w:p>
              </w:tc>
              <w:tc>
                <w:tcPr>
                  <w:tcW w:w="2584" w:type="dxa"/>
                  <w:vMerge w:val="restart"/>
                  <w:vAlign w:val="center"/>
                </w:tcPr>
                <w:p w14:paraId="2EA6D812">
                  <w:pPr>
                    <w:pStyle w:val="20"/>
                    <w:rPr>
                      <w:b/>
                      <w:bCs/>
                      <w:color w:val="auto"/>
                    </w:rPr>
                  </w:pPr>
                  <w:r>
                    <w:rPr>
                      <w:b/>
                      <w:bCs/>
                      <w:color w:val="auto"/>
                    </w:rPr>
                    <w:t>规格型号</w:t>
                  </w:r>
                </w:p>
              </w:tc>
              <w:tc>
                <w:tcPr>
                  <w:tcW w:w="2342" w:type="dxa"/>
                  <w:gridSpan w:val="3"/>
                  <w:vAlign w:val="center"/>
                </w:tcPr>
                <w:p w14:paraId="552FD5DD">
                  <w:pPr>
                    <w:pStyle w:val="20"/>
                    <w:rPr>
                      <w:b/>
                      <w:bCs/>
                      <w:color w:val="auto"/>
                    </w:rPr>
                  </w:pPr>
                  <w:r>
                    <w:rPr>
                      <w:b/>
                      <w:bCs/>
                      <w:color w:val="auto"/>
                    </w:rPr>
                    <w:t>数量</w:t>
                  </w:r>
                </w:p>
                <w:p w14:paraId="3D9C4538">
                  <w:pPr>
                    <w:pStyle w:val="20"/>
                    <w:rPr>
                      <w:b/>
                      <w:bCs/>
                      <w:color w:val="auto"/>
                    </w:rPr>
                  </w:pPr>
                  <w:r>
                    <w:rPr>
                      <w:b/>
                      <w:bCs/>
                      <w:color w:val="auto"/>
                    </w:rPr>
                    <w:t>（台/套）</w:t>
                  </w:r>
                </w:p>
              </w:tc>
            </w:tr>
            <w:tr w14:paraId="50FDA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Merge w:val="continue"/>
                  <w:vAlign w:val="center"/>
                </w:tcPr>
                <w:p w14:paraId="7CD69045">
                  <w:pPr>
                    <w:pStyle w:val="20"/>
                    <w:rPr>
                      <w:b/>
                      <w:bCs/>
                      <w:color w:val="auto"/>
                    </w:rPr>
                  </w:pPr>
                </w:p>
              </w:tc>
              <w:tc>
                <w:tcPr>
                  <w:tcW w:w="2801" w:type="dxa"/>
                  <w:vMerge w:val="continue"/>
                  <w:vAlign w:val="center"/>
                </w:tcPr>
                <w:p w14:paraId="1148BB8E">
                  <w:pPr>
                    <w:pStyle w:val="20"/>
                    <w:rPr>
                      <w:b/>
                      <w:bCs/>
                      <w:color w:val="auto"/>
                    </w:rPr>
                  </w:pPr>
                </w:p>
              </w:tc>
              <w:tc>
                <w:tcPr>
                  <w:tcW w:w="2584" w:type="dxa"/>
                  <w:vMerge w:val="continue"/>
                  <w:vAlign w:val="center"/>
                </w:tcPr>
                <w:p w14:paraId="7104A690">
                  <w:pPr>
                    <w:pStyle w:val="20"/>
                    <w:rPr>
                      <w:b/>
                      <w:bCs/>
                      <w:color w:val="auto"/>
                    </w:rPr>
                  </w:pPr>
                </w:p>
              </w:tc>
              <w:tc>
                <w:tcPr>
                  <w:tcW w:w="774" w:type="dxa"/>
                  <w:vAlign w:val="center"/>
                </w:tcPr>
                <w:p w14:paraId="6BC07DCC">
                  <w:pPr>
                    <w:pStyle w:val="20"/>
                    <w:rPr>
                      <w:b/>
                      <w:bCs/>
                      <w:color w:val="auto"/>
                    </w:rPr>
                  </w:pPr>
                  <w:r>
                    <w:rPr>
                      <w:b/>
                      <w:bCs/>
                      <w:color w:val="auto"/>
                    </w:rPr>
                    <w:t>扩建前</w:t>
                  </w:r>
                </w:p>
              </w:tc>
              <w:tc>
                <w:tcPr>
                  <w:tcW w:w="774" w:type="dxa"/>
                  <w:vAlign w:val="center"/>
                </w:tcPr>
                <w:p w14:paraId="0250DFA5">
                  <w:pPr>
                    <w:pStyle w:val="20"/>
                    <w:rPr>
                      <w:b/>
                      <w:bCs/>
                      <w:color w:val="auto"/>
                    </w:rPr>
                  </w:pPr>
                  <w:r>
                    <w:rPr>
                      <w:b/>
                      <w:bCs/>
                      <w:color w:val="auto"/>
                    </w:rPr>
                    <w:t>扩建后</w:t>
                  </w:r>
                </w:p>
              </w:tc>
              <w:tc>
                <w:tcPr>
                  <w:tcW w:w="794" w:type="dxa"/>
                  <w:vAlign w:val="center"/>
                </w:tcPr>
                <w:p w14:paraId="3095ADB6">
                  <w:pPr>
                    <w:pStyle w:val="20"/>
                    <w:rPr>
                      <w:b/>
                      <w:bCs/>
                      <w:color w:val="auto"/>
                    </w:rPr>
                  </w:pPr>
                  <w:r>
                    <w:rPr>
                      <w:b/>
                      <w:bCs/>
                      <w:color w:val="auto"/>
                    </w:rPr>
                    <w:t>变化量</w:t>
                  </w:r>
                </w:p>
              </w:tc>
            </w:tr>
            <w:tr w14:paraId="7A3D6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50B4B06C">
                  <w:pPr>
                    <w:pStyle w:val="20"/>
                    <w:rPr>
                      <w:color w:val="auto"/>
                    </w:rPr>
                  </w:pPr>
                  <w:r>
                    <w:rPr>
                      <w:color w:val="auto"/>
                    </w:rPr>
                    <w:t>1</w:t>
                  </w:r>
                </w:p>
              </w:tc>
              <w:tc>
                <w:tcPr>
                  <w:tcW w:w="2801" w:type="dxa"/>
                  <w:vAlign w:val="center"/>
                </w:tcPr>
                <w:p w14:paraId="487175AC">
                  <w:pPr>
                    <w:pStyle w:val="20"/>
                    <w:rPr>
                      <w:color w:val="auto"/>
                    </w:rPr>
                  </w:pPr>
                  <w:r>
                    <w:rPr>
                      <w:color w:val="auto"/>
                    </w:rPr>
                    <w:t xml:space="preserve">液压缩管机 </w:t>
                  </w:r>
                </w:p>
              </w:tc>
              <w:tc>
                <w:tcPr>
                  <w:tcW w:w="2584" w:type="dxa"/>
                  <w:vAlign w:val="center"/>
                </w:tcPr>
                <w:p w14:paraId="1B29DC16">
                  <w:pPr>
                    <w:pStyle w:val="20"/>
                    <w:rPr>
                      <w:color w:val="auto"/>
                    </w:rPr>
                  </w:pPr>
                  <w:r>
                    <w:rPr>
                      <w:color w:val="auto"/>
                    </w:rPr>
                    <w:t>SD-76</w:t>
                  </w:r>
                </w:p>
              </w:tc>
              <w:tc>
                <w:tcPr>
                  <w:tcW w:w="774" w:type="dxa"/>
                  <w:vAlign w:val="center"/>
                </w:tcPr>
                <w:p w14:paraId="73BECB2F">
                  <w:pPr>
                    <w:pStyle w:val="20"/>
                    <w:rPr>
                      <w:color w:val="auto"/>
                    </w:rPr>
                  </w:pPr>
                  <w:r>
                    <w:rPr>
                      <w:color w:val="auto"/>
                    </w:rPr>
                    <w:t>1</w:t>
                  </w:r>
                </w:p>
              </w:tc>
              <w:tc>
                <w:tcPr>
                  <w:tcW w:w="774" w:type="dxa"/>
                  <w:vAlign w:val="center"/>
                </w:tcPr>
                <w:p w14:paraId="3255C110">
                  <w:pPr>
                    <w:pStyle w:val="20"/>
                    <w:rPr>
                      <w:color w:val="auto"/>
                    </w:rPr>
                  </w:pPr>
                  <w:r>
                    <w:rPr>
                      <w:color w:val="auto"/>
                    </w:rPr>
                    <w:t>2</w:t>
                  </w:r>
                </w:p>
              </w:tc>
              <w:tc>
                <w:tcPr>
                  <w:tcW w:w="794" w:type="dxa"/>
                  <w:vAlign w:val="center"/>
                </w:tcPr>
                <w:p w14:paraId="4DE51DF5">
                  <w:pPr>
                    <w:pStyle w:val="20"/>
                    <w:rPr>
                      <w:color w:val="auto"/>
                    </w:rPr>
                  </w:pPr>
                  <w:r>
                    <w:rPr>
                      <w:color w:val="auto"/>
                    </w:rPr>
                    <w:t>+1</w:t>
                  </w:r>
                </w:p>
              </w:tc>
            </w:tr>
            <w:tr w14:paraId="30F51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1C8A20FC">
                  <w:pPr>
                    <w:pStyle w:val="20"/>
                    <w:rPr>
                      <w:color w:val="auto"/>
                    </w:rPr>
                  </w:pPr>
                  <w:r>
                    <w:rPr>
                      <w:color w:val="auto"/>
                    </w:rPr>
                    <w:t>2</w:t>
                  </w:r>
                </w:p>
              </w:tc>
              <w:tc>
                <w:tcPr>
                  <w:tcW w:w="2801" w:type="dxa"/>
                  <w:vAlign w:val="center"/>
                </w:tcPr>
                <w:p w14:paraId="3B899E28">
                  <w:pPr>
                    <w:pStyle w:val="20"/>
                    <w:rPr>
                      <w:color w:val="auto"/>
                    </w:rPr>
                  </w:pPr>
                  <w:r>
                    <w:rPr>
                      <w:color w:val="auto"/>
                    </w:rPr>
                    <w:t xml:space="preserve">滚弧机 </w:t>
                  </w:r>
                </w:p>
              </w:tc>
              <w:tc>
                <w:tcPr>
                  <w:tcW w:w="2584" w:type="dxa"/>
                  <w:vAlign w:val="center"/>
                </w:tcPr>
                <w:p w14:paraId="3A8FABE1">
                  <w:pPr>
                    <w:pStyle w:val="20"/>
                    <w:rPr>
                      <w:color w:val="auto"/>
                    </w:rPr>
                  </w:pPr>
                  <w:r>
                    <w:rPr>
                      <w:color w:val="auto"/>
                    </w:rPr>
                    <w:t>HY2</w:t>
                  </w:r>
                  <w:r>
                    <w:rPr>
                      <w:rFonts w:hint="eastAsia"/>
                      <w:color w:val="auto"/>
                      <w:lang w:eastAsia="zh-CN"/>
                    </w:rPr>
                    <w:t>（</w:t>
                  </w:r>
                  <w:r>
                    <w:rPr>
                      <w:color w:val="auto"/>
                    </w:rPr>
                    <w:t>QS</w:t>
                  </w:r>
                  <w:r>
                    <w:rPr>
                      <w:rFonts w:hint="eastAsia"/>
                      <w:color w:val="auto"/>
                      <w:lang w:eastAsia="zh-CN"/>
                    </w:rPr>
                    <w:t>）</w:t>
                  </w:r>
                  <w:r>
                    <w:rPr>
                      <w:color w:val="auto"/>
                    </w:rPr>
                    <w:t>-15</w:t>
                  </w:r>
                </w:p>
              </w:tc>
              <w:tc>
                <w:tcPr>
                  <w:tcW w:w="774" w:type="dxa"/>
                  <w:vAlign w:val="center"/>
                </w:tcPr>
                <w:p w14:paraId="487423E9">
                  <w:pPr>
                    <w:pStyle w:val="20"/>
                    <w:rPr>
                      <w:color w:val="auto"/>
                    </w:rPr>
                  </w:pPr>
                  <w:r>
                    <w:rPr>
                      <w:color w:val="auto"/>
                    </w:rPr>
                    <w:t>2</w:t>
                  </w:r>
                </w:p>
              </w:tc>
              <w:tc>
                <w:tcPr>
                  <w:tcW w:w="774" w:type="dxa"/>
                  <w:vAlign w:val="center"/>
                </w:tcPr>
                <w:p w14:paraId="749B82AE">
                  <w:pPr>
                    <w:pStyle w:val="20"/>
                    <w:rPr>
                      <w:color w:val="auto"/>
                    </w:rPr>
                  </w:pPr>
                  <w:r>
                    <w:rPr>
                      <w:color w:val="auto"/>
                    </w:rPr>
                    <w:t>4</w:t>
                  </w:r>
                </w:p>
              </w:tc>
              <w:tc>
                <w:tcPr>
                  <w:tcW w:w="794" w:type="dxa"/>
                  <w:vAlign w:val="center"/>
                </w:tcPr>
                <w:p w14:paraId="2704E2F3">
                  <w:pPr>
                    <w:pStyle w:val="20"/>
                    <w:rPr>
                      <w:color w:val="auto"/>
                    </w:rPr>
                  </w:pPr>
                  <w:r>
                    <w:rPr>
                      <w:color w:val="auto"/>
                    </w:rPr>
                    <w:t>+2</w:t>
                  </w:r>
                </w:p>
              </w:tc>
            </w:tr>
            <w:tr w14:paraId="45465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6DD1DAD">
                  <w:pPr>
                    <w:pStyle w:val="20"/>
                    <w:rPr>
                      <w:color w:val="auto"/>
                    </w:rPr>
                  </w:pPr>
                  <w:r>
                    <w:rPr>
                      <w:color w:val="auto"/>
                    </w:rPr>
                    <w:t>3</w:t>
                  </w:r>
                </w:p>
              </w:tc>
              <w:tc>
                <w:tcPr>
                  <w:tcW w:w="2801" w:type="dxa"/>
                  <w:vAlign w:val="center"/>
                </w:tcPr>
                <w:p w14:paraId="17E2CA39">
                  <w:pPr>
                    <w:pStyle w:val="20"/>
                    <w:rPr>
                      <w:color w:val="auto"/>
                    </w:rPr>
                  </w:pPr>
                  <w:r>
                    <w:rPr>
                      <w:color w:val="auto"/>
                    </w:rPr>
                    <w:t xml:space="preserve">广州贝力剪板机 </w:t>
                  </w:r>
                </w:p>
              </w:tc>
              <w:tc>
                <w:tcPr>
                  <w:tcW w:w="2584" w:type="dxa"/>
                  <w:vAlign w:val="center"/>
                </w:tcPr>
                <w:p w14:paraId="70CD888C">
                  <w:pPr>
                    <w:pStyle w:val="20"/>
                    <w:rPr>
                      <w:color w:val="auto"/>
                    </w:rPr>
                  </w:pPr>
                  <w:r>
                    <w:rPr>
                      <w:color w:val="auto"/>
                    </w:rPr>
                    <w:t>TYPE QC12Y6*2500</w:t>
                  </w:r>
                </w:p>
              </w:tc>
              <w:tc>
                <w:tcPr>
                  <w:tcW w:w="774" w:type="dxa"/>
                  <w:vAlign w:val="center"/>
                </w:tcPr>
                <w:p w14:paraId="28211C64">
                  <w:pPr>
                    <w:pStyle w:val="20"/>
                    <w:rPr>
                      <w:color w:val="auto"/>
                    </w:rPr>
                  </w:pPr>
                  <w:r>
                    <w:rPr>
                      <w:color w:val="auto"/>
                    </w:rPr>
                    <w:t>1</w:t>
                  </w:r>
                </w:p>
              </w:tc>
              <w:tc>
                <w:tcPr>
                  <w:tcW w:w="774" w:type="dxa"/>
                  <w:vAlign w:val="center"/>
                </w:tcPr>
                <w:p w14:paraId="61FF38C7">
                  <w:pPr>
                    <w:pStyle w:val="20"/>
                    <w:rPr>
                      <w:color w:val="auto"/>
                    </w:rPr>
                  </w:pPr>
                  <w:r>
                    <w:rPr>
                      <w:color w:val="auto"/>
                    </w:rPr>
                    <w:t>2</w:t>
                  </w:r>
                </w:p>
              </w:tc>
              <w:tc>
                <w:tcPr>
                  <w:tcW w:w="794" w:type="dxa"/>
                  <w:vAlign w:val="center"/>
                </w:tcPr>
                <w:p w14:paraId="27A81A63">
                  <w:pPr>
                    <w:pStyle w:val="20"/>
                    <w:rPr>
                      <w:color w:val="auto"/>
                    </w:rPr>
                  </w:pPr>
                  <w:r>
                    <w:rPr>
                      <w:color w:val="auto"/>
                    </w:rPr>
                    <w:t>+1</w:t>
                  </w:r>
                </w:p>
              </w:tc>
            </w:tr>
            <w:tr w14:paraId="58227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F63FB3B">
                  <w:pPr>
                    <w:pStyle w:val="20"/>
                    <w:rPr>
                      <w:color w:val="auto"/>
                    </w:rPr>
                  </w:pPr>
                  <w:r>
                    <w:rPr>
                      <w:color w:val="auto"/>
                    </w:rPr>
                    <w:t>4</w:t>
                  </w:r>
                </w:p>
              </w:tc>
              <w:tc>
                <w:tcPr>
                  <w:tcW w:w="2801" w:type="dxa"/>
                  <w:vAlign w:val="center"/>
                </w:tcPr>
                <w:p w14:paraId="735B33DA">
                  <w:pPr>
                    <w:pStyle w:val="20"/>
                    <w:rPr>
                      <w:color w:val="auto"/>
                    </w:rPr>
                  </w:pPr>
                  <w:r>
                    <w:rPr>
                      <w:color w:val="auto"/>
                    </w:rPr>
                    <w:t xml:space="preserve">蓝光逆变式空气等离子切割机 </w:t>
                  </w:r>
                </w:p>
              </w:tc>
              <w:tc>
                <w:tcPr>
                  <w:tcW w:w="2584" w:type="dxa"/>
                  <w:vAlign w:val="center"/>
                </w:tcPr>
                <w:p w14:paraId="04CEE91B">
                  <w:pPr>
                    <w:pStyle w:val="20"/>
                    <w:rPr>
                      <w:color w:val="auto"/>
                    </w:rPr>
                  </w:pPr>
                  <w:r>
                    <w:rPr>
                      <w:color w:val="auto"/>
                    </w:rPr>
                    <w:t>LGK-100IGBT</w:t>
                  </w:r>
                </w:p>
              </w:tc>
              <w:tc>
                <w:tcPr>
                  <w:tcW w:w="774" w:type="dxa"/>
                  <w:vAlign w:val="center"/>
                </w:tcPr>
                <w:p w14:paraId="091288DB">
                  <w:pPr>
                    <w:pStyle w:val="20"/>
                    <w:rPr>
                      <w:color w:val="auto"/>
                    </w:rPr>
                  </w:pPr>
                  <w:r>
                    <w:rPr>
                      <w:color w:val="auto"/>
                    </w:rPr>
                    <w:t>1</w:t>
                  </w:r>
                </w:p>
              </w:tc>
              <w:tc>
                <w:tcPr>
                  <w:tcW w:w="774" w:type="dxa"/>
                  <w:vAlign w:val="center"/>
                </w:tcPr>
                <w:p w14:paraId="352B6093">
                  <w:pPr>
                    <w:pStyle w:val="20"/>
                    <w:rPr>
                      <w:color w:val="auto"/>
                    </w:rPr>
                  </w:pPr>
                  <w:r>
                    <w:rPr>
                      <w:color w:val="auto"/>
                    </w:rPr>
                    <w:t>2</w:t>
                  </w:r>
                </w:p>
              </w:tc>
              <w:tc>
                <w:tcPr>
                  <w:tcW w:w="794" w:type="dxa"/>
                  <w:vAlign w:val="center"/>
                </w:tcPr>
                <w:p w14:paraId="6938E3FD">
                  <w:pPr>
                    <w:pStyle w:val="20"/>
                    <w:rPr>
                      <w:color w:val="auto"/>
                    </w:rPr>
                  </w:pPr>
                  <w:r>
                    <w:rPr>
                      <w:color w:val="auto"/>
                    </w:rPr>
                    <w:t>+2</w:t>
                  </w:r>
                </w:p>
              </w:tc>
            </w:tr>
            <w:tr w14:paraId="17E1C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7DF353E3">
                  <w:pPr>
                    <w:pStyle w:val="20"/>
                    <w:rPr>
                      <w:color w:val="auto"/>
                    </w:rPr>
                  </w:pPr>
                  <w:r>
                    <w:rPr>
                      <w:color w:val="auto"/>
                    </w:rPr>
                    <w:t>5</w:t>
                  </w:r>
                </w:p>
              </w:tc>
              <w:tc>
                <w:tcPr>
                  <w:tcW w:w="2801" w:type="dxa"/>
                  <w:vAlign w:val="center"/>
                </w:tcPr>
                <w:p w14:paraId="4F981F27">
                  <w:pPr>
                    <w:pStyle w:val="20"/>
                    <w:rPr>
                      <w:color w:val="auto"/>
                    </w:rPr>
                  </w:pPr>
                  <w:r>
                    <w:rPr>
                      <w:color w:val="auto"/>
                    </w:rPr>
                    <w:t xml:space="preserve">浙江西菱切割机 </w:t>
                  </w:r>
                </w:p>
              </w:tc>
              <w:tc>
                <w:tcPr>
                  <w:tcW w:w="2584" w:type="dxa"/>
                  <w:vAlign w:val="center"/>
                </w:tcPr>
                <w:p w14:paraId="600EED15">
                  <w:pPr>
                    <w:pStyle w:val="20"/>
                    <w:rPr>
                      <w:color w:val="auto"/>
                    </w:rPr>
                  </w:pPr>
                  <w:r>
                    <w:rPr>
                      <w:color w:val="auto"/>
                    </w:rPr>
                    <w:t>J3GE-400</w:t>
                  </w:r>
                </w:p>
              </w:tc>
              <w:tc>
                <w:tcPr>
                  <w:tcW w:w="774" w:type="dxa"/>
                  <w:vAlign w:val="center"/>
                </w:tcPr>
                <w:p w14:paraId="1E2B2DF2">
                  <w:pPr>
                    <w:pStyle w:val="20"/>
                    <w:rPr>
                      <w:color w:val="auto"/>
                    </w:rPr>
                  </w:pPr>
                  <w:r>
                    <w:rPr>
                      <w:color w:val="auto"/>
                    </w:rPr>
                    <w:t>6</w:t>
                  </w:r>
                </w:p>
              </w:tc>
              <w:tc>
                <w:tcPr>
                  <w:tcW w:w="774" w:type="dxa"/>
                  <w:vAlign w:val="center"/>
                </w:tcPr>
                <w:p w14:paraId="0919FB0A">
                  <w:pPr>
                    <w:pStyle w:val="20"/>
                    <w:rPr>
                      <w:color w:val="auto"/>
                    </w:rPr>
                  </w:pPr>
                  <w:r>
                    <w:rPr>
                      <w:color w:val="auto"/>
                    </w:rPr>
                    <w:t>12</w:t>
                  </w:r>
                </w:p>
              </w:tc>
              <w:tc>
                <w:tcPr>
                  <w:tcW w:w="794" w:type="dxa"/>
                  <w:vAlign w:val="center"/>
                </w:tcPr>
                <w:p w14:paraId="4586DA12">
                  <w:pPr>
                    <w:pStyle w:val="20"/>
                    <w:rPr>
                      <w:color w:val="auto"/>
                    </w:rPr>
                  </w:pPr>
                  <w:r>
                    <w:rPr>
                      <w:color w:val="auto"/>
                    </w:rPr>
                    <w:t>+6</w:t>
                  </w:r>
                </w:p>
              </w:tc>
            </w:tr>
            <w:tr w14:paraId="5629D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5BD1ECD9">
                  <w:pPr>
                    <w:pStyle w:val="20"/>
                    <w:rPr>
                      <w:color w:val="auto"/>
                    </w:rPr>
                  </w:pPr>
                  <w:r>
                    <w:rPr>
                      <w:color w:val="auto"/>
                    </w:rPr>
                    <w:t>6</w:t>
                  </w:r>
                </w:p>
              </w:tc>
              <w:tc>
                <w:tcPr>
                  <w:tcW w:w="2801" w:type="dxa"/>
                  <w:vAlign w:val="center"/>
                </w:tcPr>
                <w:p w14:paraId="1D58971B">
                  <w:pPr>
                    <w:pStyle w:val="20"/>
                    <w:rPr>
                      <w:color w:val="auto"/>
                    </w:rPr>
                  </w:pPr>
                  <w:r>
                    <w:rPr>
                      <w:color w:val="auto"/>
                    </w:rPr>
                    <w:t xml:space="preserve">烽火数控逆变式直流氩弧焊机 </w:t>
                  </w:r>
                </w:p>
              </w:tc>
              <w:tc>
                <w:tcPr>
                  <w:tcW w:w="2584" w:type="dxa"/>
                  <w:vAlign w:val="center"/>
                </w:tcPr>
                <w:p w14:paraId="39DED8B9">
                  <w:pPr>
                    <w:pStyle w:val="20"/>
                    <w:rPr>
                      <w:color w:val="auto"/>
                    </w:rPr>
                  </w:pPr>
                  <w:r>
                    <w:rPr>
                      <w:color w:val="auto"/>
                    </w:rPr>
                    <w:t>WSM-400</w:t>
                  </w:r>
                </w:p>
              </w:tc>
              <w:tc>
                <w:tcPr>
                  <w:tcW w:w="774" w:type="dxa"/>
                  <w:vAlign w:val="center"/>
                </w:tcPr>
                <w:p w14:paraId="5B341B8D">
                  <w:pPr>
                    <w:pStyle w:val="20"/>
                    <w:rPr>
                      <w:color w:val="auto"/>
                    </w:rPr>
                  </w:pPr>
                  <w:r>
                    <w:rPr>
                      <w:color w:val="auto"/>
                    </w:rPr>
                    <w:t>3</w:t>
                  </w:r>
                </w:p>
              </w:tc>
              <w:tc>
                <w:tcPr>
                  <w:tcW w:w="774" w:type="dxa"/>
                  <w:vAlign w:val="center"/>
                </w:tcPr>
                <w:p w14:paraId="41658277">
                  <w:pPr>
                    <w:pStyle w:val="20"/>
                    <w:rPr>
                      <w:color w:val="auto"/>
                    </w:rPr>
                  </w:pPr>
                  <w:r>
                    <w:rPr>
                      <w:color w:val="auto"/>
                    </w:rPr>
                    <w:t>6</w:t>
                  </w:r>
                </w:p>
              </w:tc>
              <w:tc>
                <w:tcPr>
                  <w:tcW w:w="794" w:type="dxa"/>
                  <w:vAlign w:val="center"/>
                </w:tcPr>
                <w:p w14:paraId="0DDA2EC7">
                  <w:pPr>
                    <w:pStyle w:val="20"/>
                    <w:rPr>
                      <w:color w:val="auto"/>
                    </w:rPr>
                  </w:pPr>
                  <w:r>
                    <w:rPr>
                      <w:color w:val="auto"/>
                    </w:rPr>
                    <w:t>+3</w:t>
                  </w:r>
                </w:p>
              </w:tc>
            </w:tr>
            <w:tr w14:paraId="33971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6FECF699">
                  <w:pPr>
                    <w:pStyle w:val="20"/>
                    <w:rPr>
                      <w:color w:val="auto"/>
                    </w:rPr>
                  </w:pPr>
                  <w:r>
                    <w:rPr>
                      <w:color w:val="auto"/>
                    </w:rPr>
                    <w:t>7</w:t>
                  </w:r>
                </w:p>
              </w:tc>
              <w:tc>
                <w:tcPr>
                  <w:tcW w:w="2801" w:type="dxa"/>
                  <w:vAlign w:val="center"/>
                </w:tcPr>
                <w:p w14:paraId="6EAD6898">
                  <w:pPr>
                    <w:pStyle w:val="20"/>
                    <w:rPr>
                      <w:color w:val="auto"/>
                    </w:rPr>
                  </w:pPr>
                  <w:r>
                    <w:rPr>
                      <w:color w:val="auto"/>
                    </w:rPr>
                    <w:t xml:space="preserve">烽火抽头式熔化板气体保护焊机 </w:t>
                  </w:r>
                </w:p>
              </w:tc>
              <w:tc>
                <w:tcPr>
                  <w:tcW w:w="2584" w:type="dxa"/>
                  <w:vAlign w:val="center"/>
                </w:tcPr>
                <w:p w14:paraId="0DD6302B">
                  <w:pPr>
                    <w:pStyle w:val="20"/>
                    <w:rPr>
                      <w:color w:val="auto"/>
                    </w:rPr>
                  </w:pPr>
                  <w:r>
                    <w:rPr>
                      <w:color w:val="auto"/>
                    </w:rPr>
                    <w:t>NBC-350</w:t>
                  </w:r>
                </w:p>
              </w:tc>
              <w:tc>
                <w:tcPr>
                  <w:tcW w:w="774" w:type="dxa"/>
                  <w:vAlign w:val="center"/>
                </w:tcPr>
                <w:p w14:paraId="6CDE2A76">
                  <w:pPr>
                    <w:pStyle w:val="20"/>
                    <w:rPr>
                      <w:color w:val="auto"/>
                    </w:rPr>
                  </w:pPr>
                  <w:r>
                    <w:rPr>
                      <w:color w:val="auto"/>
                    </w:rPr>
                    <w:t>6</w:t>
                  </w:r>
                </w:p>
              </w:tc>
              <w:tc>
                <w:tcPr>
                  <w:tcW w:w="774" w:type="dxa"/>
                  <w:vAlign w:val="center"/>
                </w:tcPr>
                <w:p w14:paraId="2C5E27C7">
                  <w:pPr>
                    <w:pStyle w:val="20"/>
                    <w:rPr>
                      <w:color w:val="auto"/>
                    </w:rPr>
                  </w:pPr>
                  <w:r>
                    <w:rPr>
                      <w:color w:val="auto"/>
                    </w:rPr>
                    <w:t>12</w:t>
                  </w:r>
                </w:p>
              </w:tc>
              <w:tc>
                <w:tcPr>
                  <w:tcW w:w="794" w:type="dxa"/>
                  <w:vAlign w:val="center"/>
                </w:tcPr>
                <w:p w14:paraId="1D78C5A1">
                  <w:pPr>
                    <w:pStyle w:val="20"/>
                    <w:rPr>
                      <w:color w:val="auto"/>
                    </w:rPr>
                  </w:pPr>
                  <w:r>
                    <w:rPr>
                      <w:color w:val="auto"/>
                    </w:rPr>
                    <w:t>+6</w:t>
                  </w:r>
                </w:p>
              </w:tc>
            </w:tr>
            <w:tr w14:paraId="34B46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77B2D43A">
                  <w:pPr>
                    <w:pStyle w:val="20"/>
                    <w:rPr>
                      <w:color w:val="auto"/>
                    </w:rPr>
                  </w:pPr>
                  <w:r>
                    <w:rPr>
                      <w:color w:val="auto"/>
                    </w:rPr>
                    <w:t>8</w:t>
                  </w:r>
                </w:p>
              </w:tc>
              <w:tc>
                <w:tcPr>
                  <w:tcW w:w="2801" w:type="dxa"/>
                  <w:vAlign w:val="center"/>
                </w:tcPr>
                <w:p w14:paraId="38E74A5A">
                  <w:pPr>
                    <w:pStyle w:val="20"/>
                    <w:rPr>
                      <w:color w:val="auto"/>
                    </w:rPr>
                  </w:pPr>
                  <w:r>
                    <w:rPr>
                      <w:color w:val="auto"/>
                    </w:rPr>
                    <w:t>气体保护焊机</w:t>
                  </w:r>
                </w:p>
              </w:tc>
              <w:tc>
                <w:tcPr>
                  <w:tcW w:w="2584" w:type="dxa"/>
                  <w:vAlign w:val="center"/>
                </w:tcPr>
                <w:p w14:paraId="09722438">
                  <w:pPr>
                    <w:pStyle w:val="20"/>
                    <w:rPr>
                      <w:color w:val="auto"/>
                    </w:rPr>
                  </w:pPr>
                  <w:r>
                    <w:rPr>
                      <w:color w:val="auto"/>
                    </w:rPr>
                    <w:t>NBC-315</w:t>
                  </w:r>
                </w:p>
              </w:tc>
              <w:tc>
                <w:tcPr>
                  <w:tcW w:w="774" w:type="dxa"/>
                  <w:vAlign w:val="center"/>
                </w:tcPr>
                <w:p w14:paraId="242B97E9">
                  <w:pPr>
                    <w:pStyle w:val="20"/>
                    <w:rPr>
                      <w:color w:val="auto"/>
                    </w:rPr>
                  </w:pPr>
                  <w:r>
                    <w:rPr>
                      <w:color w:val="auto"/>
                    </w:rPr>
                    <w:t>4</w:t>
                  </w:r>
                </w:p>
              </w:tc>
              <w:tc>
                <w:tcPr>
                  <w:tcW w:w="774" w:type="dxa"/>
                  <w:vAlign w:val="center"/>
                </w:tcPr>
                <w:p w14:paraId="0450A557">
                  <w:pPr>
                    <w:pStyle w:val="20"/>
                    <w:rPr>
                      <w:color w:val="auto"/>
                    </w:rPr>
                  </w:pPr>
                  <w:r>
                    <w:rPr>
                      <w:color w:val="auto"/>
                    </w:rPr>
                    <w:t>8</w:t>
                  </w:r>
                </w:p>
              </w:tc>
              <w:tc>
                <w:tcPr>
                  <w:tcW w:w="794" w:type="dxa"/>
                  <w:vAlign w:val="center"/>
                </w:tcPr>
                <w:p w14:paraId="0C6A2CA5">
                  <w:pPr>
                    <w:pStyle w:val="20"/>
                    <w:rPr>
                      <w:color w:val="auto"/>
                    </w:rPr>
                  </w:pPr>
                  <w:r>
                    <w:rPr>
                      <w:color w:val="auto"/>
                    </w:rPr>
                    <w:t>+4</w:t>
                  </w:r>
                </w:p>
              </w:tc>
            </w:tr>
            <w:tr w14:paraId="3BA26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565243DD">
                  <w:pPr>
                    <w:pStyle w:val="20"/>
                    <w:rPr>
                      <w:color w:val="auto"/>
                    </w:rPr>
                  </w:pPr>
                  <w:r>
                    <w:rPr>
                      <w:color w:val="auto"/>
                    </w:rPr>
                    <w:t>9</w:t>
                  </w:r>
                </w:p>
              </w:tc>
              <w:tc>
                <w:tcPr>
                  <w:tcW w:w="2801" w:type="dxa"/>
                  <w:vAlign w:val="center"/>
                </w:tcPr>
                <w:p w14:paraId="3D7562B6">
                  <w:pPr>
                    <w:pStyle w:val="20"/>
                    <w:rPr>
                      <w:color w:val="auto"/>
                    </w:rPr>
                  </w:pPr>
                  <w:r>
                    <w:rPr>
                      <w:color w:val="auto"/>
                    </w:rPr>
                    <w:t>人和机械厂液压弯管机</w:t>
                  </w:r>
                </w:p>
              </w:tc>
              <w:tc>
                <w:tcPr>
                  <w:tcW w:w="2584" w:type="dxa"/>
                  <w:vAlign w:val="center"/>
                </w:tcPr>
                <w:p w14:paraId="3A0B8814">
                  <w:pPr>
                    <w:pStyle w:val="20"/>
                    <w:rPr>
                      <w:color w:val="auto"/>
                    </w:rPr>
                  </w:pPr>
                  <w:r>
                    <w:rPr>
                      <w:color w:val="auto"/>
                    </w:rPr>
                    <w:t>CWA-76，7.5kW</w:t>
                  </w:r>
                </w:p>
              </w:tc>
              <w:tc>
                <w:tcPr>
                  <w:tcW w:w="774" w:type="dxa"/>
                  <w:vAlign w:val="center"/>
                </w:tcPr>
                <w:p w14:paraId="10C628B0">
                  <w:pPr>
                    <w:pStyle w:val="20"/>
                    <w:rPr>
                      <w:color w:val="auto"/>
                    </w:rPr>
                  </w:pPr>
                  <w:r>
                    <w:rPr>
                      <w:color w:val="auto"/>
                    </w:rPr>
                    <w:t>4</w:t>
                  </w:r>
                </w:p>
              </w:tc>
              <w:tc>
                <w:tcPr>
                  <w:tcW w:w="774" w:type="dxa"/>
                  <w:vAlign w:val="center"/>
                </w:tcPr>
                <w:p w14:paraId="2C7EBB35">
                  <w:pPr>
                    <w:pStyle w:val="20"/>
                    <w:rPr>
                      <w:color w:val="auto"/>
                    </w:rPr>
                  </w:pPr>
                  <w:r>
                    <w:rPr>
                      <w:color w:val="auto"/>
                    </w:rPr>
                    <w:t>8</w:t>
                  </w:r>
                </w:p>
              </w:tc>
              <w:tc>
                <w:tcPr>
                  <w:tcW w:w="794" w:type="dxa"/>
                  <w:vAlign w:val="center"/>
                </w:tcPr>
                <w:p w14:paraId="058AC343">
                  <w:pPr>
                    <w:pStyle w:val="20"/>
                    <w:rPr>
                      <w:color w:val="auto"/>
                    </w:rPr>
                  </w:pPr>
                  <w:r>
                    <w:rPr>
                      <w:color w:val="auto"/>
                    </w:rPr>
                    <w:t>+4</w:t>
                  </w:r>
                </w:p>
              </w:tc>
            </w:tr>
            <w:tr w14:paraId="499C1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C6148D8">
                  <w:pPr>
                    <w:pStyle w:val="20"/>
                    <w:rPr>
                      <w:color w:val="auto"/>
                    </w:rPr>
                  </w:pPr>
                  <w:r>
                    <w:rPr>
                      <w:color w:val="auto"/>
                    </w:rPr>
                    <w:t>10</w:t>
                  </w:r>
                </w:p>
              </w:tc>
              <w:tc>
                <w:tcPr>
                  <w:tcW w:w="2801" w:type="dxa"/>
                  <w:vAlign w:val="center"/>
                </w:tcPr>
                <w:p w14:paraId="0DC88D3A">
                  <w:pPr>
                    <w:pStyle w:val="20"/>
                    <w:rPr>
                      <w:color w:val="auto"/>
                    </w:rPr>
                  </w:pPr>
                  <w:r>
                    <w:rPr>
                      <w:color w:val="auto"/>
                    </w:rPr>
                    <w:t>数控弯管机</w:t>
                  </w:r>
                </w:p>
              </w:tc>
              <w:tc>
                <w:tcPr>
                  <w:tcW w:w="2584" w:type="dxa"/>
                  <w:vAlign w:val="center"/>
                </w:tcPr>
                <w:p w14:paraId="32975D74">
                  <w:pPr>
                    <w:pStyle w:val="20"/>
                    <w:rPr>
                      <w:color w:val="auto"/>
                    </w:rPr>
                  </w:pPr>
                  <w:r>
                    <w:rPr>
                      <w:color w:val="auto"/>
                    </w:rPr>
                    <w:t>/</w:t>
                  </w:r>
                </w:p>
              </w:tc>
              <w:tc>
                <w:tcPr>
                  <w:tcW w:w="774" w:type="dxa"/>
                  <w:vAlign w:val="center"/>
                </w:tcPr>
                <w:p w14:paraId="41A10D79">
                  <w:pPr>
                    <w:pStyle w:val="20"/>
                    <w:rPr>
                      <w:color w:val="auto"/>
                    </w:rPr>
                  </w:pPr>
                  <w:r>
                    <w:rPr>
                      <w:color w:val="auto"/>
                    </w:rPr>
                    <w:t>2</w:t>
                  </w:r>
                </w:p>
              </w:tc>
              <w:tc>
                <w:tcPr>
                  <w:tcW w:w="774" w:type="dxa"/>
                  <w:vAlign w:val="center"/>
                </w:tcPr>
                <w:p w14:paraId="522FF2ED">
                  <w:pPr>
                    <w:pStyle w:val="20"/>
                    <w:rPr>
                      <w:color w:val="auto"/>
                    </w:rPr>
                  </w:pPr>
                  <w:r>
                    <w:rPr>
                      <w:color w:val="auto"/>
                    </w:rPr>
                    <w:t>4</w:t>
                  </w:r>
                </w:p>
              </w:tc>
              <w:tc>
                <w:tcPr>
                  <w:tcW w:w="794" w:type="dxa"/>
                  <w:vAlign w:val="center"/>
                </w:tcPr>
                <w:p w14:paraId="259951DB">
                  <w:pPr>
                    <w:pStyle w:val="20"/>
                    <w:rPr>
                      <w:color w:val="auto"/>
                    </w:rPr>
                  </w:pPr>
                  <w:r>
                    <w:rPr>
                      <w:color w:val="auto"/>
                    </w:rPr>
                    <w:t>+2</w:t>
                  </w:r>
                </w:p>
              </w:tc>
            </w:tr>
            <w:tr w14:paraId="0ABAF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3EBCBD40">
                  <w:pPr>
                    <w:pStyle w:val="20"/>
                    <w:rPr>
                      <w:color w:val="auto"/>
                    </w:rPr>
                  </w:pPr>
                  <w:r>
                    <w:rPr>
                      <w:color w:val="auto"/>
                    </w:rPr>
                    <w:t>11</w:t>
                  </w:r>
                </w:p>
              </w:tc>
              <w:tc>
                <w:tcPr>
                  <w:tcW w:w="2801" w:type="dxa"/>
                  <w:vAlign w:val="center"/>
                </w:tcPr>
                <w:p w14:paraId="79F997ED">
                  <w:pPr>
                    <w:pStyle w:val="20"/>
                    <w:rPr>
                      <w:color w:val="auto"/>
                    </w:rPr>
                  </w:pPr>
                  <w:r>
                    <w:rPr>
                      <w:color w:val="auto"/>
                    </w:rPr>
                    <w:t xml:space="preserve">润石仁和弯管机 </w:t>
                  </w:r>
                </w:p>
              </w:tc>
              <w:tc>
                <w:tcPr>
                  <w:tcW w:w="2584" w:type="dxa"/>
                  <w:vAlign w:val="center"/>
                </w:tcPr>
                <w:p w14:paraId="7EA4696A">
                  <w:pPr>
                    <w:pStyle w:val="20"/>
                    <w:rPr>
                      <w:color w:val="auto"/>
                    </w:rPr>
                  </w:pPr>
                  <w:r>
                    <w:rPr>
                      <w:color w:val="auto"/>
                    </w:rPr>
                    <w:t>FW-38，15kW</w:t>
                  </w:r>
                </w:p>
              </w:tc>
              <w:tc>
                <w:tcPr>
                  <w:tcW w:w="774" w:type="dxa"/>
                  <w:vAlign w:val="center"/>
                </w:tcPr>
                <w:p w14:paraId="755A7610">
                  <w:pPr>
                    <w:pStyle w:val="20"/>
                    <w:rPr>
                      <w:color w:val="auto"/>
                    </w:rPr>
                  </w:pPr>
                  <w:r>
                    <w:rPr>
                      <w:color w:val="auto"/>
                    </w:rPr>
                    <w:t>2</w:t>
                  </w:r>
                </w:p>
              </w:tc>
              <w:tc>
                <w:tcPr>
                  <w:tcW w:w="774" w:type="dxa"/>
                  <w:vAlign w:val="center"/>
                </w:tcPr>
                <w:p w14:paraId="427C49D6">
                  <w:pPr>
                    <w:pStyle w:val="20"/>
                    <w:rPr>
                      <w:color w:val="auto"/>
                    </w:rPr>
                  </w:pPr>
                  <w:r>
                    <w:rPr>
                      <w:color w:val="auto"/>
                    </w:rPr>
                    <w:t>4</w:t>
                  </w:r>
                </w:p>
              </w:tc>
              <w:tc>
                <w:tcPr>
                  <w:tcW w:w="794" w:type="dxa"/>
                  <w:vAlign w:val="center"/>
                </w:tcPr>
                <w:p w14:paraId="5F5EB89C">
                  <w:pPr>
                    <w:pStyle w:val="20"/>
                    <w:rPr>
                      <w:color w:val="auto"/>
                    </w:rPr>
                  </w:pPr>
                  <w:r>
                    <w:rPr>
                      <w:color w:val="auto"/>
                    </w:rPr>
                    <w:t>+2</w:t>
                  </w:r>
                </w:p>
              </w:tc>
            </w:tr>
            <w:tr w14:paraId="7873E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59FB3BA6">
                  <w:pPr>
                    <w:pStyle w:val="20"/>
                    <w:rPr>
                      <w:color w:val="auto"/>
                    </w:rPr>
                  </w:pPr>
                  <w:r>
                    <w:rPr>
                      <w:color w:val="auto"/>
                    </w:rPr>
                    <w:t>12</w:t>
                  </w:r>
                </w:p>
              </w:tc>
              <w:tc>
                <w:tcPr>
                  <w:tcW w:w="2801" w:type="dxa"/>
                  <w:vAlign w:val="center"/>
                </w:tcPr>
                <w:p w14:paraId="120A17A6">
                  <w:pPr>
                    <w:pStyle w:val="20"/>
                    <w:rPr>
                      <w:color w:val="auto"/>
                    </w:rPr>
                  </w:pPr>
                  <w:r>
                    <w:rPr>
                      <w:color w:val="auto"/>
                    </w:rPr>
                    <w:t>手磨机</w:t>
                  </w:r>
                </w:p>
              </w:tc>
              <w:tc>
                <w:tcPr>
                  <w:tcW w:w="2584" w:type="dxa"/>
                  <w:vAlign w:val="center"/>
                </w:tcPr>
                <w:p w14:paraId="6380936F">
                  <w:pPr>
                    <w:pStyle w:val="20"/>
                    <w:rPr>
                      <w:color w:val="auto"/>
                    </w:rPr>
                  </w:pPr>
                  <w:r>
                    <w:rPr>
                      <w:color w:val="auto"/>
                    </w:rPr>
                    <w:t>/</w:t>
                  </w:r>
                </w:p>
              </w:tc>
              <w:tc>
                <w:tcPr>
                  <w:tcW w:w="774" w:type="dxa"/>
                  <w:vAlign w:val="center"/>
                </w:tcPr>
                <w:p w14:paraId="2B8BB1B8">
                  <w:pPr>
                    <w:pStyle w:val="20"/>
                    <w:rPr>
                      <w:color w:val="auto"/>
                    </w:rPr>
                  </w:pPr>
                  <w:r>
                    <w:rPr>
                      <w:color w:val="auto"/>
                    </w:rPr>
                    <w:t>5</w:t>
                  </w:r>
                </w:p>
              </w:tc>
              <w:tc>
                <w:tcPr>
                  <w:tcW w:w="774" w:type="dxa"/>
                  <w:vAlign w:val="center"/>
                </w:tcPr>
                <w:p w14:paraId="22B18502">
                  <w:pPr>
                    <w:pStyle w:val="20"/>
                    <w:rPr>
                      <w:color w:val="auto"/>
                    </w:rPr>
                  </w:pPr>
                  <w:r>
                    <w:rPr>
                      <w:color w:val="auto"/>
                    </w:rPr>
                    <w:t>10</w:t>
                  </w:r>
                </w:p>
              </w:tc>
              <w:tc>
                <w:tcPr>
                  <w:tcW w:w="794" w:type="dxa"/>
                  <w:vAlign w:val="center"/>
                </w:tcPr>
                <w:p w14:paraId="1566ABE4">
                  <w:pPr>
                    <w:pStyle w:val="20"/>
                    <w:rPr>
                      <w:color w:val="auto"/>
                    </w:rPr>
                  </w:pPr>
                  <w:r>
                    <w:rPr>
                      <w:color w:val="auto"/>
                    </w:rPr>
                    <w:t>+5</w:t>
                  </w:r>
                </w:p>
              </w:tc>
            </w:tr>
            <w:tr w14:paraId="35303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6F113988">
                  <w:pPr>
                    <w:pStyle w:val="20"/>
                    <w:rPr>
                      <w:color w:val="auto"/>
                    </w:rPr>
                  </w:pPr>
                  <w:r>
                    <w:rPr>
                      <w:color w:val="auto"/>
                    </w:rPr>
                    <w:t>13</w:t>
                  </w:r>
                </w:p>
              </w:tc>
              <w:tc>
                <w:tcPr>
                  <w:tcW w:w="2801" w:type="dxa"/>
                  <w:vAlign w:val="center"/>
                </w:tcPr>
                <w:p w14:paraId="15DCD874">
                  <w:pPr>
                    <w:pStyle w:val="20"/>
                    <w:rPr>
                      <w:color w:val="auto"/>
                    </w:rPr>
                  </w:pPr>
                  <w:r>
                    <w:rPr>
                      <w:color w:val="auto"/>
                    </w:rPr>
                    <w:t xml:space="preserve">磨光机 </w:t>
                  </w:r>
                </w:p>
              </w:tc>
              <w:tc>
                <w:tcPr>
                  <w:tcW w:w="2584" w:type="dxa"/>
                  <w:vAlign w:val="center"/>
                </w:tcPr>
                <w:p w14:paraId="6B16DEB0">
                  <w:pPr>
                    <w:pStyle w:val="20"/>
                    <w:rPr>
                      <w:color w:val="auto"/>
                    </w:rPr>
                  </w:pPr>
                  <w:r>
                    <w:rPr>
                      <w:color w:val="auto"/>
                    </w:rPr>
                    <w:t>TYPE JMO2-42-2</w:t>
                  </w:r>
                </w:p>
              </w:tc>
              <w:tc>
                <w:tcPr>
                  <w:tcW w:w="774" w:type="dxa"/>
                  <w:vAlign w:val="center"/>
                </w:tcPr>
                <w:p w14:paraId="0C084CBB">
                  <w:pPr>
                    <w:pStyle w:val="20"/>
                    <w:rPr>
                      <w:color w:val="auto"/>
                    </w:rPr>
                  </w:pPr>
                  <w:r>
                    <w:rPr>
                      <w:color w:val="auto"/>
                    </w:rPr>
                    <w:t>16</w:t>
                  </w:r>
                </w:p>
              </w:tc>
              <w:tc>
                <w:tcPr>
                  <w:tcW w:w="774" w:type="dxa"/>
                  <w:vAlign w:val="center"/>
                </w:tcPr>
                <w:p w14:paraId="4AB508DC">
                  <w:pPr>
                    <w:pStyle w:val="20"/>
                    <w:rPr>
                      <w:color w:val="auto"/>
                    </w:rPr>
                  </w:pPr>
                  <w:r>
                    <w:rPr>
                      <w:color w:val="auto"/>
                    </w:rPr>
                    <w:t>32</w:t>
                  </w:r>
                </w:p>
              </w:tc>
              <w:tc>
                <w:tcPr>
                  <w:tcW w:w="794" w:type="dxa"/>
                  <w:vAlign w:val="center"/>
                </w:tcPr>
                <w:p w14:paraId="64687C54">
                  <w:pPr>
                    <w:pStyle w:val="20"/>
                    <w:rPr>
                      <w:color w:val="auto"/>
                    </w:rPr>
                  </w:pPr>
                  <w:r>
                    <w:rPr>
                      <w:color w:val="auto"/>
                    </w:rPr>
                    <w:t>+16</w:t>
                  </w:r>
                </w:p>
              </w:tc>
            </w:tr>
            <w:tr w14:paraId="3404E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59DE63EB">
                  <w:pPr>
                    <w:pStyle w:val="20"/>
                    <w:rPr>
                      <w:color w:val="auto"/>
                    </w:rPr>
                  </w:pPr>
                  <w:r>
                    <w:rPr>
                      <w:color w:val="auto"/>
                    </w:rPr>
                    <w:t>14</w:t>
                  </w:r>
                </w:p>
              </w:tc>
              <w:tc>
                <w:tcPr>
                  <w:tcW w:w="2801" w:type="dxa"/>
                  <w:vAlign w:val="center"/>
                </w:tcPr>
                <w:p w14:paraId="397B3C74">
                  <w:pPr>
                    <w:pStyle w:val="20"/>
                    <w:rPr>
                      <w:color w:val="auto"/>
                    </w:rPr>
                  </w:pPr>
                  <w:r>
                    <w:rPr>
                      <w:color w:val="auto"/>
                    </w:rPr>
                    <w:t>通用钻床</w:t>
                  </w:r>
                </w:p>
              </w:tc>
              <w:tc>
                <w:tcPr>
                  <w:tcW w:w="2584" w:type="dxa"/>
                  <w:vAlign w:val="center"/>
                </w:tcPr>
                <w:p w14:paraId="46FBFB92">
                  <w:pPr>
                    <w:pStyle w:val="20"/>
                    <w:rPr>
                      <w:color w:val="auto"/>
                    </w:rPr>
                  </w:pPr>
                  <w:r>
                    <w:rPr>
                      <w:color w:val="auto"/>
                    </w:rPr>
                    <w:t>/</w:t>
                  </w:r>
                </w:p>
              </w:tc>
              <w:tc>
                <w:tcPr>
                  <w:tcW w:w="774" w:type="dxa"/>
                  <w:vAlign w:val="center"/>
                </w:tcPr>
                <w:p w14:paraId="11A4B774">
                  <w:pPr>
                    <w:pStyle w:val="20"/>
                    <w:rPr>
                      <w:color w:val="auto"/>
                    </w:rPr>
                  </w:pPr>
                  <w:r>
                    <w:rPr>
                      <w:color w:val="auto"/>
                    </w:rPr>
                    <w:t>3</w:t>
                  </w:r>
                </w:p>
              </w:tc>
              <w:tc>
                <w:tcPr>
                  <w:tcW w:w="774" w:type="dxa"/>
                  <w:vAlign w:val="center"/>
                </w:tcPr>
                <w:p w14:paraId="3E8847E6">
                  <w:pPr>
                    <w:pStyle w:val="20"/>
                    <w:rPr>
                      <w:color w:val="auto"/>
                    </w:rPr>
                  </w:pPr>
                  <w:r>
                    <w:rPr>
                      <w:color w:val="auto"/>
                    </w:rPr>
                    <w:t>6</w:t>
                  </w:r>
                </w:p>
              </w:tc>
              <w:tc>
                <w:tcPr>
                  <w:tcW w:w="794" w:type="dxa"/>
                  <w:vAlign w:val="center"/>
                </w:tcPr>
                <w:p w14:paraId="4F814246">
                  <w:pPr>
                    <w:pStyle w:val="20"/>
                    <w:rPr>
                      <w:color w:val="auto"/>
                    </w:rPr>
                  </w:pPr>
                  <w:r>
                    <w:rPr>
                      <w:color w:val="auto"/>
                    </w:rPr>
                    <w:t>+3</w:t>
                  </w:r>
                </w:p>
              </w:tc>
            </w:tr>
            <w:tr w14:paraId="709CA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0295AECF">
                  <w:pPr>
                    <w:pStyle w:val="20"/>
                    <w:rPr>
                      <w:color w:val="auto"/>
                    </w:rPr>
                  </w:pPr>
                  <w:r>
                    <w:rPr>
                      <w:color w:val="auto"/>
                    </w:rPr>
                    <w:t>15</w:t>
                  </w:r>
                </w:p>
              </w:tc>
              <w:tc>
                <w:tcPr>
                  <w:tcW w:w="2801" w:type="dxa"/>
                  <w:vAlign w:val="center"/>
                </w:tcPr>
                <w:p w14:paraId="39D230ED">
                  <w:pPr>
                    <w:pStyle w:val="20"/>
                    <w:rPr>
                      <w:color w:val="auto"/>
                    </w:rPr>
                  </w:pPr>
                  <w:r>
                    <w:rPr>
                      <w:color w:val="auto"/>
                    </w:rPr>
                    <w:t xml:space="preserve">金来盛台式砂轮机 </w:t>
                  </w:r>
                </w:p>
              </w:tc>
              <w:tc>
                <w:tcPr>
                  <w:tcW w:w="2584" w:type="dxa"/>
                  <w:vAlign w:val="center"/>
                </w:tcPr>
                <w:p w14:paraId="06767241">
                  <w:pPr>
                    <w:pStyle w:val="20"/>
                    <w:rPr>
                      <w:color w:val="auto"/>
                    </w:rPr>
                  </w:pPr>
                  <w:r>
                    <w:rPr>
                      <w:color w:val="auto"/>
                    </w:rPr>
                    <w:t>110W</w:t>
                  </w:r>
                </w:p>
              </w:tc>
              <w:tc>
                <w:tcPr>
                  <w:tcW w:w="774" w:type="dxa"/>
                  <w:vAlign w:val="center"/>
                </w:tcPr>
                <w:p w14:paraId="0E0E2461">
                  <w:pPr>
                    <w:pStyle w:val="20"/>
                    <w:rPr>
                      <w:color w:val="auto"/>
                    </w:rPr>
                  </w:pPr>
                  <w:r>
                    <w:rPr>
                      <w:color w:val="auto"/>
                    </w:rPr>
                    <w:t>1</w:t>
                  </w:r>
                </w:p>
              </w:tc>
              <w:tc>
                <w:tcPr>
                  <w:tcW w:w="774" w:type="dxa"/>
                  <w:vAlign w:val="center"/>
                </w:tcPr>
                <w:p w14:paraId="260815F7">
                  <w:pPr>
                    <w:pStyle w:val="20"/>
                    <w:rPr>
                      <w:color w:val="auto"/>
                    </w:rPr>
                  </w:pPr>
                  <w:r>
                    <w:rPr>
                      <w:color w:val="auto"/>
                    </w:rPr>
                    <w:t>2</w:t>
                  </w:r>
                </w:p>
              </w:tc>
              <w:tc>
                <w:tcPr>
                  <w:tcW w:w="794" w:type="dxa"/>
                  <w:vAlign w:val="center"/>
                </w:tcPr>
                <w:p w14:paraId="12620DC2">
                  <w:pPr>
                    <w:pStyle w:val="20"/>
                    <w:rPr>
                      <w:color w:val="auto"/>
                    </w:rPr>
                  </w:pPr>
                  <w:r>
                    <w:rPr>
                      <w:color w:val="auto"/>
                    </w:rPr>
                    <w:t>+1</w:t>
                  </w:r>
                </w:p>
              </w:tc>
            </w:tr>
            <w:tr w14:paraId="074D7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1D77F7C2">
                  <w:pPr>
                    <w:pStyle w:val="20"/>
                    <w:rPr>
                      <w:color w:val="auto"/>
                    </w:rPr>
                  </w:pPr>
                  <w:r>
                    <w:rPr>
                      <w:color w:val="auto"/>
                    </w:rPr>
                    <w:t>16</w:t>
                  </w:r>
                </w:p>
              </w:tc>
              <w:tc>
                <w:tcPr>
                  <w:tcW w:w="2801" w:type="dxa"/>
                  <w:vAlign w:val="center"/>
                </w:tcPr>
                <w:p w14:paraId="68FBC52B">
                  <w:pPr>
                    <w:pStyle w:val="20"/>
                    <w:rPr>
                      <w:color w:val="auto"/>
                    </w:rPr>
                  </w:pPr>
                  <w:r>
                    <w:rPr>
                      <w:color w:val="auto"/>
                    </w:rPr>
                    <w:t>CO</w:t>
                  </w:r>
                  <w:r>
                    <w:rPr>
                      <w:color w:val="auto"/>
                      <w:vertAlign w:val="subscript"/>
                    </w:rPr>
                    <w:t>2</w:t>
                  </w:r>
                  <w:r>
                    <w:rPr>
                      <w:color w:val="auto"/>
                    </w:rPr>
                    <w:t>/NAG送丝机</w:t>
                  </w:r>
                </w:p>
              </w:tc>
              <w:tc>
                <w:tcPr>
                  <w:tcW w:w="2584" w:type="dxa"/>
                  <w:vAlign w:val="center"/>
                </w:tcPr>
                <w:p w14:paraId="1E53A2A8">
                  <w:pPr>
                    <w:pStyle w:val="20"/>
                    <w:rPr>
                      <w:color w:val="auto"/>
                    </w:rPr>
                  </w:pPr>
                  <w:r>
                    <w:rPr>
                      <w:color w:val="auto"/>
                    </w:rPr>
                    <w:t>SB-10</w:t>
                  </w:r>
                </w:p>
              </w:tc>
              <w:tc>
                <w:tcPr>
                  <w:tcW w:w="774" w:type="dxa"/>
                  <w:vAlign w:val="center"/>
                </w:tcPr>
                <w:p w14:paraId="0E435DA0">
                  <w:pPr>
                    <w:pStyle w:val="20"/>
                    <w:rPr>
                      <w:color w:val="auto"/>
                    </w:rPr>
                  </w:pPr>
                  <w:r>
                    <w:rPr>
                      <w:color w:val="auto"/>
                    </w:rPr>
                    <w:t>4</w:t>
                  </w:r>
                </w:p>
              </w:tc>
              <w:tc>
                <w:tcPr>
                  <w:tcW w:w="774" w:type="dxa"/>
                  <w:vAlign w:val="center"/>
                </w:tcPr>
                <w:p w14:paraId="067ED2D1">
                  <w:pPr>
                    <w:pStyle w:val="20"/>
                    <w:rPr>
                      <w:color w:val="auto"/>
                    </w:rPr>
                  </w:pPr>
                  <w:r>
                    <w:rPr>
                      <w:color w:val="auto"/>
                    </w:rPr>
                    <w:t>8</w:t>
                  </w:r>
                </w:p>
              </w:tc>
              <w:tc>
                <w:tcPr>
                  <w:tcW w:w="794" w:type="dxa"/>
                  <w:vAlign w:val="center"/>
                </w:tcPr>
                <w:p w14:paraId="5178CF40">
                  <w:pPr>
                    <w:pStyle w:val="20"/>
                    <w:rPr>
                      <w:color w:val="auto"/>
                    </w:rPr>
                  </w:pPr>
                  <w:r>
                    <w:rPr>
                      <w:color w:val="auto"/>
                    </w:rPr>
                    <w:t>+4</w:t>
                  </w:r>
                </w:p>
              </w:tc>
            </w:tr>
            <w:tr w14:paraId="3DBD9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534238B5">
                  <w:pPr>
                    <w:pStyle w:val="20"/>
                    <w:rPr>
                      <w:color w:val="auto"/>
                    </w:rPr>
                  </w:pPr>
                  <w:r>
                    <w:rPr>
                      <w:color w:val="auto"/>
                    </w:rPr>
                    <w:t>17</w:t>
                  </w:r>
                </w:p>
              </w:tc>
              <w:tc>
                <w:tcPr>
                  <w:tcW w:w="2801" w:type="dxa"/>
                  <w:vAlign w:val="center"/>
                </w:tcPr>
                <w:p w14:paraId="0BD3F6D2">
                  <w:pPr>
                    <w:pStyle w:val="20"/>
                    <w:rPr>
                      <w:color w:val="auto"/>
                    </w:rPr>
                  </w:pPr>
                  <w:r>
                    <w:rPr>
                      <w:color w:val="auto"/>
                    </w:rPr>
                    <w:t>仓库货架</w:t>
                  </w:r>
                </w:p>
              </w:tc>
              <w:tc>
                <w:tcPr>
                  <w:tcW w:w="2584" w:type="dxa"/>
                  <w:vAlign w:val="center"/>
                </w:tcPr>
                <w:p w14:paraId="458AE65F">
                  <w:pPr>
                    <w:pStyle w:val="20"/>
                    <w:rPr>
                      <w:color w:val="auto"/>
                    </w:rPr>
                  </w:pPr>
                  <w:r>
                    <w:rPr>
                      <w:color w:val="auto"/>
                    </w:rPr>
                    <w:t>/</w:t>
                  </w:r>
                </w:p>
              </w:tc>
              <w:tc>
                <w:tcPr>
                  <w:tcW w:w="774" w:type="dxa"/>
                  <w:vAlign w:val="center"/>
                </w:tcPr>
                <w:p w14:paraId="04475616">
                  <w:pPr>
                    <w:pStyle w:val="20"/>
                    <w:rPr>
                      <w:color w:val="auto"/>
                    </w:rPr>
                  </w:pPr>
                  <w:r>
                    <w:rPr>
                      <w:color w:val="auto"/>
                    </w:rPr>
                    <w:t>1</w:t>
                  </w:r>
                </w:p>
              </w:tc>
              <w:tc>
                <w:tcPr>
                  <w:tcW w:w="774" w:type="dxa"/>
                  <w:vAlign w:val="center"/>
                </w:tcPr>
                <w:p w14:paraId="35EB819F">
                  <w:pPr>
                    <w:pStyle w:val="20"/>
                    <w:rPr>
                      <w:color w:val="auto"/>
                    </w:rPr>
                  </w:pPr>
                  <w:r>
                    <w:rPr>
                      <w:color w:val="auto"/>
                    </w:rPr>
                    <w:t>2</w:t>
                  </w:r>
                </w:p>
              </w:tc>
              <w:tc>
                <w:tcPr>
                  <w:tcW w:w="794" w:type="dxa"/>
                  <w:vAlign w:val="center"/>
                </w:tcPr>
                <w:p w14:paraId="21CC0227">
                  <w:pPr>
                    <w:pStyle w:val="20"/>
                    <w:rPr>
                      <w:color w:val="auto"/>
                    </w:rPr>
                  </w:pPr>
                  <w:r>
                    <w:rPr>
                      <w:color w:val="auto"/>
                    </w:rPr>
                    <w:t>+1</w:t>
                  </w:r>
                </w:p>
              </w:tc>
            </w:tr>
            <w:tr w14:paraId="2441D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2BC7179A">
                  <w:pPr>
                    <w:pStyle w:val="20"/>
                    <w:rPr>
                      <w:color w:val="auto"/>
                    </w:rPr>
                  </w:pPr>
                  <w:r>
                    <w:rPr>
                      <w:color w:val="auto"/>
                    </w:rPr>
                    <w:t>18</w:t>
                  </w:r>
                </w:p>
              </w:tc>
              <w:tc>
                <w:tcPr>
                  <w:tcW w:w="2801" w:type="dxa"/>
                  <w:vAlign w:val="center"/>
                </w:tcPr>
                <w:p w14:paraId="1AD64D5F">
                  <w:pPr>
                    <w:pStyle w:val="20"/>
                    <w:rPr>
                      <w:color w:val="auto"/>
                    </w:rPr>
                  </w:pPr>
                  <w:r>
                    <w:rPr>
                      <w:color w:val="auto"/>
                    </w:rPr>
                    <w:t xml:space="preserve">激光切割机 </w:t>
                  </w:r>
                </w:p>
              </w:tc>
              <w:tc>
                <w:tcPr>
                  <w:tcW w:w="2584" w:type="dxa"/>
                  <w:vAlign w:val="center"/>
                </w:tcPr>
                <w:p w14:paraId="05C9ABBA">
                  <w:pPr>
                    <w:pStyle w:val="20"/>
                    <w:rPr>
                      <w:color w:val="auto"/>
                    </w:rPr>
                  </w:pPr>
                  <w:r>
                    <w:rPr>
                      <w:color w:val="auto"/>
                    </w:rPr>
                    <w:t>HS-G3015E/60T，1500W</w:t>
                  </w:r>
                </w:p>
              </w:tc>
              <w:tc>
                <w:tcPr>
                  <w:tcW w:w="774" w:type="dxa"/>
                  <w:vAlign w:val="center"/>
                </w:tcPr>
                <w:p w14:paraId="13C6E0CB">
                  <w:pPr>
                    <w:pStyle w:val="20"/>
                    <w:rPr>
                      <w:color w:val="auto"/>
                    </w:rPr>
                  </w:pPr>
                  <w:r>
                    <w:rPr>
                      <w:color w:val="auto"/>
                    </w:rPr>
                    <w:t>1</w:t>
                  </w:r>
                </w:p>
              </w:tc>
              <w:tc>
                <w:tcPr>
                  <w:tcW w:w="774" w:type="dxa"/>
                  <w:vAlign w:val="center"/>
                </w:tcPr>
                <w:p w14:paraId="1FDC87F9">
                  <w:pPr>
                    <w:pStyle w:val="20"/>
                    <w:rPr>
                      <w:color w:val="auto"/>
                    </w:rPr>
                  </w:pPr>
                  <w:r>
                    <w:rPr>
                      <w:color w:val="auto"/>
                    </w:rPr>
                    <w:t>2</w:t>
                  </w:r>
                </w:p>
              </w:tc>
              <w:tc>
                <w:tcPr>
                  <w:tcW w:w="794" w:type="dxa"/>
                  <w:vAlign w:val="center"/>
                </w:tcPr>
                <w:p w14:paraId="150C9F8A">
                  <w:pPr>
                    <w:pStyle w:val="20"/>
                    <w:rPr>
                      <w:color w:val="auto"/>
                    </w:rPr>
                  </w:pPr>
                  <w:r>
                    <w:rPr>
                      <w:color w:val="auto"/>
                    </w:rPr>
                    <w:t>+1</w:t>
                  </w:r>
                </w:p>
              </w:tc>
            </w:tr>
            <w:tr w14:paraId="532B5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3D26CB9F">
                  <w:pPr>
                    <w:pStyle w:val="20"/>
                    <w:rPr>
                      <w:color w:val="auto"/>
                    </w:rPr>
                  </w:pPr>
                  <w:r>
                    <w:rPr>
                      <w:color w:val="auto"/>
                    </w:rPr>
                    <w:t>19</w:t>
                  </w:r>
                </w:p>
              </w:tc>
              <w:tc>
                <w:tcPr>
                  <w:tcW w:w="2801" w:type="dxa"/>
                  <w:vAlign w:val="center"/>
                </w:tcPr>
                <w:p w14:paraId="488343B5">
                  <w:pPr>
                    <w:pStyle w:val="20"/>
                    <w:rPr>
                      <w:color w:val="auto"/>
                    </w:rPr>
                  </w:pPr>
                  <w:r>
                    <w:rPr>
                      <w:color w:val="auto"/>
                    </w:rPr>
                    <w:t xml:space="preserve">激光切割机 </w:t>
                  </w:r>
                </w:p>
              </w:tc>
              <w:tc>
                <w:tcPr>
                  <w:tcW w:w="2584" w:type="dxa"/>
                  <w:vAlign w:val="center"/>
                </w:tcPr>
                <w:p w14:paraId="2FF38C0A">
                  <w:pPr>
                    <w:pStyle w:val="20"/>
                    <w:rPr>
                      <w:color w:val="auto"/>
                    </w:rPr>
                  </w:pPr>
                  <w:r>
                    <w:rPr>
                      <w:color w:val="auto"/>
                    </w:rPr>
                    <w:t>HS-G3015E/60T，3000W</w:t>
                  </w:r>
                </w:p>
              </w:tc>
              <w:tc>
                <w:tcPr>
                  <w:tcW w:w="774" w:type="dxa"/>
                  <w:vAlign w:val="center"/>
                </w:tcPr>
                <w:p w14:paraId="0123A29C">
                  <w:pPr>
                    <w:pStyle w:val="20"/>
                    <w:rPr>
                      <w:color w:val="auto"/>
                    </w:rPr>
                  </w:pPr>
                  <w:r>
                    <w:rPr>
                      <w:color w:val="auto"/>
                    </w:rPr>
                    <w:t>1</w:t>
                  </w:r>
                </w:p>
              </w:tc>
              <w:tc>
                <w:tcPr>
                  <w:tcW w:w="774" w:type="dxa"/>
                  <w:vAlign w:val="center"/>
                </w:tcPr>
                <w:p w14:paraId="7EF2294D">
                  <w:pPr>
                    <w:pStyle w:val="20"/>
                    <w:rPr>
                      <w:color w:val="auto"/>
                    </w:rPr>
                  </w:pPr>
                  <w:r>
                    <w:rPr>
                      <w:color w:val="auto"/>
                    </w:rPr>
                    <w:t>2</w:t>
                  </w:r>
                </w:p>
              </w:tc>
              <w:tc>
                <w:tcPr>
                  <w:tcW w:w="794" w:type="dxa"/>
                  <w:vAlign w:val="center"/>
                </w:tcPr>
                <w:p w14:paraId="2D5DC0D2">
                  <w:pPr>
                    <w:pStyle w:val="20"/>
                    <w:rPr>
                      <w:color w:val="auto"/>
                    </w:rPr>
                  </w:pPr>
                  <w:r>
                    <w:rPr>
                      <w:color w:val="auto"/>
                    </w:rPr>
                    <w:t>+1</w:t>
                  </w:r>
                </w:p>
              </w:tc>
            </w:tr>
            <w:tr w14:paraId="66656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933CB56">
                  <w:pPr>
                    <w:pStyle w:val="20"/>
                    <w:rPr>
                      <w:color w:val="auto"/>
                    </w:rPr>
                  </w:pPr>
                  <w:r>
                    <w:rPr>
                      <w:color w:val="auto"/>
                    </w:rPr>
                    <w:t>20</w:t>
                  </w:r>
                </w:p>
              </w:tc>
              <w:tc>
                <w:tcPr>
                  <w:tcW w:w="2801" w:type="dxa"/>
                  <w:vAlign w:val="center"/>
                </w:tcPr>
                <w:p w14:paraId="19AE10F9">
                  <w:pPr>
                    <w:pStyle w:val="20"/>
                    <w:rPr>
                      <w:color w:val="auto"/>
                    </w:rPr>
                  </w:pPr>
                  <w:r>
                    <w:rPr>
                      <w:color w:val="auto"/>
                    </w:rPr>
                    <w:t>焊接机械手</w:t>
                  </w:r>
                </w:p>
              </w:tc>
              <w:tc>
                <w:tcPr>
                  <w:tcW w:w="2584" w:type="dxa"/>
                  <w:vAlign w:val="center"/>
                </w:tcPr>
                <w:p w14:paraId="773E5263">
                  <w:pPr>
                    <w:pStyle w:val="20"/>
                    <w:rPr>
                      <w:color w:val="auto"/>
                    </w:rPr>
                  </w:pPr>
                  <w:r>
                    <w:rPr>
                      <w:color w:val="auto"/>
                    </w:rPr>
                    <w:t>/</w:t>
                  </w:r>
                </w:p>
              </w:tc>
              <w:tc>
                <w:tcPr>
                  <w:tcW w:w="774" w:type="dxa"/>
                  <w:vAlign w:val="center"/>
                </w:tcPr>
                <w:p w14:paraId="5D1737AD">
                  <w:pPr>
                    <w:pStyle w:val="20"/>
                    <w:rPr>
                      <w:color w:val="auto"/>
                    </w:rPr>
                  </w:pPr>
                  <w:r>
                    <w:rPr>
                      <w:color w:val="auto"/>
                    </w:rPr>
                    <w:t>1</w:t>
                  </w:r>
                </w:p>
              </w:tc>
              <w:tc>
                <w:tcPr>
                  <w:tcW w:w="774" w:type="dxa"/>
                  <w:vAlign w:val="center"/>
                </w:tcPr>
                <w:p w14:paraId="70FEB87B">
                  <w:pPr>
                    <w:pStyle w:val="20"/>
                    <w:rPr>
                      <w:color w:val="auto"/>
                    </w:rPr>
                  </w:pPr>
                  <w:r>
                    <w:rPr>
                      <w:color w:val="auto"/>
                    </w:rPr>
                    <w:t>2</w:t>
                  </w:r>
                </w:p>
              </w:tc>
              <w:tc>
                <w:tcPr>
                  <w:tcW w:w="794" w:type="dxa"/>
                  <w:vAlign w:val="center"/>
                </w:tcPr>
                <w:p w14:paraId="074AEF94">
                  <w:pPr>
                    <w:pStyle w:val="20"/>
                    <w:rPr>
                      <w:color w:val="auto"/>
                    </w:rPr>
                  </w:pPr>
                  <w:r>
                    <w:rPr>
                      <w:color w:val="auto"/>
                    </w:rPr>
                    <w:t>+1</w:t>
                  </w:r>
                </w:p>
              </w:tc>
            </w:tr>
            <w:tr w14:paraId="6E737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7EF2145F">
                  <w:pPr>
                    <w:pStyle w:val="20"/>
                    <w:rPr>
                      <w:color w:val="auto"/>
                    </w:rPr>
                  </w:pPr>
                  <w:r>
                    <w:rPr>
                      <w:color w:val="auto"/>
                    </w:rPr>
                    <w:t>21</w:t>
                  </w:r>
                </w:p>
              </w:tc>
              <w:tc>
                <w:tcPr>
                  <w:tcW w:w="2801" w:type="dxa"/>
                  <w:vAlign w:val="center"/>
                </w:tcPr>
                <w:p w14:paraId="0FBCB345">
                  <w:pPr>
                    <w:pStyle w:val="20"/>
                    <w:rPr>
                      <w:color w:val="auto"/>
                    </w:rPr>
                  </w:pPr>
                  <w:r>
                    <w:rPr>
                      <w:color w:val="auto"/>
                    </w:rPr>
                    <w:t xml:space="preserve">阿姆达液压板料折弯机 </w:t>
                  </w:r>
                </w:p>
              </w:tc>
              <w:tc>
                <w:tcPr>
                  <w:tcW w:w="2584" w:type="dxa"/>
                  <w:vAlign w:val="center"/>
                </w:tcPr>
                <w:p w14:paraId="04CAFA54">
                  <w:pPr>
                    <w:pStyle w:val="20"/>
                    <w:rPr>
                      <w:color w:val="auto"/>
                    </w:rPr>
                  </w:pPr>
                  <w:r>
                    <w:rPr>
                      <w:color w:val="auto"/>
                    </w:rPr>
                    <w:t>WC67Y 160*2500</w:t>
                  </w:r>
                </w:p>
              </w:tc>
              <w:tc>
                <w:tcPr>
                  <w:tcW w:w="774" w:type="dxa"/>
                  <w:vAlign w:val="center"/>
                </w:tcPr>
                <w:p w14:paraId="68BB0FDE">
                  <w:pPr>
                    <w:pStyle w:val="20"/>
                    <w:rPr>
                      <w:color w:val="auto"/>
                    </w:rPr>
                  </w:pPr>
                  <w:r>
                    <w:rPr>
                      <w:color w:val="auto"/>
                    </w:rPr>
                    <w:t>1</w:t>
                  </w:r>
                </w:p>
              </w:tc>
              <w:tc>
                <w:tcPr>
                  <w:tcW w:w="774" w:type="dxa"/>
                  <w:vAlign w:val="center"/>
                </w:tcPr>
                <w:p w14:paraId="4F6CE03B">
                  <w:pPr>
                    <w:pStyle w:val="20"/>
                    <w:rPr>
                      <w:color w:val="auto"/>
                    </w:rPr>
                  </w:pPr>
                  <w:r>
                    <w:rPr>
                      <w:color w:val="auto"/>
                    </w:rPr>
                    <w:t>2</w:t>
                  </w:r>
                </w:p>
              </w:tc>
              <w:tc>
                <w:tcPr>
                  <w:tcW w:w="794" w:type="dxa"/>
                  <w:vAlign w:val="center"/>
                </w:tcPr>
                <w:p w14:paraId="08A8FC3A">
                  <w:pPr>
                    <w:pStyle w:val="20"/>
                    <w:rPr>
                      <w:color w:val="auto"/>
                    </w:rPr>
                  </w:pPr>
                  <w:r>
                    <w:rPr>
                      <w:color w:val="auto"/>
                    </w:rPr>
                    <w:t>+1</w:t>
                  </w:r>
                </w:p>
              </w:tc>
            </w:tr>
            <w:tr w14:paraId="4EB6E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51E54C0">
                  <w:pPr>
                    <w:pStyle w:val="20"/>
                    <w:rPr>
                      <w:color w:val="auto"/>
                    </w:rPr>
                  </w:pPr>
                  <w:r>
                    <w:rPr>
                      <w:color w:val="auto"/>
                    </w:rPr>
                    <w:t>22</w:t>
                  </w:r>
                </w:p>
              </w:tc>
              <w:tc>
                <w:tcPr>
                  <w:tcW w:w="2801" w:type="dxa"/>
                  <w:vAlign w:val="center"/>
                </w:tcPr>
                <w:p w14:paraId="6064605F">
                  <w:pPr>
                    <w:pStyle w:val="20"/>
                    <w:rPr>
                      <w:color w:val="auto"/>
                    </w:rPr>
                  </w:pPr>
                  <w:r>
                    <w:rPr>
                      <w:color w:val="auto"/>
                    </w:rPr>
                    <w:t xml:space="preserve">俊菱三相异步电动机 </w:t>
                  </w:r>
                </w:p>
              </w:tc>
              <w:tc>
                <w:tcPr>
                  <w:tcW w:w="2584" w:type="dxa"/>
                  <w:vAlign w:val="center"/>
                </w:tcPr>
                <w:p w14:paraId="6A97057A">
                  <w:pPr>
                    <w:pStyle w:val="20"/>
                    <w:rPr>
                      <w:color w:val="auto"/>
                    </w:rPr>
                  </w:pPr>
                  <w:r>
                    <w:rPr>
                      <w:color w:val="auto"/>
                    </w:rPr>
                    <w:t>7.5kW</w:t>
                  </w:r>
                </w:p>
              </w:tc>
              <w:tc>
                <w:tcPr>
                  <w:tcW w:w="774" w:type="dxa"/>
                  <w:vAlign w:val="center"/>
                </w:tcPr>
                <w:p w14:paraId="434B7025">
                  <w:pPr>
                    <w:pStyle w:val="20"/>
                    <w:rPr>
                      <w:color w:val="auto"/>
                    </w:rPr>
                  </w:pPr>
                  <w:r>
                    <w:rPr>
                      <w:color w:val="auto"/>
                    </w:rPr>
                    <w:t>1</w:t>
                  </w:r>
                </w:p>
              </w:tc>
              <w:tc>
                <w:tcPr>
                  <w:tcW w:w="774" w:type="dxa"/>
                  <w:vAlign w:val="center"/>
                </w:tcPr>
                <w:p w14:paraId="765FEE85">
                  <w:pPr>
                    <w:pStyle w:val="20"/>
                    <w:rPr>
                      <w:color w:val="auto"/>
                    </w:rPr>
                  </w:pPr>
                  <w:r>
                    <w:rPr>
                      <w:color w:val="auto"/>
                    </w:rPr>
                    <w:t>2</w:t>
                  </w:r>
                </w:p>
              </w:tc>
              <w:tc>
                <w:tcPr>
                  <w:tcW w:w="794" w:type="dxa"/>
                  <w:vAlign w:val="center"/>
                </w:tcPr>
                <w:p w14:paraId="3EDDEBC8">
                  <w:pPr>
                    <w:pStyle w:val="20"/>
                    <w:rPr>
                      <w:color w:val="auto"/>
                    </w:rPr>
                  </w:pPr>
                  <w:r>
                    <w:rPr>
                      <w:color w:val="auto"/>
                    </w:rPr>
                    <w:t>+1</w:t>
                  </w:r>
                </w:p>
              </w:tc>
            </w:tr>
            <w:tr w14:paraId="37F15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64139113">
                  <w:pPr>
                    <w:pStyle w:val="20"/>
                    <w:rPr>
                      <w:color w:val="auto"/>
                    </w:rPr>
                  </w:pPr>
                  <w:r>
                    <w:rPr>
                      <w:color w:val="auto"/>
                    </w:rPr>
                    <w:t>23</w:t>
                  </w:r>
                </w:p>
              </w:tc>
              <w:tc>
                <w:tcPr>
                  <w:tcW w:w="2801" w:type="dxa"/>
                  <w:vAlign w:val="center"/>
                </w:tcPr>
                <w:p w14:paraId="7A290D17">
                  <w:pPr>
                    <w:pStyle w:val="20"/>
                    <w:rPr>
                      <w:color w:val="auto"/>
                    </w:rPr>
                  </w:pPr>
                  <w:r>
                    <w:rPr>
                      <w:color w:val="auto"/>
                    </w:rPr>
                    <w:t>电焊机</w:t>
                  </w:r>
                </w:p>
              </w:tc>
              <w:tc>
                <w:tcPr>
                  <w:tcW w:w="2584" w:type="dxa"/>
                  <w:vAlign w:val="center"/>
                </w:tcPr>
                <w:p w14:paraId="444C92D9">
                  <w:pPr>
                    <w:pStyle w:val="20"/>
                    <w:rPr>
                      <w:color w:val="auto"/>
                    </w:rPr>
                  </w:pPr>
                  <w:r>
                    <w:rPr>
                      <w:color w:val="auto"/>
                    </w:rPr>
                    <w:t>/</w:t>
                  </w:r>
                </w:p>
              </w:tc>
              <w:tc>
                <w:tcPr>
                  <w:tcW w:w="774" w:type="dxa"/>
                  <w:vAlign w:val="center"/>
                </w:tcPr>
                <w:p w14:paraId="3C98F384">
                  <w:pPr>
                    <w:pStyle w:val="20"/>
                    <w:rPr>
                      <w:color w:val="auto"/>
                    </w:rPr>
                  </w:pPr>
                  <w:r>
                    <w:rPr>
                      <w:color w:val="auto"/>
                    </w:rPr>
                    <w:t>1</w:t>
                  </w:r>
                </w:p>
              </w:tc>
              <w:tc>
                <w:tcPr>
                  <w:tcW w:w="774" w:type="dxa"/>
                  <w:vAlign w:val="center"/>
                </w:tcPr>
                <w:p w14:paraId="1F10A81E">
                  <w:pPr>
                    <w:pStyle w:val="20"/>
                    <w:rPr>
                      <w:color w:val="auto"/>
                    </w:rPr>
                  </w:pPr>
                  <w:r>
                    <w:rPr>
                      <w:color w:val="auto"/>
                    </w:rPr>
                    <w:t>2</w:t>
                  </w:r>
                </w:p>
              </w:tc>
              <w:tc>
                <w:tcPr>
                  <w:tcW w:w="794" w:type="dxa"/>
                  <w:vAlign w:val="center"/>
                </w:tcPr>
                <w:p w14:paraId="5701CBCC">
                  <w:pPr>
                    <w:pStyle w:val="20"/>
                    <w:rPr>
                      <w:color w:val="auto"/>
                    </w:rPr>
                  </w:pPr>
                  <w:r>
                    <w:rPr>
                      <w:color w:val="auto"/>
                    </w:rPr>
                    <w:t>+1</w:t>
                  </w:r>
                </w:p>
              </w:tc>
            </w:tr>
            <w:tr w14:paraId="2C37E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3E35E96">
                  <w:pPr>
                    <w:pStyle w:val="20"/>
                    <w:rPr>
                      <w:color w:val="auto"/>
                    </w:rPr>
                  </w:pPr>
                  <w:r>
                    <w:rPr>
                      <w:color w:val="auto"/>
                    </w:rPr>
                    <w:t>24</w:t>
                  </w:r>
                </w:p>
              </w:tc>
              <w:tc>
                <w:tcPr>
                  <w:tcW w:w="2801" w:type="dxa"/>
                  <w:vAlign w:val="center"/>
                </w:tcPr>
                <w:p w14:paraId="22B8DB80">
                  <w:pPr>
                    <w:pStyle w:val="20"/>
                    <w:rPr>
                      <w:color w:val="auto"/>
                    </w:rPr>
                  </w:pPr>
                  <w:r>
                    <w:rPr>
                      <w:color w:val="auto"/>
                    </w:rPr>
                    <w:t>自动喷粉枪</w:t>
                  </w:r>
                </w:p>
              </w:tc>
              <w:tc>
                <w:tcPr>
                  <w:tcW w:w="2584" w:type="dxa"/>
                  <w:vAlign w:val="center"/>
                </w:tcPr>
                <w:p w14:paraId="4E8BC3D3">
                  <w:pPr>
                    <w:pStyle w:val="20"/>
                    <w:rPr>
                      <w:color w:val="auto"/>
                    </w:rPr>
                  </w:pPr>
                  <w:r>
                    <w:rPr>
                      <w:color w:val="auto"/>
                    </w:rPr>
                    <w:t>/</w:t>
                  </w:r>
                </w:p>
              </w:tc>
              <w:tc>
                <w:tcPr>
                  <w:tcW w:w="774" w:type="dxa"/>
                  <w:vAlign w:val="center"/>
                </w:tcPr>
                <w:p w14:paraId="632BF18C">
                  <w:pPr>
                    <w:pStyle w:val="20"/>
                    <w:rPr>
                      <w:color w:val="auto"/>
                    </w:rPr>
                  </w:pPr>
                  <w:r>
                    <w:rPr>
                      <w:color w:val="auto"/>
                    </w:rPr>
                    <w:t>0</w:t>
                  </w:r>
                </w:p>
              </w:tc>
              <w:tc>
                <w:tcPr>
                  <w:tcW w:w="774" w:type="dxa"/>
                  <w:vAlign w:val="center"/>
                </w:tcPr>
                <w:p w14:paraId="26A56FEE">
                  <w:pPr>
                    <w:pStyle w:val="20"/>
                    <w:rPr>
                      <w:color w:val="auto"/>
                    </w:rPr>
                  </w:pPr>
                  <w:r>
                    <w:rPr>
                      <w:color w:val="auto"/>
                    </w:rPr>
                    <w:t>2</w:t>
                  </w:r>
                </w:p>
              </w:tc>
              <w:tc>
                <w:tcPr>
                  <w:tcW w:w="794" w:type="dxa"/>
                  <w:vAlign w:val="center"/>
                </w:tcPr>
                <w:p w14:paraId="69F0FDF9">
                  <w:pPr>
                    <w:pStyle w:val="20"/>
                    <w:rPr>
                      <w:color w:val="auto"/>
                    </w:rPr>
                  </w:pPr>
                  <w:r>
                    <w:rPr>
                      <w:color w:val="auto"/>
                    </w:rPr>
                    <w:t>+2</w:t>
                  </w:r>
                </w:p>
              </w:tc>
            </w:tr>
            <w:tr w14:paraId="4A409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4961AB7A">
                  <w:pPr>
                    <w:pStyle w:val="20"/>
                    <w:rPr>
                      <w:color w:val="auto"/>
                    </w:rPr>
                  </w:pPr>
                  <w:r>
                    <w:rPr>
                      <w:color w:val="auto"/>
                    </w:rPr>
                    <w:t>25</w:t>
                  </w:r>
                </w:p>
              </w:tc>
              <w:tc>
                <w:tcPr>
                  <w:tcW w:w="2801" w:type="dxa"/>
                  <w:vAlign w:val="center"/>
                </w:tcPr>
                <w:p w14:paraId="565F97DE">
                  <w:pPr>
                    <w:pStyle w:val="20"/>
                    <w:rPr>
                      <w:color w:val="auto"/>
                    </w:rPr>
                  </w:pPr>
                  <w:r>
                    <w:rPr>
                      <w:color w:val="auto"/>
                    </w:rPr>
                    <w:t>烘干炉</w:t>
                  </w:r>
                </w:p>
              </w:tc>
              <w:tc>
                <w:tcPr>
                  <w:tcW w:w="2584" w:type="dxa"/>
                  <w:vAlign w:val="center"/>
                </w:tcPr>
                <w:p w14:paraId="411D315E">
                  <w:pPr>
                    <w:pStyle w:val="20"/>
                    <w:rPr>
                      <w:color w:val="auto"/>
                    </w:rPr>
                  </w:pPr>
                  <w:r>
                    <w:rPr>
                      <w:color w:val="auto"/>
                    </w:rPr>
                    <w:t>3×2.5×2.2m</w:t>
                  </w:r>
                </w:p>
              </w:tc>
              <w:tc>
                <w:tcPr>
                  <w:tcW w:w="774" w:type="dxa"/>
                  <w:vAlign w:val="center"/>
                </w:tcPr>
                <w:p w14:paraId="2A7DB6FC">
                  <w:pPr>
                    <w:pStyle w:val="20"/>
                    <w:rPr>
                      <w:color w:val="auto"/>
                    </w:rPr>
                  </w:pPr>
                  <w:r>
                    <w:rPr>
                      <w:color w:val="auto"/>
                    </w:rPr>
                    <w:t>0</w:t>
                  </w:r>
                </w:p>
              </w:tc>
              <w:tc>
                <w:tcPr>
                  <w:tcW w:w="774" w:type="dxa"/>
                  <w:vAlign w:val="center"/>
                </w:tcPr>
                <w:p w14:paraId="22E26BE9">
                  <w:pPr>
                    <w:pStyle w:val="20"/>
                    <w:rPr>
                      <w:color w:val="auto"/>
                    </w:rPr>
                  </w:pPr>
                  <w:r>
                    <w:rPr>
                      <w:color w:val="auto"/>
                    </w:rPr>
                    <w:t>2</w:t>
                  </w:r>
                </w:p>
              </w:tc>
              <w:tc>
                <w:tcPr>
                  <w:tcW w:w="794" w:type="dxa"/>
                  <w:vAlign w:val="center"/>
                </w:tcPr>
                <w:p w14:paraId="0C1D55F8">
                  <w:pPr>
                    <w:pStyle w:val="20"/>
                    <w:rPr>
                      <w:color w:val="auto"/>
                    </w:rPr>
                  </w:pPr>
                  <w:r>
                    <w:rPr>
                      <w:color w:val="auto"/>
                    </w:rPr>
                    <w:t>+2</w:t>
                  </w:r>
                </w:p>
              </w:tc>
            </w:tr>
            <w:tr w14:paraId="72D1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29149FFA">
                  <w:pPr>
                    <w:pStyle w:val="20"/>
                    <w:rPr>
                      <w:color w:val="auto"/>
                    </w:rPr>
                  </w:pPr>
                  <w:r>
                    <w:rPr>
                      <w:color w:val="auto"/>
                    </w:rPr>
                    <w:t>26</w:t>
                  </w:r>
                </w:p>
              </w:tc>
              <w:tc>
                <w:tcPr>
                  <w:tcW w:w="2801" w:type="dxa"/>
                  <w:vAlign w:val="center"/>
                </w:tcPr>
                <w:p w14:paraId="47CA6AE1">
                  <w:pPr>
                    <w:pStyle w:val="20"/>
                    <w:rPr>
                      <w:color w:val="auto"/>
                    </w:rPr>
                  </w:pPr>
                  <w:r>
                    <w:rPr>
                      <w:color w:val="auto"/>
                    </w:rPr>
                    <w:t>喷粉房</w:t>
                  </w:r>
                </w:p>
              </w:tc>
              <w:tc>
                <w:tcPr>
                  <w:tcW w:w="2584" w:type="dxa"/>
                  <w:vAlign w:val="center"/>
                </w:tcPr>
                <w:p w14:paraId="1D75A488">
                  <w:pPr>
                    <w:pStyle w:val="20"/>
                    <w:rPr>
                      <w:color w:val="auto"/>
                    </w:rPr>
                  </w:pPr>
                  <w:r>
                    <w:rPr>
                      <w:color w:val="auto"/>
                    </w:rPr>
                    <w:t>尺寸7m×1.7m×3.6m</w:t>
                  </w:r>
                </w:p>
              </w:tc>
              <w:tc>
                <w:tcPr>
                  <w:tcW w:w="774" w:type="dxa"/>
                  <w:vAlign w:val="center"/>
                </w:tcPr>
                <w:p w14:paraId="443C3D9D">
                  <w:pPr>
                    <w:pStyle w:val="20"/>
                    <w:rPr>
                      <w:color w:val="auto"/>
                    </w:rPr>
                  </w:pPr>
                  <w:r>
                    <w:rPr>
                      <w:color w:val="auto"/>
                    </w:rPr>
                    <w:t>0</w:t>
                  </w:r>
                </w:p>
              </w:tc>
              <w:tc>
                <w:tcPr>
                  <w:tcW w:w="774" w:type="dxa"/>
                  <w:vAlign w:val="center"/>
                </w:tcPr>
                <w:p w14:paraId="5F312507">
                  <w:pPr>
                    <w:pStyle w:val="20"/>
                    <w:rPr>
                      <w:color w:val="auto"/>
                    </w:rPr>
                  </w:pPr>
                  <w:r>
                    <w:rPr>
                      <w:color w:val="auto"/>
                    </w:rPr>
                    <w:t>1</w:t>
                  </w:r>
                </w:p>
              </w:tc>
              <w:tc>
                <w:tcPr>
                  <w:tcW w:w="794" w:type="dxa"/>
                  <w:vAlign w:val="center"/>
                </w:tcPr>
                <w:p w14:paraId="57B0EED1">
                  <w:pPr>
                    <w:pStyle w:val="20"/>
                    <w:rPr>
                      <w:color w:val="auto"/>
                    </w:rPr>
                  </w:pPr>
                  <w:r>
                    <w:rPr>
                      <w:color w:val="auto"/>
                    </w:rPr>
                    <w:t>+1</w:t>
                  </w:r>
                </w:p>
              </w:tc>
            </w:tr>
            <w:tr w14:paraId="70F2D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1735F9ED">
                  <w:pPr>
                    <w:pStyle w:val="20"/>
                    <w:rPr>
                      <w:color w:val="auto"/>
                    </w:rPr>
                  </w:pPr>
                  <w:r>
                    <w:rPr>
                      <w:color w:val="auto"/>
                    </w:rPr>
                    <w:t>27</w:t>
                  </w:r>
                </w:p>
              </w:tc>
              <w:tc>
                <w:tcPr>
                  <w:tcW w:w="2801" w:type="dxa"/>
                  <w:vAlign w:val="center"/>
                </w:tcPr>
                <w:p w14:paraId="6E80790B">
                  <w:pPr>
                    <w:pStyle w:val="20"/>
                    <w:rPr>
                      <w:color w:val="auto"/>
                    </w:rPr>
                  </w:pPr>
                  <w:r>
                    <w:rPr>
                      <w:color w:val="auto"/>
                    </w:rPr>
                    <w:t>粉末固化炉</w:t>
                  </w:r>
                </w:p>
              </w:tc>
              <w:tc>
                <w:tcPr>
                  <w:tcW w:w="2584" w:type="dxa"/>
                  <w:vAlign w:val="center"/>
                </w:tcPr>
                <w:p w14:paraId="2C430500">
                  <w:pPr>
                    <w:pStyle w:val="20"/>
                    <w:rPr>
                      <w:color w:val="auto"/>
                    </w:rPr>
                  </w:pPr>
                  <w:r>
                    <w:rPr>
                      <w:color w:val="auto"/>
                    </w:rPr>
                    <w:t>烘道：30m×5m×3m</w:t>
                  </w:r>
                </w:p>
              </w:tc>
              <w:tc>
                <w:tcPr>
                  <w:tcW w:w="774" w:type="dxa"/>
                  <w:vAlign w:val="center"/>
                </w:tcPr>
                <w:p w14:paraId="59B70E2C">
                  <w:pPr>
                    <w:pStyle w:val="20"/>
                    <w:rPr>
                      <w:color w:val="auto"/>
                    </w:rPr>
                  </w:pPr>
                  <w:r>
                    <w:rPr>
                      <w:color w:val="auto"/>
                    </w:rPr>
                    <w:t>0</w:t>
                  </w:r>
                </w:p>
              </w:tc>
              <w:tc>
                <w:tcPr>
                  <w:tcW w:w="774" w:type="dxa"/>
                  <w:vAlign w:val="center"/>
                </w:tcPr>
                <w:p w14:paraId="3CEB7C91">
                  <w:pPr>
                    <w:pStyle w:val="20"/>
                    <w:rPr>
                      <w:color w:val="auto"/>
                    </w:rPr>
                  </w:pPr>
                  <w:r>
                    <w:rPr>
                      <w:color w:val="auto"/>
                    </w:rPr>
                    <w:t>1</w:t>
                  </w:r>
                </w:p>
              </w:tc>
              <w:tc>
                <w:tcPr>
                  <w:tcW w:w="794" w:type="dxa"/>
                  <w:vAlign w:val="center"/>
                </w:tcPr>
                <w:p w14:paraId="2BED104F">
                  <w:pPr>
                    <w:pStyle w:val="20"/>
                    <w:rPr>
                      <w:color w:val="auto"/>
                    </w:rPr>
                  </w:pPr>
                  <w:r>
                    <w:rPr>
                      <w:color w:val="auto"/>
                    </w:rPr>
                    <w:t>+1</w:t>
                  </w:r>
                </w:p>
              </w:tc>
            </w:tr>
            <w:tr w14:paraId="4B018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99" w:type="dxa"/>
                  <w:vAlign w:val="center"/>
                </w:tcPr>
                <w:p w14:paraId="3CA9F638">
                  <w:pPr>
                    <w:pStyle w:val="20"/>
                    <w:rPr>
                      <w:color w:val="auto"/>
                    </w:rPr>
                  </w:pPr>
                  <w:r>
                    <w:rPr>
                      <w:color w:val="auto"/>
                    </w:rPr>
                    <w:t>28</w:t>
                  </w:r>
                </w:p>
              </w:tc>
              <w:tc>
                <w:tcPr>
                  <w:tcW w:w="2801" w:type="dxa"/>
                  <w:vAlign w:val="center"/>
                </w:tcPr>
                <w:p w14:paraId="4DD63737">
                  <w:pPr>
                    <w:pStyle w:val="20"/>
                    <w:rPr>
                      <w:color w:val="auto"/>
                    </w:rPr>
                  </w:pPr>
                  <w:r>
                    <w:rPr>
                      <w:color w:val="auto"/>
                    </w:rPr>
                    <w:t>电泳烘干炉</w:t>
                  </w:r>
                </w:p>
              </w:tc>
              <w:tc>
                <w:tcPr>
                  <w:tcW w:w="2584" w:type="dxa"/>
                  <w:vAlign w:val="center"/>
                </w:tcPr>
                <w:p w14:paraId="27D5037A">
                  <w:pPr>
                    <w:pStyle w:val="20"/>
                    <w:rPr>
                      <w:color w:val="auto"/>
                    </w:rPr>
                  </w:pPr>
                  <w:r>
                    <w:rPr>
                      <w:color w:val="auto"/>
                    </w:rPr>
                    <w:t>烘道：30m×5m×3m</w:t>
                  </w:r>
                </w:p>
              </w:tc>
              <w:tc>
                <w:tcPr>
                  <w:tcW w:w="774" w:type="dxa"/>
                  <w:vAlign w:val="center"/>
                </w:tcPr>
                <w:p w14:paraId="1AF3F4C3">
                  <w:pPr>
                    <w:pStyle w:val="20"/>
                    <w:rPr>
                      <w:color w:val="auto"/>
                    </w:rPr>
                  </w:pPr>
                  <w:r>
                    <w:rPr>
                      <w:color w:val="auto"/>
                    </w:rPr>
                    <w:t>0</w:t>
                  </w:r>
                </w:p>
              </w:tc>
              <w:tc>
                <w:tcPr>
                  <w:tcW w:w="774" w:type="dxa"/>
                  <w:vAlign w:val="center"/>
                </w:tcPr>
                <w:p w14:paraId="47195A3E">
                  <w:pPr>
                    <w:pStyle w:val="20"/>
                    <w:rPr>
                      <w:color w:val="auto"/>
                    </w:rPr>
                  </w:pPr>
                  <w:r>
                    <w:rPr>
                      <w:color w:val="auto"/>
                    </w:rPr>
                    <w:t>1</w:t>
                  </w:r>
                </w:p>
              </w:tc>
              <w:tc>
                <w:tcPr>
                  <w:tcW w:w="794" w:type="dxa"/>
                  <w:vAlign w:val="center"/>
                </w:tcPr>
                <w:p w14:paraId="4B3797F4">
                  <w:pPr>
                    <w:pStyle w:val="20"/>
                    <w:rPr>
                      <w:color w:val="auto"/>
                    </w:rPr>
                  </w:pPr>
                  <w:r>
                    <w:rPr>
                      <w:color w:val="auto"/>
                    </w:rPr>
                    <w:t>+1</w:t>
                  </w:r>
                </w:p>
              </w:tc>
            </w:tr>
          </w:tbl>
          <w:p w14:paraId="415D33F3">
            <w:pPr>
              <w:pStyle w:val="12"/>
              <w:ind w:firstLine="482"/>
              <w:rPr>
                <w:color w:val="auto"/>
                <w:szCs w:val="24"/>
              </w:rPr>
            </w:pPr>
            <w:r>
              <w:rPr>
                <w:color w:val="auto"/>
                <w:szCs w:val="24"/>
              </w:rPr>
              <w:t>7、劳动定员及生产制度</w:t>
            </w:r>
          </w:p>
          <w:p w14:paraId="4C47C996">
            <w:pPr>
              <w:ind w:firstLine="480"/>
              <w:rPr>
                <w:color w:val="auto"/>
              </w:rPr>
            </w:pPr>
            <w:r>
              <w:rPr>
                <w:color w:val="auto"/>
              </w:rPr>
              <w:t>现有项目劳动定员87人，年工作300天，每天2班8小时。扩建项目劳动定员40人，从现有项目中调配员工，不新增员工，扩建后年工作300天，每天2班，每班8小时。</w:t>
            </w:r>
          </w:p>
          <w:p w14:paraId="2F713C85">
            <w:pPr>
              <w:pStyle w:val="12"/>
              <w:ind w:firstLine="482"/>
              <w:rPr>
                <w:color w:val="auto"/>
                <w:szCs w:val="24"/>
              </w:rPr>
            </w:pPr>
            <w:r>
              <w:rPr>
                <w:color w:val="auto"/>
                <w:szCs w:val="24"/>
              </w:rPr>
              <w:t>8、公用工程</w:t>
            </w:r>
          </w:p>
          <w:p w14:paraId="4CB69DCA">
            <w:pPr>
              <w:ind w:firstLine="480"/>
              <w:rPr>
                <w:color w:val="auto"/>
              </w:rPr>
            </w:pPr>
            <w:r>
              <w:rPr>
                <w:color w:val="auto"/>
              </w:rPr>
              <w:t>（1）供电</w:t>
            </w:r>
          </w:p>
          <w:p w14:paraId="20C68E3A">
            <w:pPr>
              <w:ind w:firstLine="480"/>
              <w:rPr>
                <w:color w:val="auto"/>
              </w:rPr>
            </w:pPr>
            <w:r>
              <w:rPr>
                <w:color w:val="auto"/>
              </w:rPr>
              <w:t>现有工程年用电量约90万kwh，本项目实施后年用电量约90万kwh，扩建后年总用电量为180万kwh，由市政电网供应。</w:t>
            </w:r>
          </w:p>
          <w:p w14:paraId="0C6CE97F">
            <w:pPr>
              <w:ind w:firstLine="480"/>
              <w:rPr>
                <w:color w:val="auto"/>
              </w:rPr>
            </w:pPr>
            <w:r>
              <w:rPr>
                <w:color w:val="auto"/>
              </w:rPr>
              <w:t>（2）供气</w:t>
            </w:r>
          </w:p>
          <w:p w14:paraId="2548783A">
            <w:pPr>
              <w:ind w:firstLine="480"/>
              <w:rPr>
                <w:color w:val="auto"/>
              </w:rPr>
            </w:pPr>
            <w:r>
              <w:rPr>
                <w:color w:val="auto"/>
              </w:rPr>
              <w:t>本项目电泳生产线烘干、粉末固化需用到液化石油气，项目消耗液化石油气量为66t/a。</w:t>
            </w:r>
          </w:p>
          <w:p w14:paraId="4AB4A6EE">
            <w:pPr>
              <w:ind w:firstLine="480"/>
              <w:rPr>
                <w:color w:val="auto"/>
              </w:rPr>
            </w:pPr>
            <w:r>
              <w:rPr>
                <w:color w:val="auto"/>
              </w:rPr>
              <w:t>（3）给水</w:t>
            </w:r>
          </w:p>
          <w:p w14:paraId="08AC05D7">
            <w:pPr>
              <w:ind w:firstLine="480"/>
              <w:rPr>
                <w:color w:val="auto"/>
                <w:kern w:val="2"/>
              </w:rPr>
            </w:pPr>
            <w:r>
              <w:rPr>
                <w:color w:val="auto"/>
              </w:rPr>
              <w:t>项目用水主要为职工办公生活用水、生产用水。生产用水主要为电泳前处理用水、电泳用水、喷淋塔用水，其中使用的纯水为纯水机制纯水。由于本项目员工从现有项目中调配，不新增员工，所以本项目不新增生活用水。供水为当地市政管网供给，可满足本项目的生产及生活使用。</w:t>
            </w:r>
          </w:p>
          <w:p w14:paraId="0FEA3FDC">
            <w:pPr>
              <w:ind w:firstLine="480"/>
              <w:rPr>
                <w:color w:val="auto"/>
                <w:kern w:val="2"/>
              </w:rPr>
            </w:pPr>
            <w:r>
              <w:rPr>
                <w:color w:val="auto"/>
                <w:kern w:val="2"/>
              </w:rPr>
              <w:t>A、电泳前处理用水</w:t>
            </w:r>
          </w:p>
          <w:p w14:paraId="0DCE1904">
            <w:pPr>
              <w:ind w:firstLine="480"/>
              <w:rPr>
                <w:color w:val="auto"/>
                <w:kern w:val="2"/>
              </w:rPr>
            </w:pPr>
            <w:r>
              <w:rPr>
                <w:color w:val="auto"/>
                <w:kern w:val="2"/>
              </w:rPr>
              <w:t>项目电泳前处理用水主要为水洗1、四合一、水洗2以及纯水洗用水，根据建设单位提供资料，水洗1、水洗2、四合一以及纯水洗等工序各一个水槽，尺寸均为2.5m×1m×2m，槽体容积为5m</w:t>
            </w:r>
            <w:r>
              <w:rPr>
                <w:color w:val="auto"/>
                <w:kern w:val="2"/>
                <w:vertAlign w:val="superscript"/>
              </w:rPr>
              <w:t>3</w:t>
            </w:r>
            <w:r>
              <w:rPr>
                <w:color w:val="auto"/>
                <w:kern w:val="2"/>
              </w:rPr>
              <w:t>，有效容积为4.5m</w:t>
            </w:r>
            <w:r>
              <w:rPr>
                <w:color w:val="auto"/>
                <w:kern w:val="2"/>
                <w:vertAlign w:val="superscript"/>
              </w:rPr>
              <w:t>3</w:t>
            </w:r>
            <w:r>
              <w:rPr>
                <w:color w:val="auto"/>
                <w:kern w:val="2"/>
              </w:rPr>
              <w:t>。</w:t>
            </w:r>
          </w:p>
          <w:p w14:paraId="0A5E4BC7">
            <w:pPr>
              <w:ind w:firstLine="480"/>
              <w:rPr>
                <w:color w:val="auto"/>
                <w:kern w:val="2"/>
              </w:rPr>
            </w:pPr>
            <w:r>
              <w:rPr>
                <w:color w:val="auto"/>
                <w:kern w:val="2"/>
              </w:rPr>
              <w:t>①水洗1用水：水洗1每天更换一次新鲜用水，槽内清洗废水约4.5m</w:t>
            </w:r>
            <w:r>
              <w:rPr>
                <w:color w:val="auto"/>
                <w:kern w:val="2"/>
                <w:vertAlign w:val="superscript"/>
              </w:rPr>
              <w:t>3</w:t>
            </w:r>
            <w:r>
              <w:rPr>
                <w:color w:val="auto"/>
                <w:kern w:val="2"/>
              </w:rPr>
              <w:t>，每次更换为整体更换，则年更换300次，更换用水量为1350m</w:t>
            </w:r>
            <w:r>
              <w:rPr>
                <w:color w:val="auto"/>
                <w:kern w:val="2"/>
                <w:vertAlign w:val="superscript"/>
              </w:rPr>
              <w:t>3</w:t>
            </w:r>
            <w:r>
              <w:rPr>
                <w:color w:val="auto"/>
                <w:kern w:val="2"/>
              </w:rPr>
              <w:t>/a。使用过程中约有10%的损耗，即损耗量为135m</w:t>
            </w:r>
            <w:r>
              <w:rPr>
                <w:color w:val="auto"/>
                <w:kern w:val="2"/>
                <w:vertAlign w:val="superscript"/>
              </w:rPr>
              <w:t>3</w:t>
            </w:r>
            <w:r>
              <w:rPr>
                <w:color w:val="auto"/>
                <w:kern w:val="2"/>
              </w:rPr>
              <w:t>/a，排放量约为使用量的90%，排放量为1215m</w:t>
            </w:r>
            <w:r>
              <w:rPr>
                <w:color w:val="auto"/>
                <w:kern w:val="2"/>
                <w:vertAlign w:val="superscript"/>
              </w:rPr>
              <w:t>3</w:t>
            </w:r>
            <w:r>
              <w:rPr>
                <w:color w:val="auto"/>
                <w:kern w:val="2"/>
              </w:rPr>
              <w:t>/a。</w:t>
            </w:r>
          </w:p>
          <w:p w14:paraId="57E6203B">
            <w:pPr>
              <w:ind w:firstLine="480"/>
              <w:rPr>
                <w:color w:val="auto"/>
                <w:kern w:val="2"/>
              </w:rPr>
            </w:pPr>
            <w:r>
              <w:rPr>
                <w:color w:val="auto"/>
                <w:kern w:val="2"/>
              </w:rPr>
              <w:t>②四合一用水：四合一处理液主要为脱脂剂、硅烷处理剂及水配比，根据建设单位提供资料，脱脂剂占处理液的5%，硅烷处理剂为5%，四合一槽尺寸为2.5m×1m×2m，有效容积为4.5m</w:t>
            </w:r>
            <w:r>
              <w:rPr>
                <w:color w:val="auto"/>
                <w:kern w:val="2"/>
                <w:vertAlign w:val="superscript"/>
              </w:rPr>
              <w:t>3</w:t>
            </w:r>
            <w:r>
              <w:rPr>
                <w:color w:val="auto"/>
                <w:kern w:val="2"/>
              </w:rPr>
              <w:t>。建设单位每3个月清理一次槽底，每次保留2/3的槽液，则四合一更换槽液量为1.5m</w:t>
            </w:r>
            <w:r>
              <w:rPr>
                <w:color w:val="auto"/>
                <w:kern w:val="2"/>
                <w:vertAlign w:val="superscript"/>
              </w:rPr>
              <w:t>3</w:t>
            </w:r>
            <w:r>
              <w:rPr>
                <w:color w:val="auto"/>
                <w:kern w:val="2"/>
              </w:rPr>
              <w:t>/次（6m</w:t>
            </w:r>
            <w:r>
              <w:rPr>
                <w:color w:val="auto"/>
                <w:kern w:val="2"/>
                <w:vertAlign w:val="superscript"/>
              </w:rPr>
              <w:t>3</w:t>
            </w:r>
            <w:r>
              <w:rPr>
                <w:color w:val="auto"/>
                <w:kern w:val="2"/>
              </w:rPr>
              <w:t>/a），其中更换水量为1.35m</w:t>
            </w:r>
            <w:r>
              <w:rPr>
                <w:color w:val="auto"/>
                <w:kern w:val="2"/>
                <w:vertAlign w:val="superscript"/>
              </w:rPr>
              <w:t>3</w:t>
            </w:r>
            <w:r>
              <w:rPr>
                <w:color w:val="auto"/>
                <w:kern w:val="2"/>
              </w:rPr>
              <w:t>/次（5.4m</w:t>
            </w:r>
            <w:r>
              <w:rPr>
                <w:color w:val="auto"/>
                <w:kern w:val="2"/>
                <w:vertAlign w:val="superscript"/>
              </w:rPr>
              <w:t>3</w:t>
            </w:r>
            <w:r>
              <w:rPr>
                <w:color w:val="auto"/>
                <w:kern w:val="2"/>
              </w:rPr>
              <w:t>/a），更换药量为0.15m</w:t>
            </w:r>
            <w:r>
              <w:rPr>
                <w:color w:val="auto"/>
                <w:kern w:val="2"/>
                <w:vertAlign w:val="superscript"/>
              </w:rPr>
              <w:t>3</w:t>
            </w:r>
            <w:r>
              <w:rPr>
                <w:color w:val="auto"/>
                <w:kern w:val="2"/>
              </w:rPr>
              <w:t>/次（0.6m</w:t>
            </w:r>
            <w:r>
              <w:rPr>
                <w:color w:val="auto"/>
                <w:kern w:val="2"/>
                <w:vertAlign w:val="superscript"/>
              </w:rPr>
              <w:t>3</w:t>
            </w:r>
            <w:r>
              <w:rPr>
                <w:color w:val="auto"/>
                <w:kern w:val="2"/>
              </w:rPr>
              <w:t>/a）；槽液使用过程中约有10%的损耗，则四合一补充槽液量为0.45m</w:t>
            </w:r>
            <w:r>
              <w:rPr>
                <w:color w:val="auto"/>
                <w:kern w:val="2"/>
                <w:vertAlign w:val="superscript"/>
              </w:rPr>
              <w:t>3</w:t>
            </w:r>
            <w:r>
              <w:rPr>
                <w:color w:val="auto"/>
                <w:kern w:val="2"/>
              </w:rPr>
              <w:t>/d（135m</w:t>
            </w:r>
            <w:r>
              <w:rPr>
                <w:color w:val="auto"/>
                <w:kern w:val="2"/>
                <w:vertAlign w:val="superscript"/>
              </w:rPr>
              <w:t>3</w:t>
            </w:r>
            <w:r>
              <w:rPr>
                <w:color w:val="auto"/>
                <w:kern w:val="2"/>
              </w:rPr>
              <w:t>/a），其中补充水量为121.5m</w:t>
            </w:r>
            <w:r>
              <w:rPr>
                <w:color w:val="auto"/>
                <w:kern w:val="2"/>
                <w:vertAlign w:val="superscript"/>
              </w:rPr>
              <w:t>3</w:t>
            </w:r>
            <w:r>
              <w:rPr>
                <w:color w:val="auto"/>
                <w:kern w:val="2"/>
              </w:rPr>
              <w:t>/a，补充药量为13.5m</w:t>
            </w:r>
            <w:r>
              <w:rPr>
                <w:color w:val="auto"/>
                <w:kern w:val="2"/>
                <w:vertAlign w:val="superscript"/>
              </w:rPr>
              <w:t>3</w:t>
            </w:r>
            <w:r>
              <w:rPr>
                <w:color w:val="auto"/>
                <w:kern w:val="2"/>
              </w:rPr>
              <w:t>/a，则项目四合一总用水量为126.9m</w:t>
            </w:r>
            <w:r>
              <w:rPr>
                <w:color w:val="auto"/>
                <w:kern w:val="2"/>
                <w:vertAlign w:val="superscript"/>
              </w:rPr>
              <w:t>3</w:t>
            </w:r>
            <w:r>
              <w:rPr>
                <w:color w:val="auto"/>
                <w:kern w:val="2"/>
              </w:rPr>
              <w:t>/a（0.423m</w:t>
            </w:r>
            <w:r>
              <w:rPr>
                <w:color w:val="auto"/>
                <w:kern w:val="2"/>
                <w:vertAlign w:val="superscript"/>
              </w:rPr>
              <w:t>3</w:t>
            </w:r>
            <w:r>
              <w:rPr>
                <w:color w:val="auto"/>
                <w:kern w:val="2"/>
              </w:rPr>
              <w:t>/d），总用药量为14.1m</w:t>
            </w:r>
            <w:r>
              <w:rPr>
                <w:color w:val="auto"/>
                <w:kern w:val="2"/>
                <w:vertAlign w:val="superscript"/>
              </w:rPr>
              <w:t>3</w:t>
            </w:r>
            <w:r>
              <w:rPr>
                <w:color w:val="auto"/>
                <w:kern w:val="2"/>
              </w:rPr>
              <w:t>/a（0.047m</w:t>
            </w:r>
            <w:r>
              <w:rPr>
                <w:color w:val="auto"/>
                <w:kern w:val="2"/>
                <w:vertAlign w:val="superscript"/>
              </w:rPr>
              <w:t>3</w:t>
            </w:r>
            <w:r>
              <w:rPr>
                <w:color w:val="auto"/>
                <w:kern w:val="2"/>
              </w:rPr>
              <w:t>/d）。四合一更换槽液交由有资质单位处理不外排。</w:t>
            </w:r>
          </w:p>
          <w:p w14:paraId="6760ADAE">
            <w:pPr>
              <w:ind w:firstLine="480"/>
              <w:rPr>
                <w:color w:val="auto"/>
                <w:kern w:val="2"/>
              </w:rPr>
            </w:pPr>
            <w:r>
              <w:rPr>
                <w:color w:val="auto"/>
                <w:kern w:val="2"/>
              </w:rPr>
              <w:t>③水洗2用水：水洗2槽所使用的清洗水来源于纯水槽，纯水槽出水流量为0.3m</w:t>
            </w:r>
            <w:r>
              <w:rPr>
                <w:color w:val="auto"/>
                <w:kern w:val="2"/>
                <w:vertAlign w:val="superscript"/>
              </w:rPr>
              <w:t>3</w:t>
            </w:r>
            <w:r>
              <w:rPr>
                <w:color w:val="auto"/>
                <w:kern w:val="2"/>
              </w:rPr>
              <w:t>/h（1440m</w:t>
            </w:r>
            <w:r>
              <w:rPr>
                <w:color w:val="auto"/>
                <w:kern w:val="2"/>
                <w:vertAlign w:val="superscript"/>
              </w:rPr>
              <w:t>3</w:t>
            </w:r>
            <w:r>
              <w:rPr>
                <w:color w:val="auto"/>
                <w:kern w:val="2"/>
              </w:rPr>
              <w:t>/a），则水洗2槽用水量为1440m</w:t>
            </w:r>
            <w:r>
              <w:rPr>
                <w:color w:val="auto"/>
                <w:kern w:val="2"/>
                <w:vertAlign w:val="superscript"/>
              </w:rPr>
              <w:t>3</w:t>
            </w:r>
            <w:r>
              <w:rPr>
                <w:color w:val="auto"/>
                <w:kern w:val="2"/>
              </w:rPr>
              <w:t>/a，使用过程中约有10%的损耗，即损耗量为144m</w:t>
            </w:r>
            <w:r>
              <w:rPr>
                <w:color w:val="auto"/>
                <w:kern w:val="2"/>
                <w:vertAlign w:val="superscript"/>
              </w:rPr>
              <w:t>3</w:t>
            </w:r>
            <w:r>
              <w:rPr>
                <w:color w:val="auto"/>
                <w:kern w:val="2"/>
              </w:rPr>
              <w:t>/a，则水洗2槽排放水量为1296m</w:t>
            </w:r>
            <w:r>
              <w:rPr>
                <w:color w:val="auto"/>
                <w:kern w:val="2"/>
                <w:vertAlign w:val="superscript"/>
              </w:rPr>
              <w:t>3</w:t>
            </w:r>
            <w:r>
              <w:rPr>
                <w:color w:val="auto"/>
                <w:kern w:val="2"/>
              </w:rPr>
              <w:t>/a，排放流量为0.27m</w:t>
            </w:r>
            <w:r>
              <w:rPr>
                <w:color w:val="auto"/>
                <w:kern w:val="2"/>
                <w:vertAlign w:val="superscript"/>
              </w:rPr>
              <w:t>3</w:t>
            </w:r>
            <w:r>
              <w:rPr>
                <w:color w:val="auto"/>
                <w:kern w:val="2"/>
              </w:rPr>
              <w:t>/h。</w:t>
            </w:r>
          </w:p>
          <w:p w14:paraId="3338414E">
            <w:pPr>
              <w:ind w:firstLine="480"/>
              <w:rPr>
                <w:color w:val="auto"/>
                <w:kern w:val="2"/>
              </w:rPr>
            </w:pPr>
            <w:r>
              <w:rPr>
                <w:color w:val="auto"/>
                <w:kern w:val="2"/>
              </w:rPr>
              <w:t>④纯水洗用水：项目纯水槽废水逆流排放至水洗2槽使用，排放流量为0.3m</w:t>
            </w:r>
            <w:r>
              <w:rPr>
                <w:color w:val="auto"/>
                <w:kern w:val="2"/>
                <w:vertAlign w:val="superscript"/>
              </w:rPr>
              <w:t>3</w:t>
            </w:r>
            <w:r>
              <w:rPr>
                <w:color w:val="auto"/>
                <w:kern w:val="2"/>
              </w:rPr>
              <w:t>/h，年排放水量为1440m</w:t>
            </w:r>
            <w:r>
              <w:rPr>
                <w:color w:val="auto"/>
                <w:kern w:val="2"/>
                <w:vertAlign w:val="superscript"/>
              </w:rPr>
              <w:t>3</w:t>
            </w:r>
            <w:r>
              <w:rPr>
                <w:color w:val="auto"/>
                <w:kern w:val="2"/>
              </w:rPr>
              <w:t>/a，使用过程中约有10%的损耗，即损耗量为144m</w:t>
            </w:r>
            <w:r>
              <w:rPr>
                <w:color w:val="auto"/>
                <w:kern w:val="2"/>
                <w:vertAlign w:val="superscript"/>
              </w:rPr>
              <w:t>3</w:t>
            </w:r>
            <w:r>
              <w:rPr>
                <w:color w:val="auto"/>
                <w:kern w:val="2"/>
              </w:rPr>
              <w:t>/a，为达到0.3m</w:t>
            </w:r>
            <w:r>
              <w:rPr>
                <w:color w:val="auto"/>
                <w:kern w:val="2"/>
                <w:vertAlign w:val="superscript"/>
              </w:rPr>
              <w:t>3</w:t>
            </w:r>
            <w:r>
              <w:rPr>
                <w:color w:val="auto"/>
                <w:kern w:val="2"/>
              </w:rPr>
              <w:t>/h排放量，需补充水量144m</w:t>
            </w:r>
            <w:r>
              <w:rPr>
                <w:color w:val="auto"/>
                <w:kern w:val="2"/>
                <w:vertAlign w:val="superscript"/>
              </w:rPr>
              <w:t>3</w:t>
            </w:r>
            <w:r>
              <w:rPr>
                <w:color w:val="auto"/>
                <w:kern w:val="2"/>
              </w:rPr>
              <w:t>/a（0.03m</w:t>
            </w:r>
            <w:r>
              <w:rPr>
                <w:color w:val="auto"/>
                <w:kern w:val="2"/>
                <w:vertAlign w:val="superscript"/>
              </w:rPr>
              <w:t>3</w:t>
            </w:r>
            <w:r>
              <w:rPr>
                <w:color w:val="auto"/>
                <w:kern w:val="2"/>
              </w:rPr>
              <w:t>/h），则纯水槽用水量为1584m</w:t>
            </w:r>
            <w:r>
              <w:rPr>
                <w:color w:val="auto"/>
                <w:kern w:val="2"/>
                <w:vertAlign w:val="superscript"/>
              </w:rPr>
              <w:t>3</w:t>
            </w:r>
            <w:r>
              <w:rPr>
                <w:color w:val="auto"/>
                <w:kern w:val="2"/>
              </w:rPr>
              <w:t>/a。</w:t>
            </w:r>
          </w:p>
          <w:p w14:paraId="0C9A8FBE">
            <w:pPr>
              <w:ind w:firstLine="480"/>
              <w:rPr>
                <w:color w:val="auto"/>
                <w:kern w:val="2"/>
              </w:rPr>
            </w:pPr>
            <w:r>
              <w:rPr>
                <w:color w:val="auto"/>
                <w:kern w:val="2"/>
              </w:rPr>
              <w:t>B、电泳用水</w:t>
            </w:r>
          </w:p>
          <w:p w14:paraId="3B604BE2">
            <w:pPr>
              <w:ind w:firstLine="480"/>
              <w:rPr>
                <w:color w:val="auto"/>
                <w:kern w:val="2"/>
              </w:rPr>
            </w:pPr>
            <w:r>
              <w:rPr>
                <w:color w:val="auto"/>
                <w:kern w:val="2"/>
              </w:rPr>
              <w:t>项目电泳用水主要为电泳槽用水、UF槽用水（UF1喷淋用水、UF2用水）。</w:t>
            </w:r>
          </w:p>
          <w:p w14:paraId="739B3FA8">
            <w:pPr>
              <w:ind w:firstLine="480"/>
              <w:rPr>
                <w:color w:val="auto"/>
                <w:kern w:val="2"/>
              </w:rPr>
            </w:pPr>
            <w:r>
              <w:rPr>
                <w:color w:val="auto"/>
                <w:kern w:val="2"/>
              </w:rPr>
              <w:t>①电泳槽用水：项目电泳槽液由色浆、乳液、水以1：5.5：6.5比例在电泳槽中混合使用，电泳槽尺寸为3m×1m×2m，有效容积为4.56m</w:t>
            </w:r>
            <w:r>
              <w:rPr>
                <w:color w:val="auto"/>
                <w:kern w:val="2"/>
                <w:vertAlign w:val="superscript"/>
              </w:rPr>
              <w:t>3</w:t>
            </w:r>
            <w:r>
              <w:rPr>
                <w:color w:val="auto"/>
                <w:kern w:val="2"/>
              </w:rPr>
              <w:t>（项目每半个月需更换80%的电泳槽液，30万套产品电泳漆总用量为87.53m</w:t>
            </w:r>
            <w:r>
              <w:rPr>
                <w:color w:val="auto"/>
                <w:kern w:val="2"/>
                <w:vertAlign w:val="superscript"/>
              </w:rPr>
              <w:t>3</w:t>
            </w:r>
            <w:r>
              <w:rPr>
                <w:color w:val="auto"/>
                <w:kern w:val="2"/>
              </w:rPr>
              <w:t>/a，则每次补充槽液为87.53m</w:t>
            </w:r>
            <w:r>
              <w:rPr>
                <w:color w:val="auto"/>
                <w:kern w:val="2"/>
                <w:vertAlign w:val="superscript"/>
              </w:rPr>
              <w:t>3</w:t>
            </w:r>
            <w:r>
              <w:rPr>
                <w:color w:val="auto"/>
                <w:kern w:val="2"/>
              </w:rPr>
              <w:t>/a/24=3.65m</w:t>
            </w:r>
            <w:r>
              <w:rPr>
                <w:color w:val="auto"/>
                <w:kern w:val="2"/>
                <w:vertAlign w:val="superscript"/>
              </w:rPr>
              <w:t>3</w:t>
            </w:r>
            <w:r>
              <w:rPr>
                <w:color w:val="auto"/>
                <w:kern w:val="2"/>
              </w:rPr>
              <w:t>，则电泳槽液有效容积率为4.56m</w:t>
            </w:r>
            <w:r>
              <w:rPr>
                <w:color w:val="auto"/>
                <w:kern w:val="2"/>
                <w:vertAlign w:val="superscript"/>
              </w:rPr>
              <w:t>3</w:t>
            </w:r>
            <w:r>
              <w:rPr>
                <w:color w:val="auto"/>
                <w:kern w:val="2"/>
              </w:rPr>
              <w:t>）。</w:t>
            </w:r>
          </w:p>
          <w:p w14:paraId="51F6DEAE">
            <w:pPr>
              <w:ind w:firstLine="480"/>
              <w:rPr>
                <w:color w:val="auto"/>
                <w:kern w:val="2"/>
              </w:rPr>
            </w:pPr>
            <w:r>
              <w:rPr>
                <w:color w:val="auto"/>
                <w:kern w:val="2"/>
              </w:rPr>
              <w:t>a、因电解补充水量：电泳涂装过程伴随电泳、电沉积、电解、电渗四种化学物理作用而形成涂膜，根据设计单位提供的资料，电泳槽每日电解水量约为纯水用量的25%，电泳槽每日都需要补充失去的纯水，则补充水量为4.56m</w:t>
            </w:r>
            <w:r>
              <w:rPr>
                <w:color w:val="auto"/>
                <w:kern w:val="2"/>
                <w:vertAlign w:val="superscript"/>
              </w:rPr>
              <w:t>3</w:t>
            </w:r>
            <w:r>
              <w:rPr>
                <w:color w:val="auto"/>
                <w:kern w:val="2"/>
              </w:rPr>
              <w:t>/13*6.5*25%*300=171m</w:t>
            </w:r>
            <w:r>
              <w:rPr>
                <w:color w:val="auto"/>
                <w:kern w:val="2"/>
                <w:vertAlign w:val="superscript"/>
              </w:rPr>
              <w:t>3</w:t>
            </w:r>
            <w:r>
              <w:rPr>
                <w:color w:val="auto"/>
                <w:kern w:val="2"/>
              </w:rPr>
              <w:t>，则电泳槽需补充纯水量为0.57m</w:t>
            </w:r>
            <w:r>
              <w:rPr>
                <w:color w:val="auto"/>
                <w:kern w:val="2"/>
                <w:vertAlign w:val="superscript"/>
              </w:rPr>
              <w:t>3</w:t>
            </w:r>
            <w:r>
              <w:rPr>
                <w:color w:val="auto"/>
                <w:kern w:val="2"/>
              </w:rPr>
              <w:t>/d（171m</w:t>
            </w:r>
            <w:r>
              <w:rPr>
                <w:color w:val="auto"/>
                <w:kern w:val="2"/>
                <w:vertAlign w:val="superscript"/>
              </w:rPr>
              <w:t>3</w:t>
            </w:r>
            <w:r>
              <w:rPr>
                <w:color w:val="auto"/>
                <w:kern w:val="2"/>
              </w:rPr>
              <w:t>/a）。</w:t>
            </w:r>
          </w:p>
          <w:p w14:paraId="2841D578">
            <w:pPr>
              <w:ind w:firstLine="480"/>
              <w:rPr>
                <w:rFonts w:hint="default" w:eastAsia="宋体"/>
                <w:color w:val="auto"/>
                <w:kern w:val="2"/>
                <w:lang w:val="en-US" w:eastAsia="zh-CN"/>
              </w:rPr>
            </w:pPr>
            <w:r>
              <w:rPr>
                <w:color w:val="auto"/>
              </w:rPr>
              <w:t>b、更换槽液</w:t>
            </w:r>
            <w:r>
              <w:rPr>
                <w:rFonts w:hint="eastAsia"/>
                <w:color w:val="auto"/>
                <w:lang w:val="en-US" w:eastAsia="zh-CN"/>
              </w:rPr>
              <w:t>及槽液损耗</w:t>
            </w:r>
            <w:r>
              <w:rPr>
                <w:color w:val="auto"/>
              </w:rPr>
              <w:t>补充水量：</w:t>
            </w:r>
            <w:r>
              <w:rPr>
                <w:color w:val="auto"/>
                <w:kern w:val="2"/>
              </w:rPr>
              <w:t>项目</w:t>
            </w:r>
            <w:r>
              <w:rPr>
                <w:rFonts w:hint="eastAsia"/>
                <w:color w:val="auto"/>
                <w:kern w:val="2"/>
                <w:lang w:val="en-US" w:eastAsia="zh-CN"/>
              </w:rPr>
              <w:t>生产过程中，产品会带走10%的电泳槽液，项目</w:t>
            </w:r>
            <w:r>
              <w:rPr>
                <w:color w:val="auto"/>
                <w:kern w:val="2"/>
              </w:rPr>
              <w:t>每半个月更换80%的槽液，则需新补充槽液为4.56m</w:t>
            </w:r>
            <w:r>
              <w:rPr>
                <w:color w:val="auto"/>
                <w:kern w:val="2"/>
                <w:vertAlign w:val="superscript"/>
              </w:rPr>
              <w:t>3</w:t>
            </w:r>
            <w:r>
              <w:rPr>
                <w:color w:val="auto"/>
                <w:kern w:val="2"/>
              </w:rPr>
              <w:t>*80%</w:t>
            </w:r>
            <w:r>
              <w:rPr>
                <w:rFonts w:hint="eastAsia"/>
                <w:color w:val="auto"/>
                <w:kern w:val="2"/>
                <w:lang w:val="en-US" w:eastAsia="zh-CN"/>
              </w:rPr>
              <w:t>+4.56m</w:t>
            </w:r>
            <w:r>
              <w:rPr>
                <w:rFonts w:hint="eastAsia"/>
                <w:color w:val="auto"/>
                <w:kern w:val="2"/>
                <w:vertAlign w:val="superscript"/>
                <w:lang w:val="en-US" w:eastAsia="zh-CN"/>
              </w:rPr>
              <w:t>3</w:t>
            </w:r>
            <w:r>
              <w:rPr>
                <w:rFonts w:hint="eastAsia"/>
                <w:color w:val="auto"/>
                <w:kern w:val="2"/>
                <w:lang w:val="en-US" w:eastAsia="zh-CN"/>
              </w:rPr>
              <w:t>*10%</w:t>
            </w:r>
            <w:r>
              <w:rPr>
                <w:color w:val="auto"/>
                <w:kern w:val="2"/>
              </w:rPr>
              <w:t>=</w:t>
            </w:r>
            <w:r>
              <w:rPr>
                <w:rFonts w:hint="eastAsia"/>
                <w:color w:val="auto"/>
                <w:kern w:val="2"/>
                <w:lang w:val="en-US" w:eastAsia="zh-CN"/>
              </w:rPr>
              <w:t>4.106</w:t>
            </w:r>
            <w:r>
              <w:rPr>
                <w:color w:val="auto"/>
                <w:kern w:val="2"/>
              </w:rPr>
              <w:t>m</w:t>
            </w:r>
            <w:r>
              <w:rPr>
                <w:color w:val="auto"/>
                <w:kern w:val="2"/>
                <w:vertAlign w:val="superscript"/>
              </w:rPr>
              <w:t>3</w:t>
            </w:r>
            <w:r>
              <w:rPr>
                <w:color w:val="auto"/>
                <w:kern w:val="2"/>
              </w:rPr>
              <w:t>，其中补充水量为</w:t>
            </w:r>
            <w:r>
              <w:rPr>
                <w:rFonts w:hint="eastAsia"/>
                <w:color w:val="auto"/>
                <w:kern w:val="2"/>
                <w:lang w:val="en-US" w:eastAsia="zh-CN"/>
              </w:rPr>
              <w:t>4.106</w:t>
            </w:r>
            <w:r>
              <w:rPr>
                <w:color w:val="auto"/>
                <w:kern w:val="2"/>
              </w:rPr>
              <w:t>m</w:t>
            </w:r>
            <w:r>
              <w:rPr>
                <w:color w:val="auto"/>
                <w:kern w:val="2"/>
                <w:vertAlign w:val="superscript"/>
              </w:rPr>
              <w:t>3</w:t>
            </w:r>
            <w:r>
              <w:rPr>
                <w:color w:val="auto"/>
                <w:kern w:val="2"/>
              </w:rPr>
              <w:t>/13*6.5*24=</w:t>
            </w:r>
            <w:r>
              <w:rPr>
                <w:rFonts w:hint="eastAsia"/>
                <w:color w:val="auto"/>
                <w:kern w:val="2"/>
                <w:lang w:val="en-US" w:eastAsia="zh-CN"/>
              </w:rPr>
              <w:t>49.3</w:t>
            </w:r>
            <w:r>
              <w:rPr>
                <w:color w:val="auto"/>
                <w:kern w:val="2"/>
              </w:rPr>
              <w:t>m</w:t>
            </w:r>
            <w:r>
              <w:rPr>
                <w:color w:val="auto"/>
                <w:kern w:val="2"/>
                <w:vertAlign w:val="superscript"/>
              </w:rPr>
              <w:t>3</w:t>
            </w:r>
            <w:r>
              <w:rPr>
                <w:color w:val="auto"/>
                <w:kern w:val="2"/>
              </w:rPr>
              <w:t>，则补充水量</w:t>
            </w:r>
            <w:r>
              <w:rPr>
                <w:rFonts w:hint="eastAsia"/>
                <w:color w:val="auto"/>
                <w:kern w:val="2"/>
                <w:lang w:val="en-US" w:eastAsia="zh-CN"/>
              </w:rPr>
              <w:t>49.3</w:t>
            </w:r>
            <w:r>
              <w:rPr>
                <w:color w:val="auto"/>
                <w:kern w:val="2"/>
              </w:rPr>
              <w:t>m</w:t>
            </w:r>
            <w:r>
              <w:rPr>
                <w:color w:val="auto"/>
                <w:kern w:val="2"/>
                <w:vertAlign w:val="superscript"/>
              </w:rPr>
              <w:t>3</w:t>
            </w:r>
            <w:r>
              <w:rPr>
                <w:color w:val="auto"/>
                <w:kern w:val="2"/>
              </w:rPr>
              <w:t>/a。</w:t>
            </w:r>
          </w:p>
          <w:p w14:paraId="3E58FC52">
            <w:pPr>
              <w:ind w:firstLine="480"/>
              <w:rPr>
                <w:color w:val="auto"/>
                <w:kern w:val="2"/>
              </w:rPr>
            </w:pPr>
            <w:r>
              <w:rPr>
                <w:color w:val="auto"/>
                <w:kern w:val="2"/>
              </w:rPr>
              <w:t>项目电泳槽液中色浆中的水分含量为4.09%、乳浆中的水分含量为26.87%、添加水量为电泳槽液的50%，则电泳槽液水含量为80.96%、电泳漆液含量为19.04%，</w:t>
            </w:r>
            <w:r>
              <w:rPr>
                <w:rFonts w:hint="eastAsia"/>
                <w:color w:val="auto"/>
                <w:kern w:val="2"/>
                <w:lang w:val="en-US" w:eastAsia="zh-CN"/>
              </w:rPr>
              <w:t>项目每半个月更换80%的槽液</w:t>
            </w:r>
            <w:r>
              <w:rPr>
                <w:color w:val="auto"/>
                <w:kern w:val="2"/>
              </w:rPr>
              <w:t>，</w:t>
            </w:r>
            <w:r>
              <w:rPr>
                <w:rFonts w:hint="eastAsia"/>
                <w:color w:val="auto"/>
                <w:kern w:val="2"/>
                <w:lang w:val="en-US" w:eastAsia="zh-CN"/>
              </w:rPr>
              <w:t>则</w:t>
            </w:r>
            <w:r>
              <w:rPr>
                <w:color w:val="auto"/>
                <w:kern w:val="2"/>
              </w:rPr>
              <w:t>更换槽液量为3.65m</w:t>
            </w:r>
            <w:r>
              <w:rPr>
                <w:color w:val="auto"/>
                <w:kern w:val="2"/>
                <w:vertAlign w:val="superscript"/>
              </w:rPr>
              <w:t>3</w:t>
            </w:r>
            <w:r>
              <w:rPr>
                <w:color w:val="auto"/>
                <w:kern w:val="2"/>
              </w:rPr>
              <w:t>/次（87.6m</w:t>
            </w:r>
            <w:r>
              <w:rPr>
                <w:color w:val="auto"/>
                <w:kern w:val="2"/>
                <w:vertAlign w:val="superscript"/>
              </w:rPr>
              <w:t>3</w:t>
            </w:r>
            <w:r>
              <w:rPr>
                <w:color w:val="auto"/>
                <w:kern w:val="2"/>
              </w:rPr>
              <w:t>/a），更换槽液经超滤设备超滤后会排放</w:t>
            </w:r>
            <w:r>
              <w:rPr>
                <w:rFonts w:hint="eastAsia"/>
                <w:color w:val="auto"/>
                <w:kern w:val="2"/>
                <w:lang w:val="en-US" w:eastAsia="zh-CN"/>
              </w:rPr>
              <w:t>出稀相超滤液及浓相超滤液，其中稀相产生量为</w:t>
            </w:r>
            <w:r>
              <w:rPr>
                <w:color w:val="auto"/>
                <w:kern w:val="2"/>
              </w:rPr>
              <w:t>87.6m</w:t>
            </w:r>
            <w:r>
              <w:rPr>
                <w:color w:val="auto"/>
                <w:kern w:val="2"/>
                <w:vertAlign w:val="superscript"/>
              </w:rPr>
              <w:t>3</w:t>
            </w:r>
            <w:r>
              <w:rPr>
                <w:color w:val="auto"/>
                <w:kern w:val="2"/>
              </w:rPr>
              <w:t>*80.96%=70.92m</w:t>
            </w:r>
            <w:r>
              <w:rPr>
                <w:color w:val="auto"/>
                <w:kern w:val="2"/>
                <w:vertAlign w:val="superscript"/>
              </w:rPr>
              <w:t>3</w:t>
            </w:r>
            <w:r>
              <w:rPr>
                <w:rFonts w:hint="eastAsia"/>
                <w:color w:val="auto"/>
                <w:kern w:val="2"/>
                <w:vertAlign w:val="baseline"/>
                <w:lang w:eastAsia="zh-CN"/>
              </w:rPr>
              <w:t>，</w:t>
            </w:r>
            <w:r>
              <w:rPr>
                <w:rFonts w:hint="eastAsia"/>
                <w:color w:val="auto"/>
                <w:kern w:val="2"/>
                <w:vertAlign w:val="baseline"/>
                <w:lang w:val="en-US" w:eastAsia="zh-CN"/>
              </w:rPr>
              <w:t>浓相产生量为</w:t>
            </w:r>
            <w:r>
              <w:rPr>
                <w:color w:val="auto"/>
                <w:kern w:val="2"/>
              </w:rPr>
              <w:t>86.4m</w:t>
            </w:r>
            <w:r>
              <w:rPr>
                <w:color w:val="auto"/>
                <w:kern w:val="2"/>
                <w:vertAlign w:val="superscript"/>
              </w:rPr>
              <w:t>3</w:t>
            </w:r>
            <w:r>
              <w:rPr>
                <w:color w:val="auto"/>
                <w:kern w:val="2"/>
              </w:rPr>
              <w:t>*19.04%=16.68m</w:t>
            </w:r>
            <w:r>
              <w:rPr>
                <w:color w:val="auto"/>
                <w:kern w:val="2"/>
                <w:vertAlign w:val="superscript"/>
              </w:rPr>
              <w:t>3</w:t>
            </w:r>
            <w:r>
              <w:rPr>
                <w:color w:val="auto"/>
                <w:kern w:val="2"/>
              </w:rPr>
              <w:t>，则</w:t>
            </w:r>
            <w:r>
              <w:rPr>
                <w:rFonts w:hint="eastAsia"/>
                <w:color w:val="auto"/>
                <w:kern w:val="2"/>
                <w:lang w:val="en-US" w:eastAsia="zh-CN"/>
              </w:rPr>
              <w:t>稀相</w:t>
            </w:r>
            <w:r>
              <w:rPr>
                <w:color w:val="auto"/>
                <w:kern w:val="2"/>
              </w:rPr>
              <w:t>超滤液排放量为70.92m</w:t>
            </w:r>
            <w:r>
              <w:rPr>
                <w:color w:val="auto"/>
                <w:kern w:val="2"/>
                <w:vertAlign w:val="superscript"/>
              </w:rPr>
              <w:t>3</w:t>
            </w:r>
            <w:r>
              <w:rPr>
                <w:color w:val="auto"/>
                <w:kern w:val="2"/>
              </w:rPr>
              <w:t>/a（其中27.12m</w:t>
            </w:r>
            <w:r>
              <w:rPr>
                <w:color w:val="auto"/>
                <w:kern w:val="2"/>
                <w:vertAlign w:val="superscript"/>
              </w:rPr>
              <w:t>3</w:t>
            </w:r>
            <w:r>
              <w:rPr>
                <w:color w:val="auto"/>
                <w:kern w:val="2"/>
              </w:rPr>
              <w:t>来源于原材料，43.8m</w:t>
            </w:r>
            <w:r>
              <w:rPr>
                <w:color w:val="auto"/>
                <w:kern w:val="2"/>
                <w:vertAlign w:val="superscript"/>
              </w:rPr>
              <w:t>3</w:t>
            </w:r>
            <w:r>
              <w:rPr>
                <w:color w:val="auto"/>
                <w:kern w:val="2"/>
              </w:rPr>
              <w:t>来源于纯水）、</w:t>
            </w:r>
            <w:r>
              <w:rPr>
                <w:rFonts w:hint="eastAsia"/>
                <w:color w:val="auto"/>
                <w:kern w:val="2"/>
                <w:lang w:val="en-US" w:eastAsia="zh-CN"/>
              </w:rPr>
              <w:t>浓相超滤液</w:t>
            </w:r>
            <w:r>
              <w:rPr>
                <w:color w:val="auto"/>
                <w:kern w:val="2"/>
              </w:rPr>
              <w:t>为16.68m</w:t>
            </w:r>
            <w:r>
              <w:rPr>
                <w:color w:val="auto"/>
                <w:kern w:val="2"/>
                <w:vertAlign w:val="superscript"/>
              </w:rPr>
              <w:t>3</w:t>
            </w:r>
            <w:r>
              <w:rPr>
                <w:color w:val="auto"/>
                <w:kern w:val="2"/>
              </w:rPr>
              <w:t>/a，</w:t>
            </w:r>
            <w:r>
              <w:rPr>
                <w:rFonts w:hint="eastAsia"/>
                <w:color w:val="auto"/>
                <w:kern w:val="2"/>
                <w:lang w:val="en-US" w:eastAsia="zh-CN"/>
              </w:rPr>
              <w:t>稀相</w:t>
            </w:r>
            <w:r>
              <w:rPr>
                <w:color w:val="auto"/>
                <w:kern w:val="2"/>
              </w:rPr>
              <w:t>超滤液回用于UF用水不外排；</w:t>
            </w:r>
            <w:r>
              <w:rPr>
                <w:rFonts w:hint="eastAsia"/>
                <w:color w:val="auto"/>
                <w:kern w:val="2"/>
                <w:lang w:val="en-US" w:eastAsia="zh-CN"/>
              </w:rPr>
              <w:t>浓相超滤液</w:t>
            </w:r>
            <w:r>
              <w:rPr>
                <w:color w:val="auto"/>
                <w:kern w:val="2"/>
              </w:rPr>
              <w:t>回用于电泳槽。</w:t>
            </w:r>
          </w:p>
          <w:p w14:paraId="7F7F33AF">
            <w:pPr>
              <w:ind w:firstLine="480"/>
              <w:rPr>
                <w:color w:val="auto"/>
                <w:kern w:val="2"/>
              </w:rPr>
            </w:pPr>
            <w:r>
              <w:rPr>
                <w:color w:val="auto"/>
                <w:kern w:val="2"/>
              </w:rPr>
              <w:t>综上，电泳槽液总用水量为</w:t>
            </w:r>
            <w:r>
              <w:rPr>
                <w:rFonts w:hint="eastAsia"/>
                <w:color w:val="auto"/>
                <w:kern w:val="2"/>
                <w:lang w:val="en-US" w:eastAsia="zh-CN"/>
              </w:rPr>
              <w:t>49.3</w:t>
            </w:r>
            <w:r>
              <w:rPr>
                <w:color w:val="auto"/>
                <w:kern w:val="2"/>
              </w:rPr>
              <w:t>m</w:t>
            </w:r>
            <w:r>
              <w:rPr>
                <w:color w:val="auto"/>
                <w:kern w:val="2"/>
                <w:vertAlign w:val="superscript"/>
              </w:rPr>
              <w:t>3</w:t>
            </w:r>
            <w:r>
              <w:rPr>
                <w:color w:val="auto"/>
                <w:kern w:val="2"/>
              </w:rPr>
              <w:t>/a+171m</w:t>
            </w:r>
            <w:r>
              <w:rPr>
                <w:color w:val="auto"/>
                <w:kern w:val="2"/>
                <w:vertAlign w:val="superscript"/>
              </w:rPr>
              <w:t>3</w:t>
            </w:r>
            <w:r>
              <w:rPr>
                <w:color w:val="auto"/>
                <w:kern w:val="2"/>
              </w:rPr>
              <w:t>/a=</w:t>
            </w:r>
            <w:r>
              <w:rPr>
                <w:rFonts w:hint="eastAsia"/>
                <w:color w:val="auto"/>
                <w:kern w:val="2"/>
                <w:lang w:val="en-US" w:eastAsia="zh-CN"/>
              </w:rPr>
              <w:t>220.3</w:t>
            </w:r>
            <w:r>
              <w:rPr>
                <w:color w:val="auto"/>
                <w:kern w:val="2"/>
              </w:rPr>
              <w:t>m</w:t>
            </w:r>
            <w:r>
              <w:rPr>
                <w:color w:val="auto"/>
                <w:kern w:val="2"/>
                <w:vertAlign w:val="superscript"/>
              </w:rPr>
              <w:t>3</w:t>
            </w:r>
            <w:r>
              <w:rPr>
                <w:color w:val="auto"/>
                <w:kern w:val="2"/>
              </w:rPr>
              <w:t>/a。</w:t>
            </w:r>
          </w:p>
          <w:p w14:paraId="5BC80600">
            <w:pPr>
              <w:ind w:firstLine="480"/>
              <w:rPr>
                <w:rFonts w:hint="eastAsia"/>
                <w:color w:val="auto"/>
                <w:kern w:val="2"/>
                <w:lang w:val="en-US" w:eastAsia="zh-CN"/>
              </w:rPr>
            </w:pPr>
            <w:r>
              <w:rPr>
                <w:color w:val="auto"/>
                <w:kern w:val="2"/>
              </w:rPr>
              <w:t>②UF槽用水：UF槽分为UF1槽和UF2槽，UF1槽用水为UF2槽逆流排放水（排放流量1m</w:t>
            </w:r>
            <w:r>
              <w:rPr>
                <w:color w:val="auto"/>
                <w:kern w:val="2"/>
                <w:vertAlign w:val="superscript"/>
              </w:rPr>
              <w:t>3</w:t>
            </w:r>
            <w:r>
              <w:rPr>
                <w:color w:val="auto"/>
                <w:kern w:val="2"/>
              </w:rPr>
              <w:t>/h，4800m</w:t>
            </w:r>
            <w:r>
              <w:rPr>
                <w:color w:val="auto"/>
                <w:kern w:val="2"/>
                <w:vertAlign w:val="superscript"/>
              </w:rPr>
              <w:t>3</w:t>
            </w:r>
            <w:r>
              <w:rPr>
                <w:color w:val="auto"/>
                <w:kern w:val="2"/>
              </w:rPr>
              <w:t>/a），UF1槽废水排放（排放流量1m</w:t>
            </w:r>
            <w:r>
              <w:rPr>
                <w:color w:val="auto"/>
                <w:kern w:val="2"/>
                <w:vertAlign w:val="superscript"/>
              </w:rPr>
              <w:t>3</w:t>
            </w:r>
            <w:r>
              <w:rPr>
                <w:color w:val="auto"/>
                <w:kern w:val="2"/>
              </w:rPr>
              <w:t>/h，4800m</w:t>
            </w:r>
            <w:r>
              <w:rPr>
                <w:color w:val="auto"/>
                <w:kern w:val="2"/>
                <w:vertAlign w:val="superscript"/>
              </w:rPr>
              <w:t>3</w:t>
            </w:r>
            <w:r>
              <w:rPr>
                <w:color w:val="auto"/>
                <w:kern w:val="2"/>
              </w:rPr>
              <w:t>/a）至超滤设备超滤</w:t>
            </w:r>
            <w:r>
              <w:rPr>
                <w:rFonts w:hint="eastAsia"/>
                <w:color w:val="auto"/>
                <w:kern w:val="2"/>
                <w:lang w:val="en-US" w:eastAsia="zh-CN"/>
              </w:rPr>
              <w:t>后回用。</w:t>
            </w:r>
          </w:p>
          <w:p w14:paraId="315EDAC4">
            <w:pPr>
              <w:ind w:firstLine="480"/>
              <w:rPr>
                <w:rFonts w:hint="eastAsia"/>
                <w:color w:val="auto"/>
                <w:kern w:val="2"/>
                <w:lang w:val="en-US" w:eastAsia="zh-CN"/>
              </w:rPr>
            </w:pPr>
            <w:r>
              <w:rPr>
                <w:rFonts w:hint="eastAsia"/>
                <w:color w:val="auto"/>
                <w:kern w:val="2"/>
                <w:lang w:val="en-US" w:eastAsia="zh-CN"/>
              </w:rPr>
              <w:t>a、UF槽循环用水情况：根据项目提供资料，电泳过程中产品会从电泳槽中带出10%电泳槽液，既0.456m</w:t>
            </w:r>
            <w:r>
              <w:rPr>
                <w:rFonts w:hint="eastAsia"/>
                <w:color w:val="auto"/>
                <w:kern w:val="2"/>
                <w:vertAlign w:val="superscript"/>
                <w:lang w:val="en-US" w:eastAsia="zh-CN"/>
              </w:rPr>
              <w:t>3</w:t>
            </w:r>
            <w:r>
              <w:rPr>
                <w:rFonts w:hint="eastAsia"/>
                <w:color w:val="auto"/>
                <w:kern w:val="2"/>
                <w:lang w:val="en-US" w:eastAsia="zh-CN"/>
              </w:rPr>
              <w:t>每槽，项目每半个月更换一次槽液，则带出槽液量为10.944m</w:t>
            </w:r>
            <w:r>
              <w:rPr>
                <w:rFonts w:hint="eastAsia"/>
                <w:color w:val="auto"/>
                <w:kern w:val="2"/>
                <w:vertAlign w:val="superscript"/>
                <w:lang w:val="en-US" w:eastAsia="zh-CN"/>
              </w:rPr>
              <w:t>3</w:t>
            </w:r>
            <w:r>
              <w:rPr>
                <w:rFonts w:hint="eastAsia"/>
                <w:color w:val="auto"/>
                <w:kern w:val="2"/>
                <w:lang w:val="en-US" w:eastAsia="zh-CN"/>
              </w:rPr>
              <w:t>/a。带出的槽液经UF槽清洗后成为浮漆，浮漆和UF槽水一起排入超滤设备超滤后回用。</w:t>
            </w:r>
          </w:p>
          <w:p w14:paraId="324A3C8C">
            <w:pPr>
              <w:ind w:firstLine="480"/>
              <w:rPr>
                <w:rFonts w:hint="eastAsia"/>
                <w:color w:val="auto"/>
                <w:kern w:val="2"/>
                <w:lang w:val="en-US" w:eastAsia="zh-CN"/>
              </w:rPr>
            </w:pPr>
            <w:r>
              <w:rPr>
                <w:rFonts w:hint="eastAsia"/>
                <w:color w:val="auto"/>
                <w:kern w:val="2"/>
                <w:lang w:val="en-US" w:eastAsia="zh-CN"/>
              </w:rPr>
              <w:t>项目电泳槽液中色浆中的水分含量为4.09%、乳浆中的水分含量为26.87%、添加水量为电泳槽液的50%，则电泳槽液水含量为80.96%、电泳漆液含量为19.04%，则UF槽水经超滤设备超滤后，其稀相超滤也产生量为10.944m</w:t>
            </w:r>
            <w:r>
              <w:rPr>
                <w:rFonts w:hint="eastAsia"/>
                <w:color w:val="auto"/>
                <w:kern w:val="2"/>
                <w:vertAlign w:val="superscript"/>
                <w:lang w:val="en-US" w:eastAsia="zh-CN"/>
              </w:rPr>
              <w:t>3</w:t>
            </w:r>
            <w:r>
              <w:rPr>
                <w:rFonts w:hint="eastAsia"/>
                <w:color w:val="auto"/>
                <w:kern w:val="2"/>
                <w:lang w:val="en-US" w:eastAsia="zh-CN"/>
              </w:rPr>
              <w:t>*80.96%+4800-10.944=4798m</w:t>
            </w:r>
            <w:r>
              <w:rPr>
                <w:rFonts w:hint="eastAsia"/>
                <w:color w:val="auto"/>
                <w:kern w:val="2"/>
                <w:vertAlign w:val="superscript"/>
                <w:lang w:val="en-US" w:eastAsia="zh-CN"/>
              </w:rPr>
              <w:t>3</w:t>
            </w:r>
            <w:r>
              <w:rPr>
                <w:rFonts w:hint="eastAsia"/>
                <w:color w:val="auto"/>
                <w:kern w:val="2"/>
                <w:lang w:val="en-US" w:eastAsia="zh-CN"/>
              </w:rPr>
              <w:t>，浓相超滤液产生量为10.944m</w:t>
            </w:r>
            <w:r>
              <w:rPr>
                <w:rFonts w:hint="eastAsia"/>
                <w:color w:val="auto"/>
                <w:kern w:val="2"/>
                <w:vertAlign w:val="superscript"/>
                <w:lang w:val="en-US" w:eastAsia="zh-CN"/>
              </w:rPr>
              <w:t>3</w:t>
            </w:r>
            <w:r>
              <w:rPr>
                <w:rFonts w:hint="eastAsia"/>
                <w:color w:val="auto"/>
                <w:kern w:val="2"/>
                <w:lang w:val="en-US" w:eastAsia="zh-CN"/>
              </w:rPr>
              <w:t>*19.04%=2.08m</w:t>
            </w:r>
            <w:r>
              <w:rPr>
                <w:rFonts w:hint="eastAsia"/>
                <w:color w:val="auto"/>
                <w:kern w:val="2"/>
                <w:vertAlign w:val="superscript"/>
                <w:lang w:val="en-US" w:eastAsia="zh-CN"/>
              </w:rPr>
              <w:t>3</w:t>
            </w:r>
            <w:r>
              <w:rPr>
                <w:rFonts w:hint="eastAsia"/>
                <w:color w:val="auto"/>
                <w:kern w:val="2"/>
                <w:lang w:val="en-US" w:eastAsia="zh-CN"/>
              </w:rPr>
              <w:t>，则稀相超滤液排放量为4798m</w:t>
            </w:r>
            <w:r>
              <w:rPr>
                <w:rFonts w:hint="eastAsia"/>
                <w:color w:val="auto"/>
                <w:kern w:val="2"/>
                <w:vertAlign w:val="superscript"/>
                <w:lang w:val="en-US" w:eastAsia="zh-CN"/>
              </w:rPr>
              <w:t>3</w:t>
            </w:r>
            <w:r>
              <w:rPr>
                <w:rFonts w:hint="eastAsia"/>
                <w:color w:val="auto"/>
                <w:kern w:val="2"/>
                <w:lang w:val="en-US" w:eastAsia="zh-CN"/>
              </w:rPr>
              <w:t>/a、浓相超滤液为2.08m</w:t>
            </w:r>
            <w:r>
              <w:rPr>
                <w:rFonts w:hint="eastAsia"/>
                <w:color w:val="auto"/>
                <w:kern w:val="2"/>
                <w:vertAlign w:val="superscript"/>
                <w:lang w:val="en-US" w:eastAsia="zh-CN"/>
              </w:rPr>
              <w:t>3</w:t>
            </w:r>
            <w:r>
              <w:rPr>
                <w:rFonts w:hint="eastAsia"/>
                <w:color w:val="auto"/>
                <w:kern w:val="2"/>
                <w:lang w:val="en-US" w:eastAsia="zh-CN"/>
              </w:rPr>
              <w:t>/a，稀相超滤液回用于UF2槽不外排；浓相超滤液回用于电泳槽。</w:t>
            </w:r>
          </w:p>
          <w:p w14:paraId="6F9E5B5F">
            <w:pPr>
              <w:ind w:firstLine="480"/>
              <w:rPr>
                <w:rFonts w:hint="eastAsia" w:eastAsia="宋体"/>
                <w:color w:val="auto"/>
                <w:kern w:val="2"/>
                <w:lang w:val="en-US" w:eastAsia="zh-CN"/>
              </w:rPr>
            </w:pPr>
            <w:r>
              <w:rPr>
                <w:rFonts w:hint="eastAsia"/>
                <w:color w:val="auto"/>
                <w:kern w:val="2"/>
                <w:lang w:val="en-US" w:eastAsia="zh-CN"/>
              </w:rPr>
              <w:t>b、UF槽更换用水情况：根据建设单位提供资料，项目循环超滤液半年更换一次，为整槽更换，UF1槽尺寸为2.5m×1m×2m，则容积为5m</w:t>
            </w:r>
            <w:r>
              <w:rPr>
                <w:rFonts w:hint="eastAsia"/>
                <w:color w:val="auto"/>
                <w:kern w:val="2"/>
                <w:vertAlign w:val="superscript"/>
                <w:lang w:val="en-US" w:eastAsia="zh-CN"/>
              </w:rPr>
              <w:t>3</w:t>
            </w:r>
            <w:r>
              <w:rPr>
                <w:rFonts w:hint="eastAsia"/>
                <w:color w:val="auto"/>
                <w:kern w:val="2"/>
                <w:vertAlign w:val="baseline"/>
                <w:lang w:val="en-US" w:eastAsia="zh-CN"/>
              </w:rPr>
              <w:t>，则UF槽循环超滤液</w:t>
            </w:r>
            <w:r>
              <w:rPr>
                <w:rFonts w:hint="eastAsia"/>
                <w:color w:val="auto"/>
                <w:kern w:val="2"/>
                <w:lang w:val="en-US" w:eastAsia="zh-CN"/>
              </w:rPr>
              <w:t>更换量为10m</w:t>
            </w:r>
            <w:r>
              <w:rPr>
                <w:rFonts w:hint="eastAsia"/>
                <w:color w:val="auto"/>
                <w:kern w:val="2"/>
                <w:vertAlign w:val="superscript"/>
                <w:lang w:val="en-US" w:eastAsia="zh-CN"/>
              </w:rPr>
              <w:t>3</w:t>
            </w:r>
            <w:r>
              <w:rPr>
                <w:rFonts w:hint="eastAsia"/>
                <w:color w:val="auto"/>
                <w:kern w:val="2"/>
                <w:lang w:val="en-US" w:eastAsia="zh-CN"/>
              </w:rPr>
              <w:t>，则需补充纯水量为10m</w:t>
            </w:r>
            <w:r>
              <w:rPr>
                <w:rFonts w:hint="eastAsia"/>
                <w:color w:val="auto"/>
                <w:kern w:val="2"/>
                <w:vertAlign w:val="superscript"/>
                <w:lang w:val="en-US" w:eastAsia="zh-CN"/>
              </w:rPr>
              <w:t>3</w:t>
            </w:r>
            <w:r>
              <w:rPr>
                <w:color w:val="auto"/>
                <w:kern w:val="2"/>
              </w:rPr>
              <w:t>。UF1槽和UF2槽在使用过程中会损耗掉一部分超滤液，每槽损耗量为循环水量的10%，则单槽损失量为0.1m</w:t>
            </w:r>
            <w:r>
              <w:rPr>
                <w:color w:val="auto"/>
                <w:kern w:val="2"/>
                <w:vertAlign w:val="superscript"/>
              </w:rPr>
              <w:t>3</w:t>
            </w:r>
            <w:r>
              <w:rPr>
                <w:color w:val="auto"/>
                <w:kern w:val="2"/>
              </w:rPr>
              <w:t>/h（480m</w:t>
            </w:r>
            <w:r>
              <w:rPr>
                <w:color w:val="auto"/>
                <w:kern w:val="2"/>
                <w:vertAlign w:val="superscript"/>
              </w:rPr>
              <w:t>3</w:t>
            </w:r>
            <w:r>
              <w:rPr>
                <w:color w:val="auto"/>
                <w:kern w:val="2"/>
              </w:rPr>
              <w:t>/a），UF槽总损失量为0.2m</w:t>
            </w:r>
            <w:r>
              <w:rPr>
                <w:color w:val="auto"/>
                <w:kern w:val="2"/>
                <w:vertAlign w:val="superscript"/>
              </w:rPr>
              <w:t>3</w:t>
            </w:r>
            <w:r>
              <w:rPr>
                <w:color w:val="auto"/>
                <w:kern w:val="2"/>
              </w:rPr>
              <w:t>/h（960m</w:t>
            </w:r>
            <w:r>
              <w:rPr>
                <w:color w:val="auto"/>
                <w:kern w:val="2"/>
                <w:vertAlign w:val="superscript"/>
              </w:rPr>
              <w:t>3</w:t>
            </w:r>
            <w:r>
              <w:rPr>
                <w:color w:val="auto"/>
                <w:kern w:val="2"/>
              </w:rPr>
              <w:t>/a），</w:t>
            </w:r>
            <w:r>
              <w:rPr>
                <w:rFonts w:hint="eastAsia"/>
                <w:color w:val="auto"/>
                <w:kern w:val="2"/>
                <w:lang w:val="en-US" w:eastAsia="zh-CN"/>
              </w:rPr>
              <w:t>则项目UF槽需补充水量为970m</w:t>
            </w:r>
            <w:r>
              <w:rPr>
                <w:rFonts w:hint="eastAsia"/>
                <w:color w:val="auto"/>
                <w:kern w:val="2"/>
                <w:vertAlign w:val="superscript"/>
                <w:lang w:val="en-US" w:eastAsia="zh-CN"/>
              </w:rPr>
              <w:t>3</w:t>
            </w:r>
            <w:r>
              <w:rPr>
                <w:rFonts w:hint="eastAsia"/>
                <w:color w:val="auto"/>
                <w:kern w:val="2"/>
                <w:lang w:val="en-US" w:eastAsia="zh-CN"/>
              </w:rPr>
              <w:t>/a。</w:t>
            </w:r>
            <w:r>
              <w:rPr>
                <w:color w:val="auto"/>
                <w:kern w:val="2"/>
              </w:rPr>
              <w:t>项目每半个月更换的电泳槽液超滤设备超滤后排放</w:t>
            </w:r>
            <w:r>
              <w:rPr>
                <w:rFonts w:hint="eastAsia"/>
                <w:color w:val="auto"/>
                <w:kern w:val="2"/>
                <w:lang w:val="en-US" w:eastAsia="zh-CN"/>
              </w:rPr>
              <w:t>的稀相</w:t>
            </w:r>
            <w:r>
              <w:rPr>
                <w:color w:val="auto"/>
                <w:kern w:val="2"/>
              </w:rPr>
              <w:t>超滤液为70.92m</w:t>
            </w:r>
            <w:r>
              <w:rPr>
                <w:color w:val="auto"/>
                <w:kern w:val="2"/>
                <w:vertAlign w:val="superscript"/>
              </w:rPr>
              <w:t>3</w:t>
            </w:r>
            <w:r>
              <w:rPr>
                <w:color w:val="auto"/>
                <w:kern w:val="2"/>
              </w:rPr>
              <w:t>/a，</w:t>
            </w:r>
            <w:r>
              <w:rPr>
                <w:rFonts w:hint="eastAsia"/>
                <w:color w:val="auto"/>
                <w:kern w:val="2"/>
                <w:lang w:val="en-US" w:eastAsia="zh-CN"/>
              </w:rPr>
              <w:t>该稀相</w:t>
            </w:r>
            <w:r>
              <w:rPr>
                <w:color w:val="auto"/>
                <w:kern w:val="2"/>
              </w:rPr>
              <w:t>超滤液回用于UF槽，则UF槽需补充纯水量为8</w:t>
            </w:r>
            <w:r>
              <w:rPr>
                <w:rFonts w:hint="eastAsia"/>
                <w:color w:val="auto"/>
                <w:kern w:val="2"/>
                <w:lang w:val="en-US" w:eastAsia="zh-CN"/>
              </w:rPr>
              <w:t>9</w:t>
            </w:r>
            <w:r>
              <w:rPr>
                <w:color w:val="auto"/>
                <w:kern w:val="2"/>
              </w:rPr>
              <w:t>9.08m</w:t>
            </w:r>
            <w:r>
              <w:rPr>
                <w:color w:val="auto"/>
                <w:kern w:val="2"/>
                <w:vertAlign w:val="superscript"/>
              </w:rPr>
              <w:t>3</w:t>
            </w:r>
            <w:r>
              <w:rPr>
                <w:color w:val="auto"/>
                <w:kern w:val="2"/>
              </w:rPr>
              <w:t>/a（</w:t>
            </w:r>
            <w:r>
              <w:rPr>
                <w:rFonts w:hint="eastAsia"/>
                <w:color w:val="auto"/>
                <w:kern w:val="2"/>
                <w:lang w:val="en-US" w:eastAsia="zh-CN"/>
              </w:rPr>
              <w:t>3.0</w:t>
            </w:r>
            <w:r>
              <w:rPr>
                <w:color w:val="auto"/>
                <w:kern w:val="2"/>
              </w:rPr>
              <w:t>m</w:t>
            </w:r>
            <w:r>
              <w:rPr>
                <w:color w:val="auto"/>
                <w:kern w:val="2"/>
                <w:vertAlign w:val="superscript"/>
              </w:rPr>
              <w:t>3</w:t>
            </w:r>
            <w:r>
              <w:rPr>
                <w:color w:val="auto"/>
                <w:kern w:val="2"/>
              </w:rPr>
              <w:t>/d），循环使用水量为4800m</w:t>
            </w:r>
            <w:r>
              <w:rPr>
                <w:color w:val="auto"/>
                <w:kern w:val="2"/>
                <w:vertAlign w:val="superscript"/>
              </w:rPr>
              <w:t>3</w:t>
            </w:r>
            <w:r>
              <w:rPr>
                <w:color w:val="auto"/>
                <w:kern w:val="2"/>
              </w:rPr>
              <w:t>/a。</w:t>
            </w:r>
          </w:p>
          <w:p w14:paraId="7DE08169">
            <w:pPr>
              <w:numPr>
                <w:ilvl w:val="0"/>
                <w:numId w:val="0"/>
              </w:numPr>
              <w:ind w:firstLine="480"/>
              <w:rPr>
                <w:color w:val="auto"/>
                <w:kern w:val="2"/>
              </w:rPr>
            </w:pPr>
            <w:r>
              <w:rPr>
                <w:rFonts w:hint="eastAsia" w:cs="Times New Roman"/>
                <w:color w:val="auto"/>
                <w:kern w:val="2"/>
                <w:sz w:val="24"/>
                <w:szCs w:val="24"/>
                <w:lang w:val="en-US" w:eastAsia="zh-CN" w:bidi="ar-SA"/>
              </w:rPr>
              <w:t>C</w:t>
            </w:r>
            <w:r>
              <w:rPr>
                <w:rFonts w:ascii="Times New Roman" w:hAnsi="Times New Roman" w:eastAsia="宋体" w:cs="Times New Roman"/>
                <w:color w:val="auto"/>
                <w:kern w:val="2"/>
                <w:sz w:val="24"/>
                <w:szCs w:val="24"/>
                <w:lang w:val="en-US" w:eastAsia="zh-CN" w:bidi="ar-SA"/>
              </w:rPr>
              <w:t>、</w:t>
            </w:r>
            <w:r>
              <w:rPr>
                <w:color w:val="auto"/>
                <w:kern w:val="2"/>
              </w:rPr>
              <w:t>纯水机制水</w:t>
            </w:r>
            <w:r>
              <w:rPr>
                <w:rFonts w:hint="eastAsia"/>
                <w:color w:val="auto"/>
                <w:kern w:val="2"/>
                <w:lang w:val="en-US" w:eastAsia="zh-CN"/>
              </w:rPr>
              <w:t xml:space="preserve"> </w:t>
            </w:r>
          </w:p>
          <w:p w14:paraId="37E72498">
            <w:pPr>
              <w:ind w:firstLine="480"/>
              <w:rPr>
                <w:color w:val="auto"/>
              </w:rPr>
            </w:pPr>
            <w:r>
              <w:rPr>
                <w:color w:val="auto"/>
              </w:rPr>
              <w:t>本项目电泳使用的纯水由纯水设备制得，原水为自来水，制水效率为70%，项目纯水用量为26</w:t>
            </w:r>
            <w:r>
              <w:rPr>
                <w:rFonts w:hint="eastAsia"/>
                <w:color w:val="auto"/>
                <w:lang w:val="en-US" w:eastAsia="zh-CN"/>
              </w:rPr>
              <w:t>98</w:t>
            </w:r>
            <w:r>
              <w:rPr>
                <w:color w:val="auto"/>
              </w:rPr>
              <w:t>m</w:t>
            </w:r>
            <w:r>
              <w:rPr>
                <w:color w:val="auto"/>
                <w:vertAlign w:val="superscript"/>
              </w:rPr>
              <w:t>3</w:t>
            </w:r>
            <w:r>
              <w:rPr>
                <w:color w:val="auto"/>
              </w:rPr>
              <w:t>/a，所需自来水38</w:t>
            </w:r>
            <w:r>
              <w:rPr>
                <w:rFonts w:hint="eastAsia"/>
                <w:color w:val="auto"/>
                <w:lang w:val="en-US" w:eastAsia="zh-CN"/>
              </w:rPr>
              <w:t>54</w:t>
            </w:r>
            <w:r>
              <w:rPr>
                <w:color w:val="auto"/>
              </w:rPr>
              <w:t>m</w:t>
            </w:r>
            <w:r>
              <w:rPr>
                <w:color w:val="auto"/>
                <w:vertAlign w:val="superscript"/>
              </w:rPr>
              <w:t>3</w:t>
            </w:r>
            <w:r>
              <w:rPr>
                <w:color w:val="auto"/>
              </w:rPr>
              <w:t>/a，尾水产生量为115</w:t>
            </w:r>
            <w:r>
              <w:rPr>
                <w:rFonts w:hint="eastAsia"/>
                <w:color w:val="auto"/>
                <w:lang w:val="en-US" w:eastAsia="zh-CN"/>
              </w:rPr>
              <w:t>6</w:t>
            </w:r>
            <w:r>
              <w:rPr>
                <w:color w:val="auto"/>
              </w:rPr>
              <w:t>m</w:t>
            </w:r>
            <w:r>
              <w:rPr>
                <w:color w:val="auto"/>
                <w:vertAlign w:val="superscript"/>
              </w:rPr>
              <w:t>3</w:t>
            </w:r>
            <w:r>
              <w:rPr>
                <w:color w:val="auto"/>
              </w:rPr>
              <w:t>/a。</w:t>
            </w:r>
          </w:p>
          <w:p w14:paraId="27EA9ABB">
            <w:pPr>
              <w:numPr>
                <w:ilvl w:val="0"/>
                <w:numId w:val="0"/>
              </w:numPr>
              <w:ind w:firstLine="480"/>
              <w:rPr>
                <w:color w:val="auto"/>
              </w:rPr>
            </w:pPr>
            <w:r>
              <w:rPr>
                <w:rFonts w:hint="eastAsia" w:cs="Times New Roman"/>
                <w:color w:val="auto"/>
                <w:sz w:val="24"/>
                <w:szCs w:val="24"/>
                <w:lang w:val="en-US" w:eastAsia="zh-CN" w:bidi="ar-SA"/>
              </w:rPr>
              <w:t>D</w:t>
            </w:r>
            <w:r>
              <w:rPr>
                <w:rFonts w:ascii="Times New Roman" w:hAnsi="Times New Roman" w:eastAsia="宋体" w:cs="Times New Roman"/>
                <w:color w:val="auto"/>
                <w:sz w:val="24"/>
                <w:szCs w:val="24"/>
                <w:lang w:val="en-US" w:eastAsia="zh-CN" w:bidi="ar-SA"/>
              </w:rPr>
              <w:t>、</w:t>
            </w:r>
            <w:r>
              <w:rPr>
                <w:color w:val="auto"/>
              </w:rPr>
              <w:t>喷淋塔用水</w:t>
            </w:r>
          </w:p>
          <w:p w14:paraId="74E1BECE">
            <w:pPr>
              <w:ind w:firstLine="480"/>
              <w:rPr>
                <w:color w:val="auto"/>
              </w:rPr>
            </w:pPr>
            <w:r>
              <w:rPr>
                <w:color w:val="auto"/>
              </w:rPr>
              <w:t>本项目喷淋塔用水为普通自来水，仅用于冷却电泳烘干、粉末固化所排放的烟气，不需添加任何药剂。喷淋系统配备独立循环水箱，喷淋用水循环使用不外排，需定期补充损耗量。项目供两套喷淋塔，单套喷淋系统喷淋塔水箱尺寸：L800*W500*H600，循环水量为15m</w:t>
            </w:r>
            <w:r>
              <w:rPr>
                <w:color w:val="auto"/>
                <w:vertAlign w:val="superscript"/>
              </w:rPr>
              <w:t>3</w:t>
            </w:r>
            <w:r>
              <w:rPr>
                <w:color w:val="auto"/>
              </w:rPr>
              <w:t>/h，则项目喷淋塔总循环水量为216000m</w:t>
            </w:r>
            <w:r>
              <w:rPr>
                <w:color w:val="auto"/>
                <w:vertAlign w:val="superscript"/>
              </w:rPr>
              <w:t>3</w:t>
            </w:r>
            <w:r>
              <w:rPr>
                <w:color w:val="auto"/>
              </w:rPr>
              <w:t>/a，循环水损耗量按循环水量的1%计算，则需补充水量2160m</w:t>
            </w:r>
            <w:r>
              <w:rPr>
                <w:color w:val="auto"/>
                <w:vertAlign w:val="superscript"/>
              </w:rPr>
              <w:t>3</w:t>
            </w:r>
            <w:r>
              <w:rPr>
                <w:color w:val="auto"/>
              </w:rPr>
              <w:t>/a。</w:t>
            </w:r>
          </w:p>
          <w:p w14:paraId="25AF846A">
            <w:pPr>
              <w:ind w:firstLine="480"/>
              <w:rPr>
                <w:color w:val="auto"/>
              </w:rPr>
            </w:pPr>
            <w:r>
              <w:rPr>
                <w:color w:val="auto"/>
              </w:rPr>
              <w:t>项目水平衡图详见图2-1。</w:t>
            </w:r>
          </w:p>
          <w:p w14:paraId="4EB9A12E">
            <w:pPr>
              <w:pStyle w:val="10"/>
              <w:ind w:firstLine="422"/>
              <w:rPr>
                <w:rFonts w:hint="default"/>
                <w:color w:val="auto"/>
                <w:kern w:val="2"/>
              </w:rPr>
            </w:pPr>
            <w:r>
              <w:rPr>
                <w:rFonts w:hint="default"/>
                <w:color w:val="auto"/>
                <w:kern w:val="2"/>
              </w:rPr>
              <w:t>表2-10 给排水汇总表</w:t>
            </w:r>
          </w:p>
          <w:tbl>
            <w:tblPr>
              <w:tblStyle w:val="24"/>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620"/>
              <w:gridCol w:w="600"/>
              <w:gridCol w:w="1207"/>
              <w:gridCol w:w="1545"/>
              <w:gridCol w:w="900"/>
              <w:gridCol w:w="975"/>
              <w:gridCol w:w="2052"/>
            </w:tblGrid>
            <w:tr w14:paraId="518B3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Align w:val="center"/>
                </w:tcPr>
                <w:p w14:paraId="074C21EF">
                  <w:pPr>
                    <w:pStyle w:val="20"/>
                    <w:rPr>
                      <w:b/>
                      <w:bCs/>
                      <w:color w:val="auto"/>
                    </w:rPr>
                  </w:pPr>
                  <w:r>
                    <w:rPr>
                      <w:b/>
                      <w:bCs/>
                      <w:color w:val="auto"/>
                    </w:rPr>
                    <w:t>序号</w:t>
                  </w:r>
                </w:p>
              </w:tc>
              <w:tc>
                <w:tcPr>
                  <w:tcW w:w="1220" w:type="dxa"/>
                  <w:gridSpan w:val="2"/>
                  <w:vAlign w:val="center"/>
                </w:tcPr>
                <w:p w14:paraId="7DFCAD0A">
                  <w:pPr>
                    <w:pStyle w:val="20"/>
                    <w:rPr>
                      <w:b/>
                      <w:bCs/>
                      <w:color w:val="auto"/>
                    </w:rPr>
                  </w:pPr>
                  <w:r>
                    <w:rPr>
                      <w:b/>
                      <w:bCs/>
                      <w:color w:val="auto"/>
                    </w:rPr>
                    <w:t>项目</w:t>
                  </w:r>
                </w:p>
              </w:tc>
              <w:tc>
                <w:tcPr>
                  <w:tcW w:w="1207" w:type="dxa"/>
                  <w:vAlign w:val="center"/>
                </w:tcPr>
                <w:p w14:paraId="6FC0AB88">
                  <w:pPr>
                    <w:pStyle w:val="20"/>
                    <w:rPr>
                      <w:b/>
                      <w:bCs/>
                      <w:color w:val="auto"/>
                    </w:rPr>
                  </w:pPr>
                  <w:r>
                    <w:rPr>
                      <w:b/>
                      <w:bCs/>
                      <w:color w:val="auto"/>
                    </w:rPr>
                    <w:t>用水量（药量）m³/a</w:t>
                  </w:r>
                </w:p>
              </w:tc>
              <w:tc>
                <w:tcPr>
                  <w:tcW w:w="1545" w:type="dxa"/>
                  <w:vAlign w:val="center"/>
                </w:tcPr>
                <w:p w14:paraId="0C281F8B">
                  <w:pPr>
                    <w:pStyle w:val="20"/>
                    <w:rPr>
                      <w:b/>
                      <w:bCs/>
                      <w:color w:val="auto"/>
                    </w:rPr>
                  </w:pPr>
                  <w:r>
                    <w:rPr>
                      <w:b/>
                      <w:bCs/>
                      <w:color w:val="auto"/>
                    </w:rPr>
                    <w:t>用水来源</w:t>
                  </w:r>
                </w:p>
              </w:tc>
              <w:tc>
                <w:tcPr>
                  <w:tcW w:w="900" w:type="dxa"/>
                  <w:vAlign w:val="center"/>
                </w:tcPr>
                <w:p w14:paraId="731F7185">
                  <w:pPr>
                    <w:pStyle w:val="20"/>
                    <w:rPr>
                      <w:b/>
                      <w:bCs/>
                      <w:color w:val="auto"/>
                    </w:rPr>
                  </w:pPr>
                  <w:r>
                    <w:rPr>
                      <w:b/>
                      <w:bCs/>
                      <w:color w:val="auto"/>
                    </w:rPr>
                    <w:t>损耗量</w:t>
                  </w:r>
                </w:p>
                <w:p w14:paraId="0F5A1AF7">
                  <w:pPr>
                    <w:pStyle w:val="20"/>
                    <w:rPr>
                      <w:b/>
                      <w:bCs/>
                      <w:color w:val="auto"/>
                    </w:rPr>
                  </w:pPr>
                  <w:r>
                    <w:rPr>
                      <w:b/>
                      <w:bCs/>
                      <w:color w:val="auto"/>
                    </w:rPr>
                    <w:t>m³/a</w:t>
                  </w:r>
                </w:p>
              </w:tc>
              <w:tc>
                <w:tcPr>
                  <w:tcW w:w="975" w:type="dxa"/>
                  <w:vAlign w:val="center"/>
                </w:tcPr>
                <w:p w14:paraId="54C8A5D5">
                  <w:pPr>
                    <w:pStyle w:val="20"/>
                    <w:rPr>
                      <w:b/>
                      <w:bCs/>
                      <w:color w:val="auto"/>
                    </w:rPr>
                  </w:pPr>
                  <w:r>
                    <w:rPr>
                      <w:b/>
                      <w:bCs/>
                      <w:color w:val="auto"/>
                    </w:rPr>
                    <w:t>排水量m³/a</w:t>
                  </w:r>
                </w:p>
              </w:tc>
              <w:tc>
                <w:tcPr>
                  <w:tcW w:w="2052" w:type="dxa"/>
                  <w:vAlign w:val="center"/>
                </w:tcPr>
                <w:p w14:paraId="105F3BAC">
                  <w:pPr>
                    <w:pStyle w:val="20"/>
                    <w:rPr>
                      <w:b/>
                      <w:bCs/>
                      <w:color w:val="auto"/>
                    </w:rPr>
                  </w:pPr>
                  <w:r>
                    <w:rPr>
                      <w:b/>
                      <w:bCs/>
                      <w:color w:val="auto"/>
                    </w:rPr>
                    <w:t>排放去向</w:t>
                  </w:r>
                </w:p>
              </w:tc>
            </w:tr>
            <w:tr w14:paraId="34370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restart"/>
                  <w:vAlign w:val="center"/>
                </w:tcPr>
                <w:p w14:paraId="498C5290">
                  <w:pPr>
                    <w:pStyle w:val="20"/>
                    <w:rPr>
                      <w:color w:val="auto"/>
                    </w:rPr>
                  </w:pPr>
                  <w:r>
                    <w:rPr>
                      <w:color w:val="auto"/>
                    </w:rPr>
                    <w:t>1</w:t>
                  </w:r>
                </w:p>
              </w:tc>
              <w:tc>
                <w:tcPr>
                  <w:tcW w:w="620" w:type="dxa"/>
                  <w:vMerge w:val="restart"/>
                  <w:vAlign w:val="center"/>
                </w:tcPr>
                <w:p w14:paraId="01233884">
                  <w:pPr>
                    <w:pStyle w:val="20"/>
                    <w:rPr>
                      <w:color w:val="auto"/>
                    </w:rPr>
                  </w:pPr>
                  <w:r>
                    <w:rPr>
                      <w:color w:val="auto"/>
                    </w:rPr>
                    <w:t>电泳前处理给排水</w:t>
                  </w:r>
                </w:p>
              </w:tc>
              <w:tc>
                <w:tcPr>
                  <w:tcW w:w="600" w:type="dxa"/>
                  <w:vAlign w:val="center"/>
                </w:tcPr>
                <w:p w14:paraId="0C980451">
                  <w:pPr>
                    <w:pStyle w:val="20"/>
                    <w:rPr>
                      <w:color w:val="auto"/>
                    </w:rPr>
                  </w:pPr>
                  <w:r>
                    <w:rPr>
                      <w:color w:val="auto"/>
                    </w:rPr>
                    <w:t>水洗1</w:t>
                  </w:r>
                </w:p>
              </w:tc>
              <w:tc>
                <w:tcPr>
                  <w:tcW w:w="1207" w:type="dxa"/>
                  <w:vAlign w:val="center"/>
                </w:tcPr>
                <w:p w14:paraId="1C8A4EDC">
                  <w:pPr>
                    <w:pStyle w:val="20"/>
                    <w:rPr>
                      <w:color w:val="auto"/>
                    </w:rPr>
                  </w:pPr>
                  <w:r>
                    <w:rPr>
                      <w:color w:val="auto"/>
                    </w:rPr>
                    <w:t>1350</w:t>
                  </w:r>
                </w:p>
              </w:tc>
              <w:tc>
                <w:tcPr>
                  <w:tcW w:w="1545" w:type="dxa"/>
                  <w:vAlign w:val="center"/>
                </w:tcPr>
                <w:p w14:paraId="35058BD7">
                  <w:pPr>
                    <w:pStyle w:val="20"/>
                    <w:rPr>
                      <w:color w:val="auto"/>
                    </w:rPr>
                  </w:pPr>
                  <w:r>
                    <w:rPr>
                      <w:color w:val="auto"/>
                    </w:rPr>
                    <w:t>新鲜水</w:t>
                  </w:r>
                </w:p>
              </w:tc>
              <w:tc>
                <w:tcPr>
                  <w:tcW w:w="900" w:type="dxa"/>
                  <w:vAlign w:val="center"/>
                </w:tcPr>
                <w:p w14:paraId="1144C70A">
                  <w:pPr>
                    <w:pStyle w:val="20"/>
                    <w:rPr>
                      <w:color w:val="auto"/>
                    </w:rPr>
                  </w:pPr>
                  <w:r>
                    <w:rPr>
                      <w:color w:val="auto"/>
                    </w:rPr>
                    <w:t>135</w:t>
                  </w:r>
                </w:p>
              </w:tc>
              <w:tc>
                <w:tcPr>
                  <w:tcW w:w="975" w:type="dxa"/>
                  <w:vAlign w:val="center"/>
                </w:tcPr>
                <w:p w14:paraId="1634F757">
                  <w:pPr>
                    <w:pStyle w:val="20"/>
                    <w:rPr>
                      <w:color w:val="auto"/>
                    </w:rPr>
                  </w:pPr>
                  <w:r>
                    <w:rPr>
                      <w:color w:val="auto"/>
                    </w:rPr>
                    <w:t>1215</w:t>
                  </w:r>
                </w:p>
              </w:tc>
              <w:tc>
                <w:tcPr>
                  <w:tcW w:w="2052" w:type="dxa"/>
                  <w:vAlign w:val="center"/>
                </w:tcPr>
                <w:p w14:paraId="78BA0F5D">
                  <w:pPr>
                    <w:pStyle w:val="20"/>
                    <w:rPr>
                      <w:color w:val="auto"/>
                    </w:rPr>
                  </w:pPr>
                  <w:r>
                    <w:rPr>
                      <w:color w:val="auto"/>
                    </w:rPr>
                    <w:t>外排</w:t>
                  </w:r>
                </w:p>
              </w:tc>
            </w:tr>
            <w:tr w14:paraId="0D6F4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06169CE7">
                  <w:pPr>
                    <w:pStyle w:val="20"/>
                    <w:rPr>
                      <w:color w:val="auto"/>
                    </w:rPr>
                  </w:pPr>
                </w:p>
              </w:tc>
              <w:tc>
                <w:tcPr>
                  <w:tcW w:w="620" w:type="dxa"/>
                  <w:vMerge w:val="continue"/>
                  <w:vAlign w:val="center"/>
                </w:tcPr>
                <w:p w14:paraId="44EB2F97">
                  <w:pPr>
                    <w:pStyle w:val="20"/>
                    <w:rPr>
                      <w:color w:val="auto"/>
                    </w:rPr>
                  </w:pPr>
                </w:p>
              </w:tc>
              <w:tc>
                <w:tcPr>
                  <w:tcW w:w="600" w:type="dxa"/>
                  <w:vMerge w:val="restart"/>
                  <w:vAlign w:val="center"/>
                </w:tcPr>
                <w:p w14:paraId="767B243D">
                  <w:pPr>
                    <w:pStyle w:val="20"/>
                    <w:rPr>
                      <w:color w:val="auto"/>
                    </w:rPr>
                  </w:pPr>
                  <w:r>
                    <w:rPr>
                      <w:color w:val="auto"/>
                    </w:rPr>
                    <w:t>四合一</w:t>
                  </w:r>
                </w:p>
              </w:tc>
              <w:tc>
                <w:tcPr>
                  <w:tcW w:w="1207" w:type="dxa"/>
                  <w:vAlign w:val="center"/>
                </w:tcPr>
                <w:p w14:paraId="70062561">
                  <w:pPr>
                    <w:pStyle w:val="20"/>
                    <w:rPr>
                      <w:color w:val="auto"/>
                    </w:rPr>
                  </w:pPr>
                  <w:r>
                    <w:rPr>
                      <w:color w:val="auto"/>
                    </w:rPr>
                    <w:t>126.9</w:t>
                  </w:r>
                </w:p>
              </w:tc>
              <w:tc>
                <w:tcPr>
                  <w:tcW w:w="1545" w:type="dxa"/>
                  <w:vAlign w:val="center"/>
                </w:tcPr>
                <w:p w14:paraId="01B10F2F">
                  <w:pPr>
                    <w:pStyle w:val="20"/>
                    <w:rPr>
                      <w:color w:val="auto"/>
                    </w:rPr>
                  </w:pPr>
                  <w:r>
                    <w:rPr>
                      <w:color w:val="auto"/>
                    </w:rPr>
                    <w:t>新鲜水</w:t>
                  </w:r>
                </w:p>
              </w:tc>
              <w:tc>
                <w:tcPr>
                  <w:tcW w:w="900" w:type="dxa"/>
                  <w:vAlign w:val="center"/>
                </w:tcPr>
                <w:p w14:paraId="278D036A">
                  <w:pPr>
                    <w:pStyle w:val="20"/>
                    <w:rPr>
                      <w:color w:val="auto"/>
                    </w:rPr>
                  </w:pPr>
                  <w:r>
                    <w:rPr>
                      <w:color w:val="auto"/>
                    </w:rPr>
                    <w:t>121.5</w:t>
                  </w:r>
                </w:p>
              </w:tc>
              <w:tc>
                <w:tcPr>
                  <w:tcW w:w="975" w:type="dxa"/>
                  <w:vAlign w:val="center"/>
                </w:tcPr>
                <w:p w14:paraId="21C0FE08">
                  <w:pPr>
                    <w:pStyle w:val="20"/>
                    <w:rPr>
                      <w:color w:val="auto"/>
                    </w:rPr>
                  </w:pPr>
                  <w:r>
                    <w:rPr>
                      <w:color w:val="auto"/>
                    </w:rPr>
                    <w:t>5.4</w:t>
                  </w:r>
                </w:p>
              </w:tc>
              <w:tc>
                <w:tcPr>
                  <w:tcW w:w="2052" w:type="dxa"/>
                  <w:vMerge w:val="restart"/>
                  <w:vAlign w:val="center"/>
                </w:tcPr>
                <w:p w14:paraId="3A451069">
                  <w:pPr>
                    <w:pStyle w:val="20"/>
                    <w:rPr>
                      <w:color w:val="auto"/>
                    </w:rPr>
                  </w:pPr>
                  <w:r>
                    <w:rPr>
                      <w:color w:val="auto"/>
                    </w:rPr>
                    <w:t>废槽液交由有资质单位处理</w:t>
                  </w:r>
                </w:p>
              </w:tc>
            </w:tr>
            <w:tr w14:paraId="0547E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62CB1CF7">
                  <w:pPr>
                    <w:pStyle w:val="20"/>
                    <w:rPr>
                      <w:color w:val="auto"/>
                    </w:rPr>
                  </w:pPr>
                </w:p>
              </w:tc>
              <w:tc>
                <w:tcPr>
                  <w:tcW w:w="620" w:type="dxa"/>
                  <w:vMerge w:val="continue"/>
                  <w:vAlign w:val="center"/>
                </w:tcPr>
                <w:p w14:paraId="5615D881">
                  <w:pPr>
                    <w:pStyle w:val="20"/>
                    <w:rPr>
                      <w:color w:val="auto"/>
                    </w:rPr>
                  </w:pPr>
                </w:p>
              </w:tc>
              <w:tc>
                <w:tcPr>
                  <w:tcW w:w="600" w:type="dxa"/>
                  <w:vMerge w:val="continue"/>
                  <w:vAlign w:val="center"/>
                </w:tcPr>
                <w:p w14:paraId="652D54AC">
                  <w:pPr>
                    <w:pStyle w:val="20"/>
                    <w:rPr>
                      <w:color w:val="auto"/>
                    </w:rPr>
                  </w:pPr>
                </w:p>
              </w:tc>
              <w:tc>
                <w:tcPr>
                  <w:tcW w:w="1207" w:type="dxa"/>
                  <w:vAlign w:val="center"/>
                </w:tcPr>
                <w:p w14:paraId="4391893D">
                  <w:pPr>
                    <w:pStyle w:val="20"/>
                    <w:rPr>
                      <w:color w:val="auto"/>
                    </w:rPr>
                  </w:pPr>
                  <w:r>
                    <w:rPr>
                      <w:color w:val="auto"/>
                    </w:rPr>
                    <w:t>14.1</w:t>
                  </w:r>
                </w:p>
              </w:tc>
              <w:tc>
                <w:tcPr>
                  <w:tcW w:w="1545" w:type="dxa"/>
                  <w:vAlign w:val="center"/>
                </w:tcPr>
                <w:p w14:paraId="3AEC90FB">
                  <w:pPr>
                    <w:pStyle w:val="20"/>
                    <w:rPr>
                      <w:color w:val="auto"/>
                    </w:rPr>
                  </w:pPr>
                  <w:r>
                    <w:rPr>
                      <w:color w:val="auto"/>
                    </w:rPr>
                    <w:t>药剂用量</w:t>
                  </w:r>
                </w:p>
              </w:tc>
              <w:tc>
                <w:tcPr>
                  <w:tcW w:w="900" w:type="dxa"/>
                  <w:vAlign w:val="center"/>
                </w:tcPr>
                <w:p w14:paraId="6BD1DC80">
                  <w:pPr>
                    <w:pStyle w:val="20"/>
                    <w:rPr>
                      <w:color w:val="auto"/>
                    </w:rPr>
                  </w:pPr>
                  <w:r>
                    <w:rPr>
                      <w:color w:val="auto"/>
                    </w:rPr>
                    <w:t>13.5</w:t>
                  </w:r>
                </w:p>
              </w:tc>
              <w:tc>
                <w:tcPr>
                  <w:tcW w:w="975" w:type="dxa"/>
                  <w:vAlign w:val="center"/>
                </w:tcPr>
                <w:p w14:paraId="112ED1C1">
                  <w:pPr>
                    <w:pStyle w:val="20"/>
                    <w:rPr>
                      <w:color w:val="auto"/>
                    </w:rPr>
                  </w:pPr>
                  <w:r>
                    <w:rPr>
                      <w:color w:val="auto"/>
                    </w:rPr>
                    <w:t>0.6</w:t>
                  </w:r>
                </w:p>
              </w:tc>
              <w:tc>
                <w:tcPr>
                  <w:tcW w:w="2052" w:type="dxa"/>
                  <w:vMerge w:val="continue"/>
                  <w:vAlign w:val="center"/>
                </w:tcPr>
                <w:p w14:paraId="022DBB79">
                  <w:pPr>
                    <w:pStyle w:val="20"/>
                    <w:rPr>
                      <w:color w:val="auto"/>
                    </w:rPr>
                  </w:pPr>
                </w:p>
              </w:tc>
            </w:tr>
            <w:tr w14:paraId="01222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4B165ED8">
                  <w:pPr>
                    <w:pStyle w:val="20"/>
                    <w:rPr>
                      <w:color w:val="auto"/>
                    </w:rPr>
                  </w:pPr>
                </w:p>
              </w:tc>
              <w:tc>
                <w:tcPr>
                  <w:tcW w:w="620" w:type="dxa"/>
                  <w:vMerge w:val="continue"/>
                  <w:vAlign w:val="center"/>
                </w:tcPr>
                <w:p w14:paraId="52D16097">
                  <w:pPr>
                    <w:pStyle w:val="20"/>
                    <w:rPr>
                      <w:color w:val="auto"/>
                    </w:rPr>
                  </w:pPr>
                </w:p>
              </w:tc>
              <w:tc>
                <w:tcPr>
                  <w:tcW w:w="600" w:type="dxa"/>
                  <w:vAlign w:val="center"/>
                </w:tcPr>
                <w:p w14:paraId="10F7024E">
                  <w:pPr>
                    <w:pStyle w:val="20"/>
                    <w:rPr>
                      <w:color w:val="auto"/>
                    </w:rPr>
                  </w:pPr>
                  <w:r>
                    <w:rPr>
                      <w:color w:val="auto"/>
                    </w:rPr>
                    <w:t>水洗2</w:t>
                  </w:r>
                </w:p>
              </w:tc>
              <w:tc>
                <w:tcPr>
                  <w:tcW w:w="1207" w:type="dxa"/>
                  <w:vAlign w:val="center"/>
                </w:tcPr>
                <w:p w14:paraId="13358580">
                  <w:pPr>
                    <w:pStyle w:val="20"/>
                    <w:rPr>
                      <w:color w:val="auto"/>
                    </w:rPr>
                  </w:pPr>
                  <w:r>
                    <w:rPr>
                      <w:color w:val="auto"/>
                    </w:rPr>
                    <w:t>1440</w:t>
                  </w:r>
                </w:p>
              </w:tc>
              <w:tc>
                <w:tcPr>
                  <w:tcW w:w="1545" w:type="dxa"/>
                  <w:vAlign w:val="center"/>
                </w:tcPr>
                <w:p w14:paraId="11803403">
                  <w:pPr>
                    <w:pStyle w:val="20"/>
                    <w:rPr>
                      <w:color w:val="auto"/>
                    </w:rPr>
                  </w:pPr>
                  <w:r>
                    <w:rPr>
                      <w:color w:val="auto"/>
                    </w:rPr>
                    <w:t>纯水洗排放水</w:t>
                  </w:r>
                </w:p>
              </w:tc>
              <w:tc>
                <w:tcPr>
                  <w:tcW w:w="900" w:type="dxa"/>
                  <w:vAlign w:val="center"/>
                </w:tcPr>
                <w:p w14:paraId="38CD8942">
                  <w:pPr>
                    <w:pStyle w:val="20"/>
                    <w:rPr>
                      <w:color w:val="auto"/>
                    </w:rPr>
                  </w:pPr>
                  <w:r>
                    <w:rPr>
                      <w:color w:val="auto"/>
                    </w:rPr>
                    <w:t>144</w:t>
                  </w:r>
                </w:p>
              </w:tc>
              <w:tc>
                <w:tcPr>
                  <w:tcW w:w="975" w:type="dxa"/>
                  <w:vAlign w:val="center"/>
                </w:tcPr>
                <w:p w14:paraId="04A8E77A">
                  <w:pPr>
                    <w:pStyle w:val="20"/>
                    <w:rPr>
                      <w:color w:val="auto"/>
                    </w:rPr>
                  </w:pPr>
                  <w:r>
                    <w:rPr>
                      <w:color w:val="auto"/>
                    </w:rPr>
                    <w:t>1296</w:t>
                  </w:r>
                </w:p>
              </w:tc>
              <w:tc>
                <w:tcPr>
                  <w:tcW w:w="2052" w:type="dxa"/>
                  <w:vAlign w:val="center"/>
                </w:tcPr>
                <w:p w14:paraId="75E4C787">
                  <w:pPr>
                    <w:pStyle w:val="20"/>
                    <w:rPr>
                      <w:color w:val="auto"/>
                    </w:rPr>
                  </w:pPr>
                  <w:r>
                    <w:rPr>
                      <w:color w:val="auto"/>
                    </w:rPr>
                    <w:t>外排</w:t>
                  </w:r>
                </w:p>
              </w:tc>
            </w:tr>
            <w:tr w14:paraId="5B94F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72A81437">
                  <w:pPr>
                    <w:pStyle w:val="20"/>
                    <w:rPr>
                      <w:color w:val="auto"/>
                    </w:rPr>
                  </w:pPr>
                </w:p>
              </w:tc>
              <w:tc>
                <w:tcPr>
                  <w:tcW w:w="620" w:type="dxa"/>
                  <w:vMerge w:val="continue"/>
                  <w:vAlign w:val="center"/>
                </w:tcPr>
                <w:p w14:paraId="3B25DD7C">
                  <w:pPr>
                    <w:pStyle w:val="20"/>
                    <w:rPr>
                      <w:color w:val="auto"/>
                    </w:rPr>
                  </w:pPr>
                </w:p>
              </w:tc>
              <w:tc>
                <w:tcPr>
                  <w:tcW w:w="600" w:type="dxa"/>
                  <w:vAlign w:val="center"/>
                </w:tcPr>
                <w:p w14:paraId="2E22E6A2">
                  <w:pPr>
                    <w:pStyle w:val="20"/>
                    <w:rPr>
                      <w:color w:val="auto"/>
                    </w:rPr>
                  </w:pPr>
                  <w:r>
                    <w:rPr>
                      <w:color w:val="auto"/>
                    </w:rPr>
                    <w:t>纯水洗</w:t>
                  </w:r>
                </w:p>
              </w:tc>
              <w:tc>
                <w:tcPr>
                  <w:tcW w:w="1207" w:type="dxa"/>
                  <w:vAlign w:val="center"/>
                </w:tcPr>
                <w:p w14:paraId="1738E4C1">
                  <w:pPr>
                    <w:pStyle w:val="20"/>
                    <w:rPr>
                      <w:color w:val="auto"/>
                    </w:rPr>
                  </w:pPr>
                  <w:r>
                    <w:rPr>
                      <w:color w:val="auto"/>
                    </w:rPr>
                    <w:t>1584</w:t>
                  </w:r>
                </w:p>
              </w:tc>
              <w:tc>
                <w:tcPr>
                  <w:tcW w:w="1545" w:type="dxa"/>
                  <w:vAlign w:val="center"/>
                </w:tcPr>
                <w:p w14:paraId="079FAD7D">
                  <w:pPr>
                    <w:pStyle w:val="20"/>
                    <w:rPr>
                      <w:color w:val="auto"/>
                    </w:rPr>
                  </w:pPr>
                  <w:r>
                    <w:rPr>
                      <w:color w:val="auto"/>
                    </w:rPr>
                    <w:t>纯水机制水</w:t>
                  </w:r>
                </w:p>
              </w:tc>
              <w:tc>
                <w:tcPr>
                  <w:tcW w:w="900" w:type="dxa"/>
                  <w:vAlign w:val="center"/>
                </w:tcPr>
                <w:p w14:paraId="64958DE3">
                  <w:pPr>
                    <w:pStyle w:val="20"/>
                    <w:rPr>
                      <w:color w:val="auto"/>
                    </w:rPr>
                  </w:pPr>
                  <w:r>
                    <w:rPr>
                      <w:color w:val="auto"/>
                    </w:rPr>
                    <w:t>144</w:t>
                  </w:r>
                </w:p>
              </w:tc>
              <w:tc>
                <w:tcPr>
                  <w:tcW w:w="975" w:type="dxa"/>
                  <w:vAlign w:val="center"/>
                </w:tcPr>
                <w:p w14:paraId="74510EF9">
                  <w:pPr>
                    <w:pStyle w:val="20"/>
                    <w:rPr>
                      <w:color w:val="auto"/>
                    </w:rPr>
                  </w:pPr>
                  <w:r>
                    <w:rPr>
                      <w:color w:val="auto"/>
                    </w:rPr>
                    <w:t>1440</w:t>
                  </w:r>
                </w:p>
              </w:tc>
              <w:tc>
                <w:tcPr>
                  <w:tcW w:w="2052" w:type="dxa"/>
                  <w:vAlign w:val="center"/>
                </w:tcPr>
                <w:p w14:paraId="34128A9E">
                  <w:pPr>
                    <w:pStyle w:val="20"/>
                    <w:rPr>
                      <w:color w:val="auto"/>
                    </w:rPr>
                  </w:pPr>
                  <w:r>
                    <w:rPr>
                      <w:color w:val="auto"/>
                    </w:rPr>
                    <w:t>回用于水洗2</w:t>
                  </w:r>
                </w:p>
              </w:tc>
            </w:tr>
            <w:tr w14:paraId="1350A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restart"/>
                  <w:vAlign w:val="center"/>
                </w:tcPr>
                <w:p w14:paraId="74AE3252">
                  <w:pPr>
                    <w:pStyle w:val="20"/>
                    <w:rPr>
                      <w:color w:val="auto"/>
                    </w:rPr>
                  </w:pPr>
                  <w:r>
                    <w:rPr>
                      <w:color w:val="auto"/>
                    </w:rPr>
                    <w:t>2</w:t>
                  </w:r>
                </w:p>
              </w:tc>
              <w:tc>
                <w:tcPr>
                  <w:tcW w:w="620" w:type="dxa"/>
                  <w:vMerge w:val="restart"/>
                  <w:vAlign w:val="center"/>
                </w:tcPr>
                <w:p w14:paraId="28962C83">
                  <w:pPr>
                    <w:pStyle w:val="20"/>
                    <w:rPr>
                      <w:color w:val="auto"/>
                    </w:rPr>
                  </w:pPr>
                  <w:r>
                    <w:rPr>
                      <w:color w:val="auto"/>
                    </w:rPr>
                    <w:t>电泳给排水</w:t>
                  </w:r>
                </w:p>
              </w:tc>
              <w:tc>
                <w:tcPr>
                  <w:tcW w:w="600" w:type="dxa"/>
                  <w:vMerge w:val="restart"/>
                  <w:vAlign w:val="center"/>
                </w:tcPr>
                <w:p w14:paraId="6D831034">
                  <w:pPr>
                    <w:pStyle w:val="20"/>
                    <w:rPr>
                      <w:color w:val="auto"/>
                    </w:rPr>
                  </w:pPr>
                  <w:r>
                    <w:rPr>
                      <w:color w:val="auto"/>
                    </w:rPr>
                    <w:t>电泳槽</w:t>
                  </w:r>
                </w:p>
              </w:tc>
              <w:tc>
                <w:tcPr>
                  <w:tcW w:w="1207" w:type="dxa"/>
                  <w:vAlign w:val="center"/>
                </w:tcPr>
                <w:p w14:paraId="08339591">
                  <w:pPr>
                    <w:pStyle w:val="20"/>
                    <w:rPr>
                      <w:rFonts w:hint="default" w:eastAsia="宋体"/>
                      <w:color w:val="auto"/>
                      <w:lang w:val="en-US" w:eastAsia="zh-CN"/>
                    </w:rPr>
                  </w:pPr>
                  <w:r>
                    <w:rPr>
                      <w:rFonts w:hint="eastAsia"/>
                      <w:color w:val="auto"/>
                      <w:lang w:val="en-US" w:eastAsia="zh-CN"/>
                    </w:rPr>
                    <w:t>220.3</w:t>
                  </w:r>
                </w:p>
              </w:tc>
              <w:tc>
                <w:tcPr>
                  <w:tcW w:w="1545" w:type="dxa"/>
                  <w:vAlign w:val="center"/>
                </w:tcPr>
                <w:p w14:paraId="25F9A602">
                  <w:pPr>
                    <w:pStyle w:val="20"/>
                    <w:rPr>
                      <w:color w:val="auto"/>
                    </w:rPr>
                  </w:pPr>
                  <w:r>
                    <w:rPr>
                      <w:color w:val="auto"/>
                    </w:rPr>
                    <w:t>纯水机制水</w:t>
                  </w:r>
                </w:p>
              </w:tc>
              <w:tc>
                <w:tcPr>
                  <w:tcW w:w="900" w:type="dxa"/>
                  <w:vAlign w:val="center"/>
                </w:tcPr>
                <w:p w14:paraId="690B4D2D">
                  <w:pPr>
                    <w:pStyle w:val="20"/>
                    <w:rPr>
                      <w:rFonts w:hint="default" w:eastAsia="宋体"/>
                      <w:color w:val="auto"/>
                      <w:lang w:val="en-US" w:eastAsia="zh-CN"/>
                    </w:rPr>
                  </w:pPr>
                  <w:r>
                    <w:rPr>
                      <w:rFonts w:hint="eastAsia"/>
                      <w:color w:val="auto"/>
                      <w:lang w:val="en-US" w:eastAsia="zh-CN" w:bidi="ar"/>
                    </w:rPr>
                    <w:t>176.5</w:t>
                  </w:r>
                </w:p>
              </w:tc>
              <w:tc>
                <w:tcPr>
                  <w:tcW w:w="975" w:type="dxa"/>
                  <w:vAlign w:val="center"/>
                </w:tcPr>
                <w:p w14:paraId="082CFDF0">
                  <w:pPr>
                    <w:pStyle w:val="20"/>
                    <w:rPr>
                      <w:color w:val="auto"/>
                    </w:rPr>
                  </w:pPr>
                  <w:r>
                    <w:rPr>
                      <w:color w:val="auto"/>
                    </w:rPr>
                    <w:t>43.8</w:t>
                  </w:r>
                </w:p>
              </w:tc>
              <w:tc>
                <w:tcPr>
                  <w:tcW w:w="2052" w:type="dxa"/>
                  <w:vAlign w:val="center"/>
                </w:tcPr>
                <w:p w14:paraId="03E3540B">
                  <w:pPr>
                    <w:pStyle w:val="20"/>
                    <w:rPr>
                      <w:color w:val="auto"/>
                    </w:rPr>
                  </w:pPr>
                  <w:r>
                    <w:rPr>
                      <w:color w:val="auto"/>
                      <w:lang w:bidi="ar"/>
                    </w:rPr>
                    <w:t>超滤液回用于UF槽</w:t>
                  </w:r>
                </w:p>
              </w:tc>
            </w:tr>
            <w:tr w14:paraId="6D07E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411602CD">
                  <w:pPr>
                    <w:pStyle w:val="20"/>
                    <w:rPr>
                      <w:color w:val="auto"/>
                    </w:rPr>
                  </w:pPr>
                </w:p>
              </w:tc>
              <w:tc>
                <w:tcPr>
                  <w:tcW w:w="620" w:type="dxa"/>
                  <w:vMerge w:val="continue"/>
                  <w:vAlign w:val="center"/>
                </w:tcPr>
                <w:p w14:paraId="70B2CFD8">
                  <w:pPr>
                    <w:pStyle w:val="20"/>
                    <w:rPr>
                      <w:color w:val="auto"/>
                    </w:rPr>
                  </w:pPr>
                </w:p>
              </w:tc>
              <w:tc>
                <w:tcPr>
                  <w:tcW w:w="600" w:type="dxa"/>
                  <w:vMerge w:val="continue"/>
                  <w:vAlign w:val="center"/>
                </w:tcPr>
                <w:p w14:paraId="0AE2C295">
                  <w:pPr>
                    <w:pStyle w:val="20"/>
                    <w:rPr>
                      <w:color w:val="auto"/>
                    </w:rPr>
                  </w:pPr>
                </w:p>
              </w:tc>
              <w:tc>
                <w:tcPr>
                  <w:tcW w:w="1207" w:type="dxa"/>
                  <w:vMerge w:val="restart"/>
                  <w:vAlign w:val="center"/>
                </w:tcPr>
                <w:p w14:paraId="6F8BE789">
                  <w:pPr>
                    <w:pStyle w:val="20"/>
                    <w:rPr>
                      <w:color w:val="auto"/>
                    </w:rPr>
                  </w:pPr>
                  <w:r>
                    <w:rPr>
                      <w:color w:val="auto"/>
                    </w:rPr>
                    <w:t>43.8</w:t>
                  </w:r>
                </w:p>
              </w:tc>
              <w:tc>
                <w:tcPr>
                  <w:tcW w:w="1545" w:type="dxa"/>
                  <w:vMerge w:val="restart"/>
                  <w:vAlign w:val="center"/>
                </w:tcPr>
                <w:p w14:paraId="352CD441">
                  <w:pPr>
                    <w:pStyle w:val="20"/>
                    <w:rPr>
                      <w:color w:val="auto"/>
                    </w:rPr>
                  </w:pPr>
                  <w:r>
                    <w:rPr>
                      <w:color w:val="auto"/>
                    </w:rPr>
                    <w:t>乳浆、色浆用量</w:t>
                  </w:r>
                </w:p>
              </w:tc>
              <w:tc>
                <w:tcPr>
                  <w:tcW w:w="900" w:type="dxa"/>
                  <w:vMerge w:val="restart"/>
                  <w:vAlign w:val="center"/>
                </w:tcPr>
                <w:p w14:paraId="0532A9B5">
                  <w:pPr>
                    <w:pStyle w:val="20"/>
                    <w:rPr>
                      <w:color w:val="auto"/>
                    </w:rPr>
                  </w:pPr>
                  <w:r>
                    <w:rPr>
                      <w:color w:val="auto"/>
                      <w:lang w:bidi="ar"/>
                    </w:rPr>
                    <w:t>0</w:t>
                  </w:r>
                </w:p>
              </w:tc>
              <w:tc>
                <w:tcPr>
                  <w:tcW w:w="975" w:type="dxa"/>
                  <w:vAlign w:val="center"/>
                </w:tcPr>
                <w:p w14:paraId="7EAB8017">
                  <w:pPr>
                    <w:pStyle w:val="20"/>
                    <w:rPr>
                      <w:color w:val="auto"/>
                    </w:rPr>
                  </w:pPr>
                  <w:r>
                    <w:rPr>
                      <w:color w:val="auto"/>
                    </w:rPr>
                    <w:t>27.12</w:t>
                  </w:r>
                </w:p>
              </w:tc>
              <w:tc>
                <w:tcPr>
                  <w:tcW w:w="2052" w:type="dxa"/>
                  <w:vAlign w:val="center"/>
                </w:tcPr>
                <w:p w14:paraId="7E4D8A9C">
                  <w:pPr>
                    <w:pStyle w:val="20"/>
                    <w:rPr>
                      <w:color w:val="auto"/>
                    </w:rPr>
                  </w:pPr>
                  <w:r>
                    <w:rPr>
                      <w:color w:val="auto"/>
                      <w:lang w:bidi="ar"/>
                    </w:rPr>
                    <w:t>超滤液回用于UF槽</w:t>
                  </w:r>
                </w:p>
              </w:tc>
            </w:tr>
            <w:tr w14:paraId="2DD66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541337D1">
                  <w:pPr>
                    <w:pStyle w:val="20"/>
                    <w:rPr>
                      <w:color w:val="auto"/>
                    </w:rPr>
                  </w:pPr>
                </w:p>
              </w:tc>
              <w:tc>
                <w:tcPr>
                  <w:tcW w:w="620" w:type="dxa"/>
                  <w:vMerge w:val="continue"/>
                  <w:vAlign w:val="center"/>
                </w:tcPr>
                <w:p w14:paraId="6F185B82">
                  <w:pPr>
                    <w:pStyle w:val="20"/>
                    <w:rPr>
                      <w:color w:val="auto"/>
                    </w:rPr>
                  </w:pPr>
                </w:p>
              </w:tc>
              <w:tc>
                <w:tcPr>
                  <w:tcW w:w="600" w:type="dxa"/>
                  <w:vMerge w:val="continue"/>
                  <w:vAlign w:val="center"/>
                </w:tcPr>
                <w:p w14:paraId="3216660C">
                  <w:pPr>
                    <w:pStyle w:val="20"/>
                    <w:rPr>
                      <w:color w:val="auto"/>
                    </w:rPr>
                  </w:pPr>
                </w:p>
              </w:tc>
              <w:tc>
                <w:tcPr>
                  <w:tcW w:w="1207" w:type="dxa"/>
                  <w:vMerge w:val="continue"/>
                  <w:vAlign w:val="center"/>
                </w:tcPr>
                <w:p w14:paraId="387DB194">
                  <w:pPr>
                    <w:pStyle w:val="20"/>
                    <w:rPr>
                      <w:color w:val="auto"/>
                    </w:rPr>
                  </w:pPr>
                </w:p>
              </w:tc>
              <w:tc>
                <w:tcPr>
                  <w:tcW w:w="1545" w:type="dxa"/>
                  <w:vMerge w:val="continue"/>
                  <w:vAlign w:val="center"/>
                </w:tcPr>
                <w:p w14:paraId="66D3177D">
                  <w:pPr>
                    <w:pStyle w:val="20"/>
                    <w:rPr>
                      <w:color w:val="auto"/>
                    </w:rPr>
                  </w:pPr>
                </w:p>
              </w:tc>
              <w:tc>
                <w:tcPr>
                  <w:tcW w:w="900" w:type="dxa"/>
                  <w:vMerge w:val="continue"/>
                  <w:vAlign w:val="center"/>
                </w:tcPr>
                <w:p w14:paraId="7699CB2B">
                  <w:pPr>
                    <w:pStyle w:val="20"/>
                    <w:rPr>
                      <w:color w:val="auto"/>
                    </w:rPr>
                  </w:pPr>
                </w:p>
              </w:tc>
              <w:tc>
                <w:tcPr>
                  <w:tcW w:w="975" w:type="dxa"/>
                  <w:vAlign w:val="center"/>
                </w:tcPr>
                <w:p w14:paraId="3634490E">
                  <w:pPr>
                    <w:pStyle w:val="20"/>
                    <w:rPr>
                      <w:color w:val="auto"/>
                    </w:rPr>
                  </w:pPr>
                  <w:r>
                    <w:rPr>
                      <w:color w:val="auto"/>
                    </w:rPr>
                    <w:t>16.68</w:t>
                  </w:r>
                </w:p>
              </w:tc>
              <w:tc>
                <w:tcPr>
                  <w:tcW w:w="2052" w:type="dxa"/>
                  <w:vAlign w:val="center"/>
                </w:tcPr>
                <w:p w14:paraId="5E9908FD">
                  <w:pPr>
                    <w:pStyle w:val="20"/>
                    <w:rPr>
                      <w:color w:val="auto"/>
                    </w:rPr>
                  </w:pPr>
                  <w:r>
                    <w:rPr>
                      <w:color w:val="auto"/>
                      <w:lang w:bidi="ar"/>
                    </w:rPr>
                    <w:t>电泳漆液回用于电泳槽</w:t>
                  </w:r>
                </w:p>
              </w:tc>
            </w:tr>
            <w:tr w14:paraId="608B2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2E977FA9">
                  <w:pPr>
                    <w:pStyle w:val="20"/>
                    <w:rPr>
                      <w:color w:val="auto"/>
                    </w:rPr>
                  </w:pPr>
                </w:p>
              </w:tc>
              <w:tc>
                <w:tcPr>
                  <w:tcW w:w="620" w:type="dxa"/>
                  <w:vMerge w:val="continue"/>
                  <w:vAlign w:val="center"/>
                </w:tcPr>
                <w:p w14:paraId="03B810AF">
                  <w:pPr>
                    <w:pStyle w:val="20"/>
                    <w:rPr>
                      <w:color w:val="auto"/>
                    </w:rPr>
                  </w:pPr>
                </w:p>
              </w:tc>
              <w:tc>
                <w:tcPr>
                  <w:tcW w:w="600" w:type="dxa"/>
                  <w:vMerge w:val="restart"/>
                  <w:vAlign w:val="center"/>
                </w:tcPr>
                <w:p w14:paraId="4BE9DA8E">
                  <w:pPr>
                    <w:pStyle w:val="20"/>
                    <w:rPr>
                      <w:color w:val="auto"/>
                    </w:rPr>
                  </w:pPr>
                  <w:r>
                    <w:rPr>
                      <w:color w:val="auto"/>
                    </w:rPr>
                    <w:t>UF槽</w:t>
                  </w:r>
                </w:p>
              </w:tc>
              <w:tc>
                <w:tcPr>
                  <w:tcW w:w="1207" w:type="dxa"/>
                  <w:vAlign w:val="center"/>
                </w:tcPr>
                <w:p w14:paraId="647B7D9C">
                  <w:pPr>
                    <w:pStyle w:val="20"/>
                    <w:rPr>
                      <w:color w:val="auto"/>
                    </w:rPr>
                  </w:pPr>
                  <w:r>
                    <w:rPr>
                      <w:color w:val="auto"/>
                    </w:rPr>
                    <w:t>8</w:t>
                  </w:r>
                  <w:r>
                    <w:rPr>
                      <w:rFonts w:hint="eastAsia"/>
                      <w:color w:val="auto"/>
                      <w:lang w:val="en-US" w:eastAsia="zh-CN"/>
                    </w:rPr>
                    <w:t>9</w:t>
                  </w:r>
                  <w:r>
                    <w:rPr>
                      <w:color w:val="auto"/>
                    </w:rPr>
                    <w:t>9.08</w:t>
                  </w:r>
                </w:p>
              </w:tc>
              <w:tc>
                <w:tcPr>
                  <w:tcW w:w="1545" w:type="dxa"/>
                  <w:vAlign w:val="center"/>
                </w:tcPr>
                <w:p w14:paraId="7CF191A6">
                  <w:pPr>
                    <w:pStyle w:val="20"/>
                    <w:rPr>
                      <w:color w:val="auto"/>
                    </w:rPr>
                  </w:pPr>
                  <w:r>
                    <w:rPr>
                      <w:color w:val="auto"/>
                    </w:rPr>
                    <w:t>纯水机制水</w:t>
                  </w:r>
                </w:p>
              </w:tc>
              <w:tc>
                <w:tcPr>
                  <w:tcW w:w="900" w:type="dxa"/>
                  <w:vMerge w:val="restart"/>
                  <w:vAlign w:val="center"/>
                </w:tcPr>
                <w:p w14:paraId="33601FD0">
                  <w:pPr>
                    <w:pStyle w:val="20"/>
                    <w:rPr>
                      <w:color w:val="auto"/>
                    </w:rPr>
                  </w:pPr>
                  <w:r>
                    <w:rPr>
                      <w:color w:val="auto"/>
                    </w:rPr>
                    <w:t>9</w:t>
                  </w:r>
                  <w:r>
                    <w:rPr>
                      <w:rFonts w:hint="eastAsia"/>
                      <w:color w:val="auto"/>
                      <w:lang w:val="en-US" w:eastAsia="zh-CN"/>
                    </w:rPr>
                    <w:t>7</w:t>
                  </w:r>
                  <w:r>
                    <w:rPr>
                      <w:color w:val="auto"/>
                    </w:rPr>
                    <w:t>0</w:t>
                  </w:r>
                </w:p>
              </w:tc>
              <w:tc>
                <w:tcPr>
                  <w:tcW w:w="975" w:type="dxa"/>
                  <w:vMerge w:val="restart"/>
                  <w:vAlign w:val="center"/>
                </w:tcPr>
                <w:p w14:paraId="571C377A">
                  <w:pPr>
                    <w:pStyle w:val="20"/>
                    <w:rPr>
                      <w:rFonts w:hint="default" w:eastAsia="宋体"/>
                      <w:color w:val="auto"/>
                      <w:lang w:val="en-US" w:eastAsia="zh-CN"/>
                    </w:rPr>
                  </w:pPr>
                  <w:r>
                    <w:rPr>
                      <w:rFonts w:hint="eastAsia"/>
                      <w:color w:val="auto"/>
                      <w:lang w:val="en-US" w:eastAsia="zh-CN"/>
                    </w:rPr>
                    <w:t>10</w:t>
                  </w:r>
                </w:p>
              </w:tc>
              <w:tc>
                <w:tcPr>
                  <w:tcW w:w="2052" w:type="dxa"/>
                  <w:vMerge w:val="restart"/>
                  <w:vAlign w:val="center"/>
                </w:tcPr>
                <w:p w14:paraId="0BA6E700">
                  <w:pPr>
                    <w:pStyle w:val="20"/>
                    <w:rPr>
                      <w:rFonts w:hint="default" w:eastAsia="宋体"/>
                      <w:color w:val="auto"/>
                      <w:lang w:val="en-US" w:eastAsia="zh-CN"/>
                    </w:rPr>
                  </w:pPr>
                  <w:r>
                    <w:rPr>
                      <w:rFonts w:hint="eastAsia"/>
                      <w:color w:val="auto"/>
                      <w:lang w:val="en-US" w:eastAsia="zh-CN"/>
                    </w:rPr>
                    <w:t>废槽液交由有资质单位处理</w:t>
                  </w:r>
                </w:p>
              </w:tc>
            </w:tr>
            <w:tr w14:paraId="48E63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2BD6585C">
                  <w:pPr>
                    <w:pStyle w:val="20"/>
                    <w:rPr>
                      <w:color w:val="auto"/>
                    </w:rPr>
                  </w:pPr>
                </w:p>
              </w:tc>
              <w:tc>
                <w:tcPr>
                  <w:tcW w:w="620" w:type="dxa"/>
                  <w:vMerge w:val="continue"/>
                  <w:vAlign w:val="center"/>
                </w:tcPr>
                <w:p w14:paraId="4FC54F53">
                  <w:pPr>
                    <w:pStyle w:val="20"/>
                    <w:rPr>
                      <w:color w:val="auto"/>
                    </w:rPr>
                  </w:pPr>
                </w:p>
              </w:tc>
              <w:tc>
                <w:tcPr>
                  <w:tcW w:w="600" w:type="dxa"/>
                  <w:vMerge w:val="continue"/>
                  <w:vAlign w:val="center"/>
                </w:tcPr>
                <w:p w14:paraId="1DC0630E">
                  <w:pPr>
                    <w:pStyle w:val="20"/>
                    <w:rPr>
                      <w:color w:val="auto"/>
                    </w:rPr>
                  </w:pPr>
                </w:p>
              </w:tc>
              <w:tc>
                <w:tcPr>
                  <w:tcW w:w="1207" w:type="dxa"/>
                  <w:vAlign w:val="center"/>
                </w:tcPr>
                <w:p w14:paraId="580B0A6D">
                  <w:pPr>
                    <w:pStyle w:val="20"/>
                    <w:rPr>
                      <w:color w:val="auto"/>
                    </w:rPr>
                  </w:pPr>
                  <w:r>
                    <w:rPr>
                      <w:color w:val="auto"/>
                    </w:rPr>
                    <w:t>70.92</w:t>
                  </w:r>
                </w:p>
              </w:tc>
              <w:tc>
                <w:tcPr>
                  <w:tcW w:w="1545" w:type="dxa"/>
                  <w:vAlign w:val="center"/>
                </w:tcPr>
                <w:p w14:paraId="3D292642">
                  <w:pPr>
                    <w:pStyle w:val="20"/>
                    <w:rPr>
                      <w:color w:val="auto"/>
                    </w:rPr>
                  </w:pPr>
                  <w:r>
                    <w:rPr>
                      <w:color w:val="auto"/>
                    </w:rPr>
                    <w:t>电泳槽超滤液</w:t>
                  </w:r>
                </w:p>
              </w:tc>
              <w:tc>
                <w:tcPr>
                  <w:tcW w:w="900" w:type="dxa"/>
                  <w:vMerge w:val="continue"/>
                  <w:vAlign w:val="center"/>
                </w:tcPr>
                <w:p w14:paraId="59A41C90">
                  <w:pPr>
                    <w:pStyle w:val="20"/>
                    <w:rPr>
                      <w:color w:val="auto"/>
                    </w:rPr>
                  </w:pPr>
                </w:p>
              </w:tc>
              <w:tc>
                <w:tcPr>
                  <w:tcW w:w="975" w:type="dxa"/>
                  <w:vMerge w:val="continue"/>
                  <w:vAlign w:val="center"/>
                </w:tcPr>
                <w:p w14:paraId="7AB304E3">
                  <w:pPr>
                    <w:pStyle w:val="20"/>
                    <w:rPr>
                      <w:color w:val="auto"/>
                    </w:rPr>
                  </w:pPr>
                </w:p>
              </w:tc>
              <w:tc>
                <w:tcPr>
                  <w:tcW w:w="2052" w:type="dxa"/>
                  <w:vMerge w:val="continue"/>
                  <w:vAlign w:val="center"/>
                </w:tcPr>
                <w:p w14:paraId="10EF73C3">
                  <w:pPr>
                    <w:pStyle w:val="20"/>
                    <w:rPr>
                      <w:color w:val="auto"/>
                    </w:rPr>
                  </w:pPr>
                </w:p>
              </w:tc>
            </w:tr>
            <w:tr w14:paraId="67C6B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restart"/>
                  <w:vAlign w:val="center"/>
                </w:tcPr>
                <w:p w14:paraId="0DF729C1">
                  <w:pPr>
                    <w:pStyle w:val="20"/>
                    <w:rPr>
                      <w:color w:val="auto"/>
                    </w:rPr>
                  </w:pPr>
                  <w:r>
                    <w:rPr>
                      <w:color w:val="auto"/>
                    </w:rPr>
                    <w:t>3</w:t>
                  </w:r>
                </w:p>
              </w:tc>
              <w:tc>
                <w:tcPr>
                  <w:tcW w:w="1220" w:type="dxa"/>
                  <w:gridSpan w:val="2"/>
                  <w:vMerge w:val="restart"/>
                  <w:vAlign w:val="center"/>
                </w:tcPr>
                <w:p w14:paraId="384AE02B">
                  <w:pPr>
                    <w:pStyle w:val="20"/>
                    <w:rPr>
                      <w:color w:val="auto"/>
                    </w:rPr>
                  </w:pPr>
                  <w:r>
                    <w:rPr>
                      <w:color w:val="auto"/>
                    </w:rPr>
                    <w:t>纯水机给排水</w:t>
                  </w:r>
                </w:p>
              </w:tc>
              <w:tc>
                <w:tcPr>
                  <w:tcW w:w="1207" w:type="dxa"/>
                  <w:vMerge w:val="restart"/>
                  <w:vAlign w:val="center"/>
                </w:tcPr>
                <w:p w14:paraId="5620F4D8">
                  <w:pPr>
                    <w:pStyle w:val="20"/>
                    <w:rPr>
                      <w:rFonts w:hint="default" w:eastAsia="宋体"/>
                      <w:color w:val="auto"/>
                      <w:lang w:val="en-US" w:eastAsia="zh-CN"/>
                    </w:rPr>
                  </w:pPr>
                  <w:r>
                    <w:rPr>
                      <w:rFonts w:hint="eastAsia"/>
                      <w:color w:val="auto"/>
                      <w:lang w:val="en-US" w:eastAsia="zh-CN"/>
                    </w:rPr>
                    <w:t>3862</w:t>
                  </w:r>
                </w:p>
              </w:tc>
              <w:tc>
                <w:tcPr>
                  <w:tcW w:w="1545" w:type="dxa"/>
                  <w:vMerge w:val="restart"/>
                  <w:vAlign w:val="center"/>
                </w:tcPr>
                <w:p w14:paraId="0B32E71D">
                  <w:pPr>
                    <w:pStyle w:val="20"/>
                    <w:rPr>
                      <w:color w:val="auto"/>
                    </w:rPr>
                  </w:pPr>
                  <w:r>
                    <w:rPr>
                      <w:color w:val="auto"/>
                    </w:rPr>
                    <w:t>新鲜水</w:t>
                  </w:r>
                </w:p>
              </w:tc>
              <w:tc>
                <w:tcPr>
                  <w:tcW w:w="900" w:type="dxa"/>
                  <w:vMerge w:val="restart"/>
                  <w:vAlign w:val="center"/>
                </w:tcPr>
                <w:p w14:paraId="2B2DA5E2">
                  <w:pPr>
                    <w:pStyle w:val="20"/>
                    <w:rPr>
                      <w:color w:val="auto"/>
                    </w:rPr>
                  </w:pPr>
                  <w:r>
                    <w:rPr>
                      <w:color w:val="auto"/>
                    </w:rPr>
                    <w:t>0</w:t>
                  </w:r>
                </w:p>
              </w:tc>
              <w:tc>
                <w:tcPr>
                  <w:tcW w:w="975" w:type="dxa"/>
                  <w:vAlign w:val="center"/>
                </w:tcPr>
                <w:p w14:paraId="45BB91DD">
                  <w:pPr>
                    <w:pStyle w:val="20"/>
                    <w:rPr>
                      <w:rFonts w:hint="default" w:eastAsia="宋体"/>
                      <w:color w:val="auto"/>
                      <w:lang w:val="en-US" w:eastAsia="zh-CN"/>
                    </w:rPr>
                  </w:pPr>
                  <w:r>
                    <w:rPr>
                      <w:rFonts w:hint="eastAsia"/>
                      <w:color w:val="auto"/>
                      <w:lang w:val="en-US" w:eastAsia="zh-CN"/>
                    </w:rPr>
                    <w:t>1158.6</w:t>
                  </w:r>
                </w:p>
              </w:tc>
              <w:tc>
                <w:tcPr>
                  <w:tcW w:w="2052" w:type="dxa"/>
                  <w:vAlign w:val="center"/>
                </w:tcPr>
                <w:p w14:paraId="11B6E467">
                  <w:pPr>
                    <w:pStyle w:val="20"/>
                    <w:rPr>
                      <w:color w:val="auto"/>
                    </w:rPr>
                  </w:pPr>
                  <w:r>
                    <w:rPr>
                      <w:color w:val="auto"/>
                    </w:rPr>
                    <w:t>外排</w:t>
                  </w:r>
                </w:p>
              </w:tc>
            </w:tr>
            <w:tr w14:paraId="0E3BE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4682F803">
                  <w:pPr>
                    <w:pStyle w:val="20"/>
                    <w:rPr>
                      <w:color w:val="auto"/>
                    </w:rPr>
                  </w:pPr>
                </w:p>
              </w:tc>
              <w:tc>
                <w:tcPr>
                  <w:tcW w:w="1220" w:type="dxa"/>
                  <w:gridSpan w:val="2"/>
                  <w:vMerge w:val="continue"/>
                  <w:vAlign w:val="center"/>
                </w:tcPr>
                <w:p w14:paraId="3B781562">
                  <w:pPr>
                    <w:pStyle w:val="20"/>
                    <w:rPr>
                      <w:color w:val="auto"/>
                    </w:rPr>
                  </w:pPr>
                </w:p>
              </w:tc>
              <w:tc>
                <w:tcPr>
                  <w:tcW w:w="1207" w:type="dxa"/>
                  <w:vMerge w:val="continue"/>
                  <w:vAlign w:val="center"/>
                </w:tcPr>
                <w:p w14:paraId="1DB89F2F">
                  <w:pPr>
                    <w:pStyle w:val="20"/>
                    <w:rPr>
                      <w:color w:val="auto"/>
                    </w:rPr>
                  </w:pPr>
                </w:p>
              </w:tc>
              <w:tc>
                <w:tcPr>
                  <w:tcW w:w="1545" w:type="dxa"/>
                  <w:vMerge w:val="continue"/>
                  <w:vAlign w:val="center"/>
                </w:tcPr>
                <w:p w14:paraId="63D1CB94">
                  <w:pPr>
                    <w:pStyle w:val="20"/>
                    <w:rPr>
                      <w:color w:val="auto"/>
                    </w:rPr>
                  </w:pPr>
                </w:p>
              </w:tc>
              <w:tc>
                <w:tcPr>
                  <w:tcW w:w="900" w:type="dxa"/>
                  <w:vMerge w:val="continue"/>
                  <w:vAlign w:val="center"/>
                </w:tcPr>
                <w:p w14:paraId="69E12E96">
                  <w:pPr>
                    <w:pStyle w:val="20"/>
                    <w:rPr>
                      <w:color w:val="auto"/>
                    </w:rPr>
                  </w:pPr>
                </w:p>
              </w:tc>
              <w:tc>
                <w:tcPr>
                  <w:tcW w:w="975" w:type="dxa"/>
                  <w:vAlign w:val="center"/>
                </w:tcPr>
                <w:p w14:paraId="1D14CE4B">
                  <w:pPr>
                    <w:pStyle w:val="20"/>
                    <w:rPr>
                      <w:rFonts w:hint="default" w:eastAsia="宋体"/>
                      <w:color w:val="auto"/>
                      <w:lang w:val="en-US" w:eastAsia="zh-CN"/>
                    </w:rPr>
                  </w:pPr>
                  <w:r>
                    <w:rPr>
                      <w:rFonts w:hint="eastAsia"/>
                      <w:color w:val="auto"/>
                      <w:lang w:val="en-US" w:eastAsia="zh-CN"/>
                    </w:rPr>
                    <w:t>2703.4</w:t>
                  </w:r>
                </w:p>
              </w:tc>
              <w:tc>
                <w:tcPr>
                  <w:tcW w:w="2052" w:type="dxa"/>
                  <w:vAlign w:val="center"/>
                </w:tcPr>
                <w:p w14:paraId="03D02071">
                  <w:pPr>
                    <w:pStyle w:val="20"/>
                    <w:rPr>
                      <w:color w:val="auto"/>
                    </w:rPr>
                  </w:pPr>
                  <w:r>
                    <w:rPr>
                      <w:color w:val="auto"/>
                    </w:rPr>
                    <w:t>项目生产使用纯水</w:t>
                  </w:r>
                </w:p>
              </w:tc>
            </w:tr>
            <w:tr w14:paraId="16383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Align w:val="center"/>
                </w:tcPr>
                <w:p w14:paraId="0859469D">
                  <w:pPr>
                    <w:pStyle w:val="20"/>
                    <w:rPr>
                      <w:color w:val="auto"/>
                    </w:rPr>
                  </w:pPr>
                  <w:r>
                    <w:rPr>
                      <w:color w:val="auto"/>
                    </w:rPr>
                    <w:t>4</w:t>
                  </w:r>
                </w:p>
              </w:tc>
              <w:tc>
                <w:tcPr>
                  <w:tcW w:w="1220" w:type="dxa"/>
                  <w:gridSpan w:val="2"/>
                  <w:vAlign w:val="center"/>
                </w:tcPr>
                <w:p w14:paraId="13FB0D8D">
                  <w:pPr>
                    <w:pStyle w:val="20"/>
                    <w:rPr>
                      <w:color w:val="auto"/>
                    </w:rPr>
                  </w:pPr>
                  <w:r>
                    <w:rPr>
                      <w:color w:val="auto"/>
                    </w:rPr>
                    <w:t>喷淋塔</w:t>
                  </w:r>
                </w:p>
              </w:tc>
              <w:tc>
                <w:tcPr>
                  <w:tcW w:w="1207" w:type="dxa"/>
                  <w:vAlign w:val="center"/>
                </w:tcPr>
                <w:p w14:paraId="168AF90E">
                  <w:pPr>
                    <w:pStyle w:val="20"/>
                    <w:rPr>
                      <w:color w:val="auto"/>
                    </w:rPr>
                  </w:pPr>
                  <w:r>
                    <w:rPr>
                      <w:color w:val="auto"/>
                    </w:rPr>
                    <w:t>2160</w:t>
                  </w:r>
                </w:p>
              </w:tc>
              <w:tc>
                <w:tcPr>
                  <w:tcW w:w="1545" w:type="dxa"/>
                  <w:vAlign w:val="center"/>
                </w:tcPr>
                <w:p w14:paraId="69A48B94">
                  <w:pPr>
                    <w:pStyle w:val="20"/>
                    <w:rPr>
                      <w:color w:val="auto"/>
                    </w:rPr>
                  </w:pPr>
                  <w:r>
                    <w:rPr>
                      <w:color w:val="auto"/>
                    </w:rPr>
                    <w:t>新鲜水</w:t>
                  </w:r>
                </w:p>
              </w:tc>
              <w:tc>
                <w:tcPr>
                  <w:tcW w:w="900" w:type="dxa"/>
                  <w:vAlign w:val="center"/>
                </w:tcPr>
                <w:p w14:paraId="3748E3D0">
                  <w:pPr>
                    <w:pStyle w:val="20"/>
                    <w:rPr>
                      <w:color w:val="auto"/>
                    </w:rPr>
                  </w:pPr>
                  <w:r>
                    <w:rPr>
                      <w:color w:val="auto"/>
                    </w:rPr>
                    <w:t>2160</w:t>
                  </w:r>
                </w:p>
              </w:tc>
              <w:tc>
                <w:tcPr>
                  <w:tcW w:w="975" w:type="dxa"/>
                  <w:vAlign w:val="center"/>
                </w:tcPr>
                <w:p w14:paraId="3ABB2B59">
                  <w:pPr>
                    <w:pStyle w:val="20"/>
                    <w:rPr>
                      <w:color w:val="auto"/>
                    </w:rPr>
                  </w:pPr>
                  <w:r>
                    <w:rPr>
                      <w:color w:val="auto"/>
                    </w:rPr>
                    <w:t>0</w:t>
                  </w:r>
                </w:p>
              </w:tc>
              <w:tc>
                <w:tcPr>
                  <w:tcW w:w="2052" w:type="dxa"/>
                  <w:vAlign w:val="center"/>
                </w:tcPr>
                <w:p w14:paraId="6BDEA190">
                  <w:pPr>
                    <w:pStyle w:val="20"/>
                    <w:rPr>
                      <w:color w:val="auto"/>
                    </w:rPr>
                  </w:pPr>
                  <w:r>
                    <w:rPr>
                      <w:color w:val="auto"/>
                    </w:rPr>
                    <w:t>/</w:t>
                  </w:r>
                </w:p>
              </w:tc>
            </w:tr>
            <w:tr w14:paraId="14E23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restart"/>
                  <w:vAlign w:val="center"/>
                </w:tcPr>
                <w:p w14:paraId="5D38EA57">
                  <w:pPr>
                    <w:pStyle w:val="20"/>
                    <w:rPr>
                      <w:color w:val="auto"/>
                    </w:rPr>
                  </w:pPr>
                  <w:r>
                    <w:rPr>
                      <w:color w:val="auto"/>
                    </w:rPr>
                    <w:t>5</w:t>
                  </w:r>
                </w:p>
              </w:tc>
              <w:tc>
                <w:tcPr>
                  <w:tcW w:w="1220" w:type="dxa"/>
                  <w:gridSpan w:val="2"/>
                  <w:vMerge w:val="restart"/>
                  <w:vAlign w:val="center"/>
                </w:tcPr>
                <w:p w14:paraId="09016814">
                  <w:pPr>
                    <w:pStyle w:val="20"/>
                    <w:rPr>
                      <w:color w:val="auto"/>
                    </w:rPr>
                  </w:pPr>
                  <w:r>
                    <w:rPr>
                      <w:color w:val="auto"/>
                    </w:rPr>
                    <w:t>合计</w:t>
                  </w:r>
                </w:p>
              </w:tc>
              <w:tc>
                <w:tcPr>
                  <w:tcW w:w="1207" w:type="dxa"/>
                  <w:vMerge w:val="restart"/>
                  <w:vAlign w:val="center"/>
                </w:tcPr>
                <w:p w14:paraId="19DBE9ED">
                  <w:pPr>
                    <w:pStyle w:val="20"/>
                    <w:rPr>
                      <w:rFonts w:hint="default" w:eastAsia="宋体"/>
                      <w:color w:val="auto"/>
                      <w:lang w:val="en-US" w:eastAsia="zh-CN"/>
                    </w:rPr>
                  </w:pPr>
                  <w:r>
                    <w:rPr>
                      <w:rFonts w:hint="eastAsia"/>
                      <w:color w:val="auto"/>
                      <w:lang w:val="en-US" w:eastAsia="zh-CN"/>
                    </w:rPr>
                    <w:t>7498.9</w:t>
                  </w:r>
                </w:p>
              </w:tc>
              <w:tc>
                <w:tcPr>
                  <w:tcW w:w="1545" w:type="dxa"/>
                  <w:vMerge w:val="restart"/>
                  <w:vAlign w:val="center"/>
                </w:tcPr>
                <w:p w14:paraId="437E4E73">
                  <w:pPr>
                    <w:pStyle w:val="20"/>
                    <w:rPr>
                      <w:color w:val="auto"/>
                    </w:rPr>
                  </w:pPr>
                  <w:r>
                    <w:rPr>
                      <w:color w:val="auto"/>
                    </w:rPr>
                    <w:t>新鲜水</w:t>
                  </w:r>
                </w:p>
              </w:tc>
              <w:tc>
                <w:tcPr>
                  <w:tcW w:w="3927" w:type="dxa"/>
                  <w:gridSpan w:val="3"/>
                  <w:vAlign w:val="center"/>
                </w:tcPr>
                <w:p w14:paraId="5727E869">
                  <w:pPr>
                    <w:pStyle w:val="20"/>
                    <w:rPr>
                      <w:color w:val="auto"/>
                    </w:rPr>
                  </w:pPr>
                  <w:r>
                    <w:rPr>
                      <w:color w:val="auto"/>
                    </w:rPr>
                    <w:t>2511（生产废水产生量）</w:t>
                  </w:r>
                </w:p>
              </w:tc>
            </w:tr>
            <w:tr w14:paraId="128F6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7" w:type="dxa"/>
                  <w:vMerge w:val="continue"/>
                  <w:vAlign w:val="center"/>
                </w:tcPr>
                <w:p w14:paraId="539BC7C2">
                  <w:pPr>
                    <w:pStyle w:val="20"/>
                    <w:rPr>
                      <w:color w:val="auto"/>
                    </w:rPr>
                  </w:pPr>
                </w:p>
              </w:tc>
              <w:tc>
                <w:tcPr>
                  <w:tcW w:w="1220" w:type="dxa"/>
                  <w:gridSpan w:val="2"/>
                  <w:vMerge w:val="continue"/>
                  <w:vAlign w:val="center"/>
                </w:tcPr>
                <w:p w14:paraId="22EC4C40">
                  <w:pPr>
                    <w:pStyle w:val="20"/>
                    <w:rPr>
                      <w:color w:val="auto"/>
                    </w:rPr>
                  </w:pPr>
                </w:p>
              </w:tc>
              <w:tc>
                <w:tcPr>
                  <w:tcW w:w="1207" w:type="dxa"/>
                  <w:vMerge w:val="continue"/>
                  <w:vAlign w:val="center"/>
                </w:tcPr>
                <w:p w14:paraId="43C1DD4A">
                  <w:pPr>
                    <w:pStyle w:val="20"/>
                    <w:rPr>
                      <w:color w:val="auto"/>
                    </w:rPr>
                  </w:pPr>
                </w:p>
              </w:tc>
              <w:tc>
                <w:tcPr>
                  <w:tcW w:w="1545" w:type="dxa"/>
                  <w:vMerge w:val="continue"/>
                  <w:vAlign w:val="center"/>
                </w:tcPr>
                <w:p w14:paraId="11505CAF">
                  <w:pPr>
                    <w:pStyle w:val="20"/>
                    <w:rPr>
                      <w:color w:val="auto"/>
                    </w:rPr>
                  </w:pPr>
                </w:p>
              </w:tc>
              <w:tc>
                <w:tcPr>
                  <w:tcW w:w="3927" w:type="dxa"/>
                  <w:gridSpan w:val="3"/>
                  <w:vAlign w:val="center"/>
                </w:tcPr>
                <w:p w14:paraId="13AE6101">
                  <w:pPr>
                    <w:pStyle w:val="20"/>
                    <w:rPr>
                      <w:color w:val="auto"/>
                    </w:rPr>
                  </w:pPr>
                  <w:r>
                    <w:rPr>
                      <w:rFonts w:hint="eastAsia"/>
                      <w:color w:val="auto"/>
                      <w:lang w:val="en-US" w:eastAsia="zh-CN"/>
                    </w:rPr>
                    <w:t>1158.6</w:t>
                  </w:r>
                  <w:r>
                    <w:rPr>
                      <w:color w:val="auto"/>
                    </w:rPr>
                    <w:t>（洁净下水产生量）</w:t>
                  </w:r>
                </w:p>
              </w:tc>
            </w:tr>
          </w:tbl>
          <w:p w14:paraId="79C4763D">
            <w:pPr>
              <w:ind w:firstLine="480"/>
              <w:rPr>
                <w:color w:val="auto"/>
              </w:rPr>
            </w:pPr>
          </w:p>
          <w:p w14:paraId="4C629CA2">
            <w:pPr>
              <w:ind w:firstLine="480"/>
              <w:rPr>
                <w:color w:val="auto"/>
              </w:rPr>
            </w:pPr>
          </w:p>
          <w:p w14:paraId="1AE922A9">
            <w:pPr>
              <w:ind w:firstLine="480"/>
              <w:rPr>
                <w:color w:val="auto"/>
              </w:rPr>
            </w:pPr>
            <w:r>
              <w:rPr>
                <w:color w:val="auto"/>
              </w:rPr>
              <w:t>（4）排水</w:t>
            </w:r>
          </w:p>
          <w:p w14:paraId="64CB8251">
            <w:pPr>
              <w:ind w:firstLine="480"/>
              <w:rPr>
                <w:color w:val="auto"/>
              </w:rPr>
            </w:pPr>
            <w:r>
              <w:rPr>
                <w:color w:val="auto"/>
              </w:rPr>
              <w:t>本项目水洗1废水、水洗2废水排放至项目污水处理站处理后排放至园区污水处理厂处理达标后排放；四合一更换槽液交由有资质单位处理不外排；纯水洗排放水逆流至水洗2回用不外排；阴极电泳漆槽液与UF槽槽液经超滤处理后回用</w:t>
            </w:r>
            <w:r>
              <w:rPr>
                <w:rFonts w:hint="eastAsia"/>
                <w:color w:val="auto"/>
                <w:lang w:eastAsia="zh-CN"/>
              </w:rPr>
              <w:t>，</w:t>
            </w:r>
            <w:r>
              <w:rPr>
                <w:rFonts w:hint="eastAsia"/>
                <w:color w:val="auto"/>
                <w:lang w:val="en-US" w:eastAsia="zh-CN"/>
              </w:rPr>
              <w:t>项目每半年更换一次UF槽槽液，更换槽液交由有资质单位处理不外排</w:t>
            </w:r>
            <w:r>
              <w:rPr>
                <w:color w:val="auto"/>
              </w:rPr>
              <w:t>；纯水机尾水经“三级化粪池+隔油隔渣池”处理后排放至园区污水处理厂处理达标后排放。</w:t>
            </w:r>
            <w:bookmarkStart w:id="4" w:name="_GoBack"/>
            <w:bookmarkEnd w:id="4"/>
          </w:p>
          <w:p w14:paraId="73B64B62">
            <w:pPr>
              <w:ind w:firstLine="0" w:firstLineChars="0"/>
              <w:jc w:val="center"/>
              <w:rPr>
                <w:color w:val="auto"/>
              </w:rPr>
            </w:pPr>
            <w:r>
              <w:rPr>
                <w:color w:val="auto"/>
              </w:rPr>
              <w:drawing>
                <wp:inline distT="0" distB="0" distL="114300" distR="114300">
                  <wp:extent cx="4619625" cy="5334000"/>
                  <wp:effectExtent l="0" t="0" r="9525" b="0"/>
                  <wp:docPr id="2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
                          <pic:cNvPicPr>
                            <a:picLocks noChangeAspect="1"/>
                          </pic:cNvPicPr>
                        </pic:nvPicPr>
                        <pic:blipFill>
                          <a:blip r:embed="rId28"/>
                          <a:stretch>
                            <a:fillRect/>
                          </a:stretch>
                        </pic:blipFill>
                        <pic:spPr>
                          <a:xfrm>
                            <a:off x="0" y="0"/>
                            <a:ext cx="4619625" cy="5334000"/>
                          </a:xfrm>
                          <a:prstGeom prst="rect">
                            <a:avLst/>
                          </a:prstGeom>
                          <a:noFill/>
                          <a:ln>
                            <a:noFill/>
                          </a:ln>
                        </pic:spPr>
                      </pic:pic>
                    </a:graphicData>
                  </a:graphic>
                </wp:inline>
              </w:drawing>
            </w:r>
          </w:p>
          <w:p w14:paraId="10E308D8">
            <w:pPr>
              <w:pStyle w:val="22"/>
              <w:rPr>
                <w:color w:val="auto"/>
                <w:szCs w:val="24"/>
              </w:rPr>
            </w:pPr>
          </w:p>
          <w:p w14:paraId="757409F4">
            <w:pPr>
              <w:pStyle w:val="22"/>
              <w:rPr>
                <w:color w:val="auto"/>
                <w:szCs w:val="24"/>
              </w:rPr>
            </w:pPr>
            <w:r>
              <w:rPr>
                <w:color w:val="auto"/>
                <w:szCs w:val="24"/>
              </w:rPr>
              <w:t>图2-1 项目水平衡图（单位：m</w:t>
            </w:r>
            <w:r>
              <w:rPr>
                <w:color w:val="auto"/>
                <w:szCs w:val="24"/>
                <w:vertAlign w:val="superscript"/>
              </w:rPr>
              <w:t>3</w:t>
            </w:r>
            <w:r>
              <w:rPr>
                <w:color w:val="auto"/>
                <w:szCs w:val="24"/>
              </w:rPr>
              <w:t>/a）</w:t>
            </w:r>
          </w:p>
          <w:p w14:paraId="167896A2">
            <w:pPr>
              <w:pStyle w:val="12"/>
              <w:ind w:firstLine="482"/>
              <w:rPr>
                <w:color w:val="auto"/>
                <w:szCs w:val="24"/>
              </w:rPr>
            </w:pPr>
          </w:p>
          <w:p w14:paraId="7AB39039">
            <w:pPr>
              <w:pStyle w:val="12"/>
              <w:ind w:firstLine="482"/>
              <w:rPr>
                <w:color w:val="auto"/>
                <w:szCs w:val="24"/>
              </w:rPr>
            </w:pPr>
          </w:p>
          <w:p w14:paraId="330426AB">
            <w:pPr>
              <w:pStyle w:val="12"/>
              <w:ind w:firstLine="482"/>
              <w:rPr>
                <w:color w:val="auto"/>
                <w:szCs w:val="24"/>
              </w:rPr>
            </w:pPr>
            <w:r>
              <w:rPr>
                <w:color w:val="auto"/>
                <w:szCs w:val="24"/>
              </w:rPr>
              <w:t>9、总平面布局合理性分析</w:t>
            </w:r>
          </w:p>
          <w:p w14:paraId="01D0BBD8">
            <w:pPr>
              <w:ind w:firstLine="480"/>
              <w:rPr>
                <w:color w:val="auto"/>
                <w:kern w:val="2"/>
              </w:rPr>
            </w:pPr>
            <w:r>
              <w:rPr>
                <w:color w:val="auto"/>
              </w:rPr>
              <w:t>项目厂区根据生产需要、功能分区布置A厂房、B厂房、C厂房、宿舍楼、办公室、研发楼，项目厂区设置2个出入口，分别为物流出入口和人员出入口。出入口设置于厂区北侧及南侧，便于车辆及职工出入。项目总布置可以满足工艺要求，同时也能满足消防、安全、卫生等规范要求。环评认为，本项目依据厂房进行布置，本着生产工艺流畅、布置紧凑、人物分流、减小对外环境影响等因素布置厂区总平面图，总体上来看是合理的。厂区平面布置图见附图4。</w:t>
            </w:r>
          </w:p>
        </w:tc>
      </w:tr>
    </w:tbl>
    <w:p w14:paraId="33E65303">
      <w:pPr>
        <w:pStyle w:val="21"/>
        <w:adjustRightInd w:val="0"/>
        <w:snapToGrid w:val="0"/>
        <w:spacing w:before="0" w:beforeAutospacing="0" w:after="0" w:afterAutospacing="0"/>
        <w:ind w:firstLine="480"/>
        <w:jc w:val="center"/>
        <w:rPr>
          <w:rFonts w:ascii="Times New Roman" w:hAnsi="Times New Roman"/>
          <w:szCs w:val="24"/>
        </w:rPr>
        <w:sectPr>
          <w:pgSz w:w="11906" w:h="16838"/>
          <w:pgMar w:top="1701" w:right="1531" w:bottom="1701" w:left="1531" w:header="851" w:footer="851" w:gutter="0"/>
          <w:cols w:space="720" w:num="1"/>
          <w:docGrid w:linePitch="312" w:charSpace="0"/>
        </w:sect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8"/>
        <w:gridCol w:w="13134"/>
      </w:tblGrid>
      <w:tr w14:paraId="4B4EB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7" w:hRule="atLeast"/>
        </w:trPr>
        <w:tc>
          <w:tcPr>
            <w:tcW w:w="518" w:type="dxa"/>
            <w:vAlign w:val="center"/>
          </w:tcPr>
          <w:p w14:paraId="1EF81C4B">
            <w:pPr>
              <w:pStyle w:val="11"/>
              <w:rPr>
                <w:rFonts w:ascii="Times New Roman" w:hAnsi="Times New Roman" w:cs="Calibri"/>
                <w:kern w:val="2"/>
                <w:szCs w:val="24"/>
              </w:rPr>
            </w:pPr>
            <w:r>
              <w:rPr>
                <w:rFonts w:ascii="Calibri" w:hAnsi="Times New Roman" w:eastAsia="Calibri" w:cs="Calibri"/>
                <w:kern w:val="2"/>
              </w:rPr>
              <w:t>工艺流程和产排污环节</w:t>
            </w:r>
          </w:p>
        </w:tc>
        <w:tc>
          <w:tcPr>
            <w:tcW w:w="13134" w:type="dxa"/>
          </w:tcPr>
          <w:p w14:paraId="6FED4AEA">
            <w:pPr>
              <w:numPr>
                <w:ilvl w:val="0"/>
                <w:numId w:val="1"/>
              </w:numPr>
              <w:ind w:firstLine="482"/>
              <w:rPr>
                <w:rFonts w:ascii="Calibri" w:hAnsi="Calibri" w:eastAsia="Calibri" w:cs="Calibri"/>
                <w:b/>
                <w:kern w:val="2"/>
                <w:lang w:bidi="ar"/>
              </w:rPr>
            </w:pPr>
            <w:r>
              <w:rPr>
                <w:rFonts w:ascii="Calibri" w:hAnsi="Calibri" w:eastAsia="Calibri" w:cs="Calibri"/>
                <w:b/>
                <w:kern w:val="2"/>
                <w:lang w:bidi="ar"/>
              </w:rPr>
              <w:t>项目生产工艺流程及产污节点如下：</w:t>
            </w:r>
          </w:p>
          <w:p w14:paraId="1AA142D8">
            <w:pPr>
              <w:pStyle w:val="10"/>
              <w:ind w:firstLine="422"/>
              <w:rPr>
                <w:rFonts w:hint="default"/>
                <w:kern w:val="2"/>
              </w:rPr>
            </w:pPr>
            <w:r>
              <w:rPr>
                <w:kern w:val="2"/>
              </w:rPr>
              <w:drawing>
                <wp:inline distT="0" distB="0" distL="114300" distR="114300">
                  <wp:extent cx="6904355" cy="4029710"/>
                  <wp:effectExtent l="0" t="0" r="10795" b="8890"/>
                  <wp:docPr id="28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3"/>
                          <pic:cNvPicPr>
                            <a:picLocks noChangeAspect="1"/>
                          </pic:cNvPicPr>
                        </pic:nvPicPr>
                        <pic:blipFill>
                          <a:blip r:embed="rId29"/>
                          <a:stretch>
                            <a:fillRect/>
                          </a:stretch>
                        </pic:blipFill>
                        <pic:spPr>
                          <a:xfrm>
                            <a:off x="0" y="0"/>
                            <a:ext cx="6904355" cy="4029710"/>
                          </a:xfrm>
                          <a:prstGeom prst="rect">
                            <a:avLst/>
                          </a:prstGeom>
                          <a:noFill/>
                          <a:ln>
                            <a:noFill/>
                          </a:ln>
                        </pic:spPr>
                      </pic:pic>
                    </a:graphicData>
                  </a:graphic>
                </wp:inline>
              </w:drawing>
            </w:r>
          </w:p>
          <w:p w14:paraId="02D30E91">
            <w:pPr>
              <w:pStyle w:val="10"/>
              <w:ind w:firstLine="422"/>
              <w:rPr>
                <w:rFonts w:hint="default" w:ascii="Calibri" w:hAnsi="Calibri" w:cs="Calibri"/>
                <w:kern w:val="2"/>
              </w:rPr>
            </w:pPr>
            <w:r>
              <w:rPr>
                <w:rFonts w:hint="default"/>
                <w:kern w:val="2"/>
              </w:rPr>
              <w:t>图2-2 项目生产工艺流程及产污环节图</w:t>
            </w:r>
          </w:p>
        </w:tc>
      </w:tr>
    </w:tbl>
    <w:p w14:paraId="26A77BD8">
      <w:pPr>
        <w:pStyle w:val="21"/>
        <w:adjustRightInd w:val="0"/>
        <w:snapToGrid w:val="0"/>
        <w:spacing w:before="0" w:beforeAutospacing="0" w:after="0" w:afterAutospacing="0"/>
        <w:ind w:firstLine="480"/>
        <w:jc w:val="center"/>
        <w:rPr>
          <w:rFonts w:ascii="Times New Roman" w:hAnsi="Times New Roman"/>
          <w:szCs w:val="24"/>
        </w:rPr>
        <w:sectPr>
          <w:pgSz w:w="16838" w:h="11906" w:orient="landscape"/>
          <w:pgMar w:top="1531" w:right="1701" w:bottom="1531" w:left="1701" w:header="851" w:footer="851" w:gutter="0"/>
          <w:cols w:space="720" w:num="1"/>
          <w:docGrid w:linePitch="312" w:charSpace="0"/>
        </w:sect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2"/>
        <w:gridCol w:w="8758"/>
      </w:tblGrid>
      <w:tr w14:paraId="4E9C5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2" w:type="dxa"/>
          </w:tcPr>
          <w:p w14:paraId="507238D3">
            <w:pPr>
              <w:pStyle w:val="21"/>
              <w:adjustRightInd w:val="0"/>
              <w:snapToGrid w:val="0"/>
              <w:spacing w:before="0" w:beforeAutospacing="0" w:after="0" w:afterAutospacing="0"/>
              <w:ind w:firstLine="480"/>
              <w:jc w:val="center"/>
              <w:rPr>
                <w:rFonts w:ascii="Times New Roman" w:hAnsi="Times New Roman" w:cs="Calibri"/>
                <w:szCs w:val="24"/>
              </w:rPr>
            </w:pPr>
          </w:p>
        </w:tc>
        <w:tc>
          <w:tcPr>
            <w:tcW w:w="8758" w:type="dxa"/>
          </w:tcPr>
          <w:p w14:paraId="482A457E">
            <w:pPr>
              <w:ind w:firstLine="480"/>
              <w:rPr>
                <w:rFonts w:ascii="Calibri" w:hAnsi="Calibri" w:cs="Calibri"/>
                <w:kern w:val="2"/>
              </w:rPr>
            </w:pPr>
            <w:r>
              <w:rPr>
                <w:rFonts w:hint="eastAsia" w:ascii="Calibri" w:hAnsi="Calibri" w:cs="Calibri"/>
                <w:kern w:val="2"/>
              </w:rPr>
              <w:t>工艺说明：</w:t>
            </w:r>
          </w:p>
          <w:p w14:paraId="42B63ADF">
            <w:pPr>
              <w:ind w:firstLine="480"/>
              <w:rPr>
                <w:rFonts w:ascii="Calibri" w:hAnsi="Calibri" w:cs="Calibri"/>
                <w:kern w:val="2"/>
              </w:rPr>
            </w:pPr>
            <w:r>
              <w:rPr>
                <w:rFonts w:hint="eastAsia" w:ascii="Calibri" w:hAnsi="Calibri" w:cs="Calibri"/>
                <w:kern w:val="2"/>
              </w:rPr>
              <w:t>供应部根据客户要求进行采购钢材原料，项目钢材原料分为管材、板材两种原料。</w:t>
            </w:r>
          </w:p>
          <w:p w14:paraId="6279744D">
            <w:pPr>
              <w:ind w:firstLine="480"/>
              <w:rPr>
                <w:rFonts w:ascii="Calibri" w:hAnsi="Calibri" w:cs="Calibri"/>
                <w:kern w:val="2"/>
              </w:rPr>
            </w:pPr>
            <w:r>
              <w:rPr>
                <w:rFonts w:hint="eastAsia" w:ascii="宋体" w:hAnsi="宋体" w:cs="宋体"/>
                <w:kern w:val="2"/>
              </w:rPr>
              <w:t>①</w:t>
            </w:r>
            <w:r>
              <w:rPr>
                <w:rFonts w:ascii="Calibri" w:hAnsi="Calibri" w:cs="Calibri"/>
                <w:kern w:val="2"/>
              </w:rPr>
              <w:t xml:space="preserve"> </w:t>
            </w:r>
            <w:r>
              <w:rPr>
                <w:rFonts w:hint="eastAsia" w:ascii="Calibri" w:hAnsi="Calibri" w:cs="Calibri"/>
                <w:kern w:val="2"/>
              </w:rPr>
              <w:t>开料：项目需要对管材、板材两种原料使用等离子切割机开料。该过程产生开料粉尘、边角料及设备噪声。</w:t>
            </w:r>
          </w:p>
          <w:p w14:paraId="33E7A2D7">
            <w:pPr>
              <w:ind w:firstLine="480"/>
              <w:rPr>
                <w:rFonts w:ascii="Calibri" w:hAnsi="Calibri" w:cs="Calibri"/>
                <w:kern w:val="2"/>
              </w:rPr>
            </w:pPr>
            <w:r>
              <w:rPr>
                <w:rFonts w:hint="eastAsia" w:ascii="宋体" w:hAnsi="宋体" w:cs="宋体"/>
                <w:kern w:val="2"/>
              </w:rPr>
              <w:t>②</w:t>
            </w:r>
            <w:r>
              <w:rPr>
                <w:rFonts w:hint="eastAsia" w:ascii="Calibri" w:hAnsi="Calibri" w:cs="Calibri"/>
                <w:kern w:val="2"/>
              </w:rPr>
              <w:t>管材加工：通过弯管机等设备将购置的管材制成所需形状，再使用焊机或人工焊接方式将成形的半成品管材焊接成所需框架。使用打磨机磨掉焊接产生的焊巴及平整接口。使用磨光机对半成品焊接部位进行抛光处理，去除粗糙部位、增加光泽等；该过程中产生焊接烟尘、打磨、抛光粉尘及设备噪声。</w:t>
            </w:r>
          </w:p>
          <w:p w14:paraId="6F6C5FC7">
            <w:pPr>
              <w:ind w:firstLine="480"/>
              <w:rPr>
                <w:rFonts w:ascii="Calibri" w:hAnsi="Calibri" w:cs="Calibri"/>
                <w:kern w:val="2"/>
              </w:rPr>
            </w:pPr>
            <w:r>
              <w:rPr>
                <w:rFonts w:hint="eastAsia" w:ascii="宋体" w:hAnsi="宋体" w:cs="宋体"/>
                <w:kern w:val="2"/>
              </w:rPr>
              <w:t>③</w:t>
            </w:r>
            <w:r>
              <w:rPr>
                <w:rFonts w:hint="eastAsia" w:ascii="Calibri" w:hAnsi="Calibri" w:cs="Calibri"/>
                <w:kern w:val="2"/>
              </w:rPr>
              <w:t>板材加工：通过弯折冲机等设备将购置的板材制成所需形状；使用焊机或人工焊接方式将成形的板材焊接成所需框架；该过程中产生焊接烟尘、设备噪声。</w:t>
            </w:r>
          </w:p>
          <w:p w14:paraId="19B94A7F">
            <w:pPr>
              <w:ind w:firstLine="480"/>
              <w:rPr>
                <w:rFonts w:ascii="Calibri" w:hAnsi="Calibri" w:cs="Calibri"/>
                <w:kern w:val="2"/>
              </w:rPr>
            </w:pPr>
            <w:r>
              <w:rPr>
                <w:rFonts w:hint="eastAsia" w:ascii="宋体" w:hAnsi="宋体" w:cs="宋体"/>
                <w:kern w:val="2"/>
              </w:rPr>
              <w:t>④成品加工：</w:t>
            </w:r>
            <w:r>
              <w:rPr>
                <w:rFonts w:ascii="Calibri" w:hAnsi="Calibri" w:cs="Calibri"/>
                <w:kern w:val="2"/>
              </w:rPr>
              <w:t>使用焊机或人工焊接方式将成形的管材</w:t>
            </w:r>
            <w:r>
              <w:rPr>
                <w:rFonts w:hint="eastAsia" w:ascii="Calibri" w:hAnsi="Calibri" w:cs="Calibri"/>
                <w:kern w:val="2"/>
              </w:rPr>
              <w:t>及</w:t>
            </w:r>
            <w:r>
              <w:rPr>
                <w:rFonts w:ascii="Calibri" w:hAnsi="Calibri" w:cs="Calibri"/>
                <w:kern w:val="2"/>
              </w:rPr>
              <w:t>板材焊接成所需框架。</w:t>
            </w:r>
            <w:r>
              <w:rPr>
                <w:rFonts w:hint="eastAsia" w:ascii="Calibri" w:hAnsi="Calibri" w:cs="Calibri"/>
                <w:kern w:val="2"/>
              </w:rPr>
              <w:t>使用打磨机磨掉焊接产生的焊巴和平整接口。此过程中产生焊接烟尘、打磨粉尘及设备噪声。</w:t>
            </w:r>
          </w:p>
          <w:p w14:paraId="210DF66C">
            <w:pPr>
              <w:ind w:firstLine="480"/>
              <w:rPr>
                <w:rFonts w:ascii="Calibri" w:hAnsi="Calibri" w:cs="Calibri"/>
                <w:kern w:val="2"/>
              </w:rPr>
            </w:pPr>
            <w:r>
              <w:rPr>
                <w:rFonts w:hint="eastAsia" w:ascii="宋体" w:hAnsi="宋体" w:cs="宋体"/>
                <w:kern w:val="2"/>
              </w:rPr>
              <w:t>⑤</w:t>
            </w:r>
            <w:r>
              <w:rPr>
                <w:rFonts w:hint="eastAsia" w:ascii="Calibri" w:hAnsi="Calibri" w:cs="Calibri"/>
                <w:kern w:val="2"/>
              </w:rPr>
              <w:t>电泳：项目电泳经过喷砂、前处理、电泳等生产工序，电泳生产工序详见电泳工艺流程。电泳生产过程产生喷砂粉尘、废水、废槽液、废气、烟气。</w:t>
            </w:r>
          </w:p>
          <w:p w14:paraId="11C246BD">
            <w:pPr>
              <w:ind w:firstLine="480"/>
              <w:rPr>
                <w:rFonts w:ascii="宋体" w:hAnsi="宋体" w:cs="宋体"/>
                <w:kern w:val="2"/>
              </w:rPr>
            </w:pPr>
            <w:r>
              <w:rPr>
                <w:rFonts w:hint="eastAsia" w:ascii="宋体" w:hAnsi="宋体" w:cs="宋体"/>
                <w:kern w:val="2"/>
              </w:rPr>
              <w:t>⑥喷粉：本项目设有静电喷粉生产线，电泳后工件进入封闭的喷粉房进行喷粉处理，喷粉原料为塑粉（热固性粉末涂料）。此过程将粉末在封闭的工艺间内由自动喷嘴喷到带静电的工件上，粉末会被均匀的吸附在工件表面，形成粉末状的涂层。</w:t>
            </w:r>
          </w:p>
          <w:p w14:paraId="13AD4803">
            <w:pPr>
              <w:ind w:firstLine="480"/>
              <w:rPr>
                <w:rFonts w:ascii="宋体" w:hAnsi="宋体" w:cs="宋体"/>
                <w:kern w:val="2"/>
              </w:rPr>
            </w:pPr>
            <w:r>
              <w:rPr>
                <w:rFonts w:hint="eastAsia" w:ascii="宋体" w:hAnsi="宋体" w:cs="宋体"/>
                <w:kern w:val="2"/>
              </w:rPr>
              <w:t>⑦粉末固化：喷粉后的工件进入烘干室进行固化，项目固化配有一个烘干室（2#烘干室），固化温度约为180℃，固化时间约20~25min，由液化石油气热风供热。固化过程中产生有机废气、燃液化石油气烟尘。</w:t>
            </w:r>
          </w:p>
          <w:p w14:paraId="605EE75C">
            <w:pPr>
              <w:ind w:firstLine="480"/>
              <w:rPr>
                <w:rFonts w:ascii="Calibri" w:hAnsi="Calibri" w:cs="Calibri"/>
                <w:kern w:val="2"/>
              </w:rPr>
            </w:pPr>
            <w:r>
              <w:rPr>
                <w:rFonts w:hint="eastAsia" w:ascii="宋体" w:hAnsi="宋体" w:cs="宋体"/>
                <w:kern w:val="2"/>
              </w:rPr>
              <w:t>⑧</w:t>
            </w:r>
            <w:r>
              <w:rPr>
                <w:rFonts w:ascii="Calibri" w:hAnsi="Calibri" w:cs="Calibri"/>
                <w:kern w:val="2"/>
              </w:rPr>
              <w:t xml:space="preserve"> </w:t>
            </w:r>
            <w:r>
              <w:rPr>
                <w:rFonts w:hint="eastAsia" w:ascii="Calibri" w:hAnsi="Calibri" w:cs="Calibri"/>
                <w:kern w:val="2"/>
              </w:rPr>
              <w:t>包装配套、进仓：上述工序完成后，将成品包装配套、进仓。</w:t>
            </w:r>
          </w:p>
          <w:p w14:paraId="543ADEAB">
            <w:pPr>
              <w:ind w:firstLine="480"/>
              <w:rPr>
                <w:rFonts w:ascii="Calibri" w:hAnsi="Calibri" w:cs="Calibri"/>
                <w:kern w:val="2"/>
              </w:rPr>
            </w:pPr>
          </w:p>
        </w:tc>
      </w:tr>
    </w:tbl>
    <w:p w14:paraId="354DBDC4">
      <w:pPr>
        <w:pStyle w:val="21"/>
        <w:adjustRightInd w:val="0"/>
        <w:snapToGrid w:val="0"/>
        <w:spacing w:before="0" w:beforeAutospacing="0" w:after="0" w:afterAutospacing="0"/>
        <w:ind w:firstLine="480"/>
        <w:jc w:val="center"/>
        <w:rPr>
          <w:rFonts w:ascii="Times New Roman" w:hAnsi="Times New Roman"/>
          <w:szCs w:val="24"/>
        </w:rPr>
        <w:sectPr>
          <w:pgSz w:w="11906" w:h="16838"/>
          <w:pgMar w:top="1701" w:right="1531" w:bottom="1701" w:left="1531" w:header="851" w:footer="851" w:gutter="0"/>
          <w:cols w:space="720" w:num="1"/>
          <w:docGrid w:linePitch="312" w:charSpace="0"/>
        </w:sect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2"/>
        <w:gridCol w:w="8518"/>
      </w:tblGrid>
      <w:tr w14:paraId="2A337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3" w:hRule="atLeast"/>
        </w:trPr>
        <w:tc>
          <w:tcPr>
            <w:tcW w:w="542" w:type="dxa"/>
          </w:tcPr>
          <w:p w14:paraId="0B091C02">
            <w:pPr>
              <w:pStyle w:val="21"/>
              <w:adjustRightInd w:val="0"/>
              <w:snapToGrid w:val="0"/>
              <w:spacing w:before="0" w:beforeAutospacing="0" w:after="0" w:afterAutospacing="0"/>
              <w:ind w:firstLine="0" w:firstLineChars="0"/>
              <w:jc w:val="both"/>
              <w:rPr>
                <w:rFonts w:ascii="Times New Roman" w:hAnsi="Times New Roman"/>
                <w:szCs w:val="24"/>
              </w:rPr>
            </w:pPr>
          </w:p>
        </w:tc>
        <w:tc>
          <w:tcPr>
            <w:tcW w:w="8518" w:type="dxa"/>
          </w:tcPr>
          <w:p w14:paraId="341E1C98">
            <w:pPr>
              <w:ind w:firstLine="482"/>
              <w:rPr>
                <w:b/>
                <w:bCs/>
                <w:kern w:val="2"/>
              </w:rPr>
            </w:pPr>
            <w:r>
              <w:rPr>
                <w:b/>
                <w:bCs/>
                <w:kern w:val="2"/>
              </w:rPr>
              <w:t>2、项目电泳工艺流程及产污节点如下：</w:t>
            </w:r>
          </w:p>
          <w:p w14:paraId="4B765838">
            <w:pPr>
              <w:pStyle w:val="10"/>
              <w:ind w:firstLine="0" w:firstLineChars="0"/>
              <w:jc w:val="center"/>
              <w:rPr>
                <w:rFonts w:hint="default"/>
                <w:kern w:val="2"/>
              </w:rPr>
            </w:pPr>
            <w:r>
              <w:rPr>
                <w:rFonts w:hint="default"/>
                <w:kern w:val="2"/>
              </w:rPr>
              <w:drawing>
                <wp:inline distT="0" distB="0" distL="114300" distR="114300">
                  <wp:extent cx="4628515" cy="6725285"/>
                  <wp:effectExtent l="0" t="0" r="635" b="18415"/>
                  <wp:docPr id="28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4"/>
                          <pic:cNvPicPr>
                            <a:picLocks noChangeAspect="1"/>
                          </pic:cNvPicPr>
                        </pic:nvPicPr>
                        <pic:blipFill>
                          <a:blip r:embed="rId30"/>
                          <a:stretch>
                            <a:fillRect/>
                          </a:stretch>
                        </pic:blipFill>
                        <pic:spPr>
                          <a:xfrm>
                            <a:off x="0" y="0"/>
                            <a:ext cx="4628515" cy="6725285"/>
                          </a:xfrm>
                          <a:prstGeom prst="rect">
                            <a:avLst/>
                          </a:prstGeom>
                          <a:noFill/>
                          <a:ln>
                            <a:noFill/>
                          </a:ln>
                        </pic:spPr>
                      </pic:pic>
                    </a:graphicData>
                  </a:graphic>
                </wp:inline>
              </w:drawing>
            </w:r>
          </w:p>
          <w:p w14:paraId="3D2F1FED">
            <w:pPr>
              <w:pStyle w:val="10"/>
              <w:ind w:firstLine="422"/>
              <w:rPr>
                <w:rFonts w:hint="default"/>
                <w:kern w:val="2"/>
              </w:rPr>
            </w:pPr>
            <w:r>
              <w:rPr>
                <w:rFonts w:hint="default"/>
                <w:kern w:val="2"/>
              </w:rPr>
              <w:t>图2-3 项目电泳生产工艺流程及产污环节图</w:t>
            </w:r>
          </w:p>
          <w:p w14:paraId="1F7F3067">
            <w:pPr>
              <w:tabs>
                <w:tab w:val="left" w:pos="2907"/>
              </w:tabs>
              <w:ind w:firstLine="480"/>
              <w:rPr>
                <w:kern w:val="2"/>
              </w:rPr>
            </w:pPr>
          </w:p>
          <w:p w14:paraId="5B16E6CA">
            <w:pPr>
              <w:tabs>
                <w:tab w:val="left" w:pos="2907"/>
              </w:tabs>
              <w:ind w:firstLine="480"/>
              <w:rPr>
                <w:kern w:val="2"/>
              </w:rPr>
            </w:pPr>
          </w:p>
          <w:p w14:paraId="65C08D74">
            <w:pPr>
              <w:tabs>
                <w:tab w:val="left" w:pos="2907"/>
              </w:tabs>
              <w:ind w:firstLine="480"/>
              <w:rPr>
                <w:kern w:val="2"/>
              </w:rPr>
            </w:pPr>
          </w:p>
          <w:p w14:paraId="3B425E23">
            <w:pPr>
              <w:tabs>
                <w:tab w:val="left" w:pos="2907"/>
              </w:tabs>
              <w:ind w:firstLine="480"/>
              <w:rPr>
                <w:kern w:val="2"/>
              </w:rPr>
            </w:pPr>
          </w:p>
          <w:p w14:paraId="50F37F46">
            <w:pPr>
              <w:tabs>
                <w:tab w:val="left" w:pos="2907"/>
              </w:tabs>
              <w:ind w:firstLine="480"/>
              <w:rPr>
                <w:kern w:val="2"/>
              </w:rPr>
            </w:pPr>
            <w:r>
              <w:rPr>
                <w:kern w:val="2"/>
              </w:rPr>
              <w:t>工艺说明：</w:t>
            </w:r>
          </w:p>
          <w:p w14:paraId="05035AFC">
            <w:pPr>
              <w:tabs>
                <w:tab w:val="left" w:pos="2907"/>
              </w:tabs>
              <w:ind w:firstLine="480"/>
              <w:rPr>
                <w:kern w:val="2"/>
              </w:rPr>
            </w:pPr>
            <w:r>
              <w:rPr>
                <w:kern w:val="2"/>
              </w:rPr>
              <w:t>根据客户需要将需要电泳的产品转移至电泳车间进行电泳前处理及电泳。</w:t>
            </w:r>
          </w:p>
          <w:p w14:paraId="77152C1E">
            <w:pPr>
              <w:tabs>
                <w:tab w:val="left" w:pos="2907"/>
              </w:tabs>
              <w:ind w:firstLine="480"/>
              <w:rPr>
                <w:kern w:val="2"/>
              </w:rPr>
            </w:pPr>
            <w:r>
              <w:rPr>
                <w:kern w:val="2"/>
              </w:rPr>
              <w:t>（一）前处理</w:t>
            </w:r>
          </w:p>
          <w:p w14:paraId="75DB173D">
            <w:pPr>
              <w:tabs>
                <w:tab w:val="left" w:pos="2907"/>
              </w:tabs>
              <w:ind w:firstLine="480"/>
              <w:rPr>
                <w:kern w:val="2"/>
              </w:rPr>
            </w:pPr>
            <w:r>
              <w:rPr>
                <w:kern w:val="2"/>
              </w:rPr>
              <w:t>①喷砂：项目喷砂工序是采用压缩空气为动力，以形成高速喷射束将喷料（铁砂）高速喷射到被需处理工件表面，使工件的表面获得一定的清洁度和不同的粗糙度，提高工件的抗疲劳性。此过程会产生粉尘。</w:t>
            </w:r>
          </w:p>
          <w:p w14:paraId="4FB2B106">
            <w:pPr>
              <w:tabs>
                <w:tab w:val="left" w:pos="2907"/>
              </w:tabs>
              <w:ind w:firstLine="480"/>
              <w:rPr>
                <w:kern w:val="2"/>
              </w:rPr>
            </w:pPr>
            <w:r>
              <w:rPr>
                <w:rFonts w:eastAsiaTheme="minorEastAsia"/>
                <w:kern w:val="2"/>
              </w:rPr>
              <w:t>②</w:t>
            </w:r>
            <w:r>
              <w:rPr>
                <w:kern w:val="2"/>
              </w:rPr>
              <w:t>水洗1：将工件在温度为55~60℃热水中进行清洗，清洗工件表面粉尘及杂质。该过程中产生清洗废水。</w:t>
            </w:r>
          </w:p>
          <w:p w14:paraId="72606809">
            <w:pPr>
              <w:tabs>
                <w:tab w:val="left" w:pos="2907"/>
              </w:tabs>
              <w:ind w:firstLine="480"/>
              <w:rPr>
                <w:kern w:val="2"/>
              </w:rPr>
            </w:pPr>
            <w:r>
              <w:rPr>
                <w:kern w:val="2"/>
              </w:rPr>
              <w:t>③四合一（浸渍）：将工件放入加有脱脂剂及硅烷处理剂的热水（55~60℃）中进行脱脂、烷化处理。硅烷化处理，即锆化处理，又称陶化处理，即加入硅烷剂后能在产品表面进行化学处理，产生一种耐腐蚀保护膜。硅烷剂不含重金属、磷酸盐和有机组分，符合环保要求，是一种常温或降温处理的环保节能型前处理剂。此过程中产生废槽液。</w:t>
            </w:r>
          </w:p>
          <w:p w14:paraId="72AB7944">
            <w:pPr>
              <w:tabs>
                <w:tab w:val="left" w:pos="2907"/>
              </w:tabs>
              <w:ind w:firstLine="480"/>
              <w:rPr>
                <w:kern w:val="2"/>
              </w:rPr>
            </w:pPr>
            <w:r>
              <w:rPr>
                <w:kern w:val="2"/>
              </w:rPr>
              <w:t>④水洗2：使用清水清洗工件保证确保处理后的材料拥有最佳的性能和寿命。水洗2用水为下道工序纯水洗逆流排放水。该工序废水连续溢流排放，废水排放流量为0.3t/h。</w:t>
            </w:r>
          </w:p>
          <w:p w14:paraId="27C6D8DE">
            <w:pPr>
              <w:tabs>
                <w:tab w:val="left" w:pos="2907"/>
              </w:tabs>
              <w:ind w:firstLine="480"/>
              <w:rPr>
                <w:kern w:val="2"/>
              </w:rPr>
            </w:pPr>
            <w:r>
              <w:rPr>
                <w:kern w:val="2"/>
              </w:rPr>
              <w:t>⑤纯水洗（浸渍）：使用纯水清洗工件保证确保处理后的材料拥有最佳的性能和寿命。该工序废水逆流至水洗2水槽，不外排，逆流流量为0.3 t/h。</w:t>
            </w:r>
          </w:p>
          <w:p w14:paraId="38950895">
            <w:pPr>
              <w:tabs>
                <w:tab w:val="left" w:pos="2907"/>
              </w:tabs>
              <w:ind w:firstLine="480"/>
              <w:rPr>
                <w:kern w:val="2"/>
              </w:rPr>
            </w:pPr>
            <w:r>
              <w:rPr>
                <w:kern w:val="2"/>
              </w:rPr>
              <w:t>（二）电泳</w:t>
            </w:r>
          </w:p>
          <w:p w14:paraId="5FAB4B32">
            <w:pPr>
              <w:tabs>
                <w:tab w:val="left" w:pos="2907"/>
              </w:tabs>
              <w:ind w:firstLine="480"/>
              <w:rPr>
                <w:kern w:val="2"/>
              </w:rPr>
            </w:pPr>
            <w:r>
              <w:rPr>
                <w:kern w:val="2"/>
              </w:rPr>
              <w:t>①电泳（浸渍）：电泳槽液采用自动调节，pH控制在4.5~5.5。项目电泳温度为28±1℃，不含重金属（如镍、锌、锰等）。</w:t>
            </w:r>
          </w:p>
          <w:p w14:paraId="40C6D963">
            <w:pPr>
              <w:tabs>
                <w:tab w:val="left" w:pos="2907"/>
              </w:tabs>
              <w:ind w:firstLine="480"/>
              <w:rPr>
                <w:kern w:val="2"/>
              </w:rPr>
            </w:pPr>
            <w:r>
              <w:rPr>
                <w:kern w:val="2"/>
              </w:rPr>
              <w:t>项目采用阴极电泳涂装法。电泳涂装属于有机涂装，利用电流沉积漆膜， 其工作原理为“异极相吸”。</w:t>
            </w:r>
          </w:p>
          <w:p w14:paraId="57AE13C5">
            <w:pPr>
              <w:tabs>
                <w:tab w:val="left" w:pos="2907"/>
              </w:tabs>
              <w:ind w:firstLine="480"/>
              <w:rPr>
                <w:kern w:val="2"/>
              </w:rPr>
            </w:pPr>
            <w:r>
              <w:rPr>
                <w:kern w:val="2"/>
              </w:rPr>
              <w:t>设备电泳槽系统各部件及其作用如下：直流电源（整流器）一提供直流电，使电沉积得以进行。主循环系统：包括循环泵、喷射管以及过滤器，保证槽液混合均匀，同时去除槽液中颗粒污染物及杂质。超滤系统：控制槽液电导率，提供后续UF2所需的超滤液，并回收浮漆。热交换器：控制槽液温度。</w:t>
            </w:r>
          </w:p>
          <w:p w14:paraId="6335803F">
            <w:pPr>
              <w:tabs>
                <w:tab w:val="left" w:pos="2907"/>
              </w:tabs>
              <w:ind w:firstLine="480"/>
              <w:rPr>
                <w:kern w:val="2"/>
              </w:rPr>
            </w:pPr>
            <w:r>
              <w:rPr>
                <w:kern w:val="2"/>
              </w:rPr>
              <w:t>②UF1（喷淋）：使用超滤液喷淋清洗工件表面浮漆。超滤水洗水逆流至阴极电泳槽内，不外排，逆流流量为1t/h。</w:t>
            </w:r>
          </w:p>
          <w:p w14:paraId="719E520A">
            <w:pPr>
              <w:tabs>
                <w:tab w:val="left" w:pos="2907"/>
              </w:tabs>
              <w:ind w:firstLine="480"/>
              <w:rPr>
                <w:kern w:val="2"/>
              </w:rPr>
            </w:pPr>
            <w:r>
              <w:rPr>
                <w:kern w:val="2"/>
              </w:rPr>
              <w:t>③UF2（浸渍）：使用超滤液浸泡清洗工件表面浮漆。超滤水洗水逆流至前一道超滤水洗槽，逆流流量为1t/h。</w:t>
            </w:r>
          </w:p>
          <w:p w14:paraId="5EE96322">
            <w:pPr>
              <w:tabs>
                <w:tab w:val="left" w:pos="2907"/>
              </w:tabs>
              <w:ind w:firstLine="480"/>
              <w:rPr>
                <w:kern w:val="2"/>
              </w:rPr>
            </w:pPr>
            <w:r>
              <w:rPr>
                <w:kern w:val="2"/>
              </w:rPr>
              <w:t>④电泳烘干：工件进入烘干室进行烘干，漆膜通过交联固化达到最佳性能。电泳线配有一个烘干室（1#烘干室），烘干温度约为180-220℃，烘干时间30min，为液化石油气热风烘干。烘干过程中产生有机废气、燃液化石油气烟尘。</w:t>
            </w:r>
          </w:p>
          <w:p w14:paraId="0F62EF03">
            <w:pPr>
              <w:tabs>
                <w:tab w:val="left" w:pos="2907"/>
              </w:tabs>
              <w:ind w:firstLine="480"/>
              <w:rPr>
                <w:kern w:val="2"/>
              </w:rPr>
            </w:pPr>
            <w:r>
              <w:rPr>
                <w:kern w:val="2"/>
              </w:rPr>
              <w:t>⑤自然冷却：工件在室温环境下冷却。该过程不产生任何废气。</w:t>
            </w:r>
          </w:p>
          <w:p w14:paraId="2141A06C">
            <w:pPr>
              <w:tabs>
                <w:tab w:val="left" w:pos="2907"/>
              </w:tabs>
              <w:ind w:firstLine="480"/>
              <w:rPr>
                <w:kern w:val="2"/>
              </w:rPr>
            </w:pPr>
            <w:r>
              <w:rPr>
                <w:kern w:val="2"/>
              </w:rPr>
              <w:t>⑥下件：工件下电泳生产线流转至下一工序。</w:t>
            </w:r>
          </w:p>
          <w:p w14:paraId="24CBE630">
            <w:pPr>
              <w:ind w:firstLine="480"/>
              <w:jc w:val="both"/>
              <w:rPr>
                <w:kern w:val="2"/>
                <w:szCs w:val="22"/>
              </w:rPr>
            </w:pPr>
            <w:r>
              <w:rPr>
                <w:kern w:val="2"/>
                <w:szCs w:val="22"/>
              </w:rPr>
              <w:t>项目营运期产污环节见下表。</w:t>
            </w:r>
          </w:p>
          <w:p w14:paraId="05D2AFDE">
            <w:pPr>
              <w:pStyle w:val="7"/>
              <w:widowControl w:val="0"/>
              <w:rPr>
                <w:rFonts w:hint="default"/>
                <w:kern w:val="2"/>
                <w:szCs w:val="21"/>
              </w:rPr>
            </w:pPr>
            <w:r>
              <w:rPr>
                <w:rFonts w:hint="default" w:eastAsia="宋体"/>
                <w:kern w:val="2"/>
                <w:szCs w:val="21"/>
              </w:rPr>
              <w:t>表2-11  本项目营运期主要污染工序一览表</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7"/>
              <w:gridCol w:w="778"/>
              <w:gridCol w:w="2216"/>
              <w:gridCol w:w="1561"/>
              <w:gridCol w:w="3197"/>
            </w:tblGrid>
            <w:tr w14:paraId="1D355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vMerge w:val="restar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14:paraId="3A112DFB">
                  <w:pPr>
                    <w:pStyle w:val="20"/>
                    <w:rPr>
                      <w:b/>
                      <w:bCs/>
                      <w:lang w:val="zh-CN"/>
                    </w:rPr>
                  </w:pPr>
                  <w:r>
                    <w:rPr>
                      <w:b/>
                      <w:bCs/>
                      <w:lang w:val="zh-CN"/>
                    </w:rPr>
                    <w:t>序号</w:t>
                  </w:r>
                </w:p>
              </w:tc>
              <w:tc>
                <w:tcPr>
                  <w:tcW w:w="469" w:type="pct"/>
                  <w:vMerge w:val="restart"/>
                  <w:tcBorders>
                    <w:top w:val="single" w:color="auto" w:sz="4" w:space="0"/>
                    <w:left w:val="nil"/>
                    <w:bottom w:val="single" w:color="auto" w:sz="4" w:space="0"/>
                    <w:right w:val="single" w:color="auto" w:sz="4" w:space="0"/>
                  </w:tcBorders>
                  <w:vAlign w:val="center"/>
                </w:tcPr>
                <w:p w14:paraId="5F5C88F3">
                  <w:pPr>
                    <w:pStyle w:val="20"/>
                    <w:rPr>
                      <w:b/>
                      <w:bCs/>
                      <w:lang w:val="zh-CN"/>
                    </w:rPr>
                  </w:pPr>
                  <w:r>
                    <w:rPr>
                      <w:b/>
                      <w:bCs/>
                      <w:lang w:val="zh-CN"/>
                    </w:rPr>
                    <w:t>污染</w:t>
                  </w:r>
                </w:p>
                <w:p w14:paraId="2732730F">
                  <w:pPr>
                    <w:pStyle w:val="20"/>
                    <w:rPr>
                      <w:b/>
                      <w:bCs/>
                      <w:lang w:val="zh-CN"/>
                    </w:rPr>
                  </w:pPr>
                  <w:r>
                    <w:rPr>
                      <w:b/>
                      <w:bCs/>
                      <w:lang w:val="zh-CN"/>
                    </w:rPr>
                    <w:t>类型</w:t>
                  </w:r>
                </w:p>
              </w:tc>
              <w:tc>
                <w:tcPr>
                  <w:tcW w:w="1336" w:type="pct"/>
                  <w:vMerge w:val="restart"/>
                  <w:tcBorders>
                    <w:top w:val="single" w:color="auto" w:sz="4" w:space="0"/>
                    <w:left w:val="nil"/>
                    <w:bottom w:val="single" w:color="auto" w:sz="4" w:space="0"/>
                    <w:right w:val="single" w:color="auto" w:sz="4" w:space="0"/>
                  </w:tcBorders>
                  <w:vAlign w:val="center"/>
                </w:tcPr>
                <w:p w14:paraId="3B20DBBF">
                  <w:pPr>
                    <w:pStyle w:val="20"/>
                    <w:rPr>
                      <w:b/>
                      <w:bCs/>
                      <w:lang w:val="zh-CN"/>
                    </w:rPr>
                  </w:pPr>
                  <w:r>
                    <w:rPr>
                      <w:b/>
                      <w:bCs/>
                      <w:lang w:val="zh-CN"/>
                    </w:rPr>
                    <w:t>产污环节</w:t>
                  </w:r>
                </w:p>
              </w:tc>
              <w:tc>
                <w:tcPr>
                  <w:tcW w:w="2869" w:type="pct"/>
                  <w:gridSpan w:val="2"/>
                  <w:tcBorders>
                    <w:top w:val="single" w:color="auto" w:sz="4" w:space="0"/>
                    <w:left w:val="nil"/>
                    <w:bottom w:val="single" w:color="auto" w:sz="4" w:space="0"/>
                    <w:right w:val="single" w:color="auto" w:sz="4" w:space="0"/>
                  </w:tcBorders>
                  <w:vAlign w:val="center"/>
                </w:tcPr>
                <w:p w14:paraId="0F176B29">
                  <w:pPr>
                    <w:pStyle w:val="20"/>
                    <w:rPr>
                      <w:b/>
                      <w:bCs/>
                      <w:lang w:val="zh-CN"/>
                    </w:rPr>
                  </w:pPr>
                  <w:r>
                    <w:rPr>
                      <w:b/>
                      <w:bCs/>
                      <w:lang w:val="zh-CN"/>
                    </w:rPr>
                    <w:t>污染物</w:t>
                  </w:r>
                </w:p>
              </w:tc>
            </w:tr>
            <w:tr w14:paraId="1AF5F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vMerge w:val="continue"/>
                  <w:tcBorders>
                    <w:top w:val="single" w:color="auto" w:sz="4" w:space="0"/>
                    <w:left w:val="single" w:color="auto" w:sz="4" w:space="0"/>
                    <w:bottom w:val="single" w:color="auto" w:sz="4" w:space="0"/>
                    <w:right w:val="single" w:color="auto" w:sz="4" w:space="0"/>
                  </w:tcBorders>
                  <w:vAlign w:val="center"/>
                </w:tcPr>
                <w:p w14:paraId="251E2DD7">
                  <w:pPr>
                    <w:pStyle w:val="20"/>
                    <w:rPr>
                      <w:b/>
                      <w:bCs/>
                      <w:lang w:val="zh-CN"/>
                    </w:rPr>
                  </w:pPr>
                </w:p>
              </w:tc>
              <w:tc>
                <w:tcPr>
                  <w:tcW w:w="469" w:type="pct"/>
                  <w:vMerge w:val="continue"/>
                  <w:tcBorders>
                    <w:top w:val="single" w:color="auto" w:sz="4" w:space="0"/>
                    <w:left w:val="nil"/>
                    <w:bottom w:val="single" w:color="auto" w:sz="4" w:space="0"/>
                    <w:right w:val="single" w:color="auto" w:sz="4" w:space="0"/>
                  </w:tcBorders>
                  <w:vAlign w:val="center"/>
                </w:tcPr>
                <w:p w14:paraId="19B3F139">
                  <w:pPr>
                    <w:pStyle w:val="20"/>
                    <w:rPr>
                      <w:b/>
                      <w:bCs/>
                      <w:lang w:val="zh-CN"/>
                    </w:rPr>
                  </w:pPr>
                </w:p>
              </w:tc>
              <w:tc>
                <w:tcPr>
                  <w:tcW w:w="1336" w:type="pct"/>
                  <w:vMerge w:val="continue"/>
                  <w:tcBorders>
                    <w:top w:val="single" w:color="auto" w:sz="4" w:space="0"/>
                    <w:left w:val="nil"/>
                    <w:bottom w:val="single" w:color="auto" w:sz="4" w:space="0"/>
                    <w:right w:val="single" w:color="auto" w:sz="4" w:space="0"/>
                  </w:tcBorders>
                  <w:vAlign w:val="center"/>
                </w:tcPr>
                <w:p w14:paraId="00D58A25">
                  <w:pPr>
                    <w:pStyle w:val="20"/>
                    <w:rPr>
                      <w:b/>
                      <w:bCs/>
                      <w:lang w:val="zh-CN"/>
                    </w:rPr>
                  </w:pPr>
                </w:p>
              </w:tc>
              <w:tc>
                <w:tcPr>
                  <w:tcW w:w="941" w:type="pct"/>
                  <w:tcBorders>
                    <w:top w:val="single" w:color="auto" w:sz="4" w:space="0"/>
                    <w:left w:val="nil"/>
                    <w:bottom w:val="single" w:color="auto" w:sz="4" w:space="0"/>
                    <w:right w:val="single" w:color="auto" w:sz="4" w:space="0"/>
                  </w:tcBorders>
                  <w:vAlign w:val="center"/>
                </w:tcPr>
                <w:p w14:paraId="152F8F73">
                  <w:pPr>
                    <w:pStyle w:val="20"/>
                    <w:rPr>
                      <w:b/>
                      <w:bCs/>
                      <w:lang w:val="zh-CN"/>
                    </w:rPr>
                  </w:pPr>
                  <w:r>
                    <w:rPr>
                      <w:b/>
                      <w:bCs/>
                      <w:lang w:val="zh-CN"/>
                    </w:rPr>
                    <w:t>内容</w:t>
                  </w:r>
                </w:p>
              </w:tc>
              <w:tc>
                <w:tcPr>
                  <w:tcW w:w="1927" w:type="pct"/>
                  <w:tcBorders>
                    <w:top w:val="single" w:color="auto" w:sz="4" w:space="0"/>
                    <w:left w:val="nil"/>
                    <w:bottom w:val="single" w:color="auto" w:sz="4" w:space="0"/>
                    <w:right w:val="single" w:color="auto" w:sz="4" w:space="0"/>
                  </w:tcBorders>
                  <w:vAlign w:val="center"/>
                </w:tcPr>
                <w:p w14:paraId="5F4CF204">
                  <w:pPr>
                    <w:pStyle w:val="20"/>
                    <w:rPr>
                      <w:b/>
                      <w:bCs/>
                      <w:lang w:val="zh-CN"/>
                    </w:rPr>
                  </w:pPr>
                  <w:r>
                    <w:rPr>
                      <w:b/>
                      <w:bCs/>
                      <w:lang w:val="zh-CN"/>
                    </w:rPr>
                    <w:t>污染因子</w:t>
                  </w:r>
                </w:p>
              </w:tc>
            </w:tr>
            <w:tr w14:paraId="7672A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vMerge w:val="restart"/>
                  <w:tcBorders>
                    <w:top w:val="single" w:color="auto" w:sz="4" w:space="0"/>
                    <w:left w:val="single" w:color="auto" w:sz="4" w:space="0"/>
                    <w:right w:val="single" w:color="auto" w:sz="4" w:space="0"/>
                  </w:tcBorders>
                  <w:vAlign w:val="center"/>
                </w:tcPr>
                <w:p w14:paraId="28F5D525">
                  <w:pPr>
                    <w:pStyle w:val="20"/>
                    <w:rPr>
                      <w:lang w:val="zh-CN"/>
                    </w:rPr>
                  </w:pPr>
                  <w:r>
                    <w:rPr>
                      <w:lang w:val="zh-CN"/>
                    </w:rPr>
                    <w:t>1</w:t>
                  </w:r>
                </w:p>
              </w:tc>
              <w:tc>
                <w:tcPr>
                  <w:tcW w:w="469" w:type="pct"/>
                  <w:vMerge w:val="restart"/>
                  <w:tcBorders>
                    <w:top w:val="single" w:color="auto" w:sz="4" w:space="0"/>
                    <w:left w:val="nil"/>
                    <w:right w:val="single" w:color="auto" w:sz="4" w:space="0"/>
                  </w:tcBorders>
                  <w:vAlign w:val="center"/>
                </w:tcPr>
                <w:p w14:paraId="18A0C744">
                  <w:pPr>
                    <w:pStyle w:val="20"/>
                    <w:rPr>
                      <w:lang w:val="zh-CN"/>
                    </w:rPr>
                  </w:pPr>
                  <w:r>
                    <w:rPr>
                      <w:lang w:val="zh-CN"/>
                    </w:rPr>
                    <w:t>废水</w:t>
                  </w:r>
                </w:p>
              </w:tc>
              <w:tc>
                <w:tcPr>
                  <w:tcW w:w="1336" w:type="pct"/>
                  <w:tcBorders>
                    <w:top w:val="single" w:color="auto" w:sz="4" w:space="0"/>
                    <w:left w:val="nil"/>
                    <w:bottom w:val="single" w:color="auto" w:sz="4" w:space="0"/>
                    <w:right w:val="single" w:color="auto" w:sz="4" w:space="0"/>
                  </w:tcBorders>
                  <w:vAlign w:val="center"/>
                </w:tcPr>
                <w:p w14:paraId="73866170">
                  <w:pPr>
                    <w:pStyle w:val="20"/>
                  </w:pPr>
                  <w:r>
                    <w:t>纯水机尾水</w:t>
                  </w:r>
                </w:p>
              </w:tc>
              <w:tc>
                <w:tcPr>
                  <w:tcW w:w="941" w:type="pct"/>
                  <w:tcBorders>
                    <w:top w:val="single" w:color="auto" w:sz="4" w:space="0"/>
                    <w:left w:val="nil"/>
                    <w:bottom w:val="single" w:color="auto" w:sz="4" w:space="0"/>
                    <w:right w:val="single" w:color="auto" w:sz="4" w:space="0"/>
                  </w:tcBorders>
                  <w:vAlign w:val="center"/>
                </w:tcPr>
                <w:p w14:paraId="1402C1C3">
                  <w:pPr>
                    <w:pStyle w:val="20"/>
                  </w:pPr>
                  <w:r>
                    <w:t>生产废水</w:t>
                  </w:r>
                </w:p>
              </w:tc>
              <w:tc>
                <w:tcPr>
                  <w:tcW w:w="1927" w:type="pct"/>
                  <w:tcBorders>
                    <w:top w:val="single" w:color="auto" w:sz="4" w:space="0"/>
                    <w:left w:val="nil"/>
                    <w:bottom w:val="single" w:color="auto" w:sz="4" w:space="0"/>
                    <w:right w:val="single" w:color="auto" w:sz="4" w:space="0"/>
                  </w:tcBorders>
                  <w:vAlign w:val="center"/>
                </w:tcPr>
                <w:p w14:paraId="5126133F">
                  <w:pPr>
                    <w:pStyle w:val="20"/>
                    <w:rPr>
                      <w:lang w:val="zh-CN"/>
                    </w:rPr>
                  </w:pPr>
                  <w:r>
                    <w:rPr>
                      <w:lang w:val="zh-CN"/>
                    </w:rPr>
                    <w:t>SS</w:t>
                  </w:r>
                </w:p>
              </w:tc>
            </w:tr>
            <w:tr w14:paraId="6222D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vMerge w:val="continue"/>
                  <w:tcBorders>
                    <w:left w:val="single" w:color="auto" w:sz="4" w:space="0"/>
                    <w:bottom w:val="single" w:color="auto" w:sz="4" w:space="0"/>
                    <w:right w:val="single" w:color="auto" w:sz="4" w:space="0"/>
                  </w:tcBorders>
                  <w:vAlign w:val="center"/>
                </w:tcPr>
                <w:p w14:paraId="5ECFE2A0">
                  <w:pPr>
                    <w:pStyle w:val="20"/>
                    <w:rPr>
                      <w:lang w:val="zh-CN"/>
                    </w:rPr>
                  </w:pPr>
                </w:p>
              </w:tc>
              <w:tc>
                <w:tcPr>
                  <w:tcW w:w="469" w:type="pct"/>
                  <w:vMerge w:val="continue"/>
                  <w:tcBorders>
                    <w:left w:val="nil"/>
                    <w:bottom w:val="single" w:color="auto" w:sz="4" w:space="0"/>
                    <w:right w:val="single" w:color="auto" w:sz="4" w:space="0"/>
                  </w:tcBorders>
                  <w:vAlign w:val="center"/>
                </w:tcPr>
                <w:p w14:paraId="78371B09">
                  <w:pPr>
                    <w:pStyle w:val="20"/>
                    <w:rPr>
                      <w:lang w:val="zh-CN"/>
                    </w:rPr>
                  </w:pPr>
                </w:p>
              </w:tc>
              <w:tc>
                <w:tcPr>
                  <w:tcW w:w="1336" w:type="pct"/>
                  <w:tcBorders>
                    <w:top w:val="single" w:color="auto" w:sz="4" w:space="0"/>
                    <w:left w:val="nil"/>
                    <w:bottom w:val="single" w:color="auto" w:sz="4" w:space="0"/>
                    <w:right w:val="single" w:color="auto" w:sz="4" w:space="0"/>
                  </w:tcBorders>
                  <w:vAlign w:val="center"/>
                </w:tcPr>
                <w:p w14:paraId="04CB928D">
                  <w:pPr>
                    <w:pStyle w:val="20"/>
                  </w:pPr>
                  <w:r>
                    <w:t>清洗废水</w:t>
                  </w:r>
                </w:p>
              </w:tc>
              <w:tc>
                <w:tcPr>
                  <w:tcW w:w="941" w:type="pct"/>
                  <w:tcBorders>
                    <w:top w:val="single" w:color="auto" w:sz="4" w:space="0"/>
                    <w:left w:val="nil"/>
                    <w:bottom w:val="single" w:color="auto" w:sz="4" w:space="0"/>
                    <w:right w:val="single" w:color="auto" w:sz="4" w:space="0"/>
                  </w:tcBorders>
                  <w:vAlign w:val="center"/>
                </w:tcPr>
                <w:p w14:paraId="06CFB890">
                  <w:pPr>
                    <w:pStyle w:val="20"/>
                  </w:pPr>
                  <w:r>
                    <w:t>生产废水</w:t>
                  </w:r>
                </w:p>
              </w:tc>
              <w:tc>
                <w:tcPr>
                  <w:tcW w:w="1927" w:type="pct"/>
                  <w:tcBorders>
                    <w:top w:val="single" w:color="auto" w:sz="4" w:space="0"/>
                    <w:left w:val="nil"/>
                    <w:bottom w:val="single" w:color="auto" w:sz="4" w:space="0"/>
                    <w:right w:val="single" w:color="auto" w:sz="4" w:space="0"/>
                  </w:tcBorders>
                  <w:vAlign w:val="center"/>
                </w:tcPr>
                <w:p w14:paraId="0CFF9C49">
                  <w:pPr>
                    <w:pStyle w:val="20"/>
                  </w:pPr>
                  <w:r>
                    <w:t>pH、</w:t>
                  </w:r>
                  <w:r>
                    <w:rPr>
                      <w:lang w:val="zh-CN"/>
                    </w:rPr>
                    <w:t>COD</w:t>
                  </w:r>
                  <w:r>
                    <w:rPr>
                      <w:vertAlign w:val="subscript"/>
                      <w:lang w:val="zh-CN"/>
                    </w:rPr>
                    <w:t>cr</w:t>
                  </w:r>
                  <w:r>
                    <w:rPr>
                      <w:lang w:val="zh-CN"/>
                    </w:rPr>
                    <w:t>、BOD</w:t>
                  </w:r>
                  <w:r>
                    <w:rPr>
                      <w:vertAlign w:val="subscript"/>
                      <w:lang w:val="zh-CN"/>
                    </w:rPr>
                    <w:t>5</w:t>
                  </w:r>
                  <w:r>
                    <w:rPr>
                      <w:lang w:val="zh-CN"/>
                    </w:rPr>
                    <w:t>、SS、</w:t>
                  </w:r>
                  <w:r>
                    <w:t>LAS</w:t>
                  </w:r>
                  <w:r>
                    <w:rPr>
                      <w:lang w:val="zh-CN"/>
                    </w:rPr>
                    <w:t>、</w:t>
                  </w:r>
                  <w:r>
                    <w:t>石油类、氟化物</w:t>
                  </w:r>
                </w:p>
              </w:tc>
            </w:tr>
            <w:tr w14:paraId="05083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0F6EEAAE">
                  <w:pPr>
                    <w:pStyle w:val="20"/>
                    <w:rPr>
                      <w:lang w:val="zh-CN"/>
                    </w:rPr>
                  </w:pPr>
                  <w:r>
                    <w:t>2</w:t>
                  </w:r>
                </w:p>
              </w:tc>
              <w:tc>
                <w:tcPr>
                  <w:tcW w:w="469" w:type="pct"/>
                  <w:vMerge w:val="restart"/>
                  <w:tcBorders>
                    <w:top w:val="single" w:color="auto" w:sz="4" w:space="0"/>
                    <w:left w:val="nil"/>
                    <w:bottom w:val="single" w:color="auto" w:sz="4" w:space="0"/>
                    <w:right w:val="single" w:color="auto" w:sz="4" w:space="0"/>
                  </w:tcBorders>
                  <w:vAlign w:val="center"/>
                </w:tcPr>
                <w:p w14:paraId="0BFEF578">
                  <w:pPr>
                    <w:pStyle w:val="20"/>
                    <w:rPr>
                      <w:lang w:val="zh-CN"/>
                    </w:rPr>
                  </w:pPr>
                  <w:r>
                    <w:rPr>
                      <w:lang w:val="zh-CN"/>
                    </w:rPr>
                    <w:t>废气</w:t>
                  </w:r>
                </w:p>
              </w:tc>
              <w:tc>
                <w:tcPr>
                  <w:tcW w:w="1336" w:type="pct"/>
                  <w:tcBorders>
                    <w:top w:val="single" w:color="auto" w:sz="4" w:space="0"/>
                    <w:left w:val="nil"/>
                    <w:bottom w:val="single" w:color="auto" w:sz="4" w:space="0"/>
                    <w:right w:val="single" w:color="auto" w:sz="4" w:space="0"/>
                  </w:tcBorders>
                  <w:vAlign w:val="center"/>
                </w:tcPr>
                <w:p w14:paraId="1931CDD2">
                  <w:pPr>
                    <w:pStyle w:val="20"/>
                  </w:pPr>
                  <w:r>
                    <w:t>开料、机加工、喷粉、喷砂</w:t>
                  </w:r>
                </w:p>
              </w:tc>
              <w:tc>
                <w:tcPr>
                  <w:tcW w:w="941" w:type="pct"/>
                  <w:tcBorders>
                    <w:top w:val="single" w:color="auto" w:sz="4" w:space="0"/>
                    <w:left w:val="nil"/>
                    <w:bottom w:val="single" w:color="auto" w:sz="4" w:space="0"/>
                    <w:right w:val="single" w:color="auto" w:sz="4" w:space="0"/>
                  </w:tcBorders>
                  <w:vAlign w:val="center"/>
                </w:tcPr>
                <w:p w14:paraId="569D59A3">
                  <w:pPr>
                    <w:pStyle w:val="20"/>
                  </w:pPr>
                  <w:r>
                    <w:rPr>
                      <w:lang w:val="zh-CN"/>
                    </w:rPr>
                    <w:t>粉尘</w:t>
                  </w:r>
                </w:p>
              </w:tc>
              <w:tc>
                <w:tcPr>
                  <w:tcW w:w="1927" w:type="pct"/>
                  <w:tcBorders>
                    <w:top w:val="single" w:color="auto" w:sz="4" w:space="0"/>
                    <w:left w:val="nil"/>
                    <w:bottom w:val="single" w:color="auto" w:sz="4" w:space="0"/>
                    <w:right w:val="single" w:color="auto" w:sz="4" w:space="0"/>
                  </w:tcBorders>
                  <w:vAlign w:val="center"/>
                </w:tcPr>
                <w:p w14:paraId="1C32FF91">
                  <w:pPr>
                    <w:pStyle w:val="20"/>
                  </w:pPr>
                  <w:r>
                    <w:rPr>
                      <w:lang w:val="zh-CN"/>
                    </w:rPr>
                    <w:t>颗粒物</w:t>
                  </w:r>
                </w:p>
              </w:tc>
            </w:tr>
            <w:tr w14:paraId="573AB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162A5358">
                  <w:pPr>
                    <w:pStyle w:val="20"/>
                  </w:pPr>
                  <w:r>
                    <w:t>3</w:t>
                  </w:r>
                </w:p>
              </w:tc>
              <w:tc>
                <w:tcPr>
                  <w:tcW w:w="469" w:type="pct"/>
                  <w:vMerge w:val="continue"/>
                  <w:tcBorders>
                    <w:top w:val="single" w:color="auto" w:sz="4" w:space="0"/>
                    <w:left w:val="nil"/>
                    <w:bottom w:val="single" w:color="auto" w:sz="4" w:space="0"/>
                    <w:right w:val="single" w:color="auto" w:sz="4" w:space="0"/>
                  </w:tcBorders>
                  <w:vAlign w:val="center"/>
                </w:tcPr>
                <w:p w14:paraId="050223F4">
                  <w:pPr>
                    <w:pStyle w:val="20"/>
                    <w:rPr>
                      <w:lang w:val="zh-CN"/>
                    </w:rPr>
                  </w:pPr>
                </w:p>
              </w:tc>
              <w:tc>
                <w:tcPr>
                  <w:tcW w:w="1336" w:type="pct"/>
                  <w:tcBorders>
                    <w:top w:val="single" w:color="auto" w:sz="4" w:space="0"/>
                    <w:left w:val="nil"/>
                    <w:bottom w:val="single" w:color="auto" w:sz="4" w:space="0"/>
                    <w:right w:val="single" w:color="auto" w:sz="4" w:space="0"/>
                  </w:tcBorders>
                  <w:vAlign w:val="center"/>
                </w:tcPr>
                <w:p w14:paraId="46BF9804">
                  <w:pPr>
                    <w:pStyle w:val="20"/>
                  </w:pPr>
                  <w:r>
                    <w:t>粉末固化、电泳烘干</w:t>
                  </w:r>
                </w:p>
              </w:tc>
              <w:tc>
                <w:tcPr>
                  <w:tcW w:w="941" w:type="pct"/>
                  <w:tcBorders>
                    <w:top w:val="single" w:color="auto" w:sz="4" w:space="0"/>
                    <w:left w:val="nil"/>
                    <w:bottom w:val="single" w:color="auto" w:sz="4" w:space="0"/>
                    <w:right w:val="single" w:color="auto" w:sz="4" w:space="0"/>
                  </w:tcBorders>
                  <w:vAlign w:val="center"/>
                </w:tcPr>
                <w:p w14:paraId="7FE7632B">
                  <w:pPr>
                    <w:pStyle w:val="20"/>
                  </w:pPr>
                  <w:r>
                    <w:rPr>
                      <w:lang w:val="zh-CN"/>
                    </w:rPr>
                    <w:t>废气</w:t>
                  </w:r>
                </w:p>
              </w:tc>
              <w:tc>
                <w:tcPr>
                  <w:tcW w:w="1927" w:type="pct"/>
                  <w:tcBorders>
                    <w:top w:val="single" w:color="auto" w:sz="4" w:space="0"/>
                    <w:left w:val="nil"/>
                    <w:bottom w:val="single" w:color="auto" w:sz="4" w:space="0"/>
                    <w:right w:val="single" w:color="auto" w:sz="4" w:space="0"/>
                  </w:tcBorders>
                  <w:vAlign w:val="center"/>
                </w:tcPr>
                <w:p w14:paraId="2B2A6E1C">
                  <w:pPr>
                    <w:pStyle w:val="20"/>
                    <w:rPr>
                      <w:rFonts w:hint="eastAsia" w:eastAsia="宋体"/>
                      <w:lang w:eastAsia="zh-CN"/>
                    </w:rPr>
                  </w:pPr>
                  <w:r>
                    <w:rPr>
                      <w:rFonts w:hint="eastAsia"/>
                      <w:lang w:eastAsia="zh-CN"/>
                    </w:rPr>
                    <w:t>VOCs</w:t>
                  </w:r>
                </w:p>
              </w:tc>
            </w:tr>
            <w:tr w14:paraId="11EB4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4A945ED5">
                  <w:pPr>
                    <w:pStyle w:val="20"/>
                  </w:pPr>
                  <w:r>
                    <w:t>4</w:t>
                  </w:r>
                </w:p>
              </w:tc>
              <w:tc>
                <w:tcPr>
                  <w:tcW w:w="469" w:type="pct"/>
                  <w:vMerge w:val="continue"/>
                  <w:tcBorders>
                    <w:top w:val="single" w:color="auto" w:sz="4" w:space="0"/>
                    <w:left w:val="nil"/>
                    <w:bottom w:val="single" w:color="auto" w:sz="4" w:space="0"/>
                    <w:right w:val="single" w:color="auto" w:sz="4" w:space="0"/>
                  </w:tcBorders>
                  <w:vAlign w:val="center"/>
                </w:tcPr>
                <w:p w14:paraId="71A63C64">
                  <w:pPr>
                    <w:pStyle w:val="20"/>
                    <w:rPr>
                      <w:lang w:val="zh-CN"/>
                    </w:rPr>
                  </w:pPr>
                </w:p>
              </w:tc>
              <w:tc>
                <w:tcPr>
                  <w:tcW w:w="1336" w:type="pct"/>
                  <w:vMerge w:val="restart"/>
                  <w:tcBorders>
                    <w:top w:val="single" w:color="auto" w:sz="4" w:space="0"/>
                    <w:left w:val="nil"/>
                    <w:bottom w:val="single" w:color="auto" w:sz="4" w:space="0"/>
                    <w:right w:val="single" w:color="auto" w:sz="4" w:space="0"/>
                  </w:tcBorders>
                  <w:vAlign w:val="center"/>
                </w:tcPr>
                <w:p w14:paraId="4982AC25">
                  <w:pPr>
                    <w:pStyle w:val="20"/>
                  </w:pPr>
                  <w:r>
                    <w:rPr>
                      <w:lang w:val="zh-CN"/>
                    </w:rPr>
                    <w:t>生产</w:t>
                  </w:r>
                  <w:r>
                    <w:t>过程</w:t>
                  </w:r>
                </w:p>
              </w:tc>
              <w:tc>
                <w:tcPr>
                  <w:tcW w:w="941" w:type="pct"/>
                  <w:vMerge w:val="restart"/>
                  <w:tcBorders>
                    <w:top w:val="single" w:color="auto" w:sz="4" w:space="0"/>
                    <w:left w:val="nil"/>
                    <w:bottom w:val="single" w:color="auto" w:sz="4" w:space="0"/>
                    <w:right w:val="single" w:color="auto" w:sz="4" w:space="0"/>
                  </w:tcBorders>
                  <w:vAlign w:val="center"/>
                </w:tcPr>
                <w:p w14:paraId="2038836E">
                  <w:pPr>
                    <w:pStyle w:val="20"/>
                    <w:rPr>
                      <w:lang w:val="zh-CN"/>
                    </w:rPr>
                  </w:pPr>
                  <w:r>
                    <w:rPr>
                      <w:lang w:val="zh-CN"/>
                    </w:rPr>
                    <w:t>生产废料</w:t>
                  </w:r>
                </w:p>
              </w:tc>
              <w:tc>
                <w:tcPr>
                  <w:tcW w:w="1927" w:type="pct"/>
                  <w:tcBorders>
                    <w:top w:val="single" w:color="auto" w:sz="4" w:space="0"/>
                    <w:left w:val="nil"/>
                    <w:bottom w:val="single" w:color="auto" w:sz="4" w:space="0"/>
                    <w:right w:val="single" w:color="auto" w:sz="4" w:space="0"/>
                  </w:tcBorders>
                  <w:vAlign w:val="center"/>
                </w:tcPr>
                <w:p w14:paraId="5F1C7CA0">
                  <w:pPr>
                    <w:pStyle w:val="20"/>
                  </w:pPr>
                  <w:r>
                    <w:t>边角料</w:t>
                  </w:r>
                </w:p>
              </w:tc>
            </w:tr>
            <w:tr w14:paraId="5102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6851FE51">
                  <w:pPr>
                    <w:pStyle w:val="20"/>
                  </w:pPr>
                  <w:r>
                    <w:t>5</w:t>
                  </w:r>
                </w:p>
              </w:tc>
              <w:tc>
                <w:tcPr>
                  <w:tcW w:w="469" w:type="pct"/>
                  <w:vMerge w:val="continue"/>
                  <w:tcBorders>
                    <w:top w:val="single" w:color="auto" w:sz="4" w:space="0"/>
                    <w:left w:val="nil"/>
                    <w:bottom w:val="single" w:color="auto" w:sz="4" w:space="0"/>
                    <w:right w:val="single" w:color="auto" w:sz="4" w:space="0"/>
                  </w:tcBorders>
                  <w:vAlign w:val="center"/>
                </w:tcPr>
                <w:p w14:paraId="6F3A9798">
                  <w:pPr>
                    <w:pStyle w:val="20"/>
                    <w:rPr>
                      <w:lang w:val="zh-CN"/>
                    </w:rPr>
                  </w:pPr>
                </w:p>
              </w:tc>
              <w:tc>
                <w:tcPr>
                  <w:tcW w:w="1336" w:type="pct"/>
                  <w:vMerge w:val="continue"/>
                  <w:tcBorders>
                    <w:top w:val="single" w:color="auto" w:sz="4" w:space="0"/>
                    <w:left w:val="nil"/>
                    <w:bottom w:val="single" w:color="auto" w:sz="4" w:space="0"/>
                    <w:right w:val="single" w:color="auto" w:sz="4" w:space="0"/>
                  </w:tcBorders>
                  <w:vAlign w:val="center"/>
                </w:tcPr>
                <w:p w14:paraId="794359AA">
                  <w:pPr>
                    <w:pStyle w:val="20"/>
                  </w:pPr>
                </w:p>
              </w:tc>
              <w:tc>
                <w:tcPr>
                  <w:tcW w:w="941" w:type="pct"/>
                  <w:vMerge w:val="continue"/>
                  <w:tcBorders>
                    <w:top w:val="single" w:color="auto" w:sz="4" w:space="0"/>
                    <w:left w:val="nil"/>
                    <w:bottom w:val="single" w:color="auto" w:sz="4" w:space="0"/>
                    <w:right w:val="single" w:color="auto" w:sz="4" w:space="0"/>
                  </w:tcBorders>
                  <w:vAlign w:val="center"/>
                </w:tcPr>
                <w:p w14:paraId="21250077">
                  <w:pPr>
                    <w:pStyle w:val="20"/>
                  </w:pPr>
                </w:p>
              </w:tc>
              <w:tc>
                <w:tcPr>
                  <w:tcW w:w="1927" w:type="pct"/>
                  <w:tcBorders>
                    <w:top w:val="single" w:color="auto" w:sz="4" w:space="0"/>
                    <w:left w:val="nil"/>
                    <w:bottom w:val="single" w:color="auto" w:sz="4" w:space="0"/>
                    <w:right w:val="single" w:color="auto" w:sz="4" w:space="0"/>
                  </w:tcBorders>
                  <w:vAlign w:val="center"/>
                </w:tcPr>
                <w:p w14:paraId="246B8AC1">
                  <w:pPr>
                    <w:pStyle w:val="20"/>
                  </w:pPr>
                  <w:r>
                    <w:t>废麻轮、布轮</w:t>
                  </w:r>
                </w:p>
              </w:tc>
            </w:tr>
            <w:tr w14:paraId="7FE49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75F7165B">
                  <w:pPr>
                    <w:pStyle w:val="20"/>
                  </w:pPr>
                  <w:r>
                    <w:t>6</w:t>
                  </w:r>
                </w:p>
              </w:tc>
              <w:tc>
                <w:tcPr>
                  <w:tcW w:w="469" w:type="pct"/>
                  <w:vMerge w:val="continue"/>
                  <w:tcBorders>
                    <w:top w:val="single" w:color="auto" w:sz="4" w:space="0"/>
                    <w:left w:val="nil"/>
                    <w:bottom w:val="single" w:color="auto" w:sz="4" w:space="0"/>
                    <w:right w:val="single" w:color="auto" w:sz="4" w:space="0"/>
                  </w:tcBorders>
                  <w:vAlign w:val="center"/>
                </w:tcPr>
                <w:p w14:paraId="17E79829">
                  <w:pPr>
                    <w:pStyle w:val="20"/>
                    <w:rPr>
                      <w:lang w:val="zh-CN"/>
                    </w:rPr>
                  </w:pPr>
                </w:p>
              </w:tc>
              <w:tc>
                <w:tcPr>
                  <w:tcW w:w="1336" w:type="pct"/>
                  <w:vMerge w:val="continue"/>
                  <w:tcBorders>
                    <w:top w:val="single" w:color="auto" w:sz="4" w:space="0"/>
                    <w:left w:val="nil"/>
                    <w:bottom w:val="single" w:color="auto" w:sz="4" w:space="0"/>
                    <w:right w:val="single" w:color="auto" w:sz="4" w:space="0"/>
                  </w:tcBorders>
                  <w:vAlign w:val="center"/>
                </w:tcPr>
                <w:p w14:paraId="188E74F7">
                  <w:pPr>
                    <w:pStyle w:val="20"/>
                  </w:pPr>
                </w:p>
              </w:tc>
              <w:tc>
                <w:tcPr>
                  <w:tcW w:w="941" w:type="pct"/>
                  <w:vMerge w:val="continue"/>
                  <w:tcBorders>
                    <w:top w:val="single" w:color="auto" w:sz="4" w:space="0"/>
                    <w:left w:val="nil"/>
                    <w:bottom w:val="single" w:color="auto" w:sz="4" w:space="0"/>
                    <w:right w:val="single" w:color="auto" w:sz="4" w:space="0"/>
                  </w:tcBorders>
                  <w:vAlign w:val="center"/>
                </w:tcPr>
                <w:p w14:paraId="723EEBCF">
                  <w:pPr>
                    <w:pStyle w:val="20"/>
                  </w:pPr>
                </w:p>
              </w:tc>
              <w:tc>
                <w:tcPr>
                  <w:tcW w:w="1927" w:type="pct"/>
                  <w:tcBorders>
                    <w:top w:val="single" w:color="auto" w:sz="4" w:space="0"/>
                    <w:left w:val="nil"/>
                    <w:bottom w:val="single" w:color="auto" w:sz="4" w:space="0"/>
                    <w:right w:val="single" w:color="auto" w:sz="4" w:space="0"/>
                  </w:tcBorders>
                  <w:vAlign w:val="center"/>
                </w:tcPr>
                <w:p w14:paraId="45186CC6">
                  <w:pPr>
                    <w:pStyle w:val="20"/>
                  </w:pPr>
                  <w:r>
                    <w:t>废槽液</w:t>
                  </w:r>
                </w:p>
              </w:tc>
            </w:tr>
            <w:tr w14:paraId="34191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7D0CC264">
                  <w:pPr>
                    <w:pStyle w:val="20"/>
                  </w:pPr>
                  <w:r>
                    <w:t>7</w:t>
                  </w:r>
                </w:p>
              </w:tc>
              <w:tc>
                <w:tcPr>
                  <w:tcW w:w="469" w:type="pct"/>
                  <w:vMerge w:val="continue"/>
                  <w:tcBorders>
                    <w:top w:val="single" w:color="auto" w:sz="4" w:space="0"/>
                    <w:left w:val="nil"/>
                    <w:bottom w:val="single" w:color="auto" w:sz="4" w:space="0"/>
                    <w:right w:val="single" w:color="auto" w:sz="4" w:space="0"/>
                  </w:tcBorders>
                  <w:vAlign w:val="center"/>
                </w:tcPr>
                <w:p w14:paraId="1AC62CEF">
                  <w:pPr>
                    <w:pStyle w:val="20"/>
                    <w:rPr>
                      <w:lang w:val="zh-CN"/>
                    </w:rPr>
                  </w:pPr>
                </w:p>
              </w:tc>
              <w:tc>
                <w:tcPr>
                  <w:tcW w:w="1336" w:type="pct"/>
                  <w:vMerge w:val="restart"/>
                  <w:tcBorders>
                    <w:top w:val="single" w:color="auto" w:sz="4" w:space="0"/>
                    <w:left w:val="nil"/>
                    <w:bottom w:val="single" w:color="auto" w:sz="4" w:space="0"/>
                    <w:right w:val="single" w:color="auto" w:sz="4" w:space="0"/>
                  </w:tcBorders>
                  <w:vAlign w:val="center"/>
                </w:tcPr>
                <w:p w14:paraId="41E58CE8">
                  <w:pPr>
                    <w:pStyle w:val="20"/>
                    <w:rPr>
                      <w:lang w:val="zh-CN"/>
                    </w:rPr>
                  </w:pPr>
                  <w:r>
                    <w:rPr>
                      <w:lang w:val="zh-CN"/>
                    </w:rPr>
                    <w:t>废气处理</w:t>
                  </w:r>
                </w:p>
              </w:tc>
              <w:tc>
                <w:tcPr>
                  <w:tcW w:w="941" w:type="pct"/>
                  <w:tcBorders>
                    <w:top w:val="single" w:color="auto" w:sz="4" w:space="0"/>
                    <w:left w:val="nil"/>
                    <w:bottom w:val="single" w:color="auto" w:sz="4" w:space="0"/>
                    <w:right w:val="single" w:color="auto" w:sz="4" w:space="0"/>
                  </w:tcBorders>
                  <w:vAlign w:val="center"/>
                </w:tcPr>
                <w:p w14:paraId="6EF8642E">
                  <w:pPr>
                    <w:pStyle w:val="20"/>
                    <w:rPr>
                      <w:lang w:val="zh-CN"/>
                    </w:rPr>
                  </w:pPr>
                  <w:r>
                    <w:rPr>
                      <w:lang w:val="zh-CN"/>
                    </w:rPr>
                    <w:t>废活性炭及其吸附物</w:t>
                  </w:r>
                </w:p>
              </w:tc>
              <w:tc>
                <w:tcPr>
                  <w:tcW w:w="1927" w:type="pct"/>
                  <w:tcBorders>
                    <w:top w:val="single" w:color="auto" w:sz="4" w:space="0"/>
                    <w:left w:val="nil"/>
                    <w:bottom w:val="single" w:color="auto" w:sz="4" w:space="0"/>
                    <w:right w:val="single" w:color="auto" w:sz="4" w:space="0"/>
                  </w:tcBorders>
                  <w:vAlign w:val="center"/>
                </w:tcPr>
                <w:p w14:paraId="70845FA6">
                  <w:pPr>
                    <w:pStyle w:val="20"/>
                    <w:rPr>
                      <w:lang w:val="zh-CN"/>
                    </w:rPr>
                  </w:pPr>
                  <w:r>
                    <w:rPr>
                      <w:lang w:val="zh-CN"/>
                    </w:rPr>
                    <w:t>废活性炭及其吸附物</w:t>
                  </w:r>
                </w:p>
              </w:tc>
            </w:tr>
            <w:tr w14:paraId="69B16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3FF31030">
                  <w:pPr>
                    <w:pStyle w:val="20"/>
                  </w:pPr>
                  <w:r>
                    <w:t>8</w:t>
                  </w:r>
                </w:p>
              </w:tc>
              <w:tc>
                <w:tcPr>
                  <w:tcW w:w="469" w:type="pct"/>
                  <w:vMerge w:val="continue"/>
                  <w:tcBorders>
                    <w:top w:val="single" w:color="auto" w:sz="4" w:space="0"/>
                    <w:left w:val="nil"/>
                    <w:bottom w:val="single" w:color="auto" w:sz="4" w:space="0"/>
                    <w:right w:val="single" w:color="auto" w:sz="4" w:space="0"/>
                  </w:tcBorders>
                  <w:vAlign w:val="center"/>
                </w:tcPr>
                <w:p w14:paraId="5E5F8262">
                  <w:pPr>
                    <w:pStyle w:val="20"/>
                    <w:rPr>
                      <w:lang w:val="zh-CN"/>
                    </w:rPr>
                  </w:pPr>
                </w:p>
              </w:tc>
              <w:tc>
                <w:tcPr>
                  <w:tcW w:w="1336" w:type="pct"/>
                  <w:vMerge w:val="continue"/>
                  <w:tcBorders>
                    <w:top w:val="single" w:color="auto" w:sz="4" w:space="0"/>
                    <w:left w:val="nil"/>
                    <w:bottom w:val="single" w:color="auto" w:sz="4" w:space="0"/>
                    <w:right w:val="single" w:color="auto" w:sz="4" w:space="0"/>
                  </w:tcBorders>
                  <w:vAlign w:val="center"/>
                </w:tcPr>
                <w:p w14:paraId="474BA4A8">
                  <w:pPr>
                    <w:pStyle w:val="20"/>
                    <w:rPr>
                      <w:lang w:val="zh-CN"/>
                    </w:rPr>
                  </w:pPr>
                </w:p>
              </w:tc>
              <w:tc>
                <w:tcPr>
                  <w:tcW w:w="941" w:type="pct"/>
                  <w:tcBorders>
                    <w:top w:val="single" w:color="auto" w:sz="4" w:space="0"/>
                    <w:left w:val="nil"/>
                    <w:bottom w:val="single" w:color="auto" w:sz="4" w:space="0"/>
                    <w:right w:val="single" w:color="auto" w:sz="4" w:space="0"/>
                  </w:tcBorders>
                  <w:vAlign w:val="center"/>
                </w:tcPr>
                <w:p w14:paraId="6FF8395C">
                  <w:pPr>
                    <w:pStyle w:val="20"/>
                  </w:pPr>
                  <w:r>
                    <w:t>废布袋粉尘</w:t>
                  </w:r>
                </w:p>
              </w:tc>
              <w:tc>
                <w:tcPr>
                  <w:tcW w:w="1927" w:type="pct"/>
                  <w:tcBorders>
                    <w:top w:val="single" w:color="auto" w:sz="4" w:space="0"/>
                    <w:left w:val="nil"/>
                    <w:bottom w:val="single" w:color="auto" w:sz="4" w:space="0"/>
                    <w:right w:val="single" w:color="auto" w:sz="4" w:space="0"/>
                  </w:tcBorders>
                  <w:vAlign w:val="center"/>
                </w:tcPr>
                <w:p w14:paraId="28184888">
                  <w:pPr>
                    <w:pStyle w:val="20"/>
                  </w:pPr>
                  <w:r>
                    <w:t>废金属粉尘、焊渣、废树脂粉末</w:t>
                  </w:r>
                </w:p>
              </w:tc>
            </w:tr>
            <w:tr w14:paraId="35E5E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4" w:type="pct"/>
                  <w:tcBorders>
                    <w:top w:val="single" w:color="auto" w:sz="4" w:space="0"/>
                    <w:left w:val="single" w:color="auto" w:sz="4" w:space="0"/>
                    <w:bottom w:val="single" w:color="auto" w:sz="4" w:space="0"/>
                    <w:right w:val="single" w:color="auto" w:sz="4" w:space="0"/>
                  </w:tcBorders>
                  <w:vAlign w:val="center"/>
                </w:tcPr>
                <w:p w14:paraId="007E1DD5">
                  <w:pPr>
                    <w:pStyle w:val="20"/>
                  </w:pPr>
                  <w:r>
                    <w:t>9</w:t>
                  </w:r>
                </w:p>
              </w:tc>
              <w:tc>
                <w:tcPr>
                  <w:tcW w:w="469" w:type="pct"/>
                  <w:tcBorders>
                    <w:top w:val="single" w:color="auto" w:sz="4" w:space="0"/>
                    <w:left w:val="nil"/>
                    <w:bottom w:val="single" w:color="auto" w:sz="4" w:space="0"/>
                    <w:right w:val="single" w:color="auto" w:sz="4" w:space="0"/>
                  </w:tcBorders>
                  <w:vAlign w:val="center"/>
                </w:tcPr>
                <w:p w14:paraId="638724D1">
                  <w:pPr>
                    <w:pStyle w:val="20"/>
                    <w:rPr>
                      <w:lang w:val="zh-CN"/>
                    </w:rPr>
                  </w:pPr>
                  <w:r>
                    <w:rPr>
                      <w:lang w:val="zh-CN"/>
                    </w:rPr>
                    <w:t>噪声</w:t>
                  </w:r>
                </w:p>
              </w:tc>
              <w:tc>
                <w:tcPr>
                  <w:tcW w:w="1336" w:type="pct"/>
                  <w:tcBorders>
                    <w:top w:val="single" w:color="auto" w:sz="4" w:space="0"/>
                    <w:left w:val="nil"/>
                    <w:bottom w:val="single" w:color="auto" w:sz="4" w:space="0"/>
                    <w:right w:val="single" w:color="auto" w:sz="4" w:space="0"/>
                  </w:tcBorders>
                  <w:vAlign w:val="center"/>
                </w:tcPr>
                <w:p w14:paraId="78D8479A">
                  <w:pPr>
                    <w:pStyle w:val="20"/>
                    <w:rPr>
                      <w:lang w:val="zh-CN"/>
                    </w:rPr>
                  </w:pPr>
                  <w:r>
                    <w:rPr>
                      <w:lang w:val="zh-CN"/>
                    </w:rPr>
                    <w:t>设备运转</w:t>
                  </w:r>
                </w:p>
              </w:tc>
              <w:tc>
                <w:tcPr>
                  <w:tcW w:w="941" w:type="pct"/>
                  <w:tcBorders>
                    <w:top w:val="single" w:color="auto" w:sz="4" w:space="0"/>
                    <w:left w:val="nil"/>
                    <w:bottom w:val="single" w:color="auto" w:sz="4" w:space="0"/>
                    <w:right w:val="single" w:color="auto" w:sz="4" w:space="0"/>
                  </w:tcBorders>
                  <w:vAlign w:val="center"/>
                </w:tcPr>
                <w:p w14:paraId="42C913DC">
                  <w:pPr>
                    <w:pStyle w:val="20"/>
                    <w:rPr>
                      <w:lang w:val="zh-CN"/>
                    </w:rPr>
                  </w:pPr>
                  <w:r>
                    <w:rPr>
                      <w:lang w:val="zh-CN"/>
                    </w:rPr>
                    <w:t>噪声</w:t>
                  </w:r>
                </w:p>
              </w:tc>
              <w:tc>
                <w:tcPr>
                  <w:tcW w:w="1927" w:type="pct"/>
                  <w:tcBorders>
                    <w:top w:val="single" w:color="auto" w:sz="4" w:space="0"/>
                    <w:left w:val="nil"/>
                    <w:bottom w:val="single" w:color="auto" w:sz="4" w:space="0"/>
                    <w:right w:val="single" w:color="auto" w:sz="4" w:space="0"/>
                  </w:tcBorders>
                  <w:vAlign w:val="center"/>
                </w:tcPr>
                <w:p w14:paraId="65BDF710">
                  <w:pPr>
                    <w:pStyle w:val="20"/>
                    <w:rPr>
                      <w:lang w:val="zh-CN"/>
                    </w:rPr>
                  </w:pPr>
                  <w:r>
                    <w:rPr>
                      <w:lang w:val="zh-CN"/>
                    </w:rPr>
                    <w:t>设备噪声</w:t>
                  </w:r>
                </w:p>
              </w:tc>
            </w:tr>
          </w:tbl>
          <w:p w14:paraId="2544B3D7">
            <w:pPr>
              <w:tabs>
                <w:tab w:val="left" w:pos="2907"/>
              </w:tabs>
              <w:ind w:firstLine="480"/>
              <w:rPr>
                <w:kern w:val="2"/>
              </w:rPr>
            </w:pPr>
          </w:p>
        </w:tc>
      </w:tr>
    </w:tbl>
    <w:p w14:paraId="757F18A1">
      <w:pPr>
        <w:pStyle w:val="21"/>
        <w:adjustRightInd w:val="0"/>
        <w:snapToGrid w:val="0"/>
        <w:spacing w:before="0" w:beforeAutospacing="0" w:after="0" w:afterAutospacing="0"/>
        <w:ind w:firstLine="480"/>
        <w:jc w:val="center"/>
        <w:rPr>
          <w:rFonts w:ascii="Times New Roman" w:hAnsi="Times New Roman"/>
          <w:szCs w:val="24"/>
        </w:rPr>
        <w:sectPr>
          <w:pgSz w:w="11906" w:h="16838"/>
          <w:pgMar w:top="1701" w:right="1531" w:bottom="1701" w:left="1531" w:header="851" w:footer="851" w:gutter="0"/>
          <w:cols w:space="720" w:num="1"/>
          <w:docGrid w:linePitch="312" w:charSpace="0"/>
        </w:sect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8604"/>
      </w:tblGrid>
      <w:tr w14:paraId="44945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Align w:val="center"/>
          </w:tcPr>
          <w:p w14:paraId="5EAD60E0">
            <w:pPr>
              <w:pStyle w:val="11"/>
              <w:spacing w:line="360" w:lineRule="auto"/>
              <w:rPr>
                <w:rFonts w:ascii="Times New Roman" w:hAnsi="Times New Roman"/>
                <w:kern w:val="2"/>
                <w:szCs w:val="24"/>
              </w:rPr>
            </w:pPr>
            <w:r>
              <w:rPr>
                <w:rFonts w:ascii="Times New Roman" w:hAnsi="Times New Roman" w:eastAsia="Calibri"/>
                <w:kern w:val="2"/>
              </w:rPr>
              <w:t>与项目有关的原有环境污染问题</w:t>
            </w:r>
          </w:p>
        </w:tc>
        <w:tc>
          <w:tcPr>
            <w:tcW w:w="8668" w:type="dxa"/>
          </w:tcPr>
          <w:p w14:paraId="15859579">
            <w:pPr>
              <w:ind w:firstLine="480"/>
              <w:rPr>
                <w:kern w:val="2"/>
              </w:rPr>
            </w:pPr>
            <w:r>
              <w:rPr>
                <w:kern w:val="2"/>
              </w:rPr>
              <w:t>本项目为扩建项目，原有污染主要为乐昌市鑫东穗汽车用品有限公司现有项目运营过程中产生的废气、废水、噪声及固体废物对周围环境的影响。根据业主提供的资料，对现有工程污染物产排情况进行简要分析。</w:t>
            </w:r>
          </w:p>
          <w:p w14:paraId="590C4362">
            <w:pPr>
              <w:ind w:firstLine="482" w:firstLineChars="0"/>
              <w:rPr>
                <w:rFonts w:eastAsia="Calibri"/>
                <w:b/>
                <w:kern w:val="2"/>
              </w:rPr>
            </w:pPr>
            <w:r>
              <w:rPr>
                <w:rFonts w:eastAsia="Calibri"/>
                <w:b/>
                <w:kern w:val="2"/>
              </w:rPr>
              <w:t>1、现有项目环保手续履行情况</w:t>
            </w:r>
          </w:p>
          <w:p w14:paraId="1EB77F2A">
            <w:pPr>
              <w:adjustRightInd w:val="0"/>
              <w:snapToGrid w:val="0"/>
              <w:ind w:firstLine="480"/>
              <w:rPr>
                <w:kern w:val="2"/>
              </w:rPr>
            </w:pPr>
            <w:r>
              <w:rPr>
                <w:kern w:val="2"/>
              </w:rPr>
              <w:t>乐昌市鑫东穗汽车用品有限公司成立于2018年10月31日，选址于欧昊科技（韶关）有限公司 A 栋厂房，建设单位于2018年12月委托广东韶科环保科技有限公司编制《乐昌市鑫东穗汽车用品有限公司年产10万套汽车配件项目环境影响报告表》并于2018年12月获得原乐昌市环境保护局《关于乐昌市鑫东穗汽车用品有限公司年产10万套汽车配件项目环境影响报告表审查意见的复函》（文号：乐环审【2018】66号）。项目整体于2018年12月开工建设，2019年5月竣工，2019年3月19日按要求取得了广东省污染物排放许可证（证书编号为：4402812019000007）后投入试运行调试，于2019年12月通过竣工环境保护验收，于2020年2月29日按要求取得了国家排污许可证登记（登记编号为：91440281MA52F3NC24001W）。</w:t>
            </w:r>
          </w:p>
          <w:p w14:paraId="1853499B">
            <w:pPr>
              <w:adjustRightInd w:val="0"/>
              <w:snapToGrid w:val="0"/>
              <w:ind w:firstLine="480"/>
              <w:rPr>
                <w:kern w:val="2"/>
              </w:rPr>
            </w:pPr>
            <w:r>
              <w:rPr>
                <w:kern w:val="2"/>
              </w:rPr>
              <w:t>由于发展需求，乐昌市鑫东穗汽车用品有限公司迁建至乐昌市产业转移工业园金岭4路13号，于2020年12月委托广东韶科环保科技有限公司编制《乐昌市鑫东穗汽车用品有限公司乐昌市东穗汽车用品项目环境影响报告表》，并于2021年1月获得原乐昌市环境保护局《关于乐昌市鑫东穗汽车用品有限公司乐昌市东穗汽车用品项目环境影响报告表审查意见的复函》（文号：乐环审【2021】02号）。项目整体于2021年1月开工建设，2022年7月竣工，2022年7月27日按要求取得国家排污许可证登记证（登记编号为：91440281MA52F3NC24001W）后投入试运行调试，于2022年8月6日通过竣工环境保护验收。</w:t>
            </w:r>
          </w:p>
          <w:p w14:paraId="3E0CBA4A">
            <w:pPr>
              <w:adjustRightInd w:val="0"/>
              <w:snapToGrid w:val="0"/>
              <w:ind w:firstLine="480"/>
              <w:rPr>
                <w:kern w:val="2"/>
              </w:rPr>
            </w:pPr>
            <w:r>
              <w:rPr>
                <w:kern w:val="2"/>
              </w:rPr>
              <w:t>公司原有项目环保手续履行情况见下表：</w:t>
            </w:r>
          </w:p>
          <w:p w14:paraId="12F8F59B">
            <w:pPr>
              <w:pStyle w:val="10"/>
              <w:spacing w:line="240" w:lineRule="atLeast"/>
              <w:ind w:firstLine="0" w:firstLineChars="0"/>
              <w:rPr>
                <w:rFonts w:hint="default"/>
                <w:kern w:val="2"/>
                <w:szCs w:val="24"/>
              </w:rPr>
            </w:pPr>
          </w:p>
          <w:p w14:paraId="54C0419A">
            <w:pPr>
              <w:pStyle w:val="10"/>
              <w:spacing w:line="240" w:lineRule="atLeast"/>
              <w:ind w:firstLine="0" w:firstLineChars="0"/>
              <w:rPr>
                <w:rFonts w:hint="default"/>
                <w:kern w:val="2"/>
                <w:szCs w:val="24"/>
              </w:rPr>
            </w:pPr>
          </w:p>
          <w:p w14:paraId="20D609F0">
            <w:pPr>
              <w:pStyle w:val="10"/>
              <w:spacing w:line="240" w:lineRule="atLeast"/>
              <w:ind w:firstLine="0" w:firstLineChars="0"/>
              <w:rPr>
                <w:rFonts w:hint="default"/>
                <w:kern w:val="2"/>
                <w:szCs w:val="24"/>
              </w:rPr>
            </w:pPr>
          </w:p>
          <w:p w14:paraId="7E064CA9">
            <w:pPr>
              <w:pStyle w:val="10"/>
              <w:spacing w:line="240" w:lineRule="atLeast"/>
              <w:ind w:firstLine="0" w:firstLineChars="0"/>
              <w:rPr>
                <w:rFonts w:hint="default"/>
                <w:kern w:val="2"/>
                <w:szCs w:val="24"/>
              </w:rPr>
            </w:pPr>
          </w:p>
          <w:p w14:paraId="7DD7C906">
            <w:pPr>
              <w:pStyle w:val="10"/>
              <w:spacing w:line="240" w:lineRule="atLeast"/>
              <w:ind w:firstLine="0" w:firstLineChars="0"/>
              <w:rPr>
                <w:rFonts w:hint="default"/>
                <w:kern w:val="2"/>
                <w:szCs w:val="24"/>
              </w:rPr>
            </w:pPr>
          </w:p>
          <w:p w14:paraId="7EA9F37B">
            <w:pPr>
              <w:pStyle w:val="10"/>
              <w:spacing w:line="240" w:lineRule="atLeast"/>
              <w:ind w:firstLine="0" w:firstLineChars="0"/>
              <w:rPr>
                <w:rFonts w:hint="default"/>
                <w:kern w:val="2"/>
                <w:szCs w:val="24"/>
              </w:rPr>
            </w:pPr>
          </w:p>
          <w:p w14:paraId="6E611BF5">
            <w:pPr>
              <w:pStyle w:val="10"/>
              <w:spacing w:line="240" w:lineRule="atLeast"/>
              <w:ind w:firstLine="0" w:firstLineChars="0"/>
              <w:rPr>
                <w:rFonts w:hint="default"/>
                <w:kern w:val="2"/>
                <w:szCs w:val="24"/>
              </w:rPr>
            </w:pPr>
          </w:p>
          <w:p w14:paraId="228E4E72">
            <w:pPr>
              <w:pStyle w:val="10"/>
              <w:spacing w:line="240" w:lineRule="atLeast"/>
              <w:ind w:firstLine="0" w:firstLineChars="0"/>
              <w:rPr>
                <w:rFonts w:hint="default"/>
                <w:kern w:val="2"/>
                <w:szCs w:val="24"/>
              </w:rPr>
            </w:pPr>
          </w:p>
          <w:p w14:paraId="58170D1A">
            <w:pPr>
              <w:pStyle w:val="10"/>
              <w:spacing w:line="240" w:lineRule="atLeast"/>
              <w:ind w:firstLine="0" w:firstLineChars="0"/>
              <w:rPr>
                <w:rFonts w:hint="default"/>
                <w:kern w:val="2"/>
                <w:szCs w:val="24"/>
              </w:rPr>
            </w:pPr>
          </w:p>
          <w:p w14:paraId="7D1130C4">
            <w:pPr>
              <w:pStyle w:val="10"/>
              <w:spacing w:line="240" w:lineRule="atLeast"/>
              <w:ind w:firstLine="0" w:firstLineChars="0"/>
              <w:rPr>
                <w:rFonts w:hint="default"/>
                <w:kern w:val="2"/>
                <w:szCs w:val="24"/>
              </w:rPr>
            </w:pPr>
            <w:r>
              <w:rPr>
                <w:rFonts w:hint="default"/>
                <w:kern w:val="2"/>
                <w:szCs w:val="24"/>
              </w:rPr>
              <w:t>表2-12  原有项目环保手续履行情况一览表</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0"/>
              <w:gridCol w:w="3233"/>
              <w:gridCol w:w="3004"/>
            </w:tblGrid>
            <w:tr w14:paraId="3AA30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6183D839">
                  <w:pPr>
                    <w:pStyle w:val="20"/>
                    <w:rPr>
                      <w:b/>
                      <w:bCs/>
                    </w:rPr>
                  </w:pPr>
                  <w:r>
                    <w:rPr>
                      <w:b/>
                      <w:bCs/>
                    </w:rPr>
                    <w:t>时间</w:t>
                  </w:r>
                </w:p>
              </w:tc>
              <w:tc>
                <w:tcPr>
                  <w:tcW w:w="3233" w:type="dxa"/>
                  <w:tcBorders>
                    <w:top w:val="single" w:color="auto" w:sz="4" w:space="0"/>
                    <w:left w:val="single" w:color="auto" w:sz="4" w:space="0"/>
                    <w:bottom w:val="single" w:color="auto" w:sz="4" w:space="0"/>
                    <w:right w:val="single" w:color="auto" w:sz="4" w:space="0"/>
                  </w:tcBorders>
                  <w:vAlign w:val="center"/>
                </w:tcPr>
                <w:p w14:paraId="7503AE80">
                  <w:pPr>
                    <w:pStyle w:val="20"/>
                    <w:rPr>
                      <w:b/>
                      <w:bCs/>
                    </w:rPr>
                  </w:pPr>
                  <w:r>
                    <w:rPr>
                      <w:b/>
                      <w:bCs/>
                    </w:rPr>
                    <w:t>环保手续</w:t>
                  </w:r>
                </w:p>
              </w:tc>
              <w:tc>
                <w:tcPr>
                  <w:tcW w:w="3004" w:type="dxa"/>
                  <w:tcBorders>
                    <w:top w:val="single" w:color="auto" w:sz="4" w:space="0"/>
                    <w:left w:val="single" w:color="auto" w:sz="4" w:space="0"/>
                    <w:bottom w:val="single" w:color="auto" w:sz="4" w:space="0"/>
                    <w:right w:val="single" w:color="auto" w:sz="4" w:space="0"/>
                  </w:tcBorders>
                  <w:vAlign w:val="center"/>
                </w:tcPr>
                <w:p w14:paraId="0F551F4D">
                  <w:pPr>
                    <w:pStyle w:val="20"/>
                    <w:rPr>
                      <w:b/>
                      <w:bCs/>
                    </w:rPr>
                  </w:pPr>
                  <w:r>
                    <w:rPr>
                      <w:b/>
                      <w:bCs/>
                    </w:rPr>
                    <w:t>对应批复</w:t>
                  </w:r>
                </w:p>
              </w:tc>
            </w:tr>
            <w:tr w14:paraId="38342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78366BB1">
                  <w:pPr>
                    <w:pStyle w:val="20"/>
                  </w:pPr>
                  <w:r>
                    <w:t>2018年12月26日</w:t>
                  </w:r>
                </w:p>
              </w:tc>
              <w:tc>
                <w:tcPr>
                  <w:tcW w:w="3233" w:type="dxa"/>
                  <w:tcBorders>
                    <w:top w:val="single" w:color="auto" w:sz="4" w:space="0"/>
                    <w:left w:val="single" w:color="auto" w:sz="4" w:space="0"/>
                    <w:bottom w:val="single" w:color="auto" w:sz="4" w:space="0"/>
                    <w:right w:val="single" w:color="auto" w:sz="4" w:space="0"/>
                  </w:tcBorders>
                  <w:vAlign w:val="center"/>
                </w:tcPr>
                <w:p w14:paraId="3761E165">
                  <w:pPr>
                    <w:pStyle w:val="20"/>
                  </w:pPr>
                  <w:r>
                    <w:t>《乐昌市鑫东穗汽车用品有限公司年产10万套汽车配件项目环境影响报告表》</w:t>
                  </w:r>
                </w:p>
              </w:tc>
              <w:tc>
                <w:tcPr>
                  <w:tcW w:w="3004" w:type="dxa"/>
                  <w:tcBorders>
                    <w:top w:val="single" w:color="auto" w:sz="4" w:space="0"/>
                    <w:left w:val="single" w:color="auto" w:sz="4" w:space="0"/>
                    <w:bottom w:val="single" w:color="auto" w:sz="4" w:space="0"/>
                    <w:right w:val="single" w:color="auto" w:sz="4" w:space="0"/>
                  </w:tcBorders>
                  <w:vAlign w:val="center"/>
                </w:tcPr>
                <w:p w14:paraId="0107115A">
                  <w:pPr>
                    <w:pStyle w:val="20"/>
                  </w:pPr>
                  <w:r>
                    <w:t>乐环审【2018】66号，已审批</w:t>
                  </w:r>
                </w:p>
              </w:tc>
            </w:tr>
            <w:tr w14:paraId="19133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4FDFEFAE">
                  <w:pPr>
                    <w:pStyle w:val="20"/>
                  </w:pPr>
                  <w:r>
                    <w:t>2019年3月19日</w:t>
                  </w:r>
                </w:p>
              </w:tc>
              <w:tc>
                <w:tcPr>
                  <w:tcW w:w="3233" w:type="dxa"/>
                  <w:tcBorders>
                    <w:top w:val="single" w:color="auto" w:sz="4" w:space="0"/>
                    <w:left w:val="single" w:color="auto" w:sz="4" w:space="0"/>
                    <w:bottom w:val="single" w:color="auto" w:sz="4" w:space="0"/>
                    <w:right w:val="single" w:color="auto" w:sz="4" w:space="0"/>
                  </w:tcBorders>
                  <w:vAlign w:val="center"/>
                </w:tcPr>
                <w:p w14:paraId="5AACEE8E">
                  <w:pPr>
                    <w:pStyle w:val="20"/>
                  </w:pPr>
                  <w:r>
                    <w:t>广东省污染物排放许可证</w:t>
                  </w:r>
                </w:p>
              </w:tc>
              <w:tc>
                <w:tcPr>
                  <w:tcW w:w="3004" w:type="dxa"/>
                  <w:tcBorders>
                    <w:top w:val="single" w:color="auto" w:sz="4" w:space="0"/>
                    <w:left w:val="single" w:color="auto" w:sz="4" w:space="0"/>
                    <w:bottom w:val="single" w:color="auto" w:sz="4" w:space="0"/>
                    <w:right w:val="single" w:color="auto" w:sz="4" w:space="0"/>
                  </w:tcBorders>
                  <w:vAlign w:val="center"/>
                </w:tcPr>
                <w:p w14:paraId="6E4089C9">
                  <w:pPr>
                    <w:pStyle w:val="20"/>
                  </w:pPr>
                  <w:r>
                    <w:t>4402812019000007</w:t>
                  </w:r>
                </w:p>
              </w:tc>
            </w:tr>
            <w:tr w14:paraId="4BA48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78D002A8">
                  <w:pPr>
                    <w:pStyle w:val="20"/>
                  </w:pPr>
                  <w:r>
                    <w:t>2019年12月</w:t>
                  </w:r>
                </w:p>
              </w:tc>
              <w:tc>
                <w:tcPr>
                  <w:tcW w:w="3233" w:type="dxa"/>
                  <w:tcBorders>
                    <w:top w:val="single" w:color="auto" w:sz="4" w:space="0"/>
                    <w:left w:val="single" w:color="auto" w:sz="4" w:space="0"/>
                    <w:bottom w:val="single" w:color="auto" w:sz="4" w:space="0"/>
                    <w:right w:val="single" w:color="auto" w:sz="4" w:space="0"/>
                  </w:tcBorders>
                  <w:vAlign w:val="center"/>
                </w:tcPr>
                <w:p w14:paraId="0CA5FD28">
                  <w:pPr>
                    <w:pStyle w:val="20"/>
                  </w:pPr>
                  <w:r>
                    <w:t>《乐昌市鑫东穗汽车用品有限公司年产10万套汽车配件项目竣工环境保护验收监测报告表》</w:t>
                  </w:r>
                </w:p>
              </w:tc>
              <w:tc>
                <w:tcPr>
                  <w:tcW w:w="3004" w:type="dxa"/>
                  <w:tcBorders>
                    <w:top w:val="single" w:color="auto" w:sz="4" w:space="0"/>
                    <w:left w:val="single" w:color="auto" w:sz="4" w:space="0"/>
                    <w:bottom w:val="single" w:color="auto" w:sz="4" w:space="0"/>
                    <w:right w:val="single" w:color="auto" w:sz="4" w:space="0"/>
                  </w:tcBorders>
                  <w:vAlign w:val="center"/>
                </w:tcPr>
                <w:p w14:paraId="05F24BBB">
                  <w:pPr>
                    <w:pStyle w:val="20"/>
                  </w:pPr>
                  <w:r>
                    <w:t>/</w:t>
                  </w:r>
                </w:p>
              </w:tc>
            </w:tr>
            <w:tr w14:paraId="59AF9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138E6DF6">
                  <w:pPr>
                    <w:pStyle w:val="20"/>
                  </w:pPr>
                  <w:r>
                    <w:t>2020年2月29日</w:t>
                  </w:r>
                </w:p>
              </w:tc>
              <w:tc>
                <w:tcPr>
                  <w:tcW w:w="3233" w:type="dxa"/>
                  <w:tcBorders>
                    <w:top w:val="single" w:color="auto" w:sz="4" w:space="0"/>
                    <w:left w:val="single" w:color="auto" w:sz="4" w:space="0"/>
                    <w:bottom w:val="single" w:color="auto" w:sz="4" w:space="0"/>
                    <w:right w:val="single" w:color="auto" w:sz="4" w:space="0"/>
                  </w:tcBorders>
                  <w:vAlign w:val="center"/>
                </w:tcPr>
                <w:p w14:paraId="480768A1">
                  <w:pPr>
                    <w:pStyle w:val="20"/>
                  </w:pPr>
                  <w:r>
                    <w:t>国家排污许可登记</w:t>
                  </w:r>
                </w:p>
              </w:tc>
              <w:tc>
                <w:tcPr>
                  <w:tcW w:w="3004" w:type="dxa"/>
                  <w:tcBorders>
                    <w:top w:val="single" w:color="auto" w:sz="4" w:space="0"/>
                    <w:left w:val="single" w:color="auto" w:sz="4" w:space="0"/>
                    <w:bottom w:val="single" w:color="auto" w:sz="4" w:space="0"/>
                    <w:right w:val="single" w:color="auto" w:sz="4" w:space="0"/>
                  </w:tcBorders>
                  <w:vAlign w:val="center"/>
                </w:tcPr>
                <w:p w14:paraId="74C9D1B8">
                  <w:pPr>
                    <w:pStyle w:val="20"/>
                  </w:pPr>
                  <w:r>
                    <w:t>91440281MA52F3NC24001W</w:t>
                  </w:r>
                </w:p>
              </w:tc>
            </w:tr>
            <w:tr w14:paraId="33BAA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4D477A06">
                  <w:pPr>
                    <w:pStyle w:val="20"/>
                  </w:pPr>
                  <w:r>
                    <w:t>2021年1月7日</w:t>
                  </w:r>
                </w:p>
              </w:tc>
              <w:tc>
                <w:tcPr>
                  <w:tcW w:w="3233" w:type="dxa"/>
                  <w:tcBorders>
                    <w:top w:val="single" w:color="auto" w:sz="4" w:space="0"/>
                    <w:left w:val="single" w:color="auto" w:sz="4" w:space="0"/>
                    <w:bottom w:val="single" w:color="auto" w:sz="4" w:space="0"/>
                    <w:right w:val="single" w:color="auto" w:sz="4" w:space="0"/>
                  </w:tcBorders>
                  <w:vAlign w:val="center"/>
                </w:tcPr>
                <w:p w14:paraId="52B2281B">
                  <w:pPr>
                    <w:pStyle w:val="20"/>
                  </w:pPr>
                  <w:r>
                    <w:t>《乐昌市鑫东穗汽车用品有限公司乐昌市东穗汽车用品项目环境影响报告表》</w:t>
                  </w:r>
                </w:p>
              </w:tc>
              <w:tc>
                <w:tcPr>
                  <w:tcW w:w="3004" w:type="dxa"/>
                  <w:tcBorders>
                    <w:top w:val="single" w:color="auto" w:sz="4" w:space="0"/>
                    <w:left w:val="single" w:color="auto" w:sz="4" w:space="0"/>
                    <w:bottom w:val="single" w:color="auto" w:sz="4" w:space="0"/>
                    <w:right w:val="single" w:color="auto" w:sz="4" w:space="0"/>
                  </w:tcBorders>
                  <w:vAlign w:val="center"/>
                </w:tcPr>
                <w:p w14:paraId="11D26B31">
                  <w:pPr>
                    <w:pStyle w:val="20"/>
                  </w:pPr>
                  <w:r>
                    <w:t>乐环审【2021】02号</w:t>
                  </w:r>
                </w:p>
              </w:tc>
            </w:tr>
            <w:tr w14:paraId="11969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2873D1C5">
                  <w:pPr>
                    <w:pStyle w:val="20"/>
                  </w:pPr>
                  <w:r>
                    <w:t>2022年7月27日</w:t>
                  </w:r>
                </w:p>
              </w:tc>
              <w:tc>
                <w:tcPr>
                  <w:tcW w:w="3233" w:type="dxa"/>
                  <w:tcBorders>
                    <w:top w:val="single" w:color="auto" w:sz="4" w:space="0"/>
                    <w:left w:val="single" w:color="auto" w:sz="4" w:space="0"/>
                    <w:bottom w:val="single" w:color="auto" w:sz="4" w:space="0"/>
                    <w:right w:val="single" w:color="auto" w:sz="4" w:space="0"/>
                  </w:tcBorders>
                  <w:vAlign w:val="center"/>
                </w:tcPr>
                <w:p w14:paraId="490AC628">
                  <w:pPr>
                    <w:pStyle w:val="20"/>
                  </w:pPr>
                  <w:r>
                    <w:t>国家排污许可登记</w:t>
                  </w:r>
                </w:p>
              </w:tc>
              <w:tc>
                <w:tcPr>
                  <w:tcW w:w="3004" w:type="dxa"/>
                  <w:tcBorders>
                    <w:top w:val="single" w:color="auto" w:sz="4" w:space="0"/>
                    <w:left w:val="single" w:color="auto" w:sz="4" w:space="0"/>
                    <w:bottom w:val="single" w:color="auto" w:sz="4" w:space="0"/>
                    <w:right w:val="single" w:color="auto" w:sz="4" w:space="0"/>
                  </w:tcBorders>
                  <w:vAlign w:val="center"/>
                </w:tcPr>
                <w:p w14:paraId="6D72D935">
                  <w:pPr>
                    <w:pStyle w:val="20"/>
                  </w:pPr>
                  <w:r>
                    <w:t>91440281MA52F3NC24001W</w:t>
                  </w:r>
                </w:p>
              </w:tc>
            </w:tr>
            <w:tr w14:paraId="5B718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70" w:type="dxa"/>
                  <w:tcBorders>
                    <w:top w:val="single" w:color="auto" w:sz="4" w:space="0"/>
                    <w:left w:val="single" w:color="auto" w:sz="4" w:space="0"/>
                    <w:bottom w:val="single" w:color="auto" w:sz="4" w:space="0"/>
                    <w:right w:val="single" w:color="auto" w:sz="4" w:space="0"/>
                  </w:tcBorders>
                  <w:vAlign w:val="center"/>
                </w:tcPr>
                <w:p w14:paraId="5AACC991">
                  <w:pPr>
                    <w:pStyle w:val="20"/>
                  </w:pPr>
                  <w:r>
                    <w:t>2022年8月6日</w:t>
                  </w:r>
                </w:p>
              </w:tc>
              <w:tc>
                <w:tcPr>
                  <w:tcW w:w="3233" w:type="dxa"/>
                  <w:tcBorders>
                    <w:top w:val="single" w:color="auto" w:sz="4" w:space="0"/>
                    <w:left w:val="single" w:color="auto" w:sz="4" w:space="0"/>
                    <w:bottom w:val="single" w:color="auto" w:sz="4" w:space="0"/>
                    <w:right w:val="single" w:color="auto" w:sz="4" w:space="0"/>
                  </w:tcBorders>
                  <w:vAlign w:val="center"/>
                </w:tcPr>
                <w:p w14:paraId="055E52C6">
                  <w:pPr>
                    <w:pStyle w:val="20"/>
                  </w:pPr>
                  <w:r>
                    <w:t>《乐昌市东穗汽车用品项目</w:t>
                  </w:r>
                  <w:r>
                    <w:rPr>
                      <w:rFonts w:hint="eastAsia"/>
                      <w:lang w:eastAsia="zh-CN"/>
                    </w:rPr>
                    <w:t>（</w:t>
                  </w:r>
                  <w:r>
                    <w:t>一期</w:t>
                  </w:r>
                  <w:r>
                    <w:rPr>
                      <w:rFonts w:hint="eastAsia"/>
                      <w:lang w:eastAsia="zh-CN"/>
                    </w:rPr>
                    <w:t>）</w:t>
                  </w:r>
                  <w:r>
                    <w:t>竣工环境保护验收监测报告表》</w:t>
                  </w:r>
                </w:p>
              </w:tc>
              <w:tc>
                <w:tcPr>
                  <w:tcW w:w="3004" w:type="dxa"/>
                  <w:tcBorders>
                    <w:top w:val="single" w:color="auto" w:sz="4" w:space="0"/>
                    <w:left w:val="single" w:color="auto" w:sz="4" w:space="0"/>
                    <w:bottom w:val="single" w:color="auto" w:sz="4" w:space="0"/>
                    <w:right w:val="single" w:color="auto" w:sz="4" w:space="0"/>
                  </w:tcBorders>
                  <w:vAlign w:val="center"/>
                </w:tcPr>
                <w:p w14:paraId="604C0521">
                  <w:pPr>
                    <w:pStyle w:val="20"/>
                  </w:pPr>
                  <w:r>
                    <w:t>/</w:t>
                  </w:r>
                </w:p>
              </w:tc>
            </w:tr>
          </w:tbl>
          <w:p w14:paraId="2FF4D3B9">
            <w:pPr>
              <w:numPr>
                <w:ilvl w:val="0"/>
                <w:numId w:val="2"/>
              </w:numPr>
              <w:ind w:firstLine="482"/>
              <w:rPr>
                <w:rFonts w:eastAsia="Calibri"/>
                <w:b/>
                <w:kern w:val="2"/>
              </w:rPr>
            </w:pPr>
            <w:r>
              <w:rPr>
                <w:rFonts w:eastAsia="Calibri"/>
                <w:b/>
                <w:kern w:val="2"/>
              </w:rPr>
              <w:t>与本项目有关的原有污染情况</w:t>
            </w:r>
          </w:p>
          <w:p w14:paraId="3B7F3528">
            <w:pPr>
              <w:adjustRightInd w:val="0"/>
              <w:snapToGrid w:val="0"/>
              <w:ind w:firstLine="480"/>
              <w:rPr>
                <w:kern w:val="2"/>
              </w:rPr>
            </w:pPr>
            <w:r>
              <w:rPr>
                <w:kern w:val="2"/>
              </w:rPr>
              <w:t>根据《污染源源强核算技术指南准则》（HJ884-2018），现有工程污染源源强的核算优先采用实测法。本项目根据原有项目环境影响报告表及竣工环境保护验收监测报告，对项目技改前的污染物产排情况进行简要分析。</w:t>
            </w:r>
          </w:p>
          <w:p w14:paraId="44DA9C11">
            <w:pPr>
              <w:adjustRightInd w:val="0"/>
              <w:snapToGrid w:val="0"/>
              <w:ind w:firstLine="480"/>
              <w:rPr>
                <w:kern w:val="2"/>
              </w:rPr>
            </w:pPr>
            <w:r>
              <w:rPr>
                <w:kern w:val="2"/>
              </w:rPr>
              <w:t>（1）废气</w:t>
            </w:r>
          </w:p>
          <w:p w14:paraId="6F4DD33D">
            <w:pPr>
              <w:adjustRightInd w:val="0"/>
              <w:snapToGrid w:val="0"/>
              <w:ind w:firstLine="480"/>
              <w:rPr>
                <w:kern w:val="2"/>
              </w:rPr>
            </w:pPr>
            <w:r>
              <w:rPr>
                <w:kern w:val="2"/>
              </w:rPr>
              <w:t>扩建前项目运营期间废气污染物主要为抛光粉尘、焊接废气、打磨粉尘，主要污染因子为颗粒物。抛光粉尘、打磨粉尘经布袋除尘+15m 排气筒；焊接废气无组织排放。</w:t>
            </w:r>
          </w:p>
          <w:p w14:paraId="6E386CB3">
            <w:pPr>
              <w:adjustRightInd w:val="0"/>
              <w:snapToGrid w:val="0"/>
              <w:ind w:firstLine="480"/>
              <w:rPr>
                <w:kern w:val="2"/>
              </w:rPr>
            </w:pPr>
            <w:r>
              <w:rPr>
                <w:kern w:val="2"/>
              </w:rPr>
              <w:t>根据《乐昌市鑫东穗汽车用品有限公司中的监测结果（报告编号：粤北检测24041702号，详见附件4）可知，经上述措施后，项目抛光、打磨粉尘和无组织排放粉尘满足广东省地方标准《大气污染物排放限值》</w:t>
            </w:r>
            <w:r>
              <w:rPr>
                <w:rFonts w:hint="eastAsia"/>
                <w:kern w:val="2"/>
                <w:lang w:eastAsia="zh-CN"/>
              </w:rPr>
              <w:t>（</w:t>
            </w:r>
            <w:r>
              <w:rPr>
                <w:kern w:val="2"/>
              </w:rPr>
              <w:t>DB44/27-2001</w:t>
            </w:r>
            <w:r>
              <w:rPr>
                <w:rFonts w:hint="eastAsia"/>
                <w:kern w:val="2"/>
                <w:lang w:eastAsia="zh-CN"/>
              </w:rPr>
              <w:t>）</w:t>
            </w:r>
            <w:r>
              <w:rPr>
                <w:kern w:val="2"/>
              </w:rPr>
              <w:t>第二时段二级标准及无组织排放监控浓度限值。监测数据见下表。</w:t>
            </w:r>
          </w:p>
          <w:p w14:paraId="1A0E44B0">
            <w:pPr>
              <w:pStyle w:val="10"/>
              <w:spacing w:line="240" w:lineRule="atLeast"/>
              <w:ind w:firstLine="0" w:firstLineChars="0"/>
              <w:rPr>
                <w:rFonts w:hint="default"/>
                <w:kern w:val="2"/>
                <w:szCs w:val="24"/>
              </w:rPr>
            </w:pPr>
          </w:p>
          <w:p w14:paraId="22A501BC">
            <w:pPr>
              <w:pStyle w:val="10"/>
              <w:spacing w:line="240" w:lineRule="atLeast"/>
              <w:ind w:firstLine="0" w:firstLineChars="0"/>
              <w:rPr>
                <w:rFonts w:hint="default"/>
                <w:kern w:val="2"/>
                <w:szCs w:val="24"/>
              </w:rPr>
            </w:pPr>
          </w:p>
          <w:p w14:paraId="3C61B828">
            <w:pPr>
              <w:pStyle w:val="10"/>
              <w:spacing w:line="240" w:lineRule="atLeast"/>
              <w:ind w:firstLine="0" w:firstLineChars="0"/>
              <w:rPr>
                <w:rFonts w:hint="default"/>
                <w:kern w:val="2"/>
                <w:szCs w:val="24"/>
              </w:rPr>
            </w:pPr>
          </w:p>
          <w:p w14:paraId="2F23747A">
            <w:pPr>
              <w:pStyle w:val="10"/>
              <w:spacing w:line="240" w:lineRule="atLeast"/>
              <w:ind w:firstLine="0" w:firstLineChars="0"/>
              <w:rPr>
                <w:rFonts w:hint="default"/>
                <w:kern w:val="2"/>
                <w:szCs w:val="24"/>
              </w:rPr>
            </w:pPr>
          </w:p>
          <w:p w14:paraId="4A5B9A1A">
            <w:pPr>
              <w:pStyle w:val="10"/>
              <w:spacing w:line="240" w:lineRule="atLeast"/>
              <w:ind w:firstLine="0" w:firstLineChars="0"/>
              <w:rPr>
                <w:rFonts w:hint="default"/>
                <w:kern w:val="2"/>
                <w:szCs w:val="24"/>
              </w:rPr>
            </w:pPr>
          </w:p>
          <w:p w14:paraId="24EA4F28">
            <w:pPr>
              <w:pStyle w:val="10"/>
              <w:spacing w:line="240" w:lineRule="atLeast"/>
              <w:ind w:firstLine="0" w:firstLineChars="0"/>
              <w:rPr>
                <w:rFonts w:hint="default"/>
                <w:kern w:val="2"/>
                <w:szCs w:val="24"/>
              </w:rPr>
            </w:pPr>
          </w:p>
          <w:p w14:paraId="4D3DFD9F">
            <w:pPr>
              <w:pStyle w:val="10"/>
              <w:spacing w:line="240" w:lineRule="atLeast"/>
              <w:ind w:firstLine="0" w:firstLineChars="0"/>
              <w:rPr>
                <w:rFonts w:hint="default"/>
                <w:kern w:val="2"/>
                <w:szCs w:val="24"/>
              </w:rPr>
            </w:pPr>
          </w:p>
          <w:p w14:paraId="321FCE62">
            <w:pPr>
              <w:pStyle w:val="10"/>
              <w:spacing w:line="240" w:lineRule="atLeast"/>
              <w:ind w:firstLine="0" w:firstLineChars="0"/>
              <w:rPr>
                <w:rFonts w:hint="default"/>
                <w:kern w:val="2"/>
                <w:szCs w:val="24"/>
              </w:rPr>
            </w:pPr>
          </w:p>
          <w:p w14:paraId="596792EB">
            <w:pPr>
              <w:pStyle w:val="10"/>
              <w:spacing w:line="240" w:lineRule="atLeast"/>
              <w:ind w:firstLine="0" w:firstLineChars="0"/>
              <w:rPr>
                <w:rFonts w:hint="default"/>
                <w:kern w:val="2"/>
                <w:szCs w:val="24"/>
              </w:rPr>
            </w:pPr>
          </w:p>
          <w:p w14:paraId="6E15DDCD">
            <w:pPr>
              <w:pStyle w:val="10"/>
              <w:spacing w:line="240" w:lineRule="atLeast"/>
              <w:ind w:firstLine="0" w:firstLineChars="0"/>
              <w:rPr>
                <w:rFonts w:hint="default"/>
                <w:kern w:val="2"/>
                <w:szCs w:val="24"/>
              </w:rPr>
            </w:pPr>
          </w:p>
          <w:p w14:paraId="77B57680">
            <w:pPr>
              <w:pStyle w:val="10"/>
              <w:spacing w:line="240" w:lineRule="atLeast"/>
              <w:ind w:firstLine="0" w:firstLineChars="0"/>
              <w:rPr>
                <w:rFonts w:hint="default"/>
                <w:kern w:val="2"/>
                <w:szCs w:val="24"/>
              </w:rPr>
            </w:pPr>
            <w:r>
              <w:rPr>
                <w:rFonts w:hint="default"/>
                <w:kern w:val="2"/>
                <w:szCs w:val="24"/>
              </w:rPr>
              <w:t>表2-13  原有项目有组织废气监测结果（单位：mg/m</w:t>
            </w:r>
            <w:r>
              <w:rPr>
                <w:rFonts w:hint="default"/>
                <w:kern w:val="2"/>
                <w:szCs w:val="24"/>
                <w:vertAlign w:val="superscript"/>
              </w:rPr>
              <w:t>3</w:t>
            </w:r>
            <w:r>
              <w:rPr>
                <w:rFonts w:hint="default"/>
                <w:kern w:val="2"/>
                <w:szCs w:val="24"/>
              </w:rPr>
              <w:t>）</w:t>
            </w:r>
          </w:p>
          <w:tbl>
            <w:tblPr>
              <w:tblStyle w:val="23"/>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935"/>
              <w:gridCol w:w="3803"/>
              <w:gridCol w:w="1638"/>
            </w:tblGrid>
            <w:tr w14:paraId="2F8EBB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4"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269BC7EE">
                  <w:pPr>
                    <w:pStyle w:val="20"/>
                    <w:rPr>
                      <w:b/>
                      <w:bCs/>
                    </w:rPr>
                  </w:pPr>
                  <w:r>
                    <w:rPr>
                      <w:b/>
                      <w:bCs/>
                    </w:rPr>
                    <w:t>采样日期</w:t>
                  </w:r>
                </w:p>
              </w:tc>
              <w:tc>
                <w:tcPr>
                  <w:tcW w:w="2270" w:type="pct"/>
                  <w:tcBorders>
                    <w:top w:val="single" w:color="000000" w:sz="4" w:space="0"/>
                    <w:left w:val="single" w:color="000000" w:sz="4" w:space="0"/>
                    <w:bottom w:val="single" w:color="000000" w:sz="4" w:space="0"/>
                    <w:right w:val="single" w:color="000000" w:sz="4" w:space="0"/>
                  </w:tcBorders>
                  <w:vAlign w:val="center"/>
                </w:tcPr>
                <w:p w14:paraId="2E0703A2">
                  <w:pPr>
                    <w:pStyle w:val="20"/>
                    <w:rPr>
                      <w:b/>
                      <w:bCs/>
                    </w:rPr>
                  </w:pPr>
                  <w:r>
                    <w:rPr>
                      <w:b/>
                      <w:bCs/>
                    </w:rPr>
                    <w:t>4月10日</w:t>
                  </w:r>
                </w:p>
              </w:tc>
              <w:tc>
                <w:tcPr>
                  <w:tcW w:w="977" w:type="pct"/>
                  <w:vMerge w:val="restart"/>
                  <w:tcBorders>
                    <w:top w:val="single" w:color="000000" w:sz="4" w:space="0"/>
                    <w:left w:val="single" w:color="000000" w:sz="4" w:space="0"/>
                    <w:bottom w:val="nil"/>
                    <w:right w:val="single" w:color="000000" w:sz="4" w:space="0"/>
                  </w:tcBorders>
                  <w:vAlign w:val="center"/>
                </w:tcPr>
                <w:p w14:paraId="42B9F007">
                  <w:pPr>
                    <w:pStyle w:val="20"/>
                    <w:rPr>
                      <w:b/>
                      <w:bCs/>
                    </w:rPr>
                  </w:pPr>
                  <w:r>
                    <w:rPr>
                      <w:b/>
                      <w:bCs/>
                    </w:rPr>
                    <w:t>标准限值</w:t>
                  </w:r>
                </w:p>
              </w:tc>
            </w:tr>
            <w:tr w14:paraId="523E2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0460F6F2">
                  <w:pPr>
                    <w:pStyle w:val="20"/>
                  </w:pPr>
                  <w:r>
                    <w:t>污染源名称</w:t>
                  </w:r>
                </w:p>
              </w:tc>
              <w:tc>
                <w:tcPr>
                  <w:tcW w:w="2270" w:type="pct"/>
                  <w:tcBorders>
                    <w:top w:val="single" w:color="000000" w:sz="4" w:space="0"/>
                    <w:left w:val="single" w:color="000000" w:sz="4" w:space="0"/>
                    <w:bottom w:val="single" w:color="000000" w:sz="4" w:space="0"/>
                    <w:right w:val="single" w:color="000000" w:sz="4" w:space="0"/>
                  </w:tcBorders>
                  <w:vAlign w:val="center"/>
                </w:tcPr>
                <w:p w14:paraId="05824BA4">
                  <w:pPr>
                    <w:pStyle w:val="20"/>
                  </w:pPr>
                  <w:r>
                    <w:t>1#排气筒</w:t>
                  </w:r>
                </w:p>
              </w:tc>
              <w:tc>
                <w:tcPr>
                  <w:tcW w:w="977" w:type="pct"/>
                  <w:vMerge w:val="continue"/>
                  <w:tcBorders>
                    <w:top w:val="nil"/>
                    <w:left w:val="single" w:color="000000" w:sz="4" w:space="0"/>
                    <w:bottom w:val="single" w:color="000000" w:sz="4" w:space="0"/>
                    <w:right w:val="single" w:color="000000" w:sz="4" w:space="0"/>
                  </w:tcBorders>
                  <w:vAlign w:val="center"/>
                </w:tcPr>
                <w:p w14:paraId="0C61238C">
                  <w:pPr>
                    <w:pStyle w:val="20"/>
                  </w:pPr>
                </w:p>
              </w:tc>
            </w:tr>
            <w:tr w14:paraId="3FB1BE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1799DE74">
                  <w:pPr>
                    <w:pStyle w:val="20"/>
                  </w:pPr>
                  <w:r>
                    <w:t>净化设备</w:t>
                  </w:r>
                </w:p>
              </w:tc>
              <w:tc>
                <w:tcPr>
                  <w:tcW w:w="2270" w:type="pct"/>
                  <w:tcBorders>
                    <w:top w:val="single" w:color="000000" w:sz="4" w:space="0"/>
                    <w:left w:val="single" w:color="000000" w:sz="4" w:space="0"/>
                    <w:bottom w:val="single" w:color="000000" w:sz="4" w:space="0"/>
                    <w:right w:val="single" w:color="000000" w:sz="4" w:space="0"/>
                  </w:tcBorders>
                  <w:vAlign w:val="center"/>
                </w:tcPr>
                <w:p w14:paraId="597F1550">
                  <w:pPr>
                    <w:pStyle w:val="20"/>
                  </w:pPr>
                  <w:r>
                    <w:t>布袋除尘</w:t>
                  </w:r>
                </w:p>
              </w:tc>
              <w:tc>
                <w:tcPr>
                  <w:tcW w:w="977" w:type="pct"/>
                  <w:tcBorders>
                    <w:top w:val="single" w:color="000000" w:sz="4" w:space="0"/>
                    <w:left w:val="single" w:color="000000" w:sz="4" w:space="0"/>
                    <w:bottom w:val="single" w:color="000000" w:sz="4" w:space="0"/>
                    <w:right w:val="single" w:color="000000" w:sz="4" w:space="0"/>
                  </w:tcBorders>
                  <w:vAlign w:val="center"/>
                </w:tcPr>
                <w:p w14:paraId="76867DBE">
                  <w:pPr>
                    <w:pStyle w:val="20"/>
                  </w:pPr>
                  <w:r>
                    <w:t>/</w:t>
                  </w:r>
                </w:p>
              </w:tc>
            </w:tr>
            <w:tr w14:paraId="28DA3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16C1669A">
                  <w:pPr>
                    <w:pStyle w:val="20"/>
                    <w:rPr>
                      <w:rFonts w:hint="eastAsia" w:eastAsia="宋体"/>
                      <w:lang w:eastAsia="zh-CN"/>
                    </w:rPr>
                  </w:pPr>
                  <w:r>
                    <w:t>排气筒高度</w:t>
                  </w:r>
                  <w:r>
                    <w:rPr>
                      <w:rFonts w:hint="eastAsia"/>
                      <w:lang w:eastAsia="zh-CN"/>
                    </w:rPr>
                    <w:t>（</w:t>
                  </w:r>
                  <w:r>
                    <w:t>m</w:t>
                  </w:r>
                  <w:r>
                    <w:rPr>
                      <w:rFonts w:hint="eastAsia"/>
                      <w:lang w:eastAsia="zh-CN"/>
                    </w:rPr>
                    <w:t>）</w:t>
                  </w:r>
                </w:p>
              </w:tc>
              <w:tc>
                <w:tcPr>
                  <w:tcW w:w="2270" w:type="pct"/>
                  <w:tcBorders>
                    <w:top w:val="single" w:color="000000" w:sz="4" w:space="0"/>
                    <w:left w:val="single" w:color="000000" w:sz="4" w:space="0"/>
                    <w:bottom w:val="single" w:color="000000" w:sz="4" w:space="0"/>
                    <w:right w:val="single" w:color="000000" w:sz="4" w:space="0"/>
                  </w:tcBorders>
                  <w:vAlign w:val="center"/>
                </w:tcPr>
                <w:p w14:paraId="26394B83">
                  <w:pPr>
                    <w:pStyle w:val="20"/>
                  </w:pPr>
                  <w:r>
                    <w:t>15</w:t>
                  </w:r>
                </w:p>
              </w:tc>
              <w:tc>
                <w:tcPr>
                  <w:tcW w:w="977" w:type="pct"/>
                  <w:tcBorders>
                    <w:top w:val="single" w:color="000000" w:sz="4" w:space="0"/>
                    <w:left w:val="single" w:color="000000" w:sz="4" w:space="0"/>
                    <w:bottom w:val="single" w:color="000000" w:sz="4" w:space="0"/>
                    <w:right w:val="single" w:color="000000" w:sz="4" w:space="0"/>
                  </w:tcBorders>
                  <w:vAlign w:val="center"/>
                </w:tcPr>
                <w:p w14:paraId="2C584187">
                  <w:pPr>
                    <w:pStyle w:val="20"/>
                  </w:pPr>
                  <w:r>
                    <w:t>/</w:t>
                  </w:r>
                </w:p>
              </w:tc>
            </w:tr>
            <w:tr w14:paraId="54F18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1887BBB7">
                  <w:pPr>
                    <w:pStyle w:val="20"/>
                    <w:rPr>
                      <w:rFonts w:hint="eastAsia" w:eastAsia="宋体"/>
                      <w:lang w:eastAsia="zh-CN"/>
                    </w:rPr>
                  </w:pPr>
                  <w:r>
                    <w:t>排气筒尺寸φ</w:t>
                  </w:r>
                  <w:r>
                    <w:rPr>
                      <w:rFonts w:hint="eastAsia"/>
                      <w:lang w:eastAsia="zh-CN"/>
                    </w:rPr>
                    <w:t>（</w:t>
                  </w:r>
                  <w:r>
                    <w:t>m</w:t>
                  </w:r>
                  <w:r>
                    <w:rPr>
                      <w:rFonts w:hint="eastAsia"/>
                      <w:lang w:eastAsia="zh-CN"/>
                    </w:rPr>
                    <w:t>）</w:t>
                  </w:r>
                </w:p>
              </w:tc>
              <w:tc>
                <w:tcPr>
                  <w:tcW w:w="2270" w:type="pct"/>
                  <w:tcBorders>
                    <w:top w:val="single" w:color="000000" w:sz="4" w:space="0"/>
                    <w:left w:val="single" w:color="000000" w:sz="4" w:space="0"/>
                    <w:bottom w:val="single" w:color="000000" w:sz="4" w:space="0"/>
                    <w:right w:val="single" w:color="000000" w:sz="4" w:space="0"/>
                  </w:tcBorders>
                  <w:vAlign w:val="center"/>
                </w:tcPr>
                <w:p w14:paraId="479ECF6E">
                  <w:pPr>
                    <w:pStyle w:val="20"/>
                  </w:pPr>
                  <w:r>
                    <w:t>1.15</w:t>
                  </w:r>
                </w:p>
              </w:tc>
              <w:tc>
                <w:tcPr>
                  <w:tcW w:w="977" w:type="pct"/>
                  <w:tcBorders>
                    <w:top w:val="single" w:color="000000" w:sz="4" w:space="0"/>
                    <w:left w:val="single" w:color="000000" w:sz="4" w:space="0"/>
                    <w:bottom w:val="single" w:color="000000" w:sz="4" w:space="0"/>
                    <w:right w:val="single" w:color="000000" w:sz="4" w:space="0"/>
                  </w:tcBorders>
                  <w:vAlign w:val="center"/>
                </w:tcPr>
                <w:p w14:paraId="1B51BD3D">
                  <w:pPr>
                    <w:pStyle w:val="20"/>
                  </w:pPr>
                  <w:r>
                    <w:t>/</w:t>
                  </w:r>
                </w:p>
              </w:tc>
            </w:tr>
            <w:tr w14:paraId="6CFA5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3DF57508">
                  <w:pPr>
                    <w:pStyle w:val="20"/>
                    <w:rPr>
                      <w:rFonts w:hint="eastAsia" w:eastAsia="宋体"/>
                      <w:lang w:eastAsia="zh-CN"/>
                    </w:rPr>
                  </w:pPr>
                  <w:r>
                    <w:t>标态干排气流量</w:t>
                  </w:r>
                  <w:r>
                    <w:rPr>
                      <w:rFonts w:hint="eastAsia"/>
                      <w:lang w:eastAsia="zh-CN"/>
                    </w:rPr>
                    <w:t>（</w:t>
                  </w:r>
                  <w:r>
                    <w:t>m³/h</w:t>
                  </w:r>
                  <w:r>
                    <w:rPr>
                      <w:rFonts w:hint="eastAsia"/>
                      <w:lang w:eastAsia="zh-CN"/>
                    </w:rPr>
                    <w:t>）</w:t>
                  </w:r>
                </w:p>
              </w:tc>
              <w:tc>
                <w:tcPr>
                  <w:tcW w:w="2270" w:type="pct"/>
                  <w:tcBorders>
                    <w:top w:val="single" w:color="000000" w:sz="4" w:space="0"/>
                    <w:left w:val="single" w:color="000000" w:sz="4" w:space="0"/>
                    <w:bottom w:val="single" w:color="000000" w:sz="4" w:space="0"/>
                    <w:right w:val="single" w:color="000000" w:sz="4" w:space="0"/>
                  </w:tcBorders>
                  <w:vAlign w:val="center"/>
                </w:tcPr>
                <w:p w14:paraId="508876A2">
                  <w:pPr>
                    <w:pStyle w:val="20"/>
                  </w:pPr>
                  <w:r>
                    <w:t>45878</w:t>
                  </w:r>
                </w:p>
              </w:tc>
              <w:tc>
                <w:tcPr>
                  <w:tcW w:w="977" w:type="pct"/>
                  <w:tcBorders>
                    <w:top w:val="single" w:color="000000" w:sz="4" w:space="0"/>
                    <w:left w:val="single" w:color="000000" w:sz="4" w:space="0"/>
                    <w:bottom w:val="single" w:color="000000" w:sz="4" w:space="0"/>
                    <w:right w:val="single" w:color="000000" w:sz="4" w:space="0"/>
                  </w:tcBorders>
                  <w:vAlign w:val="center"/>
                </w:tcPr>
                <w:p w14:paraId="47BFACA5">
                  <w:pPr>
                    <w:pStyle w:val="20"/>
                  </w:pPr>
                  <w:r>
                    <w:t>/</w:t>
                  </w:r>
                </w:p>
              </w:tc>
            </w:tr>
            <w:tr w14:paraId="48204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6224C81F">
                  <w:pPr>
                    <w:pStyle w:val="20"/>
                    <w:rPr>
                      <w:rFonts w:hint="eastAsia" w:eastAsia="宋体"/>
                      <w:lang w:eastAsia="zh-CN"/>
                    </w:rPr>
                  </w:pPr>
                  <w:r>
                    <w:t>颗粒物实测浓度</w:t>
                  </w:r>
                  <w:r>
                    <w:rPr>
                      <w:rFonts w:hint="eastAsia"/>
                      <w:lang w:eastAsia="zh-CN"/>
                    </w:rPr>
                    <w:t>（</w:t>
                  </w:r>
                  <w:r>
                    <w:t>mg/m³</w:t>
                  </w:r>
                  <w:r>
                    <w:rPr>
                      <w:rFonts w:hint="eastAsia"/>
                      <w:lang w:eastAsia="zh-CN"/>
                    </w:rPr>
                    <w:t>）</w:t>
                  </w:r>
                </w:p>
              </w:tc>
              <w:tc>
                <w:tcPr>
                  <w:tcW w:w="2270" w:type="pct"/>
                  <w:tcBorders>
                    <w:top w:val="single" w:color="000000" w:sz="4" w:space="0"/>
                    <w:left w:val="single" w:color="000000" w:sz="4" w:space="0"/>
                    <w:bottom w:val="single" w:color="000000" w:sz="4" w:space="0"/>
                    <w:right w:val="single" w:color="000000" w:sz="4" w:space="0"/>
                  </w:tcBorders>
                  <w:vAlign w:val="center"/>
                </w:tcPr>
                <w:p w14:paraId="683A99F7">
                  <w:pPr>
                    <w:pStyle w:val="20"/>
                  </w:pPr>
                  <w:r>
                    <w:t>6.9</w:t>
                  </w:r>
                </w:p>
              </w:tc>
              <w:tc>
                <w:tcPr>
                  <w:tcW w:w="977" w:type="pct"/>
                  <w:tcBorders>
                    <w:top w:val="single" w:color="000000" w:sz="4" w:space="0"/>
                    <w:left w:val="single" w:color="000000" w:sz="4" w:space="0"/>
                    <w:bottom w:val="single" w:color="000000" w:sz="4" w:space="0"/>
                    <w:right w:val="single" w:color="000000" w:sz="4" w:space="0"/>
                  </w:tcBorders>
                  <w:vAlign w:val="center"/>
                </w:tcPr>
                <w:p w14:paraId="7235D08F">
                  <w:pPr>
                    <w:pStyle w:val="20"/>
                  </w:pPr>
                  <w:r>
                    <w:t>120</w:t>
                  </w:r>
                </w:p>
              </w:tc>
            </w:tr>
            <w:tr w14:paraId="66628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752" w:type="pct"/>
                  <w:tcBorders>
                    <w:top w:val="single" w:color="000000" w:sz="4" w:space="0"/>
                    <w:left w:val="single" w:color="000000" w:sz="4" w:space="0"/>
                    <w:bottom w:val="single" w:color="000000" w:sz="4" w:space="0"/>
                    <w:right w:val="single" w:color="000000" w:sz="4" w:space="0"/>
                  </w:tcBorders>
                  <w:vAlign w:val="center"/>
                </w:tcPr>
                <w:p w14:paraId="20F46F11">
                  <w:pPr>
                    <w:pStyle w:val="20"/>
                    <w:rPr>
                      <w:rFonts w:hint="eastAsia" w:eastAsia="宋体"/>
                      <w:lang w:eastAsia="zh-CN"/>
                    </w:rPr>
                  </w:pPr>
                  <w:r>
                    <w:t>颗粒物排放速率</w:t>
                  </w:r>
                  <w:r>
                    <w:rPr>
                      <w:rFonts w:hint="eastAsia"/>
                      <w:lang w:eastAsia="zh-CN"/>
                    </w:rPr>
                    <w:t>（</w:t>
                  </w:r>
                  <w:r>
                    <w:t>kg/h</w:t>
                  </w:r>
                  <w:r>
                    <w:rPr>
                      <w:rFonts w:hint="eastAsia"/>
                      <w:lang w:eastAsia="zh-CN"/>
                    </w:rPr>
                    <w:t>）</w:t>
                  </w:r>
                </w:p>
              </w:tc>
              <w:tc>
                <w:tcPr>
                  <w:tcW w:w="2270" w:type="pct"/>
                  <w:tcBorders>
                    <w:top w:val="single" w:color="000000" w:sz="4" w:space="0"/>
                    <w:left w:val="single" w:color="000000" w:sz="4" w:space="0"/>
                    <w:bottom w:val="single" w:color="000000" w:sz="4" w:space="0"/>
                    <w:right w:val="single" w:color="000000" w:sz="4" w:space="0"/>
                  </w:tcBorders>
                  <w:vAlign w:val="center"/>
                </w:tcPr>
                <w:p w14:paraId="3BE116BF">
                  <w:pPr>
                    <w:pStyle w:val="20"/>
                  </w:pPr>
                  <w:r>
                    <w:t>0.32</w:t>
                  </w:r>
                </w:p>
              </w:tc>
              <w:tc>
                <w:tcPr>
                  <w:tcW w:w="977" w:type="pct"/>
                  <w:tcBorders>
                    <w:top w:val="single" w:color="000000" w:sz="4" w:space="0"/>
                    <w:left w:val="single" w:color="000000" w:sz="4" w:space="0"/>
                    <w:bottom w:val="single" w:color="000000" w:sz="4" w:space="0"/>
                    <w:right w:val="single" w:color="000000" w:sz="4" w:space="0"/>
                  </w:tcBorders>
                  <w:vAlign w:val="center"/>
                </w:tcPr>
                <w:p w14:paraId="6440E095">
                  <w:pPr>
                    <w:pStyle w:val="20"/>
                  </w:pPr>
                  <w:r>
                    <w:t>1.45</w:t>
                  </w:r>
                </w:p>
              </w:tc>
            </w:tr>
            <w:tr w14:paraId="07F8BC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8" w:hRule="atLeast"/>
              </w:trPr>
              <w:tc>
                <w:tcPr>
                  <w:tcW w:w="5000" w:type="pct"/>
                  <w:gridSpan w:val="3"/>
                  <w:tcBorders>
                    <w:top w:val="single" w:color="000000" w:sz="4" w:space="0"/>
                    <w:left w:val="single" w:color="000000" w:sz="4" w:space="0"/>
                    <w:bottom w:val="single" w:color="000000" w:sz="4" w:space="0"/>
                    <w:right w:val="single" w:color="000000" w:sz="4" w:space="0"/>
                  </w:tcBorders>
                  <w:vAlign w:val="center"/>
                </w:tcPr>
                <w:p w14:paraId="65C06A04">
                  <w:pPr>
                    <w:pStyle w:val="20"/>
                    <w:widowControl/>
                    <w:adjustRightInd/>
                    <w:snapToGrid/>
                    <w:ind w:left="630" w:hanging="630" w:hangingChars="300"/>
                  </w:pPr>
                  <w:r>
                    <w:t>备注：1.执行《大气污染物排放限值》</w:t>
                  </w:r>
                  <w:r>
                    <w:rPr>
                      <w:rFonts w:hint="eastAsia"/>
                      <w:lang w:eastAsia="zh-CN"/>
                    </w:rPr>
                    <w:t>（</w:t>
                  </w:r>
                  <w:r>
                    <w:t>DB44/27-2001</w:t>
                  </w:r>
                  <w:r>
                    <w:rPr>
                      <w:rFonts w:hint="eastAsia"/>
                      <w:lang w:eastAsia="zh-CN"/>
                    </w:rPr>
                    <w:t>）</w:t>
                  </w:r>
                  <w:r>
                    <w:t>第二时段二级标准，本项目排气筒未高出周围200m 半径范围的最高建筑5m以上，按对应排放速率限值的50%执行；</w:t>
                  </w:r>
                </w:p>
                <w:p w14:paraId="28131FF9">
                  <w:pPr>
                    <w:pStyle w:val="20"/>
                    <w:widowControl/>
                    <w:adjustRightInd/>
                    <w:snapToGrid/>
                    <w:ind w:firstLine="630" w:firstLineChars="300"/>
                    <w:jc w:val="left"/>
                  </w:pPr>
                  <w:r>
                    <w:t>2.“/”表示所用标准对该指标无限值要求</w:t>
                  </w:r>
                </w:p>
                <w:p w14:paraId="4B1963FB">
                  <w:pPr>
                    <w:pStyle w:val="20"/>
                    <w:widowControl/>
                    <w:adjustRightInd/>
                    <w:snapToGrid/>
                    <w:ind w:firstLine="630" w:firstLineChars="300"/>
                    <w:jc w:val="left"/>
                  </w:pPr>
                  <w:r>
                    <w:t>3.检测结果仅对本次采样负责。</w:t>
                  </w:r>
                </w:p>
              </w:tc>
            </w:tr>
          </w:tbl>
          <w:p w14:paraId="1372A304">
            <w:pPr>
              <w:pStyle w:val="10"/>
              <w:spacing w:line="240" w:lineRule="atLeast"/>
              <w:ind w:firstLine="0" w:firstLineChars="0"/>
              <w:rPr>
                <w:rFonts w:hint="default"/>
                <w:kern w:val="2"/>
                <w:szCs w:val="24"/>
              </w:rPr>
            </w:pPr>
            <w:r>
              <w:rPr>
                <w:rFonts w:hint="default"/>
                <w:kern w:val="2"/>
                <w:szCs w:val="24"/>
              </w:rPr>
              <w:t>表2-14  原有项目无组织废气监测结果</w:t>
            </w:r>
          </w:p>
          <w:tbl>
            <w:tblPr>
              <w:tblStyle w:val="2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99"/>
              <w:gridCol w:w="1906"/>
              <w:gridCol w:w="2060"/>
              <w:gridCol w:w="3010"/>
            </w:tblGrid>
            <w:tr w14:paraId="4A5E2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4" w:hRule="atLeast"/>
              </w:trPr>
              <w:tc>
                <w:tcPr>
                  <w:tcW w:w="835" w:type="pct"/>
                  <w:vMerge w:val="restart"/>
                  <w:vAlign w:val="center"/>
                </w:tcPr>
                <w:p w14:paraId="0C448DB0">
                  <w:pPr>
                    <w:pStyle w:val="20"/>
                    <w:rPr>
                      <w:b/>
                      <w:bCs/>
                    </w:rPr>
                  </w:pPr>
                  <w:r>
                    <w:rPr>
                      <w:b/>
                      <w:bCs/>
                    </w:rPr>
                    <w:t>采样日期</w:t>
                  </w:r>
                </w:p>
              </w:tc>
              <w:tc>
                <w:tcPr>
                  <w:tcW w:w="1138" w:type="pct"/>
                  <w:vMerge w:val="restart"/>
                  <w:vAlign w:val="center"/>
                </w:tcPr>
                <w:p w14:paraId="2A54CA2B">
                  <w:pPr>
                    <w:pStyle w:val="20"/>
                    <w:rPr>
                      <w:b/>
                      <w:bCs/>
                    </w:rPr>
                  </w:pPr>
                  <w:r>
                    <w:rPr>
                      <w:b/>
                      <w:bCs/>
                    </w:rPr>
                    <w:t>检测点位</w:t>
                  </w:r>
                </w:p>
              </w:tc>
              <w:tc>
                <w:tcPr>
                  <w:tcW w:w="1229" w:type="pct"/>
                  <w:vMerge w:val="restart"/>
                  <w:vAlign w:val="center"/>
                </w:tcPr>
                <w:p w14:paraId="7FAEEE8E">
                  <w:pPr>
                    <w:pStyle w:val="20"/>
                    <w:rPr>
                      <w:b/>
                      <w:bCs/>
                    </w:rPr>
                  </w:pPr>
                  <w:r>
                    <w:rPr>
                      <w:b/>
                      <w:bCs/>
                    </w:rPr>
                    <w:t>样品编号</w:t>
                  </w:r>
                </w:p>
              </w:tc>
              <w:tc>
                <w:tcPr>
                  <w:tcW w:w="1796" w:type="pct"/>
                  <w:vAlign w:val="center"/>
                </w:tcPr>
                <w:p w14:paraId="3A598A3F">
                  <w:pPr>
                    <w:pStyle w:val="20"/>
                    <w:rPr>
                      <w:rFonts w:hint="eastAsia" w:eastAsia="宋体"/>
                      <w:b/>
                      <w:bCs/>
                      <w:lang w:eastAsia="zh-CN"/>
                    </w:rPr>
                  </w:pPr>
                  <w:r>
                    <w:rPr>
                      <w:b/>
                      <w:bCs/>
                    </w:rPr>
                    <w:t>检测结果</w:t>
                  </w:r>
                  <w:r>
                    <w:rPr>
                      <w:rFonts w:hint="eastAsia"/>
                      <w:b/>
                      <w:bCs/>
                      <w:lang w:eastAsia="zh-CN"/>
                    </w:rPr>
                    <w:t>（</w:t>
                  </w:r>
                  <w:r>
                    <w:rPr>
                      <w:b/>
                      <w:bCs/>
                    </w:rPr>
                    <w:t>单位：mg/m³</w:t>
                  </w:r>
                  <w:r>
                    <w:rPr>
                      <w:rFonts w:hint="eastAsia"/>
                      <w:b/>
                      <w:bCs/>
                      <w:lang w:eastAsia="zh-CN"/>
                    </w:rPr>
                    <w:t>）</w:t>
                  </w:r>
                </w:p>
              </w:tc>
            </w:tr>
            <w:tr w14:paraId="3AC60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835" w:type="pct"/>
                  <w:vMerge w:val="continue"/>
                  <w:vAlign w:val="center"/>
                </w:tcPr>
                <w:p w14:paraId="5071C923">
                  <w:pPr>
                    <w:pStyle w:val="20"/>
                  </w:pPr>
                </w:p>
              </w:tc>
              <w:tc>
                <w:tcPr>
                  <w:tcW w:w="1138" w:type="pct"/>
                  <w:vMerge w:val="continue"/>
                  <w:vAlign w:val="center"/>
                </w:tcPr>
                <w:p w14:paraId="474C2BD6">
                  <w:pPr>
                    <w:pStyle w:val="20"/>
                  </w:pPr>
                </w:p>
              </w:tc>
              <w:tc>
                <w:tcPr>
                  <w:tcW w:w="1229" w:type="pct"/>
                  <w:vMerge w:val="continue"/>
                  <w:vAlign w:val="center"/>
                </w:tcPr>
                <w:p w14:paraId="12516AD8">
                  <w:pPr>
                    <w:pStyle w:val="20"/>
                  </w:pPr>
                </w:p>
              </w:tc>
              <w:tc>
                <w:tcPr>
                  <w:tcW w:w="1796" w:type="pct"/>
                  <w:vAlign w:val="center"/>
                </w:tcPr>
                <w:p w14:paraId="077880CF">
                  <w:pPr>
                    <w:pStyle w:val="20"/>
                  </w:pPr>
                  <w:r>
                    <w:t>颗粒物</w:t>
                  </w:r>
                </w:p>
              </w:tc>
            </w:tr>
            <w:tr w14:paraId="2ECCC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835" w:type="pct"/>
                  <w:vMerge w:val="restart"/>
                  <w:vAlign w:val="center"/>
                </w:tcPr>
                <w:p w14:paraId="44990E66">
                  <w:pPr>
                    <w:pStyle w:val="20"/>
                  </w:pPr>
                  <w:r>
                    <w:t>4月10日</w:t>
                  </w:r>
                </w:p>
              </w:tc>
              <w:tc>
                <w:tcPr>
                  <w:tcW w:w="1138" w:type="pct"/>
                  <w:vAlign w:val="center"/>
                </w:tcPr>
                <w:p w14:paraId="3A7DD216">
                  <w:pPr>
                    <w:pStyle w:val="20"/>
                  </w:pPr>
                  <w:r>
                    <w:t>上风向</w:t>
                  </w:r>
                </w:p>
              </w:tc>
              <w:tc>
                <w:tcPr>
                  <w:tcW w:w="1229" w:type="pct"/>
                  <w:vAlign w:val="center"/>
                </w:tcPr>
                <w:p w14:paraId="305E1C81">
                  <w:pPr>
                    <w:pStyle w:val="20"/>
                  </w:pPr>
                  <w:r>
                    <w:t>24041001-Q0101</w:t>
                  </w:r>
                </w:p>
              </w:tc>
              <w:tc>
                <w:tcPr>
                  <w:tcW w:w="1796" w:type="pct"/>
                  <w:vAlign w:val="center"/>
                </w:tcPr>
                <w:p w14:paraId="564F3BBE">
                  <w:pPr>
                    <w:pStyle w:val="20"/>
                  </w:pPr>
                  <w:r>
                    <w:t>0.086</w:t>
                  </w:r>
                </w:p>
              </w:tc>
            </w:tr>
            <w:tr w14:paraId="3AFC2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835" w:type="pct"/>
                  <w:vMerge w:val="continue"/>
                  <w:vAlign w:val="center"/>
                </w:tcPr>
                <w:p w14:paraId="1B02F5E7">
                  <w:pPr>
                    <w:pStyle w:val="20"/>
                  </w:pPr>
                </w:p>
              </w:tc>
              <w:tc>
                <w:tcPr>
                  <w:tcW w:w="1138" w:type="pct"/>
                  <w:vAlign w:val="center"/>
                </w:tcPr>
                <w:p w14:paraId="7B2BFF93">
                  <w:pPr>
                    <w:pStyle w:val="20"/>
                  </w:pPr>
                  <w:r>
                    <w:t>下风向1#</w:t>
                  </w:r>
                </w:p>
              </w:tc>
              <w:tc>
                <w:tcPr>
                  <w:tcW w:w="1229" w:type="pct"/>
                  <w:vAlign w:val="center"/>
                </w:tcPr>
                <w:p w14:paraId="4C5A7CC3">
                  <w:pPr>
                    <w:pStyle w:val="20"/>
                  </w:pPr>
                  <w:r>
                    <w:t>24041001-Q0201</w:t>
                  </w:r>
                </w:p>
              </w:tc>
              <w:tc>
                <w:tcPr>
                  <w:tcW w:w="1796" w:type="pct"/>
                  <w:vAlign w:val="center"/>
                </w:tcPr>
                <w:p w14:paraId="7AE1C276">
                  <w:pPr>
                    <w:pStyle w:val="20"/>
                  </w:pPr>
                  <w:r>
                    <w:t>0.206</w:t>
                  </w:r>
                </w:p>
              </w:tc>
            </w:tr>
            <w:tr w14:paraId="7B3D2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9" w:hRule="atLeast"/>
              </w:trPr>
              <w:tc>
                <w:tcPr>
                  <w:tcW w:w="835" w:type="pct"/>
                  <w:vMerge w:val="continue"/>
                  <w:vAlign w:val="center"/>
                </w:tcPr>
                <w:p w14:paraId="463E9699">
                  <w:pPr>
                    <w:pStyle w:val="20"/>
                  </w:pPr>
                </w:p>
              </w:tc>
              <w:tc>
                <w:tcPr>
                  <w:tcW w:w="1138" w:type="pct"/>
                  <w:vAlign w:val="center"/>
                </w:tcPr>
                <w:p w14:paraId="3A5ABD22">
                  <w:pPr>
                    <w:pStyle w:val="20"/>
                  </w:pPr>
                  <w:r>
                    <w:t>下风向2#</w:t>
                  </w:r>
                </w:p>
              </w:tc>
              <w:tc>
                <w:tcPr>
                  <w:tcW w:w="1229" w:type="pct"/>
                  <w:vAlign w:val="center"/>
                </w:tcPr>
                <w:p w14:paraId="58A50DA4">
                  <w:pPr>
                    <w:pStyle w:val="20"/>
                  </w:pPr>
                  <w:r>
                    <w:t>24041001-Q0301</w:t>
                  </w:r>
                </w:p>
              </w:tc>
              <w:tc>
                <w:tcPr>
                  <w:tcW w:w="1796" w:type="pct"/>
                  <w:vAlign w:val="center"/>
                </w:tcPr>
                <w:p w14:paraId="446C9C0A">
                  <w:pPr>
                    <w:pStyle w:val="20"/>
                  </w:pPr>
                  <w:r>
                    <w:t>0.189</w:t>
                  </w:r>
                </w:p>
              </w:tc>
            </w:tr>
            <w:tr w14:paraId="60738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835" w:type="pct"/>
                  <w:vMerge w:val="continue"/>
                  <w:vAlign w:val="center"/>
                </w:tcPr>
                <w:p w14:paraId="5553766F">
                  <w:pPr>
                    <w:pStyle w:val="20"/>
                  </w:pPr>
                </w:p>
              </w:tc>
              <w:tc>
                <w:tcPr>
                  <w:tcW w:w="1138" w:type="pct"/>
                  <w:vAlign w:val="center"/>
                </w:tcPr>
                <w:p w14:paraId="033FB9B8">
                  <w:pPr>
                    <w:pStyle w:val="20"/>
                  </w:pPr>
                  <w:r>
                    <w:t>下风向3#</w:t>
                  </w:r>
                </w:p>
              </w:tc>
              <w:tc>
                <w:tcPr>
                  <w:tcW w:w="1229" w:type="pct"/>
                  <w:vAlign w:val="center"/>
                </w:tcPr>
                <w:p w14:paraId="66C71999">
                  <w:pPr>
                    <w:pStyle w:val="20"/>
                  </w:pPr>
                  <w:r>
                    <w:t>24041001-Q0401</w:t>
                  </w:r>
                </w:p>
              </w:tc>
              <w:tc>
                <w:tcPr>
                  <w:tcW w:w="1796" w:type="pct"/>
                  <w:vAlign w:val="center"/>
                </w:tcPr>
                <w:p w14:paraId="6A74736A">
                  <w:pPr>
                    <w:pStyle w:val="20"/>
                  </w:pPr>
                  <w:r>
                    <w:t>0.157</w:t>
                  </w:r>
                </w:p>
              </w:tc>
            </w:tr>
            <w:tr w14:paraId="5E0E2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3203" w:type="pct"/>
                  <w:gridSpan w:val="3"/>
                  <w:vAlign w:val="center"/>
                </w:tcPr>
                <w:p w14:paraId="2E0BBBD6">
                  <w:pPr>
                    <w:pStyle w:val="20"/>
                  </w:pPr>
                  <w:r>
                    <w:t>标准限值</w:t>
                  </w:r>
                </w:p>
              </w:tc>
              <w:tc>
                <w:tcPr>
                  <w:tcW w:w="1796" w:type="pct"/>
                  <w:vAlign w:val="center"/>
                </w:tcPr>
                <w:p w14:paraId="02049AFB">
                  <w:pPr>
                    <w:pStyle w:val="20"/>
                  </w:pPr>
                  <w:r>
                    <w:t>1.0</w:t>
                  </w:r>
                </w:p>
              </w:tc>
            </w:tr>
            <w:tr w14:paraId="6A5CD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7" w:hRule="atLeast"/>
              </w:trPr>
              <w:tc>
                <w:tcPr>
                  <w:tcW w:w="5000" w:type="pct"/>
                  <w:gridSpan w:val="4"/>
                  <w:vAlign w:val="center"/>
                </w:tcPr>
                <w:p w14:paraId="37F28045">
                  <w:pPr>
                    <w:pStyle w:val="20"/>
                    <w:widowControl/>
                    <w:adjustRightInd/>
                    <w:snapToGrid/>
                    <w:ind w:left="630" w:hanging="630" w:hangingChars="300"/>
                    <w:jc w:val="left"/>
                  </w:pPr>
                  <w:r>
                    <w:t>备注：1.颗粒物执行《大气污染物排放限值》</w:t>
                  </w:r>
                  <w:r>
                    <w:rPr>
                      <w:rFonts w:hint="eastAsia"/>
                      <w:lang w:eastAsia="zh-CN"/>
                    </w:rPr>
                    <w:t>（</w:t>
                  </w:r>
                  <w:r>
                    <w:t>DB44/27-2001</w:t>
                  </w:r>
                  <w:r>
                    <w:rPr>
                      <w:rFonts w:hint="eastAsia"/>
                      <w:lang w:eastAsia="zh-CN"/>
                    </w:rPr>
                    <w:t>）</w:t>
                  </w:r>
                  <w:r>
                    <w:t>表2工艺废气大气污染物排放限值中无组织排放监控浓度限值；</w:t>
                  </w:r>
                </w:p>
                <w:p w14:paraId="4E9B636B">
                  <w:pPr>
                    <w:pStyle w:val="20"/>
                    <w:widowControl/>
                    <w:adjustRightInd/>
                    <w:snapToGrid/>
                    <w:ind w:firstLine="630" w:firstLineChars="300"/>
                    <w:jc w:val="left"/>
                  </w:pPr>
                  <w:r>
                    <w:t>2.检测结果仅对本次采样负责。</w:t>
                  </w:r>
                </w:p>
              </w:tc>
            </w:tr>
          </w:tbl>
          <w:p w14:paraId="1E505416">
            <w:pPr>
              <w:adjustRightInd w:val="0"/>
              <w:snapToGrid w:val="0"/>
              <w:ind w:firstLine="480"/>
              <w:rPr>
                <w:kern w:val="2"/>
              </w:rPr>
            </w:pPr>
            <w:r>
              <w:rPr>
                <w:kern w:val="2"/>
              </w:rPr>
              <w:t>（2）废水</w:t>
            </w:r>
          </w:p>
          <w:p w14:paraId="6CE6B987">
            <w:pPr>
              <w:adjustRightInd w:val="0"/>
              <w:snapToGrid w:val="0"/>
              <w:ind w:firstLine="480"/>
              <w:rPr>
                <w:kern w:val="2"/>
              </w:rPr>
            </w:pPr>
            <w:r>
              <w:rPr>
                <w:kern w:val="2"/>
              </w:rPr>
              <w:t>扩建前项目产生的废水主要水污染物为生活污水和车间清洗废水，综合废水排放量为18.52m</w:t>
            </w:r>
            <w:r>
              <w:rPr>
                <w:kern w:val="2"/>
                <w:vertAlign w:val="superscript"/>
              </w:rPr>
              <w:t>3</w:t>
            </w:r>
            <w:r>
              <w:rPr>
                <w:kern w:val="2"/>
              </w:rPr>
              <w:t>/d（5556.6m</w:t>
            </w:r>
            <w:r>
              <w:rPr>
                <w:kern w:val="2"/>
                <w:vertAlign w:val="superscript"/>
              </w:rPr>
              <w:t>3</w:t>
            </w:r>
            <w:r>
              <w:rPr>
                <w:kern w:val="2"/>
              </w:rPr>
              <w:t>/a），其中生活污水排放量为17.55m</w:t>
            </w:r>
            <w:r>
              <w:rPr>
                <w:kern w:val="2"/>
                <w:vertAlign w:val="superscript"/>
              </w:rPr>
              <w:t>3</w:t>
            </w:r>
            <w:r>
              <w:rPr>
                <w:kern w:val="2"/>
              </w:rPr>
              <w:t>/d（5265m</w:t>
            </w:r>
            <w:r>
              <w:rPr>
                <w:kern w:val="2"/>
                <w:vertAlign w:val="superscript"/>
              </w:rPr>
              <w:t>3</w:t>
            </w:r>
            <w:r>
              <w:rPr>
                <w:kern w:val="2"/>
              </w:rPr>
              <w:t>/a），车间清洗废水排放量为0.972 m</w:t>
            </w:r>
            <w:r>
              <w:rPr>
                <w:kern w:val="2"/>
                <w:vertAlign w:val="superscript"/>
              </w:rPr>
              <w:t>3</w:t>
            </w:r>
            <w:r>
              <w:rPr>
                <w:kern w:val="2"/>
              </w:rPr>
              <w:t>/d（291.6m</w:t>
            </w:r>
            <w:r>
              <w:rPr>
                <w:kern w:val="2"/>
                <w:vertAlign w:val="superscript"/>
              </w:rPr>
              <w:t>3</w:t>
            </w:r>
            <w:r>
              <w:rPr>
                <w:kern w:val="2"/>
              </w:rPr>
              <w:t>/a）。废水中主要含pH值、COD</w:t>
            </w:r>
            <w:r>
              <w:rPr>
                <w:kern w:val="2"/>
                <w:vertAlign w:val="subscript"/>
              </w:rPr>
              <w:t>Cr</w:t>
            </w:r>
            <w:r>
              <w:rPr>
                <w:kern w:val="2"/>
              </w:rPr>
              <w:t>、BOD</w:t>
            </w:r>
            <w:r>
              <w:rPr>
                <w:kern w:val="2"/>
                <w:vertAlign w:val="subscript"/>
              </w:rPr>
              <w:t>5</w:t>
            </w:r>
            <w:r>
              <w:rPr>
                <w:kern w:val="2"/>
              </w:rPr>
              <w:t>、悬浮物、氨氮等污染物。</w:t>
            </w:r>
          </w:p>
          <w:p w14:paraId="021B0F21">
            <w:pPr>
              <w:adjustRightInd w:val="0"/>
              <w:snapToGrid w:val="0"/>
              <w:ind w:firstLine="480"/>
              <w:rPr>
                <w:kern w:val="2"/>
              </w:rPr>
            </w:pPr>
            <w:r>
              <w:rPr>
                <w:kern w:val="2"/>
              </w:rPr>
              <w:t>项目生活污水和车间清洗废水经过三级化粪池预处理标准后，接入市政污水管网排入排入园区污水处理厂进一步处理，处理达标后排入武江。</w:t>
            </w:r>
          </w:p>
          <w:p w14:paraId="17AFFF1C">
            <w:pPr>
              <w:adjustRightInd w:val="0"/>
              <w:snapToGrid w:val="0"/>
              <w:ind w:firstLine="480"/>
              <w:rPr>
                <w:kern w:val="2"/>
              </w:rPr>
            </w:pPr>
            <w:r>
              <w:rPr>
                <w:kern w:val="2"/>
              </w:rPr>
              <w:t>根据《乐昌市鑫东穗汽车用品有限公司中的监测结果（报告编号：粤北检测24041702号，详见附件4），项目生活污水和车间清洗废水经过三级化粪池预处理后，各项污染因子均满足园区污水处理厂进水水质要求。监测数据见下表。</w:t>
            </w:r>
          </w:p>
          <w:p w14:paraId="35D4DFA1">
            <w:pPr>
              <w:pStyle w:val="10"/>
              <w:spacing w:line="240" w:lineRule="atLeast"/>
              <w:ind w:firstLine="422"/>
              <w:rPr>
                <w:rFonts w:hint="default"/>
                <w:kern w:val="2"/>
                <w:szCs w:val="24"/>
              </w:rPr>
            </w:pPr>
            <w:r>
              <w:rPr>
                <w:rFonts w:hint="default"/>
                <w:kern w:val="2"/>
                <w:szCs w:val="24"/>
              </w:rPr>
              <w:t>表2-15  原有项目综合废水监测结果 （单位mg/L，pH值无量纲）</w:t>
            </w:r>
          </w:p>
          <w:tbl>
            <w:tblPr>
              <w:tblStyle w:val="2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860"/>
              <w:gridCol w:w="1357"/>
              <w:gridCol w:w="1719"/>
              <w:gridCol w:w="1831"/>
              <w:gridCol w:w="1456"/>
              <w:gridCol w:w="1152"/>
            </w:tblGrid>
            <w:tr w14:paraId="27917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4" w:hRule="atLeast"/>
              </w:trPr>
              <w:tc>
                <w:tcPr>
                  <w:tcW w:w="514" w:type="pct"/>
                  <w:vAlign w:val="center"/>
                </w:tcPr>
                <w:p w14:paraId="18B88D06">
                  <w:pPr>
                    <w:pStyle w:val="20"/>
                    <w:rPr>
                      <w:b/>
                      <w:bCs/>
                    </w:rPr>
                  </w:pPr>
                  <w:r>
                    <w:rPr>
                      <w:b/>
                      <w:bCs/>
                    </w:rPr>
                    <w:t>采样日期</w:t>
                  </w:r>
                </w:p>
              </w:tc>
              <w:tc>
                <w:tcPr>
                  <w:tcW w:w="810" w:type="pct"/>
                  <w:vAlign w:val="center"/>
                </w:tcPr>
                <w:p w14:paraId="21274D90">
                  <w:pPr>
                    <w:pStyle w:val="20"/>
                    <w:rPr>
                      <w:b/>
                      <w:bCs/>
                    </w:rPr>
                  </w:pPr>
                  <w:r>
                    <w:rPr>
                      <w:b/>
                      <w:bCs/>
                    </w:rPr>
                    <w:t>检测点位</w:t>
                  </w:r>
                </w:p>
              </w:tc>
              <w:tc>
                <w:tcPr>
                  <w:tcW w:w="1026" w:type="pct"/>
                  <w:vAlign w:val="center"/>
                </w:tcPr>
                <w:p w14:paraId="21AB092F">
                  <w:pPr>
                    <w:pStyle w:val="20"/>
                    <w:rPr>
                      <w:b/>
                      <w:bCs/>
                    </w:rPr>
                  </w:pPr>
                  <w:r>
                    <w:rPr>
                      <w:b/>
                      <w:bCs/>
                    </w:rPr>
                    <w:t>样品编号</w:t>
                  </w:r>
                </w:p>
              </w:tc>
              <w:tc>
                <w:tcPr>
                  <w:tcW w:w="1093" w:type="pct"/>
                  <w:vAlign w:val="center"/>
                </w:tcPr>
                <w:p w14:paraId="1047AD72">
                  <w:pPr>
                    <w:pStyle w:val="20"/>
                    <w:rPr>
                      <w:b/>
                      <w:bCs/>
                    </w:rPr>
                  </w:pPr>
                  <w:r>
                    <w:rPr>
                      <w:b/>
                      <w:bCs/>
                    </w:rPr>
                    <w:t>检测项目</w:t>
                  </w:r>
                </w:p>
              </w:tc>
              <w:tc>
                <w:tcPr>
                  <w:tcW w:w="869" w:type="pct"/>
                  <w:vAlign w:val="center"/>
                </w:tcPr>
                <w:p w14:paraId="1782E83F">
                  <w:pPr>
                    <w:pStyle w:val="20"/>
                    <w:rPr>
                      <w:b/>
                      <w:bCs/>
                    </w:rPr>
                  </w:pPr>
                  <w:r>
                    <w:rPr>
                      <w:b/>
                      <w:bCs/>
                    </w:rPr>
                    <w:t>检测结果</w:t>
                  </w:r>
                </w:p>
              </w:tc>
              <w:tc>
                <w:tcPr>
                  <w:tcW w:w="685" w:type="pct"/>
                  <w:vAlign w:val="center"/>
                </w:tcPr>
                <w:p w14:paraId="1370BB78">
                  <w:pPr>
                    <w:pStyle w:val="20"/>
                    <w:rPr>
                      <w:b/>
                      <w:bCs/>
                    </w:rPr>
                  </w:pPr>
                  <w:r>
                    <w:rPr>
                      <w:b/>
                      <w:bCs/>
                    </w:rPr>
                    <w:t>标准限值</w:t>
                  </w:r>
                </w:p>
              </w:tc>
            </w:tr>
            <w:tr w14:paraId="31912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9" w:hRule="atLeast"/>
              </w:trPr>
              <w:tc>
                <w:tcPr>
                  <w:tcW w:w="514" w:type="pct"/>
                  <w:vMerge w:val="restart"/>
                  <w:vAlign w:val="center"/>
                </w:tcPr>
                <w:p w14:paraId="18641406">
                  <w:pPr>
                    <w:pStyle w:val="20"/>
                  </w:pPr>
                  <w:r>
                    <w:t>4月10日</w:t>
                  </w:r>
                </w:p>
              </w:tc>
              <w:tc>
                <w:tcPr>
                  <w:tcW w:w="810" w:type="pct"/>
                  <w:vMerge w:val="restart"/>
                  <w:vAlign w:val="center"/>
                </w:tcPr>
                <w:p w14:paraId="2CD21383">
                  <w:pPr>
                    <w:pStyle w:val="20"/>
                  </w:pPr>
                  <w:r>
                    <w:t>生活污水和车间清洗废水</w:t>
                  </w:r>
                </w:p>
              </w:tc>
              <w:tc>
                <w:tcPr>
                  <w:tcW w:w="1026" w:type="pct"/>
                  <w:vMerge w:val="restart"/>
                  <w:vAlign w:val="center"/>
                </w:tcPr>
                <w:p w14:paraId="0D7D5FDC">
                  <w:pPr>
                    <w:pStyle w:val="20"/>
                  </w:pPr>
                  <w:r>
                    <w:t>24041001- S0101</w:t>
                  </w:r>
                </w:p>
              </w:tc>
              <w:tc>
                <w:tcPr>
                  <w:tcW w:w="1093" w:type="pct"/>
                  <w:vAlign w:val="center"/>
                </w:tcPr>
                <w:p w14:paraId="15FC08F4">
                  <w:pPr>
                    <w:pStyle w:val="20"/>
                    <w:rPr>
                      <w:rFonts w:hint="eastAsia" w:eastAsia="宋体"/>
                      <w:lang w:eastAsia="zh-CN"/>
                    </w:rPr>
                  </w:pPr>
                  <w:r>
                    <w:t>pH值</w:t>
                  </w:r>
                  <w:r>
                    <w:rPr>
                      <w:rFonts w:hint="eastAsia"/>
                      <w:lang w:eastAsia="zh-CN"/>
                    </w:rPr>
                    <w:t>（</w:t>
                  </w:r>
                  <w:r>
                    <w:t>无量纲</w:t>
                  </w:r>
                  <w:r>
                    <w:rPr>
                      <w:rFonts w:hint="eastAsia"/>
                      <w:lang w:eastAsia="zh-CN"/>
                    </w:rPr>
                    <w:t>）</w:t>
                  </w:r>
                </w:p>
              </w:tc>
              <w:tc>
                <w:tcPr>
                  <w:tcW w:w="869" w:type="pct"/>
                  <w:vAlign w:val="center"/>
                </w:tcPr>
                <w:p w14:paraId="2DD24970">
                  <w:pPr>
                    <w:pStyle w:val="20"/>
                  </w:pPr>
                  <w:r>
                    <w:t>7.1</w:t>
                  </w:r>
                </w:p>
              </w:tc>
              <w:tc>
                <w:tcPr>
                  <w:tcW w:w="685" w:type="pct"/>
                  <w:vAlign w:val="center"/>
                </w:tcPr>
                <w:p w14:paraId="47A60857">
                  <w:pPr>
                    <w:pStyle w:val="20"/>
                  </w:pPr>
                  <w:r>
                    <w:t>6-9</w:t>
                  </w:r>
                </w:p>
              </w:tc>
            </w:tr>
            <w:tr w14:paraId="0809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514" w:type="pct"/>
                  <w:vMerge w:val="continue"/>
                  <w:vAlign w:val="center"/>
                </w:tcPr>
                <w:p w14:paraId="68111870">
                  <w:pPr>
                    <w:pStyle w:val="20"/>
                  </w:pPr>
                </w:p>
              </w:tc>
              <w:tc>
                <w:tcPr>
                  <w:tcW w:w="810" w:type="pct"/>
                  <w:vMerge w:val="continue"/>
                  <w:vAlign w:val="center"/>
                </w:tcPr>
                <w:p w14:paraId="5ABCEB6F">
                  <w:pPr>
                    <w:pStyle w:val="20"/>
                  </w:pPr>
                </w:p>
              </w:tc>
              <w:tc>
                <w:tcPr>
                  <w:tcW w:w="1026" w:type="pct"/>
                  <w:vMerge w:val="continue"/>
                  <w:vAlign w:val="center"/>
                </w:tcPr>
                <w:p w14:paraId="11974F1D">
                  <w:pPr>
                    <w:pStyle w:val="20"/>
                  </w:pPr>
                </w:p>
              </w:tc>
              <w:tc>
                <w:tcPr>
                  <w:tcW w:w="1093" w:type="pct"/>
                  <w:vAlign w:val="center"/>
                </w:tcPr>
                <w:p w14:paraId="23130BE7">
                  <w:pPr>
                    <w:pStyle w:val="20"/>
                    <w:rPr>
                      <w:rFonts w:hint="eastAsia" w:eastAsia="宋体"/>
                      <w:lang w:eastAsia="zh-CN"/>
                    </w:rPr>
                  </w:pPr>
                  <w:r>
                    <w:t>悬浮物</w:t>
                  </w:r>
                  <w:r>
                    <w:rPr>
                      <w:rFonts w:hint="eastAsia"/>
                      <w:lang w:eastAsia="zh-CN"/>
                    </w:rPr>
                    <w:t>（</w:t>
                  </w:r>
                  <w:r>
                    <w:t>mg/L</w:t>
                  </w:r>
                  <w:r>
                    <w:rPr>
                      <w:rFonts w:hint="eastAsia"/>
                      <w:lang w:eastAsia="zh-CN"/>
                    </w:rPr>
                    <w:t>）</w:t>
                  </w:r>
                </w:p>
              </w:tc>
              <w:tc>
                <w:tcPr>
                  <w:tcW w:w="869" w:type="pct"/>
                  <w:vAlign w:val="center"/>
                </w:tcPr>
                <w:p w14:paraId="7D0C4E32">
                  <w:pPr>
                    <w:pStyle w:val="20"/>
                  </w:pPr>
                  <w:r>
                    <w:t>56</w:t>
                  </w:r>
                </w:p>
              </w:tc>
              <w:tc>
                <w:tcPr>
                  <w:tcW w:w="685" w:type="pct"/>
                  <w:vAlign w:val="center"/>
                </w:tcPr>
                <w:p w14:paraId="5C419603">
                  <w:pPr>
                    <w:pStyle w:val="20"/>
                  </w:pPr>
                  <w:r>
                    <w:t>300</w:t>
                  </w:r>
                </w:p>
              </w:tc>
            </w:tr>
            <w:tr w14:paraId="2B88E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9" w:hRule="atLeast"/>
              </w:trPr>
              <w:tc>
                <w:tcPr>
                  <w:tcW w:w="514" w:type="pct"/>
                  <w:vMerge w:val="continue"/>
                  <w:vAlign w:val="center"/>
                </w:tcPr>
                <w:p w14:paraId="7EC83D41">
                  <w:pPr>
                    <w:pStyle w:val="20"/>
                  </w:pPr>
                </w:p>
              </w:tc>
              <w:tc>
                <w:tcPr>
                  <w:tcW w:w="810" w:type="pct"/>
                  <w:vMerge w:val="continue"/>
                  <w:vAlign w:val="center"/>
                </w:tcPr>
                <w:p w14:paraId="42381E6E">
                  <w:pPr>
                    <w:pStyle w:val="20"/>
                  </w:pPr>
                </w:p>
              </w:tc>
              <w:tc>
                <w:tcPr>
                  <w:tcW w:w="1026" w:type="pct"/>
                  <w:vMerge w:val="continue"/>
                  <w:vAlign w:val="center"/>
                </w:tcPr>
                <w:p w14:paraId="051CEDF2">
                  <w:pPr>
                    <w:pStyle w:val="20"/>
                  </w:pPr>
                </w:p>
              </w:tc>
              <w:tc>
                <w:tcPr>
                  <w:tcW w:w="1093" w:type="pct"/>
                  <w:vAlign w:val="center"/>
                </w:tcPr>
                <w:p w14:paraId="716E4476">
                  <w:pPr>
                    <w:pStyle w:val="20"/>
                    <w:rPr>
                      <w:rFonts w:hint="eastAsia" w:eastAsia="宋体"/>
                      <w:lang w:eastAsia="zh-CN"/>
                    </w:rPr>
                  </w:pPr>
                  <w:r>
                    <w:t>化学需氧量</w:t>
                  </w:r>
                  <w:r>
                    <w:rPr>
                      <w:rFonts w:hint="eastAsia"/>
                      <w:lang w:eastAsia="zh-CN"/>
                    </w:rPr>
                    <w:t>（</w:t>
                  </w:r>
                  <w:r>
                    <w:t>mg/L</w:t>
                  </w:r>
                  <w:r>
                    <w:rPr>
                      <w:rFonts w:hint="eastAsia"/>
                      <w:lang w:eastAsia="zh-CN"/>
                    </w:rPr>
                    <w:t>）</w:t>
                  </w:r>
                </w:p>
              </w:tc>
              <w:tc>
                <w:tcPr>
                  <w:tcW w:w="869" w:type="pct"/>
                  <w:vAlign w:val="center"/>
                </w:tcPr>
                <w:p w14:paraId="2246EE33">
                  <w:pPr>
                    <w:pStyle w:val="20"/>
                  </w:pPr>
                  <w:r>
                    <w:t>145</w:t>
                  </w:r>
                </w:p>
              </w:tc>
              <w:tc>
                <w:tcPr>
                  <w:tcW w:w="685" w:type="pct"/>
                  <w:vAlign w:val="center"/>
                </w:tcPr>
                <w:p w14:paraId="356E6B86">
                  <w:pPr>
                    <w:pStyle w:val="20"/>
                  </w:pPr>
                  <w:r>
                    <w:t>350</w:t>
                  </w:r>
                </w:p>
              </w:tc>
            </w:tr>
            <w:tr w14:paraId="02B23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514" w:type="pct"/>
                  <w:vMerge w:val="continue"/>
                  <w:vAlign w:val="center"/>
                </w:tcPr>
                <w:p w14:paraId="56CB75E5">
                  <w:pPr>
                    <w:pStyle w:val="20"/>
                  </w:pPr>
                </w:p>
              </w:tc>
              <w:tc>
                <w:tcPr>
                  <w:tcW w:w="810" w:type="pct"/>
                  <w:vMerge w:val="continue"/>
                  <w:vAlign w:val="center"/>
                </w:tcPr>
                <w:p w14:paraId="3C2D1424">
                  <w:pPr>
                    <w:pStyle w:val="20"/>
                  </w:pPr>
                </w:p>
              </w:tc>
              <w:tc>
                <w:tcPr>
                  <w:tcW w:w="1026" w:type="pct"/>
                  <w:vMerge w:val="continue"/>
                  <w:vAlign w:val="center"/>
                </w:tcPr>
                <w:p w14:paraId="5F77535E">
                  <w:pPr>
                    <w:pStyle w:val="20"/>
                  </w:pPr>
                </w:p>
              </w:tc>
              <w:tc>
                <w:tcPr>
                  <w:tcW w:w="1093" w:type="pct"/>
                  <w:vAlign w:val="center"/>
                </w:tcPr>
                <w:p w14:paraId="17BDC556">
                  <w:pPr>
                    <w:pStyle w:val="20"/>
                    <w:rPr>
                      <w:rFonts w:hint="eastAsia" w:eastAsia="宋体"/>
                      <w:lang w:eastAsia="zh-CN"/>
                    </w:rPr>
                  </w:pPr>
                  <w:r>
                    <w:t>五日生化需氧量</w:t>
                  </w:r>
                  <w:r>
                    <w:rPr>
                      <w:rFonts w:hint="eastAsia"/>
                      <w:lang w:eastAsia="zh-CN"/>
                    </w:rPr>
                    <w:t>（</w:t>
                  </w:r>
                  <w:r>
                    <w:t>mg/L</w:t>
                  </w:r>
                  <w:r>
                    <w:rPr>
                      <w:rFonts w:hint="eastAsia"/>
                      <w:lang w:eastAsia="zh-CN"/>
                    </w:rPr>
                    <w:t>）</w:t>
                  </w:r>
                </w:p>
              </w:tc>
              <w:tc>
                <w:tcPr>
                  <w:tcW w:w="869" w:type="pct"/>
                  <w:vAlign w:val="center"/>
                </w:tcPr>
                <w:p w14:paraId="1FBB1946">
                  <w:pPr>
                    <w:pStyle w:val="20"/>
                  </w:pPr>
                  <w:r>
                    <w:t>61.3</w:t>
                  </w:r>
                </w:p>
              </w:tc>
              <w:tc>
                <w:tcPr>
                  <w:tcW w:w="685" w:type="pct"/>
                  <w:vAlign w:val="center"/>
                </w:tcPr>
                <w:p w14:paraId="6C274D2E">
                  <w:pPr>
                    <w:pStyle w:val="20"/>
                  </w:pPr>
                  <w:r>
                    <w:t>150</w:t>
                  </w:r>
                </w:p>
              </w:tc>
            </w:tr>
            <w:tr w14:paraId="3B1A3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514" w:type="pct"/>
                  <w:vMerge w:val="continue"/>
                  <w:vAlign w:val="center"/>
                </w:tcPr>
                <w:p w14:paraId="51897940">
                  <w:pPr>
                    <w:pStyle w:val="20"/>
                  </w:pPr>
                </w:p>
              </w:tc>
              <w:tc>
                <w:tcPr>
                  <w:tcW w:w="810" w:type="pct"/>
                  <w:vMerge w:val="continue"/>
                  <w:vAlign w:val="center"/>
                </w:tcPr>
                <w:p w14:paraId="26B20062">
                  <w:pPr>
                    <w:pStyle w:val="20"/>
                  </w:pPr>
                </w:p>
              </w:tc>
              <w:tc>
                <w:tcPr>
                  <w:tcW w:w="1026" w:type="pct"/>
                  <w:vMerge w:val="continue"/>
                  <w:vAlign w:val="center"/>
                </w:tcPr>
                <w:p w14:paraId="70F4BDAC">
                  <w:pPr>
                    <w:pStyle w:val="20"/>
                  </w:pPr>
                </w:p>
              </w:tc>
              <w:tc>
                <w:tcPr>
                  <w:tcW w:w="1093" w:type="pct"/>
                  <w:vAlign w:val="center"/>
                </w:tcPr>
                <w:p w14:paraId="2C645241">
                  <w:pPr>
                    <w:pStyle w:val="20"/>
                    <w:rPr>
                      <w:rFonts w:hint="eastAsia" w:eastAsia="宋体"/>
                      <w:lang w:eastAsia="zh-CN"/>
                    </w:rPr>
                  </w:pPr>
                  <w:r>
                    <w:t>石油类</w:t>
                  </w:r>
                  <w:r>
                    <w:rPr>
                      <w:rFonts w:hint="eastAsia"/>
                      <w:lang w:eastAsia="zh-CN"/>
                    </w:rPr>
                    <w:t>（</w:t>
                  </w:r>
                  <w:r>
                    <w:t>mg/L</w:t>
                  </w:r>
                  <w:r>
                    <w:rPr>
                      <w:rFonts w:hint="eastAsia"/>
                      <w:lang w:eastAsia="zh-CN"/>
                    </w:rPr>
                    <w:t>）</w:t>
                  </w:r>
                </w:p>
              </w:tc>
              <w:tc>
                <w:tcPr>
                  <w:tcW w:w="869" w:type="pct"/>
                  <w:vAlign w:val="center"/>
                </w:tcPr>
                <w:p w14:paraId="6ED9A0F8">
                  <w:pPr>
                    <w:pStyle w:val="20"/>
                  </w:pPr>
                  <w:r>
                    <w:t>1.53</w:t>
                  </w:r>
                </w:p>
              </w:tc>
              <w:tc>
                <w:tcPr>
                  <w:tcW w:w="685" w:type="pct"/>
                  <w:vAlign w:val="center"/>
                </w:tcPr>
                <w:p w14:paraId="3BAD9A9A">
                  <w:pPr>
                    <w:pStyle w:val="20"/>
                  </w:pPr>
                  <w:r>
                    <w:t>30</w:t>
                  </w:r>
                </w:p>
              </w:tc>
            </w:tr>
            <w:tr w14:paraId="5D9BA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514" w:type="pct"/>
                  <w:vMerge w:val="continue"/>
                  <w:vAlign w:val="center"/>
                </w:tcPr>
                <w:p w14:paraId="4A475181">
                  <w:pPr>
                    <w:pStyle w:val="20"/>
                  </w:pPr>
                </w:p>
              </w:tc>
              <w:tc>
                <w:tcPr>
                  <w:tcW w:w="810" w:type="pct"/>
                  <w:vMerge w:val="continue"/>
                  <w:vAlign w:val="center"/>
                </w:tcPr>
                <w:p w14:paraId="78704400">
                  <w:pPr>
                    <w:pStyle w:val="20"/>
                  </w:pPr>
                </w:p>
              </w:tc>
              <w:tc>
                <w:tcPr>
                  <w:tcW w:w="1026" w:type="pct"/>
                  <w:vMerge w:val="continue"/>
                  <w:vAlign w:val="center"/>
                </w:tcPr>
                <w:p w14:paraId="76E25BDC">
                  <w:pPr>
                    <w:pStyle w:val="20"/>
                  </w:pPr>
                </w:p>
              </w:tc>
              <w:tc>
                <w:tcPr>
                  <w:tcW w:w="1093" w:type="pct"/>
                  <w:vAlign w:val="center"/>
                </w:tcPr>
                <w:p w14:paraId="4901BA19">
                  <w:pPr>
                    <w:pStyle w:val="20"/>
                    <w:rPr>
                      <w:rFonts w:hint="eastAsia" w:eastAsia="宋体"/>
                      <w:lang w:eastAsia="zh-CN"/>
                    </w:rPr>
                  </w:pPr>
                  <w:r>
                    <w:t>磷酸盐</w:t>
                  </w:r>
                  <w:r>
                    <w:rPr>
                      <w:rFonts w:hint="eastAsia"/>
                      <w:lang w:eastAsia="zh-CN"/>
                    </w:rPr>
                    <w:t>（</w:t>
                  </w:r>
                  <w:r>
                    <w:t>mg/L</w:t>
                  </w:r>
                  <w:r>
                    <w:rPr>
                      <w:rFonts w:hint="eastAsia"/>
                      <w:lang w:eastAsia="zh-CN"/>
                    </w:rPr>
                    <w:t>）</w:t>
                  </w:r>
                </w:p>
              </w:tc>
              <w:tc>
                <w:tcPr>
                  <w:tcW w:w="869" w:type="pct"/>
                  <w:vAlign w:val="center"/>
                </w:tcPr>
                <w:p w14:paraId="5014224C">
                  <w:pPr>
                    <w:pStyle w:val="20"/>
                  </w:pPr>
                  <w:r>
                    <w:t>2.26</w:t>
                  </w:r>
                </w:p>
              </w:tc>
              <w:tc>
                <w:tcPr>
                  <w:tcW w:w="685" w:type="pct"/>
                  <w:vAlign w:val="center"/>
                </w:tcPr>
                <w:p w14:paraId="38F67845">
                  <w:pPr>
                    <w:pStyle w:val="20"/>
                  </w:pPr>
                  <w:r>
                    <w:t>/</w:t>
                  </w:r>
                </w:p>
              </w:tc>
            </w:tr>
            <w:tr w14:paraId="3F788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514" w:type="pct"/>
                  <w:vMerge w:val="continue"/>
                  <w:vAlign w:val="center"/>
                </w:tcPr>
                <w:p w14:paraId="67F88CAB">
                  <w:pPr>
                    <w:pStyle w:val="20"/>
                  </w:pPr>
                </w:p>
              </w:tc>
              <w:tc>
                <w:tcPr>
                  <w:tcW w:w="810" w:type="pct"/>
                  <w:vMerge w:val="continue"/>
                  <w:vAlign w:val="center"/>
                </w:tcPr>
                <w:p w14:paraId="4DD189C8">
                  <w:pPr>
                    <w:pStyle w:val="20"/>
                  </w:pPr>
                </w:p>
              </w:tc>
              <w:tc>
                <w:tcPr>
                  <w:tcW w:w="1026" w:type="pct"/>
                  <w:vMerge w:val="continue"/>
                  <w:vAlign w:val="center"/>
                </w:tcPr>
                <w:p w14:paraId="4ECB3DBD">
                  <w:pPr>
                    <w:pStyle w:val="20"/>
                  </w:pPr>
                </w:p>
              </w:tc>
              <w:tc>
                <w:tcPr>
                  <w:tcW w:w="1093" w:type="pct"/>
                  <w:vAlign w:val="center"/>
                </w:tcPr>
                <w:p w14:paraId="3D5A0144">
                  <w:pPr>
                    <w:pStyle w:val="20"/>
                    <w:rPr>
                      <w:rFonts w:hint="eastAsia" w:eastAsia="宋体"/>
                      <w:lang w:eastAsia="zh-CN"/>
                    </w:rPr>
                  </w:pPr>
                  <w:r>
                    <w:t>氨氮</w:t>
                  </w:r>
                  <w:r>
                    <w:rPr>
                      <w:rFonts w:hint="eastAsia"/>
                      <w:lang w:eastAsia="zh-CN"/>
                    </w:rPr>
                    <w:t>（</w:t>
                  </w:r>
                  <w:r>
                    <w:t>mg/L</w:t>
                  </w:r>
                  <w:r>
                    <w:rPr>
                      <w:rFonts w:hint="eastAsia"/>
                      <w:lang w:eastAsia="zh-CN"/>
                    </w:rPr>
                    <w:t>）</w:t>
                  </w:r>
                </w:p>
              </w:tc>
              <w:tc>
                <w:tcPr>
                  <w:tcW w:w="869" w:type="pct"/>
                  <w:vAlign w:val="center"/>
                </w:tcPr>
                <w:p w14:paraId="43C1B509">
                  <w:pPr>
                    <w:pStyle w:val="20"/>
                  </w:pPr>
                  <w:r>
                    <w:t>28.1</w:t>
                  </w:r>
                </w:p>
              </w:tc>
              <w:tc>
                <w:tcPr>
                  <w:tcW w:w="685" w:type="pct"/>
                  <w:vAlign w:val="center"/>
                </w:tcPr>
                <w:p w14:paraId="4C620C50">
                  <w:pPr>
                    <w:pStyle w:val="20"/>
                  </w:pPr>
                  <w:r>
                    <w:t>40</w:t>
                  </w:r>
                </w:p>
              </w:tc>
            </w:tr>
            <w:tr w14:paraId="3EB93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3" w:hRule="atLeast"/>
              </w:trPr>
              <w:tc>
                <w:tcPr>
                  <w:tcW w:w="5000" w:type="pct"/>
                  <w:gridSpan w:val="6"/>
                  <w:vAlign w:val="center"/>
                </w:tcPr>
                <w:p w14:paraId="352BD453">
                  <w:pPr>
                    <w:pStyle w:val="20"/>
                    <w:widowControl/>
                    <w:adjustRightInd/>
                    <w:snapToGrid/>
                    <w:jc w:val="left"/>
                  </w:pPr>
                  <w:r>
                    <w:t>备注：1.执行园区污水处理厂进水水质要求；</w:t>
                  </w:r>
                </w:p>
                <w:p w14:paraId="46A9EFFF">
                  <w:pPr>
                    <w:pStyle w:val="20"/>
                    <w:widowControl/>
                    <w:adjustRightInd/>
                    <w:snapToGrid/>
                    <w:ind w:firstLine="630" w:firstLineChars="300"/>
                    <w:jc w:val="left"/>
                  </w:pPr>
                  <w:r>
                    <w:t>2. “/”表示该项目对排放限值无要求；</w:t>
                  </w:r>
                </w:p>
                <w:p w14:paraId="2ED78986">
                  <w:pPr>
                    <w:pStyle w:val="20"/>
                    <w:widowControl/>
                    <w:adjustRightInd/>
                    <w:snapToGrid/>
                    <w:ind w:firstLine="630" w:firstLineChars="300"/>
                    <w:jc w:val="left"/>
                  </w:pPr>
                  <w:r>
                    <w:t>3.检测结果仅对本次采样负责。</w:t>
                  </w:r>
                </w:p>
              </w:tc>
            </w:tr>
          </w:tbl>
          <w:p w14:paraId="658F9CEC">
            <w:pPr>
              <w:adjustRightInd w:val="0"/>
              <w:snapToGrid w:val="0"/>
              <w:ind w:firstLine="480"/>
              <w:rPr>
                <w:kern w:val="2"/>
              </w:rPr>
            </w:pPr>
            <w:r>
              <w:rPr>
                <w:kern w:val="2"/>
              </w:rPr>
              <w:t>（3）噪声</w:t>
            </w:r>
          </w:p>
          <w:p w14:paraId="0C43CFCB">
            <w:pPr>
              <w:adjustRightInd w:val="0"/>
              <w:snapToGrid w:val="0"/>
              <w:ind w:firstLine="480"/>
              <w:rPr>
                <w:kern w:val="2"/>
              </w:rPr>
            </w:pPr>
            <w:r>
              <w:rPr>
                <w:kern w:val="2"/>
              </w:rPr>
              <w:t>扩建前项目噪声主要来源于切割机、焊机等产生机械噪声，噪声源强在70～85dB</w:t>
            </w:r>
            <w:r>
              <w:rPr>
                <w:rFonts w:hint="eastAsia"/>
                <w:kern w:val="2"/>
                <w:lang w:eastAsia="zh-CN"/>
              </w:rPr>
              <w:t>（</w:t>
            </w:r>
            <w:r>
              <w:rPr>
                <w:kern w:val="2"/>
              </w:rPr>
              <w:t>A</w:t>
            </w:r>
            <w:r>
              <w:rPr>
                <w:rFonts w:hint="eastAsia"/>
                <w:kern w:val="2"/>
                <w:lang w:eastAsia="zh-CN"/>
              </w:rPr>
              <w:t>）</w:t>
            </w:r>
            <w:r>
              <w:rPr>
                <w:kern w:val="2"/>
              </w:rPr>
              <w:t>之间。项目通过选用低噪声的设备，对水泵等高噪声设备设置减振基座、隔声罩、消声器等治理措施以减少噪声对外界环境的影响。</w:t>
            </w:r>
          </w:p>
          <w:p w14:paraId="674D2A93">
            <w:pPr>
              <w:adjustRightInd w:val="0"/>
              <w:snapToGrid w:val="0"/>
              <w:ind w:firstLine="480"/>
              <w:rPr>
                <w:kern w:val="2"/>
              </w:rPr>
            </w:pPr>
            <w:r>
              <w:rPr>
                <w:kern w:val="2"/>
              </w:rPr>
              <w:t>根据《乐昌市鑫东穗汽车用品有限公司中的监测结果（报告编号：粤北检测24041702号，详见附件4），扩建前项目东、南、北厂界符合《工业企业厂界环境噪声排放标准》</w:t>
            </w:r>
            <w:r>
              <w:rPr>
                <w:rFonts w:hint="eastAsia"/>
                <w:kern w:val="2"/>
                <w:lang w:eastAsia="zh-CN"/>
              </w:rPr>
              <w:t>（</w:t>
            </w:r>
            <w:r>
              <w:rPr>
                <w:kern w:val="2"/>
              </w:rPr>
              <w:t>GB 12348-2008</w:t>
            </w:r>
            <w:r>
              <w:rPr>
                <w:rFonts w:hint="eastAsia"/>
                <w:kern w:val="2"/>
                <w:lang w:eastAsia="zh-CN"/>
              </w:rPr>
              <w:t>）</w:t>
            </w:r>
            <w:r>
              <w:rPr>
                <w:kern w:val="2"/>
              </w:rPr>
              <w:t>3类标准，西厂界符合《工业企业厂界环境噪声排放标准》</w:t>
            </w:r>
            <w:r>
              <w:rPr>
                <w:rFonts w:hint="eastAsia"/>
                <w:kern w:val="2"/>
                <w:lang w:eastAsia="zh-CN"/>
              </w:rPr>
              <w:t>（</w:t>
            </w:r>
            <w:r>
              <w:rPr>
                <w:kern w:val="2"/>
              </w:rPr>
              <w:t>GB 12348-2008</w:t>
            </w:r>
            <w:r>
              <w:rPr>
                <w:rFonts w:hint="eastAsia"/>
                <w:kern w:val="2"/>
                <w:lang w:eastAsia="zh-CN"/>
              </w:rPr>
              <w:t>）</w:t>
            </w:r>
            <w:r>
              <w:rPr>
                <w:kern w:val="2"/>
              </w:rPr>
              <w:t>4类标准，噪声监测数据如下：</w:t>
            </w:r>
          </w:p>
          <w:p w14:paraId="618746D9">
            <w:pPr>
              <w:pStyle w:val="10"/>
              <w:spacing w:line="240" w:lineRule="atLeast"/>
              <w:ind w:firstLine="422"/>
              <w:rPr>
                <w:rFonts w:hint="default"/>
                <w:kern w:val="2"/>
                <w:szCs w:val="24"/>
              </w:rPr>
            </w:pPr>
            <w:r>
              <w:rPr>
                <w:rFonts w:hint="default"/>
                <w:kern w:val="2"/>
                <w:szCs w:val="24"/>
              </w:rPr>
              <w:t>表2-16  原有项目厂界噪声监测结果 （单位：dB（A））</w:t>
            </w:r>
          </w:p>
          <w:tbl>
            <w:tblPr>
              <w:tblStyle w:val="23"/>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36"/>
              <w:gridCol w:w="1832"/>
              <w:gridCol w:w="1405"/>
              <w:gridCol w:w="2729"/>
              <w:gridCol w:w="1173"/>
            </w:tblGrid>
            <w:tr w14:paraId="0B36E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738" w:type="pct"/>
                  <w:vMerge w:val="restart"/>
                  <w:tcBorders>
                    <w:top w:val="single" w:color="000000" w:sz="4" w:space="0"/>
                    <w:left w:val="single" w:color="000000" w:sz="4" w:space="0"/>
                    <w:bottom w:val="nil"/>
                    <w:right w:val="single" w:color="000000" w:sz="4" w:space="0"/>
                  </w:tcBorders>
                  <w:vAlign w:val="center"/>
                </w:tcPr>
                <w:p w14:paraId="0FFA886D">
                  <w:pPr>
                    <w:pStyle w:val="20"/>
                    <w:rPr>
                      <w:b/>
                      <w:bCs/>
                    </w:rPr>
                  </w:pPr>
                  <w:r>
                    <w:rPr>
                      <w:b/>
                      <w:bCs/>
                    </w:rPr>
                    <w:t>采样日期</w:t>
                  </w:r>
                </w:p>
              </w:tc>
              <w:tc>
                <w:tcPr>
                  <w:tcW w:w="1094" w:type="pct"/>
                  <w:vMerge w:val="restart"/>
                  <w:tcBorders>
                    <w:top w:val="single" w:color="000000" w:sz="4" w:space="0"/>
                    <w:left w:val="single" w:color="000000" w:sz="4" w:space="0"/>
                    <w:bottom w:val="nil"/>
                    <w:right w:val="single" w:color="000000" w:sz="4" w:space="0"/>
                  </w:tcBorders>
                  <w:vAlign w:val="center"/>
                </w:tcPr>
                <w:p w14:paraId="2CF8AEE6">
                  <w:pPr>
                    <w:pStyle w:val="20"/>
                    <w:rPr>
                      <w:b/>
                      <w:bCs/>
                    </w:rPr>
                  </w:pPr>
                  <w:r>
                    <w:rPr>
                      <w:b/>
                      <w:bCs/>
                    </w:rPr>
                    <w:t>检测点位</w:t>
                  </w:r>
                </w:p>
              </w:tc>
              <w:tc>
                <w:tcPr>
                  <w:tcW w:w="839" w:type="pct"/>
                  <w:vMerge w:val="restart"/>
                  <w:tcBorders>
                    <w:top w:val="single" w:color="000000" w:sz="4" w:space="0"/>
                    <w:left w:val="single" w:color="000000" w:sz="4" w:space="0"/>
                    <w:bottom w:val="nil"/>
                    <w:right w:val="single" w:color="000000" w:sz="4" w:space="0"/>
                  </w:tcBorders>
                  <w:vAlign w:val="center"/>
                </w:tcPr>
                <w:p w14:paraId="237CB163">
                  <w:pPr>
                    <w:pStyle w:val="20"/>
                    <w:rPr>
                      <w:b/>
                      <w:bCs/>
                    </w:rPr>
                  </w:pPr>
                  <w:r>
                    <w:rPr>
                      <w:b/>
                      <w:bCs/>
                    </w:rPr>
                    <w:t>主要声源</w:t>
                  </w:r>
                </w:p>
              </w:tc>
              <w:tc>
                <w:tcPr>
                  <w:tcW w:w="1629" w:type="pct"/>
                  <w:tcBorders>
                    <w:top w:val="single" w:color="000000" w:sz="4" w:space="0"/>
                    <w:left w:val="single" w:color="000000" w:sz="4" w:space="0"/>
                    <w:bottom w:val="single" w:color="000000" w:sz="4" w:space="0"/>
                    <w:right w:val="single" w:color="000000" w:sz="4" w:space="0"/>
                  </w:tcBorders>
                  <w:vAlign w:val="center"/>
                </w:tcPr>
                <w:p w14:paraId="193D81D0">
                  <w:pPr>
                    <w:pStyle w:val="20"/>
                    <w:rPr>
                      <w:b/>
                      <w:bCs/>
                    </w:rPr>
                  </w:pPr>
                  <w:r>
                    <w:rPr>
                      <w:b/>
                      <w:bCs/>
                    </w:rPr>
                    <w:t>检测结果Leq,T[dB</w:t>
                  </w:r>
                  <w:r>
                    <w:rPr>
                      <w:rFonts w:hint="eastAsia"/>
                      <w:b/>
                      <w:bCs/>
                      <w:lang w:eastAsia="zh-CN"/>
                    </w:rPr>
                    <w:t>（</w:t>
                  </w:r>
                  <w:r>
                    <w:rPr>
                      <w:b/>
                      <w:bCs/>
                    </w:rPr>
                    <w:t>A</w:t>
                  </w:r>
                  <w:r>
                    <w:rPr>
                      <w:rFonts w:hint="eastAsia"/>
                      <w:b/>
                      <w:bCs/>
                      <w:lang w:eastAsia="zh-CN"/>
                    </w:rPr>
                    <w:t>）</w:t>
                  </w:r>
                  <w:r>
                    <w:rPr>
                      <w:b/>
                      <w:bCs/>
                    </w:rPr>
                    <w:t>]</w:t>
                  </w:r>
                </w:p>
              </w:tc>
              <w:tc>
                <w:tcPr>
                  <w:tcW w:w="697" w:type="pct"/>
                  <w:vMerge w:val="restart"/>
                  <w:tcBorders>
                    <w:top w:val="single" w:color="000000" w:sz="4" w:space="0"/>
                    <w:left w:val="single" w:color="000000" w:sz="4" w:space="0"/>
                    <w:bottom w:val="nil"/>
                    <w:right w:val="single" w:color="000000" w:sz="4" w:space="0"/>
                  </w:tcBorders>
                  <w:vAlign w:val="center"/>
                </w:tcPr>
                <w:p w14:paraId="4DF7BC32">
                  <w:pPr>
                    <w:pStyle w:val="20"/>
                    <w:rPr>
                      <w:b/>
                      <w:bCs/>
                    </w:rPr>
                  </w:pPr>
                  <w:r>
                    <w:rPr>
                      <w:b/>
                      <w:bCs/>
                    </w:rPr>
                    <w:t>标准限值</w:t>
                  </w:r>
                </w:p>
              </w:tc>
            </w:tr>
            <w:tr w14:paraId="27C34E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trPr>
              <w:tc>
                <w:tcPr>
                  <w:tcW w:w="738" w:type="pct"/>
                  <w:vMerge w:val="continue"/>
                  <w:tcBorders>
                    <w:top w:val="nil"/>
                    <w:left w:val="single" w:color="000000" w:sz="4" w:space="0"/>
                    <w:bottom w:val="single" w:color="000000" w:sz="4" w:space="0"/>
                    <w:right w:val="single" w:color="000000" w:sz="4" w:space="0"/>
                  </w:tcBorders>
                  <w:vAlign w:val="center"/>
                </w:tcPr>
                <w:p w14:paraId="50307991">
                  <w:pPr>
                    <w:pStyle w:val="20"/>
                  </w:pPr>
                </w:p>
              </w:tc>
              <w:tc>
                <w:tcPr>
                  <w:tcW w:w="1094" w:type="pct"/>
                  <w:vMerge w:val="continue"/>
                  <w:tcBorders>
                    <w:top w:val="nil"/>
                    <w:left w:val="single" w:color="000000" w:sz="4" w:space="0"/>
                    <w:bottom w:val="single" w:color="000000" w:sz="4" w:space="0"/>
                    <w:right w:val="single" w:color="000000" w:sz="4" w:space="0"/>
                  </w:tcBorders>
                  <w:vAlign w:val="center"/>
                </w:tcPr>
                <w:p w14:paraId="30E19B96">
                  <w:pPr>
                    <w:pStyle w:val="20"/>
                  </w:pPr>
                </w:p>
              </w:tc>
              <w:tc>
                <w:tcPr>
                  <w:tcW w:w="839" w:type="pct"/>
                  <w:vMerge w:val="continue"/>
                  <w:tcBorders>
                    <w:top w:val="nil"/>
                    <w:left w:val="single" w:color="000000" w:sz="4" w:space="0"/>
                    <w:bottom w:val="single" w:color="000000" w:sz="4" w:space="0"/>
                    <w:right w:val="single" w:color="000000" w:sz="4" w:space="0"/>
                  </w:tcBorders>
                  <w:vAlign w:val="center"/>
                </w:tcPr>
                <w:p w14:paraId="019B666A">
                  <w:pPr>
                    <w:pStyle w:val="20"/>
                  </w:pPr>
                </w:p>
              </w:tc>
              <w:tc>
                <w:tcPr>
                  <w:tcW w:w="1629" w:type="pct"/>
                  <w:tcBorders>
                    <w:top w:val="single" w:color="000000" w:sz="4" w:space="0"/>
                    <w:left w:val="single" w:color="000000" w:sz="4" w:space="0"/>
                    <w:bottom w:val="single" w:color="000000" w:sz="4" w:space="0"/>
                    <w:right w:val="single" w:color="000000" w:sz="4" w:space="0"/>
                  </w:tcBorders>
                  <w:vAlign w:val="center"/>
                </w:tcPr>
                <w:p w14:paraId="21573B9A">
                  <w:pPr>
                    <w:pStyle w:val="20"/>
                  </w:pPr>
                  <w:r>
                    <w:t>昼间</w:t>
                  </w:r>
                </w:p>
              </w:tc>
              <w:tc>
                <w:tcPr>
                  <w:tcW w:w="697" w:type="pct"/>
                  <w:vMerge w:val="continue"/>
                  <w:tcBorders>
                    <w:top w:val="nil"/>
                    <w:left w:val="single" w:color="000000" w:sz="4" w:space="0"/>
                    <w:bottom w:val="single" w:color="000000" w:sz="4" w:space="0"/>
                    <w:right w:val="single" w:color="000000" w:sz="4" w:space="0"/>
                  </w:tcBorders>
                  <w:vAlign w:val="center"/>
                </w:tcPr>
                <w:p w14:paraId="53D73000">
                  <w:pPr>
                    <w:pStyle w:val="20"/>
                  </w:pPr>
                </w:p>
              </w:tc>
            </w:tr>
            <w:tr w14:paraId="5E7BBC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8" w:hRule="atLeast"/>
              </w:trPr>
              <w:tc>
                <w:tcPr>
                  <w:tcW w:w="738" w:type="pct"/>
                  <w:vMerge w:val="restart"/>
                  <w:tcBorders>
                    <w:top w:val="single" w:color="000000" w:sz="4" w:space="0"/>
                    <w:left w:val="single" w:color="000000" w:sz="4" w:space="0"/>
                    <w:bottom w:val="nil"/>
                    <w:right w:val="single" w:color="000000" w:sz="4" w:space="0"/>
                  </w:tcBorders>
                  <w:vAlign w:val="center"/>
                </w:tcPr>
                <w:p w14:paraId="79C3D04C">
                  <w:pPr>
                    <w:pStyle w:val="20"/>
                  </w:pPr>
                  <w:r>
                    <w:t>4月10日</w:t>
                  </w:r>
                </w:p>
              </w:tc>
              <w:tc>
                <w:tcPr>
                  <w:tcW w:w="1094" w:type="pct"/>
                  <w:tcBorders>
                    <w:top w:val="single" w:color="000000" w:sz="4" w:space="0"/>
                    <w:left w:val="single" w:color="000000" w:sz="4" w:space="0"/>
                    <w:bottom w:val="single" w:color="000000" w:sz="4" w:space="0"/>
                    <w:right w:val="single" w:color="000000" w:sz="4" w:space="0"/>
                  </w:tcBorders>
                  <w:vAlign w:val="center"/>
                </w:tcPr>
                <w:p w14:paraId="6EE456F0">
                  <w:pPr>
                    <w:pStyle w:val="20"/>
                  </w:pPr>
                  <w:r>
                    <w:t>项目东侧厂界外1米</w:t>
                  </w:r>
                </w:p>
              </w:tc>
              <w:tc>
                <w:tcPr>
                  <w:tcW w:w="839" w:type="pct"/>
                  <w:vMerge w:val="restart"/>
                  <w:tcBorders>
                    <w:top w:val="single" w:color="000000" w:sz="4" w:space="0"/>
                    <w:left w:val="single" w:color="000000" w:sz="4" w:space="0"/>
                    <w:bottom w:val="nil"/>
                    <w:right w:val="single" w:color="000000" w:sz="4" w:space="0"/>
                  </w:tcBorders>
                  <w:vAlign w:val="center"/>
                </w:tcPr>
                <w:p w14:paraId="5F5C0A40">
                  <w:pPr>
                    <w:pStyle w:val="20"/>
                  </w:pPr>
                  <w:r>
                    <w:t>厂界噪声</w:t>
                  </w:r>
                </w:p>
              </w:tc>
              <w:tc>
                <w:tcPr>
                  <w:tcW w:w="1629" w:type="pct"/>
                  <w:tcBorders>
                    <w:top w:val="single" w:color="000000" w:sz="4" w:space="0"/>
                    <w:left w:val="single" w:color="000000" w:sz="4" w:space="0"/>
                    <w:bottom w:val="single" w:color="000000" w:sz="4" w:space="0"/>
                    <w:right w:val="single" w:color="000000" w:sz="4" w:space="0"/>
                  </w:tcBorders>
                  <w:vAlign w:val="center"/>
                </w:tcPr>
                <w:p w14:paraId="3064DA16">
                  <w:pPr>
                    <w:pStyle w:val="20"/>
                  </w:pPr>
                  <w:r>
                    <w:t>59</w:t>
                  </w:r>
                </w:p>
              </w:tc>
              <w:tc>
                <w:tcPr>
                  <w:tcW w:w="697" w:type="pct"/>
                  <w:vMerge w:val="restart"/>
                  <w:tcBorders>
                    <w:top w:val="single" w:color="000000" w:sz="4" w:space="0"/>
                    <w:left w:val="single" w:color="000000" w:sz="4" w:space="0"/>
                    <w:bottom w:val="nil"/>
                    <w:right w:val="single" w:color="000000" w:sz="4" w:space="0"/>
                  </w:tcBorders>
                  <w:vAlign w:val="center"/>
                </w:tcPr>
                <w:p w14:paraId="23AB1C96">
                  <w:pPr>
                    <w:pStyle w:val="20"/>
                  </w:pPr>
                  <w:r>
                    <w:t>昼间：65</w:t>
                  </w:r>
                </w:p>
              </w:tc>
            </w:tr>
            <w:tr w14:paraId="77E42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trPr>
              <w:tc>
                <w:tcPr>
                  <w:tcW w:w="738" w:type="pct"/>
                  <w:vMerge w:val="continue"/>
                  <w:tcBorders>
                    <w:top w:val="nil"/>
                    <w:left w:val="single" w:color="000000" w:sz="4" w:space="0"/>
                    <w:bottom w:val="nil"/>
                    <w:right w:val="single" w:color="000000" w:sz="4" w:space="0"/>
                  </w:tcBorders>
                  <w:vAlign w:val="center"/>
                </w:tcPr>
                <w:p w14:paraId="5FB1936A">
                  <w:pPr>
                    <w:pStyle w:val="20"/>
                  </w:pPr>
                </w:p>
              </w:tc>
              <w:tc>
                <w:tcPr>
                  <w:tcW w:w="1094" w:type="pct"/>
                  <w:tcBorders>
                    <w:top w:val="single" w:color="000000" w:sz="4" w:space="0"/>
                    <w:left w:val="single" w:color="000000" w:sz="4" w:space="0"/>
                    <w:bottom w:val="single" w:color="000000" w:sz="4" w:space="0"/>
                    <w:right w:val="single" w:color="000000" w:sz="4" w:space="0"/>
                  </w:tcBorders>
                  <w:vAlign w:val="center"/>
                </w:tcPr>
                <w:p w14:paraId="4DD32174">
                  <w:pPr>
                    <w:pStyle w:val="20"/>
                  </w:pPr>
                  <w:r>
                    <w:t>项目南侧厂界外1米</w:t>
                  </w:r>
                </w:p>
              </w:tc>
              <w:tc>
                <w:tcPr>
                  <w:tcW w:w="839" w:type="pct"/>
                  <w:vMerge w:val="continue"/>
                  <w:tcBorders>
                    <w:top w:val="nil"/>
                    <w:left w:val="single" w:color="000000" w:sz="4" w:space="0"/>
                    <w:bottom w:val="nil"/>
                    <w:right w:val="single" w:color="000000" w:sz="4" w:space="0"/>
                  </w:tcBorders>
                  <w:vAlign w:val="center"/>
                </w:tcPr>
                <w:p w14:paraId="1E31085B">
                  <w:pPr>
                    <w:pStyle w:val="20"/>
                  </w:pPr>
                </w:p>
              </w:tc>
              <w:tc>
                <w:tcPr>
                  <w:tcW w:w="1629" w:type="pct"/>
                  <w:tcBorders>
                    <w:top w:val="single" w:color="000000" w:sz="4" w:space="0"/>
                    <w:left w:val="single" w:color="000000" w:sz="4" w:space="0"/>
                    <w:bottom w:val="single" w:color="000000" w:sz="4" w:space="0"/>
                    <w:right w:val="single" w:color="000000" w:sz="4" w:space="0"/>
                  </w:tcBorders>
                  <w:vAlign w:val="center"/>
                </w:tcPr>
                <w:p w14:paraId="39654C4D">
                  <w:pPr>
                    <w:pStyle w:val="20"/>
                  </w:pPr>
                  <w:r>
                    <w:t>55</w:t>
                  </w:r>
                </w:p>
              </w:tc>
              <w:tc>
                <w:tcPr>
                  <w:tcW w:w="697" w:type="pct"/>
                  <w:vMerge w:val="continue"/>
                  <w:tcBorders>
                    <w:top w:val="nil"/>
                    <w:left w:val="single" w:color="000000" w:sz="4" w:space="0"/>
                    <w:bottom w:val="nil"/>
                    <w:right w:val="single" w:color="000000" w:sz="4" w:space="0"/>
                  </w:tcBorders>
                  <w:vAlign w:val="center"/>
                </w:tcPr>
                <w:p w14:paraId="639DA6A0">
                  <w:pPr>
                    <w:pStyle w:val="20"/>
                  </w:pPr>
                </w:p>
              </w:tc>
            </w:tr>
            <w:tr w14:paraId="4EE4F6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8" w:hRule="atLeast"/>
              </w:trPr>
              <w:tc>
                <w:tcPr>
                  <w:tcW w:w="738" w:type="pct"/>
                  <w:vMerge w:val="continue"/>
                  <w:tcBorders>
                    <w:top w:val="nil"/>
                    <w:left w:val="single" w:color="000000" w:sz="4" w:space="0"/>
                    <w:bottom w:val="nil"/>
                    <w:right w:val="single" w:color="000000" w:sz="4" w:space="0"/>
                  </w:tcBorders>
                  <w:vAlign w:val="center"/>
                </w:tcPr>
                <w:p w14:paraId="70C1D8AA">
                  <w:pPr>
                    <w:pStyle w:val="20"/>
                  </w:pPr>
                </w:p>
              </w:tc>
              <w:tc>
                <w:tcPr>
                  <w:tcW w:w="1094" w:type="pct"/>
                  <w:tcBorders>
                    <w:top w:val="single" w:color="000000" w:sz="4" w:space="0"/>
                    <w:left w:val="single" w:color="000000" w:sz="4" w:space="0"/>
                    <w:bottom w:val="single" w:color="000000" w:sz="4" w:space="0"/>
                    <w:right w:val="single" w:color="000000" w:sz="4" w:space="0"/>
                  </w:tcBorders>
                  <w:vAlign w:val="center"/>
                </w:tcPr>
                <w:p w14:paraId="5340EB29">
                  <w:pPr>
                    <w:pStyle w:val="20"/>
                  </w:pPr>
                  <w:r>
                    <w:t>项目北侧厂界外1米</w:t>
                  </w:r>
                </w:p>
              </w:tc>
              <w:tc>
                <w:tcPr>
                  <w:tcW w:w="839" w:type="pct"/>
                  <w:vMerge w:val="continue"/>
                  <w:tcBorders>
                    <w:top w:val="nil"/>
                    <w:left w:val="single" w:color="000000" w:sz="4" w:space="0"/>
                    <w:bottom w:val="nil"/>
                    <w:right w:val="single" w:color="000000" w:sz="4" w:space="0"/>
                  </w:tcBorders>
                  <w:vAlign w:val="center"/>
                </w:tcPr>
                <w:p w14:paraId="273006C2">
                  <w:pPr>
                    <w:pStyle w:val="20"/>
                  </w:pPr>
                </w:p>
              </w:tc>
              <w:tc>
                <w:tcPr>
                  <w:tcW w:w="1629" w:type="pct"/>
                  <w:tcBorders>
                    <w:top w:val="single" w:color="000000" w:sz="4" w:space="0"/>
                    <w:left w:val="single" w:color="000000" w:sz="4" w:space="0"/>
                    <w:bottom w:val="single" w:color="000000" w:sz="4" w:space="0"/>
                    <w:right w:val="single" w:color="000000" w:sz="4" w:space="0"/>
                  </w:tcBorders>
                  <w:vAlign w:val="center"/>
                </w:tcPr>
                <w:p w14:paraId="11589E00">
                  <w:pPr>
                    <w:pStyle w:val="20"/>
                  </w:pPr>
                  <w:r>
                    <w:t>59</w:t>
                  </w:r>
                </w:p>
              </w:tc>
              <w:tc>
                <w:tcPr>
                  <w:tcW w:w="697" w:type="pct"/>
                  <w:vMerge w:val="continue"/>
                  <w:tcBorders>
                    <w:top w:val="nil"/>
                    <w:left w:val="single" w:color="000000" w:sz="4" w:space="0"/>
                    <w:bottom w:val="single" w:color="000000" w:sz="4" w:space="0"/>
                    <w:right w:val="single" w:color="000000" w:sz="4" w:space="0"/>
                  </w:tcBorders>
                  <w:vAlign w:val="center"/>
                </w:tcPr>
                <w:p w14:paraId="441C9EF8">
                  <w:pPr>
                    <w:pStyle w:val="20"/>
                  </w:pPr>
                </w:p>
              </w:tc>
            </w:tr>
            <w:tr w14:paraId="43B5E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trPr>
              <w:tc>
                <w:tcPr>
                  <w:tcW w:w="738" w:type="pct"/>
                  <w:vMerge w:val="continue"/>
                  <w:tcBorders>
                    <w:top w:val="nil"/>
                    <w:left w:val="single" w:color="000000" w:sz="4" w:space="0"/>
                    <w:bottom w:val="single" w:color="000000" w:sz="4" w:space="0"/>
                    <w:right w:val="single" w:color="000000" w:sz="4" w:space="0"/>
                  </w:tcBorders>
                  <w:vAlign w:val="center"/>
                </w:tcPr>
                <w:p w14:paraId="1248C154">
                  <w:pPr>
                    <w:pStyle w:val="20"/>
                  </w:pPr>
                </w:p>
              </w:tc>
              <w:tc>
                <w:tcPr>
                  <w:tcW w:w="1094" w:type="pct"/>
                  <w:tcBorders>
                    <w:top w:val="single" w:color="000000" w:sz="4" w:space="0"/>
                    <w:left w:val="single" w:color="000000" w:sz="4" w:space="0"/>
                    <w:bottom w:val="single" w:color="000000" w:sz="4" w:space="0"/>
                    <w:right w:val="single" w:color="000000" w:sz="4" w:space="0"/>
                  </w:tcBorders>
                  <w:vAlign w:val="center"/>
                </w:tcPr>
                <w:p w14:paraId="13B82AA2">
                  <w:pPr>
                    <w:pStyle w:val="20"/>
                  </w:pPr>
                  <w:r>
                    <w:t>项目西侧厂界外1米</w:t>
                  </w:r>
                </w:p>
              </w:tc>
              <w:tc>
                <w:tcPr>
                  <w:tcW w:w="839" w:type="pct"/>
                  <w:vMerge w:val="continue"/>
                  <w:tcBorders>
                    <w:top w:val="nil"/>
                    <w:left w:val="single" w:color="000000" w:sz="4" w:space="0"/>
                    <w:bottom w:val="single" w:color="000000" w:sz="4" w:space="0"/>
                    <w:right w:val="single" w:color="000000" w:sz="4" w:space="0"/>
                  </w:tcBorders>
                  <w:vAlign w:val="center"/>
                </w:tcPr>
                <w:p w14:paraId="75709B79">
                  <w:pPr>
                    <w:pStyle w:val="20"/>
                  </w:pPr>
                </w:p>
              </w:tc>
              <w:tc>
                <w:tcPr>
                  <w:tcW w:w="1629" w:type="pct"/>
                  <w:tcBorders>
                    <w:top w:val="single" w:color="000000" w:sz="4" w:space="0"/>
                    <w:left w:val="single" w:color="000000" w:sz="4" w:space="0"/>
                    <w:bottom w:val="single" w:color="000000" w:sz="4" w:space="0"/>
                    <w:right w:val="single" w:color="000000" w:sz="4" w:space="0"/>
                  </w:tcBorders>
                  <w:vAlign w:val="center"/>
                </w:tcPr>
                <w:p w14:paraId="344D8CCA">
                  <w:pPr>
                    <w:pStyle w:val="20"/>
                  </w:pPr>
                  <w:r>
                    <w:t>61</w:t>
                  </w:r>
                </w:p>
              </w:tc>
              <w:tc>
                <w:tcPr>
                  <w:tcW w:w="697" w:type="pct"/>
                  <w:tcBorders>
                    <w:top w:val="single" w:color="000000" w:sz="4" w:space="0"/>
                    <w:left w:val="single" w:color="000000" w:sz="4" w:space="0"/>
                    <w:bottom w:val="single" w:color="000000" w:sz="4" w:space="0"/>
                    <w:right w:val="single" w:color="000000" w:sz="4" w:space="0"/>
                  </w:tcBorders>
                  <w:vAlign w:val="center"/>
                </w:tcPr>
                <w:p w14:paraId="0EB7B7EC">
                  <w:pPr>
                    <w:pStyle w:val="20"/>
                  </w:pPr>
                  <w:r>
                    <w:t>昼间：70</w:t>
                  </w:r>
                </w:p>
              </w:tc>
            </w:tr>
            <w:tr w14:paraId="074FD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2" w:hRule="atLeast"/>
              </w:trPr>
              <w:tc>
                <w:tcPr>
                  <w:tcW w:w="5000" w:type="pct"/>
                  <w:gridSpan w:val="5"/>
                  <w:tcBorders>
                    <w:top w:val="single" w:color="000000" w:sz="4" w:space="0"/>
                    <w:left w:val="single" w:color="000000" w:sz="4" w:space="0"/>
                    <w:bottom w:val="single" w:color="000000" w:sz="4" w:space="0"/>
                    <w:right w:val="single" w:color="000000" w:sz="4" w:space="0"/>
                  </w:tcBorders>
                  <w:vAlign w:val="center"/>
                </w:tcPr>
                <w:p w14:paraId="56F95093">
                  <w:pPr>
                    <w:pStyle w:val="20"/>
                  </w:pPr>
                  <w:r>
                    <w:t>备注：1.东、南、北厂界参照《工业企业厂界环境噪声排放标准》</w:t>
                  </w:r>
                  <w:r>
                    <w:rPr>
                      <w:rFonts w:hint="eastAsia"/>
                      <w:lang w:eastAsia="zh-CN"/>
                    </w:rPr>
                    <w:t>（</w:t>
                  </w:r>
                  <w:r>
                    <w:t>GB 12348-2008</w:t>
                  </w:r>
                  <w:r>
                    <w:rPr>
                      <w:rFonts w:hint="eastAsia"/>
                      <w:lang w:eastAsia="zh-CN"/>
                    </w:rPr>
                    <w:t>）</w:t>
                  </w:r>
                  <w:r>
                    <w:t>3类标准，西厂界参照《工业企业厂界环境噪声排放标准》</w:t>
                  </w:r>
                  <w:r>
                    <w:rPr>
                      <w:rFonts w:hint="eastAsia"/>
                      <w:lang w:eastAsia="zh-CN"/>
                    </w:rPr>
                    <w:t>（</w:t>
                  </w:r>
                  <w:r>
                    <w:t>GB 12348-2008</w:t>
                  </w:r>
                  <w:r>
                    <w:rPr>
                      <w:rFonts w:hint="eastAsia"/>
                      <w:lang w:eastAsia="zh-CN"/>
                    </w:rPr>
                    <w:t>）</w:t>
                  </w:r>
                  <w:r>
                    <w:t>4类标准；</w:t>
                  </w:r>
                </w:p>
                <w:p w14:paraId="5ECCB2C9">
                  <w:pPr>
                    <w:pStyle w:val="20"/>
                    <w:widowControl/>
                    <w:adjustRightInd/>
                    <w:snapToGrid/>
                    <w:ind w:firstLine="630" w:firstLineChars="300"/>
                    <w:jc w:val="left"/>
                  </w:pPr>
                  <w:r>
                    <w:t>2.检测结果仅对本次采样负责。</w:t>
                  </w:r>
                </w:p>
              </w:tc>
            </w:tr>
          </w:tbl>
          <w:p w14:paraId="37EF981C">
            <w:pPr>
              <w:adjustRightInd w:val="0"/>
              <w:snapToGrid w:val="0"/>
              <w:ind w:firstLine="480"/>
              <w:rPr>
                <w:kern w:val="2"/>
              </w:rPr>
            </w:pPr>
            <w:r>
              <w:rPr>
                <w:kern w:val="2"/>
              </w:rPr>
              <w:t>（4）固体废物</w:t>
            </w:r>
          </w:p>
          <w:p w14:paraId="21CF2FA6">
            <w:pPr>
              <w:adjustRightInd w:val="0"/>
              <w:snapToGrid w:val="0"/>
              <w:ind w:firstLine="480"/>
              <w:rPr>
                <w:kern w:val="2"/>
              </w:rPr>
            </w:pPr>
            <w:r>
              <w:rPr>
                <w:kern w:val="2"/>
              </w:rPr>
              <w:t>原有项目产生的固体废物主要包括生活垃圾、废包装材料、边角料、除尘沉降尘渣、废麻轮布轮、塑粉回收机回收的粉尘、废液压油、废活性炭及其吸附物、塑粉回收机废滤芯。其中生活垃圾产生量为30t/a、除尘沉降尘渣产生量为6.18t/a、废麻轮布轮产生量为2.64t/a，委托环卫部门定期统一清运处置；废包装材料产生量为0.5t/a、边角料产生量为3t/a，由物资回收部门回收利用；塑粉回收机回收粉尘产生量为0.39t/a，收集后回用于生产；废液压油产生量为0.02t/a、废活性炭及其吸附物产生量为0.004t/a、塑粉回收机废滤芯产生量为0.05t/a，交有资质的单位进行安全处置。</w:t>
            </w:r>
          </w:p>
          <w:p w14:paraId="4C6C817D">
            <w:pPr>
              <w:adjustRightInd w:val="0"/>
              <w:snapToGrid w:val="0"/>
              <w:ind w:firstLine="480"/>
              <w:rPr>
                <w:kern w:val="2"/>
              </w:rPr>
            </w:pPr>
            <w:r>
              <w:rPr>
                <w:kern w:val="2"/>
              </w:rPr>
              <w:t>（5）扩建前项目污染物排放总量合计</w:t>
            </w:r>
          </w:p>
          <w:p w14:paraId="6226F26F">
            <w:pPr>
              <w:pStyle w:val="10"/>
              <w:spacing w:line="240" w:lineRule="atLeast"/>
              <w:ind w:firstLine="422"/>
              <w:rPr>
                <w:rFonts w:hint="default"/>
                <w:kern w:val="2"/>
              </w:rPr>
            </w:pPr>
            <w:r>
              <w:rPr>
                <w:rFonts w:hint="default"/>
                <w:kern w:val="2"/>
              </w:rPr>
              <w:t>表2-17  项目扩建前污染物排放情况表</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5"/>
              <w:gridCol w:w="935"/>
              <w:gridCol w:w="1370"/>
              <w:gridCol w:w="1307"/>
              <w:gridCol w:w="1739"/>
              <w:gridCol w:w="2419"/>
            </w:tblGrid>
            <w:tr w14:paraId="362D4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62" w:type="pct"/>
                  <w:tcBorders>
                    <w:top w:val="single" w:color="auto" w:sz="4" w:space="0"/>
                    <w:left w:val="single" w:color="auto" w:sz="4" w:space="0"/>
                    <w:bottom w:val="single" w:color="auto" w:sz="4" w:space="0"/>
                    <w:right w:val="single" w:color="auto" w:sz="4" w:space="0"/>
                  </w:tcBorders>
                  <w:vAlign w:val="center"/>
                </w:tcPr>
                <w:p w14:paraId="54BDB880">
                  <w:pPr>
                    <w:pStyle w:val="20"/>
                    <w:rPr>
                      <w:b/>
                      <w:bCs/>
                    </w:rPr>
                  </w:pPr>
                  <w:r>
                    <w:rPr>
                      <w:b/>
                      <w:bCs/>
                    </w:rPr>
                    <w:t>类型</w:t>
                  </w:r>
                </w:p>
              </w:tc>
              <w:tc>
                <w:tcPr>
                  <w:tcW w:w="558" w:type="pct"/>
                  <w:tcBorders>
                    <w:top w:val="single" w:color="auto" w:sz="4" w:space="0"/>
                    <w:left w:val="single" w:color="auto" w:sz="4" w:space="0"/>
                    <w:bottom w:val="single" w:color="auto" w:sz="4" w:space="0"/>
                    <w:right w:val="single" w:color="auto" w:sz="4" w:space="0"/>
                  </w:tcBorders>
                  <w:vAlign w:val="center"/>
                </w:tcPr>
                <w:p w14:paraId="1BFD27A6">
                  <w:pPr>
                    <w:pStyle w:val="20"/>
                    <w:rPr>
                      <w:b/>
                      <w:bCs/>
                    </w:rPr>
                  </w:pPr>
                  <w:r>
                    <w:rPr>
                      <w:b/>
                      <w:bCs/>
                    </w:rPr>
                    <w:t>排放源</w:t>
                  </w:r>
                </w:p>
              </w:tc>
              <w:tc>
                <w:tcPr>
                  <w:tcW w:w="817" w:type="pct"/>
                  <w:tcBorders>
                    <w:top w:val="single" w:color="auto" w:sz="4" w:space="0"/>
                    <w:left w:val="single" w:color="auto" w:sz="4" w:space="0"/>
                    <w:bottom w:val="single" w:color="auto" w:sz="4" w:space="0"/>
                    <w:right w:val="single" w:color="auto" w:sz="4" w:space="0"/>
                  </w:tcBorders>
                  <w:vAlign w:val="center"/>
                </w:tcPr>
                <w:p w14:paraId="7DDC6A7A">
                  <w:pPr>
                    <w:pStyle w:val="20"/>
                    <w:rPr>
                      <w:b/>
                      <w:bCs/>
                    </w:rPr>
                  </w:pPr>
                  <w:r>
                    <w:rPr>
                      <w:b/>
                      <w:bCs/>
                    </w:rPr>
                    <w:t>污染物</w:t>
                  </w:r>
                </w:p>
              </w:tc>
              <w:tc>
                <w:tcPr>
                  <w:tcW w:w="780" w:type="pct"/>
                  <w:tcBorders>
                    <w:top w:val="single" w:color="auto" w:sz="4" w:space="0"/>
                    <w:left w:val="single" w:color="auto" w:sz="4" w:space="0"/>
                    <w:bottom w:val="single" w:color="auto" w:sz="4" w:space="0"/>
                    <w:right w:val="single" w:color="auto" w:sz="4" w:space="0"/>
                  </w:tcBorders>
                  <w:vAlign w:val="center"/>
                </w:tcPr>
                <w:p w14:paraId="131C3FF6">
                  <w:pPr>
                    <w:pStyle w:val="20"/>
                    <w:rPr>
                      <w:b/>
                      <w:bCs/>
                    </w:rPr>
                  </w:pPr>
                  <w:r>
                    <w:rPr>
                      <w:b/>
                      <w:bCs/>
                    </w:rPr>
                    <w:t>排放浓度</w:t>
                  </w:r>
                </w:p>
              </w:tc>
              <w:tc>
                <w:tcPr>
                  <w:tcW w:w="1038" w:type="pct"/>
                  <w:tcBorders>
                    <w:top w:val="single" w:color="auto" w:sz="4" w:space="0"/>
                    <w:left w:val="single" w:color="auto" w:sz="4" w:space="0"/>
                    <w:bottom w:val="single" w:color="auto" w:sz="4" w:space="0"/>
                    <w:right w:val="single" w:color="auto" w:sz="4" w:space="0"/>
                  </w:tcBorders>
                  <w:vAlign w:val="center"/>
                </w:tcPr>
                <w:p w14:paraId="2B33D3B1">
                  <w:pPr>
                    <w:pStyle w:val="20"/>
                    <w:rPr>
                      <w:b/>
                      <w:bCs/>
                    </w:rPr>
                  </w:pPr>
                  <w:r>
                    <w:rPr>
                      <w:b/>
                      <w:bCs/>
                    </w:rPr>
                    <w:t>实际排放量/固体废物产生量（t/a）</w:t>
                  </w:r>
                </w:p>
              </w:tc>
              <w:tc>
                <w:tcPr>
                  <w:tcW w:w="1442" w:type="pct"/>
                  <w:tcBorders>
                    <w:top w:val="single" w:color="auto" w:sz="4" w:space="0"/>
                    <w:left w:val="single" w:color="auto" w:sz="4" w:space="0"/>
                    <w:bottom w:val="single" w:color="auto" w:sz="4" w:space="0"/>
                    <w:right w:val="single" w:color="auto" w:sz="4" w:space="0"/>
                  </w:tcBorders>
                  <w:vAlign w:val="center"/>
                </w:tcPr>
                <w:p w14:paraId="585365D2">
                  <w:pPr>
                    <w:pStyle w:val="20"/>
                    <w:rPr>
                      <w:b/>
                      <w:bCs/>
                    </w:rPr>
                  </w:pPr>
                  <w:r>
                    <w:rPr>
                      <w:b/>
                      <w:bCs/>
                    </w:rPr>
                    <w:t>现有治理措施</w:t>
                  </w:r>
                </w:p>
              </w:tc>
            </w:tr>
            <w:tr w14:paraId="0E5FE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1BCF546A">
                  <w:pPr>
                    <w:pStyle w:val="20"/>
                  </w:pPr>
                  <w:r>
                    <w:t>废气</w:t>
                  </w:r>
                </w:p>
              </w:tc>
              <w:tc>
                <w:tcPr>
                  <w:tcW w:w="558" w:type="pct"/>
                  <w:tcBorders>
                    <w:top w:val="single" w:color="auto" w:sz="4" w:space="0"/>
                    <w:left w:val="single" w:color="auto" w:sz="4" w:space="0"/>
                    <w:bottom w:val="single" w:color="auto" w:sz="4" w:space="0"/>
                    <w:right w:val="single" w:color="auto" w:sz="4" w:space="0"/>
                  </w:tcBorders>
                  <w:vAlign w:val="center"/>
                </w:tcPr>
                <w:p w14:paraId="57CC60FA">
                  <w:pPr>
                    <w:pStyle w:val="20"/>
                  </w:pPr>
                  <w:r>
                    <w:t>1#排气筒</w:t>
                  </w:r>
                </w:p>
              </w:tc>
              <w:tc>
                <w:tcPr>
                  <w:tcW w:w="817" w:type="pct"/>
                  <w:tcBorders>
                    <w:top w:val="single" w:color="auto" w:sz="4" w:space="0"/>
                    <w:left w:val="single" w:color="auto" w:sz="4" w:space="0"/>
                    <w:bottom w:val="single" w:color="auto" w:sz="4" w:space="0"/>
                    <w:right w:val="single" w:color="auto" w:sz="4" w:space="0"/>
                  </w:tcBorders>
                  <w:vAlign w:val="center"/>
                </w:tcPr>
                <w:p w14:paraId="2203B621">
                  <w:pPr>
                    <w:pStyle w:val="20"/>
                  </w:pPr>
                  <w:r>
                    <w:t>颗粒物</w:t>
                  </w:r>
                </w:p>
              </w:tc>
              <w:tc>
                <w:tcPr>
                  <w:tcW w:w="780" w:type="pct"/>
                  <w:tcBorders>
                    <w:top w:val="single" w:color="auto" w:sz="4" w:space="0"/>
                    <w:left w:val="single" w:color="auto" w:sz="4" w:space="0"/>
                    <w:bottom w:val="single" w:color="auto" w:sz="4" w:space="0"/>
                    <w:right w:val="single" w:color="auto" w:sz="4" w:space="0"/>
                  </w:tcBorders>
                  <w:vAlign w:val="center"/>
                </w:tcPr>
                <w:p w14:paraId="2938F2C3">
                  <w:pPr>
                    <w:pStyle w:val="20"/>
                  </w:pPr>
                  <w:r>
                    <w:t>6.9mg/m</w:t>
                  </w:r>
                  <w:r>
                    <w:rPr>
                      <w:vertAlign w:val="superscript"/>
                    </w:rPr>
                    <w:t>3</w:t>
                  </w:r>
                </w:p>
              </w:tc>
              <w:tc>
                <w:tcPr>
                  <w:tcW w:w="1038" w:type="pct"/>
                  <w:tcBorders>
                    <w:top w:val="single" w:color="auto" w:sz="4" w:space="0"/>
                    <w:left w:val="single" w:color="auto" w:sz="4" w:space="0"/>
                    <w:bottom w:val="single" w:color="auto" w:sz="4" w:space="0"/>
                    <w:right w:val="single" w:color="auto" w:sz="4" w:space="0"/>
                  </w:tcBorders>
                  <w:vAlign w:val="center"/>
                </w:tcPr>
                <w:p w14:paraId="67F446C6">
                  <w:pPr>
                    <w:pStyle w:val="20"/>
                  </w:pPr>
                  <w:r>
                    <w:t>0.552</w:t>
                  </w:r>
                </w:p>
              </w:tc>
              <w:tc>
                <w:tcPr>
                  <w:tcW w:w="1442" w:type="pct"/>
                  <w:tcBorders>
                    <w:top w:val="single" w:color="auto" w:sz="4" w:space="0"/>
                    <w:left w:val="single" w:color="auto" w:sz="4" w:space="0"/>
                    <w:bottom w:val="single" w:color="auto" w:sz="4" w:space="0"/>
                    <w:right w:val="single" w:color="auto" w:sz="4" w:space="0"/>
                  </w:tcBorders>
                  <w:vAlign w:val="center"/>
                </w:tcPr>
                <w:p w14:paraId="4FA13B16">
                  <w:pPr>
                    <w:pStyle w:val="20"/>
                  </w:pPr>
                  <w:r>
                    <w:t>布袋除尘</w:t>
                  </w:r>
                </w:p>
              </w:tc>
            </w:tr>
            <w:tr w14:paraId="6FE7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restart"/>
                  <w:tcBorders>
                    <w:top w:val="single" w:color="auto" w:sz="4" w:space="0"/>
                    <w:left w:val="single" w:color="auto" w:sz="4" w:space="0"/>
                    <w:bottom w:val="single" w:color="auto" w:sz="4" w:space="0"/>
                    <w:right w:val="single" w:color="auto" w:sz="4" w:space="0"/>
                  </w:tcBorders>
                  <w:vAlign w:val="center"/>
                </w:tcPr>
                <w:p w14:paraId="5EAEA036">
                  <w:pPr>
                    <w:pStyle w:val="20"/>
                  </w:pPr>
                  <w:r>
                    <w:t>废水</w:t>
                  </w:r>
                </w:p>
              </w:tc>
              <w:tc>
                <w:tcPr>
                  <w:tcW w:w="558" w:type="pct"/>
                  <w:vMerge w:val="restart"/>
                  <w:tcBorders>
                    <w:top w:val="single" w:color="auto" w:sz="4" w:space="0"/>
                    <w:left w:val="single" w:color="auto" w:sz="4" w:space="0"/>
                    <w:bottom w:val="single" w:color="auto" w:sz="4" w:space="0"/>
                    <w:right w:val="single" w:color="auto" w:sz="4" w:space="0"/>
                  </w:tcBorders>
                  <w:vAlign w:val="center"/>
                </w:tcPr>
                <w:p w14:paraId="49B67E16">
                  <w:pPr>
                    <w:pStyle w:val="20"/>
                  </w:pPr>
                  <w:r>
                    <w:t>生活污水和车间清洗废水</w:t>
                  </w:r>
                </w:p>
              </w:tc>
              <w:tc>
                <w:tcPr>
                  <w:tcW w:w="817" w:type="pct"/>
                  <w:tcBorders>
                    <w:top w:val="single" w:color="auto" w:sz="4" w:space="0"/>
                    <w:left w:val="single" w:color="auto" w:sz="4" w:space="0"/>
                    <w:bottom w:val="single" w:color="auto" w:sz="4" w:space="0"/>
                    <w:right w:val="single" w:color="auto" w:sz="4" w:space="0"/>
                  </w:tcBorders>
                  <w:vAlign w:val="center"/>
                </w:tcPr>
                <w:p w14:paraId="5D1CEE67">
                  <w:pPr>
                    <w:pStyle w:val="20"/>
                  </w:pPr>
                  <w:r>
                    <w:t>废水量</w:t>
                  </w:r>
                </w:p>
              </w:tc>
              <w:tc>
                <w:tcPr>
                  <w:tcW w:w="780" w:type="pct"/>
                  <w:tcBorders>
                    <w:top w:val="single" w:color="auto" w:sz="4" w:space="0"/>
                    <w:left w:val="single" w:color="auto" w:sz="4" w:space="0"/>
                    <w:bottom w:val="single" w:color="auto" w:sz="4" w:space="0"/>
                    <w:right w:val="single" w:color="auto" w:sz="4" w:space="0"/>
                  </w:tcBorders>
                  <w:vAlign w:val="center"/>
                </w:tcPr>
                <w:p w14:paraId="19979E9A">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5ECFD55D">
                  <w:pPr>
                    <w:pStyle w:val="20"/>
                  </w:pPr>
                  <w:r>
                    <w:t>5265</w:t>
                  </w:r>
                </w:p>
              </w:tc>
              <w:tc>
                <w:tcPr>
                  <w:tcW w:w="1442" w:type="pct"/>
                  <w:vMerge w:val="restart"/>
                  <w:tcBorders>
                    <w:top w:val="single" w:color="auto" w:sz="4" w:space="0"/>
                    <w:left w:val="single" w:color="auto" w:sz="4" w:space="0"/>
                    <w:bottom w:val="single" w:color="auto" w:sz="4" w:space="0"/>
                    <w:right w:val="single" w:color="auto" w:sz="4" w:space="0"/>
                  </w:tcBorders>
                  <w:vAlign w:val="center"/>
                </w:tcPr>
                <w:p w14:paraId="14377B37">
                  <w:pPr>
                    <w:pStyle w:val="20"/>
                  </w:pPr>
                  <w:r>
                    <w:t>经三级化粪池预处理达到园区污水处理厂进水水质标准后经过管网送入园区污水处理厂</w:t>
                  </w:r>
                </w:p>
              </w:tc>
            </w:tr>
            <w:tr w14:paraId="254EE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2F3A1F60">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432F0983">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0CEA9274">
                  <w:pPr>
                    <w:pStyle w:val="20"/>
                  </w:pPr>
                  <w:r>
                    <w:t>pH值</w:t>
                  </w:r>
                </w:p>
              </w:tc>
              <w:tc>
                <w:tcPr>
                  <w:tcW w:w="780" w:type="pct"/>
                  <w:tcBorders>
                    <w:top w:val="single" w:color="auto" w:sz="4" w:space="0"/>
                    <w:left w:val="single" w:color="auto" w:sz="4" w:space="0"/>
                    <w:bottom w:val="single" w:color="auto" w:sz="4" w:space="0"/>
                    <w:right w:val="single" w:color="auto" w:sz="4" w:space="0"/>
                  </w:tcBorders>
                  <w:vAlign w:val="center"/>
                </w:tcPr>
                <w:p w14:paraId="44D2F1C9">
                  <w:pPr>
                    <w:pStyle w:val="20"/>
                  </w:pPr>
                  <w:r>
                    <w:t>7.1无量纲</w:t>
                  </w:r>
                </w:p>
              </w:tc>
              <w:tc>
                <w:tcPr>
                  <w:tcW w:w="1038" w:type="pct"/>
                  <w:tcBorders>
                    <w:top w:val="single" w:color="auto" w:sz="4" w:space="0"/>
                    <w:left w:val="single" w:color="auto" w:sz="4" w:space="0"/>
                    <w:bottom w:val="single" w:color="auto" w:sz="4" w:space="0"/>
                    <w:right w:val="single" w:color="auto" w:sz="4" w:space="0"/>
                  </w:tcBorders>
                  <w:vAlign w:val="center"/>
                </w:tcPr>
                <w:p w14:paraId="4A6700C8">
                  <w:pPr>
                    <w:pStyle w:val="20"/>
                  </w:pPr>
                  <w:r>
                    <w:t>/</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1196F70C">
                  <w:pPr>
                    <w:pStyle w:val="20"/>
                  </w:pPr>
                </w:p>
              </w:tc>
            </w:tr>
            <w:tr w14:paraId="69EF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6ECC78E3">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749121F2">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2405BA5B">
                  <w:pPr>
                    <w:pStyle w:val="20"/>
                  </w:pPr>
                  <w:r>
                    <w:t>悬浮物</w:t>
                  </w:r>
                </w:p>
              </w:tc>
              <w:tc>
                <w:tcPr>
                  <w:tcW w:w="780" w:type="pct"/>
                  <w:tcBorders>
                    <w:top w:val="single" w:color="auto" w:sz="4" w:space="0"/>
                    <w:left w:val="single" w:color="auto" w:sz="4" w:space="0"/>
                    <w:bottom w:val="single" w:color="auto" w:sz="4" w:space="0"/>
                    <w:right w:val="single" w:color="auto" w:sz="4" w:space="0"/>
                  </w:tcBorders>
                  <w:vAlign w:val="center"/>
                </w:tcPr>
                <w:p w14:paraId="3CB9DE4C">
                  <w:pPr>
                    <w:pStyle w:val="20"/>
                  </w:pPr>
                  <w:r>
                    <w:t>56mg/L</w:t>
                  </w:r>
                </w:p>
              </w:tc>
              <w:tc>
                <w:tcPr>
                  <w:tcW w:w="1038" w:type="pct"/>
                  <w:tcBorders>
                    <w:top w:val="single" w:color="auto" w:sz="4" w:space="0"/>
                    <w:left w:val="single" w:color="auto" w:sz="4" w:space="0"/>
                    <w:bottom w:val="single" w:color="auto" w:sz="4" w:space="0"/>
                    <w:right w:val="single" w:color="auto" w:sz="4" w:space="0"/>
                  </w:tcBorders>
                  <w:vAlign w:val="center"/>
                </w:tcPr>
                <w:p w14:paraId="52A165EB">
                  <w:pPr>
                    <w:pStyle w:val="20"/>
                  </w:pPr>
                  <w:r>
                    <w:t>0.295</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146C8E72">
                  <w:pPr>
                    <w:pStyle w:val="20"/>
                  </w:pPr>
                </w:p>
              </w:tc>
            </w:tr>
            <w:tr w14:paraId="1671D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63EC06BC">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59D31BD0">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1582C225">
                  <w:pPr>
                    <w:pStyle w:val="20"/>
                  </w:pPr>
                  <w:r>
                    <w:t>化学需氧量</w:t>
                  </w:r>
                </w:p>
              </w:tc>
              <w:tc>
                <w:tcPr>
                  <w:tcW w:w="780" w:type="pct"/>
                  <w:tcBorders>
                    <w:top w:val="single" w:color="auto" w:sz="4" w:space="0"/>
                    <w:left w:val="single" w:color="auto" w:sz="4" w:space="0"/>
                    <w:bottom w:val="single" w:color="auto" w:sz="4" w:space="0"/>
                    <w:right w:val="single" w:color="auto" w:sz="4" w:space="0"/>
                  </w:tcBorders>
                  <w:vAlign w:val="center"/>
                </w:tcPr>
                <w:p w14:paraId="46BC1F57">
                  <w:pPr>
                    <w:pStyle w:val="20"/>
                  </w:pPr>
                  <w:r>
                    <w:t>145mg/L</w:t>
                  </w:r>
                </w:p>
              </w:tc>
              <w:tc>
                <w:tcPr>
                  <w:tcW w:w="1038" w:type="pct"/>
                  <w:tcBorders>
                    <w:top w:val="single" w:color="auto" w:sz="4" w:space="0"/>
                    <w:left w:val="single" w:color="auto" w:sz="4" w:space="0"/>
                    <w:bottom w:val="single" w:color="auto" w:sz="4" w:space="0"/>
                    <w:right w:val="single" w:color="auto" w:sz="4" w:space="0"/>
                  </w:tcBorders>
                  <w:vAlign w:val="center"/>
                </w:tcPr>
                <w:p w14:paraId="28E1FF91">
                  <w:pPr>
                    <w:pStyle w:val="20"/>
                  </w:pPr>
                  <w:r>
                    <w:t>0.763</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4FF05785">
                  <w:pPr>
                    <w:pStyle w:val="20"/>
                  </w:pPr>
                </w:p>
              </w:tc>
            </w:tr>
            <w:tr w14:paraId="385C7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46A54ECA">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3932F660">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26F33331">
                  <w:pPr>
                    <w:pStyle w:val="20"/>
                  </w:pPr>
                  <w:r>
                    <w:t>五日生化需氧量</w:t>
                  </w:r>
                </w:p>
              </w:tc>
              <w:tc>
                <w:tcPr>
                  <w:tcW w:w="780" w:type="pct"/>
                  <w:tcBorders>
                    <w:top w:val="single" w:color="auto" w:sz="4" w:space="0"/>
                    <w:left w:val="single" w:color="auto" w:sz="4" w:space="0"/>
                    <w:bottom w:val="single" w:color="auto" w:sz="4" w:space="0"/>
                    <w:right w:val="single" w:color="auto" w:sz="4" w:space="0"/>
                  </w:tcBorders>
                  <w:vAlign w:val="center"/>
                </w:tcPr>
                <w:p w14:paraId="70B8A2C6">
                  <w:pPr>
                    <w:pStyle w:val="20"/>
                  </w:pPr>
                  <w:r>
                    <w:t>61.3mg/L</w:t>
                  </w:r>
                </w:p>
              </w:tc>
              <w:tc>
                <w:tcPr>
                  <w:tcW w:w="1038" w:type="pct"/>
                  <w:tcBorders>
                    <w:top w:val="single" w:color="auto" w:sz="4" w:space="0"/>
                    <w:left w:val="single" w:color="auto" w:sz="4" w:space="0"/>
                    <w:bottom w:val="single" w:color="auto" w:sz="4" w:space="0"/>
                    <w:right w:val="single" w:color="auto" w:sz="4" w:space="0"/>
                  </w:tcBorders>
                  <w:vAlign w:val="center"/>
                </w:tcPr>
                <w:p w14:paraId="01D5B463">
                  <w:pPr>
                    <w:pStyle w:val="20"/>
                  </w:pPr>
                  <w:r>
                    <w:t>0.323</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1E3329F6">
                  <w:pPr>
                    <w:pStyle w:val="20"/>
                  </w:pPr>
                </w:p>
              </w:tc>
            </w:tr>
            <w:tr w14:paraId="3465C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08032142">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150FAD54">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291BC575">
                  <w:pPr>
                    <w:pStyle w:val="20"/>
                  </w:pPr>
                  <w:r>
                    <w:t>石油类</w:t>
                  </w:r>
                </w:p>
              </w:tc>
              <w:tc>
                <w:tcPr>
                  <w:tcW w:w="780" w:type="pct"/>
                  <w:tcBorders>
                    <w:top w:val="single" w:color="auto" w:sz="4" w:space="0"/>
                    <w:left w:val="single" w:color="auto" w:sz="4" w:space="0"/>
                    <w:bottom w:val="single" w:color="auto" w:sz="4" w:space="0"/>
                    <w:right w:val="single" w:color="auto" w:sz="4" w:space="0"/>
                  </w:tcBorders>
                  <w:vAlign w:val="center"/>
                </w:tcPr>
                <w:p w14:paraId="24C633CC">
                  <w:pPr>
                    <w:pStyle w:val="20"/>
                  </w:pPr>
                  <w:r>
                    <w:t>1.53mg/L</w:t>
                  </w:r>
                </w:p>
              </w:tc>
              <w:tc>
                <w:tcPr>
                  <w:tcW w:w="1038" w:type="pct"/>
                  <w:tcBorders>
                    <w:top w:val="single" w:color="auto" w:sz="4" w:space="0"/>
                    <w:left w:val="single" w:color="auto" w:sz="4" w:space="0"/>
                    <w:bottom w:val="single" w:color="auto" w:sz="4" w:space="0"/>
                    <w:right w:val="single" w:color="auto" w:sz="4" w:space="0"/>
                  </w:tcBorders>
                  <w:vAlign w:val="center"/>
                </w:tcPr>
                <w:p w14:paraId="5D74A5B4">
                  <w:pPr>
                    <w:pStyle w:val="20"/>
                  </w:pPr>
                  <w:r>
                    <w:t>0.008</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3C650B22">
                  <w:pPr>
                    <w:pStyle w:val="20"/>
                  </w:pPr>
                </w:p>
              </w:tc>
            </w:tr>
            <w:tr w14:paraId="63D5E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32DF087E">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001BC7F7">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1C57D17E">
                  <w:pPr>
                    <w:pStyle w:val="20"/>
                  </w:pPr>
                  <w:r>
                    <w:t>磷酸盐</w:t>
                  </w:r>
                </w:p>
              </w:tc>
              <w:tc>
                <w:tcPr>
                  <w:tcW w:w="780" w:type="pct"/>
                  <w:tcBorders>
                    <w:top w:val="single" w:color="auto" w:sz="4" w:space="0"/>
                    <w:left w:val="single" w:color="auto" w:sz="4" w:space="0"/>
                    <w:bottom w:val="single" w:color="auto" w:sz="4" w:space="0"/>
                    <w:right w:val="single" w:color="auto" w:sz="4" w:space="0"/>
                  </w:tcBorders>
                  <w:vAlign w:val="center"/>
                </w:tcPr>
                <w:p w14:paraId="4443FCFC">
                  <w:pPr>
                    <w:pStyle w:val="20"/>
                  </w:pPr>
                  <w:r>
                    <w:t>2.26mg/L</w:t>
                  </w:r>
                </w:p>
              </w:tc>
              <w:tc>
                <w:tcPr>
                  <w:tcW w:w="1038" w:type="pct"/>
                  <w:tcBorders>
                    <w:top w:val="single" w:color="auto" w:sz="4" w:space="0"/>
                    <w:left w:val="single" w:color="auto" w:sz="4" w:space="0"/>
                    <w:bottom w:val="single" w:color="auto" w:sz="4" w:space="0"/>
                    <w:right w:val="single" w:color="auto" w:sz="4" w:space="0"/>
                  </w:tcBorders>
                  <w:vAlign w:val="center"/>
                </w:tcPr>
                <w:p w14:paraId="386235B4">
                  <w:pPr>
                    <w:pStyle w:val="20"/>
                  </w:pPr>
                  <w:r>
                    <w:t>0.012</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3EF1C58F">
                  <w:pPr>
                    <w:pStyle w:val="20"/>
                  </w:pPr>
                </w:p>
              </w:tc>
            </w:tr>
            <w:tr w14:paraId="7D377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67797CDE">
                  <w:pPr>
                    <w:pStyle w:val="20"/>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14:paraId="7BC51F57">
                  <w:pPr>
                    <w:pStyle w:val="20"/>
                  </w:pPr>
                </w:p>
              </w:tc>
              <w:tc>
                <w:tcPr>
                  <w:tcW w:w="817" w:type="pct"/>
                  <w:tcBorders>
                    <w:top w:val="single" w:color="auto" w:sz="4" w:space="0"/>
                    <w:left w:val="single" w:color="auto" w:sz="4" w:space="0"/>
                    <w:bottom w:val="single" w:color="auto" w:sz="4" w:space="0"/>
                    <w:right w:val="single" w:color="auto" w:sz="4" w:space="0"/>
                  </w:tcBorders>
                  <w:vAlign w:val="center"/>
                </w:tcPr>
                <w:p w14:paraId="6B9A6EDE">
                  <w:pPr>
                    <w:pStyle w:val="20"/>
                  </w:pPr>
                  <w:r>
                    <w:t>氨氮</w:t>
                  </w:r>
                </w:p>
              </w:tc>
              <w:tc>
                <w:tcPr>
                  <w:tcW w:w="780" w:type="pct"/>
                  <w:tcBorders>
                    <w:top w:val="single" w:color="auto" w:sz="4" w:space="0"/>
                    <w:left w:val="single" w:color="auto" w:sz="4" w:space="0"/>
                    <w:bottom w:val="single" w:color="auto" w:sz="4" w:space="0"/>
                    <w:right w:val="single" w:color="auto" w:sz="4" w:space="0"/>
                  </w:tcBorders>
                  <w:vAlign w:val="center"/>
                </w:tcPr>
                <w:p w14:paraId="09E00804">
                  <w:pPr>
                    <w:pStyle w:val="20"/>
                  </w:pPr>
                  <w:r>
                    <w:t>28.1mg/L</w:t>
                  </w:r>
                </w:p>
              </w:tc>
              <w:tc>
                <w:tcPr>
                  <w:tcW w:w="1038" w:type="pct"/>
                  <w:tcBorders>
                    <w:top w:val="single" w:color="auto" w:sz="4" w:space="0"/>
                    <w:left w:val="single" w:color="auto" w:sz="4" w:space="0"/>
                    <w:bottom w:val="single" w:color="auto" w:sz="4" w:space="0"/>
                    <w:right w:val="single" w:color="auto" w:sz="4" w:space="0"/>
                  </w:tcBorders>
                  <w:vAlign w:val="center"/>
                </w:tcPr>
                <w:p w14:paraId="0579416A">
                  <w:pPr>
                    <w:pStyle w:val="20"/>
                  </w:pPr>
                  <w:r>
                    <w:t>0.148</w:t>
                  </w:r>
                </w:p>
              </w:tc>
              <w:tc>
                <w:tcPr>
                  <w:tcW w:w="1442" w:type="pct"/>
                  <w:vMerge w:val="continue"/>
                  <w:tcBorders>
                    <w:top w:val="single" w:color="auto" w:sz="4" w:space="0"/>
                    <w:left w:val="single" w:color="auto" w:sz="4" w:space="0"/>
                    <w:bottom w:val="single" w:color="auto" w:sz="4" w:space="0"/>
                    <w:right w:val="single" w:color="auto" w:sz="4" w:space="0"/>
                  </w:tcBorders>
                  <w:vAlign w:val="center"/>
                </w:tcPr>
                <w:p w14:paraId="2C80E3A3">
                  <w:pPr>
                    <w:pStyle w:val="20"/>
                  </w:pPr>
                </w:p>
              </w:tc>
            </w:tr>
            <w:tr w14:paraId="4163D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62" w:type="pct"/>
                  <w:tcBorders>
                    <w:top w:val="single" w:color="auto" w:sz="4" w:space="0"/>
                    <w:left w:val="single" w:color="auto" w:sz="4" w:space="0"/>
                    <w:bottom w:val="single" w:color="auto" w:sz="4" w:space="0"/>
                    <w:right w:val="single" w:color="auto" w:sz="4" w:space="0"/>
                  </w:tcBorders>
                  <w:vAlign w:val="center"/>
                </w:tcPr>
                <w:p w14:paraId="691392D8">
                  <w:pPr>
                    <w:pStyle w:val="20"/>
                  </w:pPr>
                  <w:r>
                    <w:t>噪声</w:t>
                  </w:r>
                </w:p>
              </w:tc>
              <w:tc>
                <w:tcPr>
                  <w:tcW w:w="558" w:type="pct"/>
                  <w:tcBorders>
                    <w:top w:val="single" w:color="auto" w:sz="4" w:space="0"/>
                    <w:left w:val="single" w:color="auto" w:sz="4" w:space="0"/>
                    <w:bottom w:val="single" w:color="auto" w:sz="4" w:space="0"/>
                    <w:right w:val="single" w:color="auto" w:sz="4" w:space="0"/>
                  </w:tcBorders>
                  <w:vAlign w:val="center"/>
                </w:tcPr>
                <w:p w14:paraId="18EBFFFA">
                  <w:pPr>
                    <w:pStyle w:val="20"/>
                  </w:pPr>
                  <w:r>
                    <w:t>噪声</w:t>
                  </w:r>
                </w:p>
              </w:tc>
              <w:tc>
                <w:tcPr>
                  <w:tcW w:w="817" w:type="pct"/>
                  <w:tcBorders>
                    <w:top w:val="single" w:color="auto" w:sz="4" w:space="0"/>
                    <w:left w:val="single" w:color="auto" w:sz="4" w:space="0"/>
                    <w:bottom w:val="single" w:color="auto" w:sz="4" w:space="0"/>
                    <w:right w:val="single" w:color="auto" w:sz="4" w:space="0"/>
                  </w:tcBorders>
                  <w:vAlign w:val="center"/>
                </w:tcPr>
                <w:p w14:paraId="61B981C2">
                  <w:pPr>
                    <w:pStyle w:val="20"/>
                  </w:pPr>
                  <w:r>
                    <w:t>机械噪声</w:t>
                  </w:r>
                </w:p>
              </w:tc>
              <w:tc>
                <w:tcPr>
                  <w:tcW w:w="780" w:type="pct"/>
                  <w:tcBorders>
                    <w:top w:val="single" w:color="auto" w:sz="4" w:space="0"/>
                    <w:left w:val="single" w:color="auto" w:sz="4" w:space="0"/>
                    <w:bottom w:val="single" w:color="auto" w:sz="4" w:space="0"/>
                    <w:right w:val="single" w:color="auto" w:sz="4" w:space="0"/>
                  </w:tcBorders>
                  <w:vAlign w:val="center"/>
                </w:tcPr>
                <w:p w14:paraId="3C3231BC">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6AE840CE">
                  <w:pPr>
                    <w:pStyle w:val="20"/>
                  </w:pPr>
                  <w:r>
                    <w:t>昼间：</w:t>
                  </w:r>
                </w:p>
                <w:p w14:paraId="2F9A02BF">
                  <w:pPr>
                    <w:pStyle w:val="20"/>
                    <w:rPr>
                      <w:rFonts w:hint="eastAsia" w:eastAsia="宋体"/>
                      <w:lang w:eastAsia="zh-CN"/>
                    </w:rPr>
                  </w:pPr>
                  <w:r>
                    <w:t>55~61dB</w:t>
                  </w:r>
                  <w:r>
                    <w:rPr>
                      <w:rFonts w:hint="eastAsia"/>
                      <w:lang w:eastAsia="zh-CN"/>
                    </w:rPr>
                    <w:t>（</w:t>
                  </w:r>
                  <w:r>
                    <w:t>A</w:t>
                  </w:r>
                  <w:r>
                    <w:rPr>
                      <w:rFonts w:hint="eastAsia"/>
                      <w:lang w:eastAsia="zh-CN"/>
                    </w:rPr>
                    <w:t>）</w:t>
                  </w:r>
                </w:p>
              </w:tc>
              <w:tc>
                <w:tcPr>
                  <w:tcW w:w="1442" w:type="pct"/>
                  <w:tcBorders>
                    <w:top w:val="single" w:color="auto" w:sz="4" w:space="0"/>
                    <w:left w:val="single" w:color="auto" w:sz="4" w:space="0"/>
                    <w:bottom w:val="single" w:color="auto" w:sz="4" w:space="0"/>
                    <w:right w:val="single" w:color="auto" w:sz="4" w:space="0"/>
                  </w:tcBorders>
                  <w:vAlign w:val="center"/>
                </w:tcPr>
                <w:p w14:paraId="4FD324AC">
                  <w:pPr>
                    <w:pStyle w:val="20"/>
                  </w:pPr>
                  <w:r>
                    <w:t>选用低噪声的设备，减振基座、隔声、消声等措施</w:t>
                  </w:r>
                </w:p>
              </w:tc>
            </w:tr>
            <w:tr w14:paraId="0583C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restart"/>
                  <w:tcBorders>
                    <w:top w:val="single" w:color="auto" w:sz="4" w:space="0"/>
                    <w:left w:val="single" w:color="auto" w:sz="4" w:space="0"/>
                    <w:right w:val="single" w:color="auto" w:sz="4" w:space="0"/>
                  </w:tcBorders>
                  <w:vAlign w:val="center"/>
                </w:tcPr>
                <w:p w14:paraId="45C168EF">
                  <w:pPr>
                    <w:pStyle w:val="20"/>
                  </w:pPr>
                  <w:r>
                    <w:t>固体废物</w:t>
                  </w: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5CEE0552">
                  <w:pPr>
                    <w:pStyle w:val="20"/>
                  </w:pPr>
                  <w:r>
                    <w:t>生活垃圾</w:t>
                  </w:r>
                </w:p>
              </w:tc>
              <w:tc>
                <w:tcPr>
                  <w:tcW w:w="780" w:type="pct"/>
                  <w:tcBorders>
                    <w:top w:val="single" w:color="auto" w:sz="4" w:space="0"/>
                    <w:left w:val="single" w:color="auto" w:sz="4" w:space="0"/>
                    <w:bottom w:val="single" w:color="auto" w:sz="4" w:space="0"/>
                    <w:right w:val="single" w:color="auto" w:sz="4" w:space="0"/>
                  </w:tcBorders>
                  <w:vAlign w:val="center"/>
                </w:tcPr>
                <w:p w14:paraId="528071B5">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5B3AA3C2">
                  <w:pPr>
                    <w:pStyle w:val="20"/>
                  </w:pPr>
                  <w:r>
                    <w:t>30t/a</w:t>
                  </w:r>
                </w:p>
              </w:tc>
              <w:tc>
                <w:tcPr>
                  <w:tcW w:w="1442" w:type="pct"/>
                  <w:vMerge w:val="restart"/>
                  <w:tcBorders>
                    <w:top w:val="single" w:color="auto" w:sz="4" w:space="0"/>
                    <w:left w:val="single" w:color="auto" w:sz="4" w:space="0"/>
                    <w:right w:val="single" w:color="auto" w:sz="4" w:space="0"/>
                  </w:tcBorders>
                  <w:vAlign w:val="center"/>
                </w:tcPr>
                <w:p w14:paraId="08FF6268">
                  <w:pPr>
                    <w:pStyle w:val="20"/>
                  </w:pPr>
                  <w:r>
                    <w:t>当地环卫部门统一清运处理</w:t>
                  </w:r>
                </w:p>
              </w:tc>
            </w:tr>
            <w:tr w14:paraId="044CD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60BA2D45">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2B4510D7">
                  <w:pPr>
                    <w:pStyle w:val="20"/>
                  </w:pPr>
                  <w:r>
                    <w:t>除尘沉降尘渣</w:t>
                  </w:r>
                </w:p>
              </w:tc>
              <w:tc>
                <w:tcPr>
                  <w:tcW w:w="780" w:type="pct"/>
                  <w:tcBorders>
                    <w:top w:val="single" w:color="auto" w:sz="4" w:space="0"/>
                    <w:left w:val="single" w:color="auto" w:sz="4" w:space="0"/>
                    <w:bottom w:val="single" w:color="auto" w:sz="4" w:space="0"/>
                    <w:right w:val="single" w:color="auto" w:sz="4" w:space="0"/>
                  </w:tcBorders>
                  <w:vAlign w:val="center"/>
                </w:tcPr>
                <w:p w14:paraId="3FB1D804">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69059873">
                  <w:pPr>
                    <w:pStyle w:val="20"/>
                  </w:pPr>
                  <w:r>
                    <w:t>6.18t/a</w:t>
                  </w:r>
                </w:p>
              </w:tc>
              <w:tc>
                <w:tcPr>
                  <w:tcW w:w="1442" w:type="pct"/>
                  <w:vMerge w:val="continue"/>
                  <w:tcBorders>
                    <w:left w:val="single" w:color="auto" w:sz="4" w:space="0"/>
                    <w:right w:val="single" w:color="auto" w:sz="4" w:space="0"/>
                  </w:tcBorders>
                  <w:vAlign w:val="center"/>
                </w:tcPr>
                <w:p w14:paraId="2CC6DBBE">
                  <w:pPr>
                    <w:pStyle w:val="20"/>
                  </w:pPr>
                </w:p>
              </w:tc>
            </w:tr>
            <w:tr w14:paraId="3BB28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63E45861">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7275F585">
                  <w:pPr>
                    <w:pStyle w:val="20"/>
                  </w:pPr>
                  <w:r>
                    <w:t>废麻轮布轮</w:t>
                  </w:r>
                </w:p>
              </w:tc>
              <w:tc>
                <w:tcPr>
                  <w:tcW w:w="780" w:type="pct"/>
                  <w:tcBorders>
                    <w:top w:val="single" w:color="auto" w:sz="4" w:space="0"/>
                    <w:left w:val="single" w:color="auto" w:sz="4" w:space="0"/>
                    <w:bottom w:val="single" w:color="auto" w:sz="4" w:space="0"/>
                    <w:right w:val="single" w:color="auto" w:sz="4" w:space="0"/>
                  </w:tcBorders>
                  <w:vAlign w:val="center"/>
                </w:tcPr>
                <w:p w14:paraId="5E0988D1">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5AA642EC">
                  <w:pPr>
                    <w:pStyle w:val="20"/>
                  </w:pPr>
                  <w:r>
                    <w:t>2.64t/a</w:t>
                  </w:r>
                </w:p>
              </w:tc>
              <w:tc>
                <w:tcPr>
                  <w:tcW w:w="1442" w:type="pct"/>
                  <w:vMerge w:val="continue"/>
                  <w:tcBorders>
                    <w:left w:val="single" w:color="auto" w:sz="4" w:space="0"/>
                    <w:bottom w:val="single" w:color="auto" w:sz="4" w:space="0"/>
                    <w:right w:val="single" w:color="auto" w:sz="4" w:space="0"/>
                  </w:tcBorders>
                  <w:vAlign w:val="center"/>
                </w:tcPr>
                <w:p w14:paraId="31B12F40">
                  <w:pPr>
                    <w:pStyle w:val="20"/>
                  </w:pPr>
                </w:p>
              </w:tc>
            </w:tr>
            <w:tr w14:paraId="08BC5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6A3F9B12">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5C1C033E">
                  <w:pPr>
                    <w:pStyle w:val="20"/>
                  </w:pPr>
                  <w:r>
                    <w:t>废包装材料</w:t>
                  </w:r>
                </w:p>
              </w:tc>
              <w:tc>
                <w:tcPr>
                  <w:tcW w:w="780" w:type="pct"/>
                  <w:tcBorders>
                    <w:top w:val="single" w:color="auto" w:sz="4" w:space="0"/>
                    <w:left w:val="single" w:color="auto" w:sz="4" w:space="0"/>
                    <w:bottom w:val="single" w:color="auto" w:sz="4" w:space="0"/>
                    <w:right w:val="single" w:color="auto" w:sz="4" w:space="0"/>
                  </w:tcBorders>
                  <w:vAlign w:val="center"/>
                </w:tcPr>
                <w:p w14:paraId="31CD320A">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5F8A1E88">
                  <w:pPr>
                    <w:pStyle w:val="20"/>
                  </w:pPr>
                  <w:r>
                    <w:t>0.5t/a</w:t>
                  </w:r>
                </w:p>
              </w:tc>
              <w:tc>
                <w:tcPr>
                  <w:tcW w:w="1442" w:type="pct"/>
                  <w:vMerge w:val="restart"/>
                  <w:tcBorders>
                    <w:top w:val="single" w:color="auto" w:sz="4" w:space="0"/>
                    <w:left w:val="single" w:color="auto" w:sz="4" w:space="0"/>
                    <w:right w:val="single" w:color="auto" w:sz="4" w:space="0"/>
                  </w:tcBorders>
                  <w:vAlign w:val="center"/>
                </w:tcPr>
                <w:p w14:paraId="2E9A4885">
                  <w:pPr>
                    <w:pStyle w:val="20"/>
                  </w:pPr>
                  <w:r>
                    <w:t>物资回收部门回收利用</w:t>
                  </w:r>
                </w:p>
              </w:tc>
            </w:tr>
            <w:tr w14:paraId="5B08B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5F41D453">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180577D7">
                  <w:pPr>
                    <w:pStyle w:val="20"/>
                  </w:pPr>
                  <w:r>
                    <w:t>边角料</w:t>
                  </w:r>
                </w:p>
              </w:tc>
              <w:tc>
                <w:tcPr>
                  <w:tcW w:w="780" w:type="pct"/>
                  <w:tcBorders>
                    <w:top w:val="single" w:color="auto" w:sz="4" w:space="0"/>
                    <w:left w:val="single" w:color="auto" w:sz="4" w:space="0"/>
                    <w:bottom w:val="single" w:color="auto" w:sz="4" w:space="0"/>
                    <w:right w:val="single" w:color="auto" w:sz="4" w:space="0"/>
                  </w:tcBorders>
                  <w:vAlign w:val="center"/>
                </w:tcPr>
                <w:p w14:paraId="2044D39C">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08F5996B">
                  <w:pPr>
                    <w:pStyle w:val="20"/>
                  </w:pPr>
                  <w:r>
                    <w:t>3t/a</w:t>
                  </w:r>
                </w:p>
              </w:tc>
              <w:tc>
                <w:tcPr>
                  <w:tcW w:w="1442" w:type="pct"/>
                  <w:vMerge w:val="continue"/>
                  <w:tcBorders>
                    <w:left w:val="single" w:color="auto" w:sz="4" w:space="0"/>
                    <w:bottom w:val="single" w:color="auto" w:sz="4" w:space="0"/>
                    <w:right w:val="single" w:color="auto" w:sz="4" w:space="0"/>
                  </w:tcBorders>
                  <w:vAlign w:val="center"/>
                </w:tcPr>
                <w:p w14:paraId="3F75E09D">
                  <w:pPr>
                    <w:pStyle w:val="20"/>
                  </w:pPr>
                </w:p>
              </w:tc>
            </w:tr>
            <w:tr w14:paraId="1B7BE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10C1AB19">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17A3DA2F">
                  <w:pPr>
                    <w:pStyle w:val="20"/>
                  </w:pPr>
                  <w:r>
                    <w:t>塑粉回收机回收粉尘</w:t>
                  </w:r>
                </w:p>
              </w:tc>
              <w:tc>
                <w:tcPr>
                  <w:tcW w:w="780" w:type="pct"/>
                  <w:tcBorders>
                    <w:top w:val="single" w:color="auto" w:sz="4" w:space="0"/>
                    <w:left w:val="single" w:color="auto" w:sz="4" w:space="0"/>
                    <w:bottom w:val="single" w:color="auto" w:sz="4" w:space="0"/>
                    <w:right w:val="single" w:color="auto" w:sz="4" w:space="0"/>
                  </w:tcBorders>
                  <w:vAlign w:val="center"/>
                </w:tcPr>
                <w:p w14:paraId="2BFE4E49">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5CCEE579">
                  <w:pPr>
                    <w:pStyle w:val="20"/>
                  </w:pPr>
                  <w:r>
                    <w:t>0.39t/a</w:t>
                  </w:r>
                </w:p>
              </w:tc>
              <w:tc>
                <w:tcPr>
                  <w:tcW w:w="1442" w:type="pct"/>
                  <w:tcBorders>
                    <w:top w:val="single" w:color="auto" w:sz="4" w:space="0"/>
                    <w:left w:val="single" w:color="auto" w:sz="4" w:space="0"/>
                    <w:bottom w:val="single" w:color="auto" w:sz="4" w:space="0"/>
                    <w:right w:val="single" w:color="auto" w:sz="4" w:space="0"/>
                  </w:tcBorders>
                  <w:vAlign w:val="center"/>
                </w:tcPr>
                <w:p w14:paraId="7270DF85">
                  <w:pPr>
                    <w:pStyle w:val="20"/>
                  </w:pPr>
                  <w:r>
                    <w:t>收集后回用于生产</w:t>
                  </w:r>
                </w:p>
              </w:tc>
            </w:tr>
            <w:tr w14:paraId="1DAB8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49E0B483">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43BC5B2A">
                  <w:pPr>
                    <w:pStyle w:val="20"/>
                  </w:pPr>
                  <w:r>
                    <w:t>废液压油</w:t>
                  </w:r>
                </w:p>
              </w:tc>
              <w:tc>
                <w:tcPr>
                  <w:tcW w:w="780" w:type="pct"/>
                  <w:tcBorders>
                    <w:top w:val="single" w:color="auto" w:sz="4" w:space="0"/>
                    <w:left w:val="single" w:color="auto" w:sz="4" w:space="0"/>
                    <w:bottom w:val="single" w:color="auto" w:sz="4" w:space="0"/>
                    <w:right w:val="single" w:color="auto" w:sz="4" w:space="0"/>
                  </w:tcBorders>
                  <w:vAlign w:val="center"/>
                </w:tcPr>
                <w:p w14:paraId="0925DC5D">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33E3918B">
                  <w:pPr>
                    <w:pStyle w:val="20"/>
                  </w:pPr>
                  <w:r>
                    <w:t>0.02t/a</w:t>
                  </w:r>
                </w:p>
              </w:tc>
              <w:tc>
                <w:tcPr>
                  <w:tcW w:w="1442" w:type="pct"/>
                  <w:vMerge w:val="restart"/>
                  <w:tcBorders>
                    <w:top w:val="single" w:color="auto" w:sz="4" w:space="0"/>
                    <w:left w:val="single" w:color="auto" w:sz="4" w:space="0"/>
                    <w:right w:val="single" w:color="auto" w:sz="4" w:space="0"/>
                  </w:tcBorders>
                  <w:vAlign w:val="center"/>
                </w:tcPr>
                <w:p w14:paraId="5324EB6F">
                  <w:pPr>
                    <w:pStyle w:val="20"/>
                  </w:pPr>
                  <w:r>
                    <w:t>交有资质的单位进行安全处置</w:t>
                  </w:r>
                </w:p>
              </w:tc>
            </w:tr>
            <w:tr w14:paraId="60649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right w:val="single" w:color="auto" w:sz="4" w:space="0"/>
                  </w:tcBorders>
                  <w:vAlign w:val="center"/>
                </w:tcPr>
                <w:p w14:paraId="1CA03927">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66E60204">
                  <w:pPr>
                    <w:pStyle w:val="20"/>
                  </w:pPr>
                  <w:r>
                    <w:t>废活性炭及其吸附物</w:t>
                  </w:r>
                </w:p>
              </w:tc>
              <w:tc>
                <w:tcPr>
                  <w:tcW w:w="780" w:type="pct"/>
                  <w:tcBorders>
                    <w:top w:val="single" w:color="auto" w:sz="4" w:space="0"/>
                    <w:left w:val="single" w:color="auto" w:sz="4" w:space="0"/>
                    <w:bottom w:val="single" w:color="auto" w:sz="4" w:space="0"/>
                    <w:right w:val="single" w:color="auto" w:sz="4" w:space="0"/>
                  </w:tcBorders>
                  <w:vAlign w:val="center"/>
                </w:tcPr>
                <w:p w14:paraId="3227E1EF">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14B10D44">
                  <w:pPr>
                    <w:pStyle w:val="20"/>
                  </w:pPr>
                  <w:r>
                    <w:t>0.004t/a</w:t>
                  </w:r>
                </w:p>
              </w:tc>
              <w:tc>
                <w:tcPr>
                  <w:tcW w:w="1442" w:type="pct"/>
                  <w:vMerge w:val="continue"/>
                  <w:tcBorders>
                    <w:left w:val="single" w:color="auto" w:sz="4" w:space="0"/>
                    <w:right w:val="single" w:color="auto" w:sz="4" w:space="0"/>
                  </w:tcBorders>
                  <w:vAlign w:val="center"/>
                </w:tcPr>
                <w:p w14:paraId="5D62ACC4">
                  <w:pPr>
                    <w:pStyle w:val="20"/>
                  </w:pPr>
                </w:p>
              </w:tc>
            </w:tr>
            <w:tr w14:paraId="4934E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2" w:type="pct"/>
                  <w:vMerge w:val="continue"/>
                  <w:tcBorders>
                    <w:left w:val="single" w:color="auto" w:sz="4" w:space="0"/>
                    <w:bottom w:val="single" w:color="auto" w:sz="4" w:space="0"/>
                    <w:right w:val="single" w:color="auto" w:sz="4" w:space="0"/>
                  </w:tcBorders>
                  <w:vAlign w:val="center"/>
                </w:tcPr>
                <w:p w14:paraId="323EBF99">
                  <w:pPr>
                    <w:pStyle w:val="20"/>
                  </w:pPr>
                </w:p>
              </w:tc>
              <w:tc>
                <w:tcPr>
                  <w:tcW w:w="1376" w:type="pct"/>
                  <w:gridSpan w:val="2"/>
                  <w:tcBorders>
                    <w:top w:val="single" w:color="auto" w:sz="4" w:space="0"/>
                    <w:left w:val="single" w:color="auto" w:sz="4" w:space="0"/>
                    <w:bottom w:val="single" w:color="auto" w:sz="4" w:space="0"/>
                    <w:right w:val="single" w:color="auto" w:sz="4" w:space="0"/>
                  </w:tcBorders>
                  <w:vAlign w:val="center"/>
                </w:tcPr>
                <w:p w14:paraId="6E2E2921">
                  <w:pPr>
                    <w:pStyle w:val="20"/>
                  </w:pPr>
                  <w:r>
                    <w:t>塑粉回收机废滤芯</w:t>
                  </w:r>
                </w:p>
              </w:tc>
              <w:tc>
                <w:tcPr>
                  <w:tcW w:w="780" w:type="pct"/>
                  <w:tcBorders>
                    <w:top w:val="single" w:color="auto" w:sz="4" w:space="0"/>
                    <w:left w:val="single" w:color="auto" w:sz="4" w:space="0"/>
                    <w:bottom w:val="single" w:color="auto" w:sz="4" w:space="0"/>
                    <w:right w:val="single" w:color="auto" w:sz="4" w:space="0"/>
                  </w:tcBorders>
                  <w:vAlign w:val="center"/>
                </w:tcPr>
                <w:p w14:paraId="66DA4BAF">
                  <w:pPr>
                    <w:pStyle w:val="20"/>
                  </w:pPr>
                  <w:r>
                    <w:t>/</w:t>
                  </w:r>
                </w:p>
              </w:tc>
              <w:tc>
                <w:tcPr>
                  <w:tcW w:w="1038" w:type="pct"/>
                  <w:tcBorders>
                    <w:top w:val="single" w:color="auto" w:sz="4" w:space="0"/>
                    <w:left w:val="single" w:color="auto" w:sz="4" w:space="0"/>
                    <w:bottom w:val="single" w:color="auto" w:sz="4" w:space="0"/>
                    <w:right w:val="single" w:color="auto" w:sz="4" w:space="0"/>
                  </w:tcBorders>
                  <w:vAlign w:val="center"/>
                </w:tcPr>
                <w:p w14:paraId="110D8E2B">
                  <w:pPr>
                    <w:pStyle w:val="20"/>
                  </w:pPr>
                  <w:r>
                    <w:t>0.05t/a</w:t>
                  </w:r>
                </w:p>
              </w:tc>
              <w:tc>
                <w:tcPr>
                  <w:tcW w:w="1442" w:type="pct"/>
                  <w:vMerge w:val="continue"/>
                  <w:tcBorders>
                    <w:left w:val="single" w:color="auto" w:sz="4" w:space="0"/>
                    <w:bottom w:val="single" w:color="auto" w:sz="4" w:space="0"/>
                    <w:right w:val="single" w:color="auto" w:sz="4" w:space="0"/>
                  </w:tcBorders>
                  <w:vAlign w:val="center"/>
                </w:tcPr>
                <w:p w14:paraId="335153AD">
                  <w:pPr>
                    <w:pStyle w:val="20"/>
                  </w:pPr>
                </w:p>
              </w:tc>
            </w:tr>
            <w:tr w14:paraId="5537C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6"/>
                  <w:tcBorders>
                    <w:top w:val="single" w:color="auto" w:sz="4" w:space="0"/>
                    <w:left w:val="single" w:color="auto" w:sz="4" w:space="0"/>
                    <w:bottom w:val="single" w:color="auto" w:sz="4" w:space="0"/>
                    <w:right w:val="single" w:color="auto" w:sz="4" w:space="0"/>
                  </w:tcBorders>
                  <w:vAlign w:val="center"/>
                </w:tcPr>
                <w:p w14:paraId="3EEF48FE">
                  <w:pPr>
                    <w:pStyle w:val="20"/>
                    <w:widowControl/>
                    <w:adjustRightInd/>
                    <w:snapToGrid/>
                    <w:ind w:left="420" w:hanging="420" w:hangingChars="200"/>
                    <w:jc w:val="left"/>
                  </w:pPr>
                  <w:r>
                    <w:t>注：1、颗粒物有组织废气，实际排放量按原有项目竣工环境保护验收监测报告中的排放量进行核算。</w:t>
                  </w:r>
                </w:p>
                <w:p w14:paraId="2137E86F">
                  <w:pPr>
                    <w:pStyle w:val="20"/>
                    <w:widowControl/>
                    <w:adjustRightInd/>
                    <w:snapToGrid/>
                    <w:ind w:firstLine="420" w:firstLineChars="200"/>
                    <w:jc w:val="left"/>
                  </w:pPr>
                  <w:r>
                    <w:t>2、项目废水实际排放量按原有项目竣工环境保护验收监测报告中的排放量进行核算。</w:t>
                  </w:r>
                </w:p>
              </w:tc>
            </w:tr>
          </w:tbl>
          <w:p w14:paraId="2D7A7BC6">
            <w:pPr>
              <w:ind w:firstLine="482" w:firstLineChars="0"/>
              <w:rPr>
                <w:rFonts w:eastAsia="Calibri"/>
                <w:b/>
                <w:kern w:val="2"/>
              </w:rPr>
            </w:pPr>
            <w:r>
              <w:rPr>
                <w:rFonts w:eastAsia="Calibri"/>
                <w:b/>
                <w:kern w:val="2"/>
              </w:rPr>
              <w:t>3、现有工程环保问题及整改措施</w:t>
            </w:r>
          </w:p>
          <w:p w14:paraId="202BE44C">
            <w:pPr>
              <w:ind w:firstLine="480"/>
              <w:rPr>
                <w:rFonts w:eastAsia="Calibri"/>
                <w:kern w:val="2"/>
              </w:rPr>
            </w:pPr>
            <w:r>
              <w:rPr>
                <w:rFonts w:eastAsia="Calibri"/>
                <w:kern w:val="2"/>
              </w:rPr>
              <w:t>根据上文分析，原有项目手续完善，各项环保设施齐全，原有项目废气、废水、噪声、固废均按相关部门的要求落实各项污染物治理措施要求，污染物排放达到相关标准，无明显环境问题。</w:t>
            </w:r>
          </w:p>
          <w:p w14:paraId="1BCBBD0C">
            <w:pPr>
              <w:ind w:firstLine="480"/>
              <w:rPr>
                <w:kern w:val="2"/>
              </w:rPr>
            </w:pPr>
            <w:r>
              <w:rPr>
                <w:rFonts w:eastAsia="Calibri"/>
                <w:kern w:val="2"/>
              </w:rPr>
              <w:t>原有项目在运营期间未出现环境污染事故。在运营期间，未接到环保投诉。</w:t>
            </w:r>
          </w:p>
        </w:tc>
      </w:tr>
    </w:tbl>
    <w:p w14:paraId="0D103830">
      <w:pPr>
        <w:pStyle w:val="21"/>
        <w:adjustRightInd w:val="0"/>
        <w:snapToGrid w:val="0"/>
        <w:spacing w:before="0" w:beforeAutospacing="0" w:after="0" w:afterAutospacing="0"/>
        <w:ind w:firstLine="480"/>
        <w:jc w:val="center"/>
        <w:rPr>
          <w:rFonts w:ascii="Times New Roman" w:hAnsi="Times New Roman"/>
          <w:szCs w:val="24"/>
        </w:rPr>
        <w:sectPr>
          <w:pgSz w:w="11906" w:h="16838"/>
          <w:pgMar w:top="1701" w:right="1531" w:bottom="1701" w:left="1531" w:header="851" w:footer="851" w:gutter="0"/>
          <w:cols w:space="720" w:num="1"/>
          <w:docGrid w:linePitch="312" w:charSpace="0"/>
        </w:sectPr>
      </w:pPr>
    </w:p>
    <w:p w14:paraId="52F23C95">
      <w:pPr>
        <w:pStyle w:val="5"/>
        <w:ind w:firstLine="602"/>
        <w:rPr>
          <w:rFonts w:ascii="Times New Roman" w:hAnsi="Times New Roman"/>
        </w:rPr>
      </w:pPr>
      <w:r>
        <w:rPr>
          <w:rFonts w:ascii="Times New Roman" w:hAnsi="Times New Roman"/>
        </w:rPr>
        <w:t>三、区域环境质量现状、环境保护目标及评价标准</w:t>
      </w:r>
    </w:p>
    <w:tbl>
      <w:tblPr>
        <w:tblStyle w:val="23"/>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53"/>
        <w:gridCol w:w="8608"/>
      </w:tblGrid>
      <w:tr w14:paraId="057C4A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06" w:hRule="atLeast"/>
          <w:jc w:val="center"/>
        </w:trPr>
        <w:tc>
          <w:tcPr>
            <w:tcW w:w="249" w:type="pct"/>
            <w:vAlign w:val="center"/>
          </w:tcPr>
          <w:p w14:paraId="24D3D229">
            <w:pPr>
              <w:pStyle w:val="11"/>
              <w:rPr>
                <w:rFonts w:ascii="Times New Roman" w:hAnsi="Times New Roman"/>
                <w:kern w:val="2"/>
              </w:rPr>
            </w:pPr>
            <w:r>
              <w:rPr>
                <w:rFonts w:ascii="Times New Roman" w:hAnsi="Times New Roman"/>
                <w:kern w:val="2"/>
              </w:rPr>
              <w:t>区域</w:t>
            </w:r>
          </w:p>
          <w:p w14:paraId="74534723">
            <w:pPr>
              <w:pStyle w:val="11"/>
              <w:rPr>
                <w:rFonts w:ascii="Times New Roman" w:hAnsi="Times New Roman"/>
                <w:kern w:val="2"/>
              </w:rPr>
            </w:pPr>
            <w:r>
              <w:rPr>
                <w:rFonts w:ascii="Times New Roman" w:hAnsi="Times New Roman"/>
                <w:kern w:val="2"/>
              </w:rPr>
              <w:t>环境</w:t>
            </w:r>
          </w:p>
          <w:p w14:paraId="6861EC2C">
            <w:pPr>
              <w:pStyle w:val="11"/>
              <w:rPr>
                <w:rFonts w:ascii="Times New Roman" w:hAnsi="Times New Roman"/>
                <w:kern w:val="2"/>
              </w:rPr>
            </w:pPr>
            <w:r>
              <w:rPr>
                <w:rFonts w:ascii="Times New Roman" w:hAnsi="Times New Roman"/>
                <w:kern w:val="2"/>
              </w:rPr>
              <w:t>质量</w:t>
            </w:r>
          </w:p>
          <w:p w14:paraId="71C8C19B">
            <w:pPr>
              <w:pStyle w:val="11"/>
              <w:rPr>
                <w:rFonts w:ascii="Times New Roman" w:hAnsi="Times New Roman"/>
                <w:kern w:val="2"/>
              </w:rPr>
            </w:pPr>
            <w:r>
              <w:rPr>
                <w:rFonts w:ascii="Times New Roman" w:hAnsi="Times New Roman"/>
                <w:kern w:val="2"/>
              </w:rPr>
              <w:t>现状</w:t>
            </w:r>
          </w:p>
        </w:tc>
        <w:tc>
          <w:tcPr>
            <w:tcW w:w="4750" w:type="pct"/>
            <w:vAlign w:val="center"/>
          </w:tcPr>
          <w:p w14:paraId="3263C6F4">
            <w:pPr>
              <w:pStyle w:val="12"/>
              <w:ind w:firstLine="482"/>
            </w:pPr>
            <w:r>
              <w:t>一、环境空气质量现状</w:t>
            </w:r>
          </w:p>
          <w:p w14:paraId="1B955AE8">
            <w:pPr>
              <w:ind w:firstLine="480"/>
            </w:pPr>
            <w:r>
              <w:t>根据《韶关市生态环境保护战略规划（2020-2035）》的规定，项目所在区域属于二类环境空气质量功能区，执行《环境空气质量标准》（GB 3095-2012）及其修改单规定的二级标准。</w:t>
            </w:r>
          </w:p>
          <w:p w14:paraId="10006FAC">
            <w:pPr>
              <w:ind w:firstLine="480"/>
            </w:pPr>
            <w:r>
              <w:t>（1）项目所在区域达标判定</w:t>
            </w:r>
          </w:p>
          <w:p w14:paraId="47B53CB5">
            <w:pPr>
              <w:ind w:firstLine="480"/>
            </w:pPr>
            <w:r>
              <w:t>本评价依据韶关市生态环境局发布的《202</w:t>
            </w:r>
            <w:r>
              <w:rPr>
                <w:rFonts w:hint="eastAsia"/>
              </w:rPr>
              <w:t>3</w:t>
            </w:r>
            <w:r>
              <w:t>年韶关生态环境状况公报》中乐昌环境空气质量常规因子指标数据作为评价依据，具体数值见表3-1。</w:t>
            </w:r>
          </w:p>
          <w:p w14:paraId="30CF23D1">
            <w:pPr>
              <w:pStyle w:val="22"/>
              <w:rPr>
                <w:szCs w:val="21"/>
              </w:rPr>
            </w:pPr>
            <w:r>
              <w:rPr>
                <w:szCs w:val="21"/>
              </w:rPr>
              <w:t>表3-1 202</w:t>
            </w:r>
            <w:r>
              <w:rPr>
                <w:rFonts w:hint="eastAsia"/>
                <w:szCs w:val="21"/>
              </w:rPr>
              <w:t>3</w:t>
            </w:r>
            <w:r>
              <w:rPr>
                <w:szCs w:val="21"/>
              </w:rPr>
              <w:t>年乐昌环境质量监测数据汇总表</w:t>
            </w:r>
          </w:p>
          <w:tbl>
            <w:tblPr>
              <w:tblStyle w:val="23"/>
              <w:tblW w:w="81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3"/>
              <w:gridCol w:w="2676"/>
              <w:gridCol w:w="1163"/>
              <w:gridCol w:w="1274"/>
              <w:gridCol w:w="1171"/>
              <w:gridCol w:w="935"/>
            </w:tblGrid>
            <w:tr w14:paraId="5F560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7A1B1CE7">
                  <w:pPr>
                    <w:pStyle w:val="41"/>
                    <w:rPr>
                      <w:b/>
                      <w:bCs/>
                    </w:rPr>
                  </w:pPr>
                  <w:r>
                    <w:rPr>
                      <w:b/>
                      <w:bCs/>
                    </w:rPr>
                    <w:t>污染物</w:t>
                  </w:r>
                </w:p>
              </w:tc>
              <w:tc>
                <w:tcPr>
                  <w:tcW w:w="2694" w:type="dxa"/>
                  <w:vAlign w:val="center"/>
                </w:tcPr>
                <w:p w14:paraId="1995C2B7">
                  <w:pPr>
                    <w:pStyle w:val="41"/>
                    <w:rPr>
                      <w:b/>
                      <w:bCs/>
                    </w:rPr>
                  </w:pPr>
                  <w:r>
                    <w:rPr>
                      <w:b/>
                      <w:bCs/>
                    </w:rPr>
                    <w:t>年评价指标</w:t>
                  </w:r>
                </w:p>
              </w:tc>
              <w:tc>
                <w:tcPr>
                  <w:tcW w:w="1134" w:type="dxa"/>
                  <w:vAlign w:val="center"/>
                </w:tcPr>
                <w:p w14:paraId="2AAF2E3C">
                  <w:pPr>
                    <w:pStyle w:val="41"/>
                    <w:rPr>
                      <w:b/>
                      <w:bCs/>
                    </w:rPr>
                  </w:pPr>
                  <w:r>
                    <w:rPr>
                      <w:b/>
                      <w:bCs/>
                    </w:rPr>
                    <w:t>现状浓度</w:t>
                  </w:r>
                </w:p>
                <w:p w14:paraId="59012203">
                  <w:pPr>
                    <w:pStyle w:val="41"/>
                    <w:rPr>
                      <w:b/>
                      <w:bCs/>
                    </w:rPr>
                  </w:pPr>
                  <w:r>
                    <w:rPr>
                      <w:b/>
                      <w:bCs/>
                    </w:rPr>
                    <w:t>（μg/m</w:t>
                  </w:r>
                  <w:r>
                    <w:rPr>
                      <w:b/>
                      <w:bCs/>
                      <w:vertAlign w:val="superscript"/>
                    </w:rPr>
                    <w:t>3</w:t>
                  </w:r>
                  <w:r>
                    <w:rPr>
                      <w:b/>
                      <w:bCs/>
                    </w:rPr>
                    <w:t>）</w:t>
                  </w:r>
                </w:p>
              </w:tc>
              <w:tc>
                <w:tcPr>
                  <w:tcW w:w="1275" w:type="dxa"/>
                  <w:vAlign w:val="center"/>
                </w:tcPr>
                <w:p w14:paraId="18E6F02A">
                  <w:pPr>
                    <w:pStyle w:val="41"/>
                    <w:rPr>
                      <w:b/>
                      <w:bCs/>
                    </w:rPr>
                  </w:pPr>
                  <w:r>
                    <w:rPr>
                      <w:b/>
                      <w:bCs/>
                    </w:rPr>
                    <w:t>标准值</w:t>
                  </w:r>
                </w:p>
                <w:p w14:paraId="5301C272">
                  <w:pPr>
                    <w:pStyle w:val="41"/>
                    <w:rPr>
                      <w:b/>
                      <w:bCs/>
                    </w:rPr>
                  </w:pPr>
                  <w:r>
                    <w:rPr>
                      <w:b/>
                      <w:bCs/>
                    </w:rPr>
                    <w:t>（μg/m</w:t>
                  </w:r>
                  <w:r>
                    <w:rPr>
                      <w:b/>
                      <w:bCs/>
                      <w:vertAlign w:val="superscript"/>
                    </w:rPr>
                    <w:t>3</w:t>
                  </w:r>
                  <w:r>
                    <w:rPr>
                      <w:b/>
                      <w:bCs/>
                    </w:rPr>
                    <w:t>）</w:t>
                  </w:r>
                </w:p>
              </w:tc>
              <w:tc>
                <w:tcPr>
                  <w:tcW w:w="1175" w:type="dxa"/>
                  <w:vAlign w:val="center"/>
                </w:tcPr>
                <w:p w14:paraId="2DAA6B47">
                  <w:pPr>
                    <w:pStyle w:val="41"/>
                    <w:rPr>
                      <w:b/>
                      <w:bCs/>
                    </w:rPr>
                  </w:pPr>
                  <w:r>
                    <w:rPr>
                      <w:b/>
                      <w:bCs/>
                    </w:rPr>
                    <w:t>占标率%</w:t>
                  </w:r>
                </w:p>
              </w:tc>
              <w:tc>
                <w:tcPr>
                  <w:tcW w:w="939" w:type="dxa"/>
                  <w:vAlign w:val="center"/>
                </w:tcPr>
                <w:p w14:paraId="705D15A4">
                  <w:pPr>
                    <w:pStyle w:val="41"/>
                    <w:rPr>
                      <w:b/>
                      <w:bCs/>
                    </w:rPr>
                  </w:pPr>
                  <w:r>
                    <w:rPr>
                      <w:b/>
                      <w:bCs/>
                    </w:rPr>
                    <w:t>达标</w:t>
                  </w:r>
                </w:p>
                <w:p w14:paraId="2BA521EF">
                  <w:pPr>
                    <w:pStyle w:val="41"/>
                    <w:rPr>
                      <w:b/>
                      <w:bCs/>
                    </w:rPr>
                  </w:pPr>
                  <w:r>
                    <w:rPr>
                      <w:b/>
                      <w:bCs/>
                    </w:rPr>
                    <w:t>情况</w:t>
                  </w:r>
                </w:p>
              </w:tc>
            </w:tr>
            <w:tr w14:paraId="5B1AE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7E9E1AA3">
                  <w:pPr>
                    <w:pStyle w:val="41"/>
                  </w:pPr>
                  <w:r>
                    <w:t>SO</w:t>
                  </w:r>
                  <w:r>
                    <w:rPr>
                      <w:vertAlign w:val="subscript"/>
                    </w:rPr>
                    <w:t>2</w:t>
                  </w:r>
                </w:p>
              </w:tc>
              <w:tc>
                <w:tcPr>
                  <w:tcW w:w="2694" w:type="dxa"/>
                  <w:vAlign w:val="center"/>
                </w:tcPr>
                <w:p w14:paraId="4B9DF949">
                  <w:pPr>
                    <w:pStyle w:val="41"/>
                  </w:pPr>
                  <w:r>
                    <w:t>年平均浓度值</w:t>
                  </w:r>
                </w:p>
              </w:tc>
              <w:tc>
                <w:tcPr>
                  <w:tcW w:w="1134" w:type="dxa"/>
                  <w:vAlign w:val="center"/>
                </w:tcPr>
                <w:p w14:paraId="14B47EBE">
                  <w:pPr>
                    <w:pStyle w:val="41"/>
                  </w:pPr>
                  <w:r>
                    <w:rPr>
                      <w:rFonts w:hint="eastAsia"/>
                    </w:rPr>
                    <w:t>7</w:t>
                  </w:r>
                </w:p>
              </w:tc>
              <w:tc>
                <w:tcPr>
                  <w:tcW w:w="1275" w:type="dxa"/>
                  <w:vAlign w:val="center"/>
                </w:tcPr>
                <w:p w14:paraId="6BBBE3EF">
                  <w:pPr>
                    <w:pStyle w:val="41"/>
                  </w:pPr>
                  <w:r>
                    <w:t>60</w:t>
                  </w:r>
                </w:p>
              </w:tc>
              <w:tc>
                <w:tcPr>
                  <w:tcW w:w="1175" w:type="dxa"/>
                  <w:vAlign w:val="center"/>
                </w:tcPr>
                <w:p w14:paraId="761FA733">
                  <w:pPr>
                    <w:pStyle w:val="41"/>
                  </w:pPr>
                  <w:r>
                    <w:rPr>
                      <w:rFonts w:hint="eastAsia"/>
                    </w:rPr>
                    <w:t>11.7</w:t>
                  </w:r>
                </w:p>
              </w:tc>
              <w:tc>
                <w:tcPr>
                  <w:tcW w:w="939" w:type="dxa"/>
                  <w:vAlign w:val="center"/>
                </w:tcPr>
                <w:p w14:paraId="2782A401">
                  <w:pPr>
                    <w:pStyle w:val="41"/>
                  </w:pPr>
                  <w:r>
                    <w:t>达标</w:t>
                  </w:r>
                </w:p>
              </w:tc>
            </w:tr>
            <w:tr w14:paraId="1E3BC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306BCDCC">
                  <w:pPr>
                    <w:pStyle w:val="41"/>
                  </w:pPr>
                  <w:r>
                    <w:t>NO</w:t>
                  </w:r>
                  <w:r>
                    <w:rPr>
                      <w:vertAlign w:val="subscript"/>
                    </w:rPr>
                    <w:t>2</w:t>
                  </w:r>
                </w:p>
              </w:tc>
              <w:tc>
                <w:tcPr>
                  <w:tcW w:w="2694" w:type="dxa"/>
                  <w:vAlign w:val="center"/>
                </w:tcPr>
                <w:p w14:paraId="095F8934">
                  <w:pPr>
                    <w:pStyle w:val="41"/>
                  </w:pPr>
                  <w:r>
                    <w:t>年平均浓度值</w:t>
                  </w:r>
                </w:p>
              </w:tc>
              <w:tc>
                <w:tcPr>
                  <w:tcW w:w="1134" w:type="dxa"/>
                  <w:vAlign w:val="center"/>
                </w:tcPr>
                <w:p w14:paraId="656B5FD6">
                  <w:pPr>
                    <w:pStyle w:val="41"/>
                  </w:pPr>
                  <w:r>
                    <w:rPr>
                      <w:rFonts w:hint="eastAsia"/>
                    </w:rPr>
                    <w:t>13</w:t>
                  </w:r>
                </w:p>
              </w:tc>
              <w:tc>
                <w:tcPr>
                  <w:tcW w:w="1275" w:type="dxa"/>
                  <w:vAlign w:val="center"/>
                </w:tcPr>
                <w:p w14:paraId="4C95ACEA">
                  <w:pPr>
                    <w:pStyle w:val="41"/>
                  </w:pPr>
                  <w:r>
                    <w:t>40</w:t>
                  </w:r>
                </w:p>
              </w:tc>
              <w:tc>
                <w:tcPr>
                  <w:tcW w:w="1175" w:type="dxa"/>
                  <w:vAlign w:val="center"/>
                </w:tcPr>
                <w:p w14:paraId="2283072C">
                  <w:pPr>
                    <w:pStyle w:val="41"/>
                  </w:pPr>
                  <w:r>
                    <w:rPr>
                      <w:rFonts w:hint="eastAsia"/>
                    </w:rPr>
                    <w:t>32.5</w:t>
                  </w:r>
                </w:p>
              </w:tc>
              <w:tc>
                <w:tcPr>
                  <w:tcW w:w="939" w:type="dxa"/>
                  <w:vAlign w:val="center"/>
                </w:tcPr>
                <w:p w14:paraId="6412111D">
                  <w:pPr>
                    <w:pStyle w:val="41"/>
                  </w:pPr>
                  <w:r>
                    <w:t>达标</w:t>
                  </w:r>
                </w:p>
              </w:tc>
            </w:tr>
            <w:tr w14:paraId="67FE6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66C1E829">
                  <w:pPr>
                    <w:pStyle w:val="41"/>
                  </w:pPr>
                  <w:r>
                    <w:t>PM</w:t>
                  </w:r>
                  <w:r>
                    <w:rPr>
                      <w:vertAlign w:val="subscript"/>
                    </w:rPr>
                    <w:t>10</w:t>
                  </w:r>
                </w:p>
              </w:tc>
              <w:tc>
                <w:tcPr>
                  <w:tcW w:w="2694" w:type="dxa"/>
                  <w:vAlign w:val="center"/>
                </w:tcPr>
                <w:p w14:paraId="66FAFB09">
                  <w:pPr>
                    <w:pStyle w:val="41"/>
                  </w:pPr>
                  <w:r>
                    <w:t>年平均浓度值</w:t>
                  </w:r>
                </w:p>
              </w:tc>
              <w:tc>
                <w:tcPr>
                  <w:tcW w:w="1134" w:type="dxa"/>
                  <w:vAlign w:val="center"/>
                </w:tcPr>
                <w:p w14:paraId="031AE6E4">
                  <w:pPr>
                    <w:pStyle w:val="41"/>
                  </w:pPr>
                  <w:r>
                    <w:rPr>
                      <w:rFonts w:hint="eastAsia"/>
                    </w:rPr>
                    <w:t>34</w:t>
                  </w:r>
                </w:p>
              </w:tc>
              <w:tc>
                <w:tcPr>
                  <w:tcW w:w="1275" w:type="dxa"/>
                  <w:vAlign w:val="center"/>
                </w:tcPr>
                <w:p w14:paraId="72B065F0">
                  <w:pPr>
                    <w:pStyle w:val="41"/>
                  </w:pPr>
                  <w:r>
                    <w:t>70</w:t>
                  </w:r>
                </w:p>
              </w:tc>
              <w:tc>
                <w:tcPr>
                  <w:tcW w:w="1175" w:type="dxa"/>
                  <w:vAlign w:val="center"/>
                </w:tcPr>
                <w:p w14:paraId="0FB2B909">
                  <w:pPr>
                    <w:pStyle w:val="41"/>
                  </w:pPr>
                  <w:r>
                    <w:rPr>
                      <w:rFonts w:hint="eastAsia"/>
                    </w:rPr>
                    <w:t>48.6</w:t>
                  </w:r>
                </w:p>
              </w:tc>
              <w:tc>
                <w:tcPr>
                  <w:tcW w:w="939" w:type="dxa"/>
                  <w:vAlign w:val="center"/>
                </w:tcPr>
                <w:p w14:paraId="15C9A5E4">
                  <w:pPr>
                    <w:pStyle w:val="41"/>
                  </w:pPr>
                  <w:r>
                    <w:t>达标</w:t>
                  </w:r>
                </w:p>
              </w:tc>
            </w:tr>
            <w:tr w14:paraId="58747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544E1691">
                  <w:pPr>
                    <w:pStyle w:val="41"/>
                  </w:pPr>
                  <w:r>
                    <w:t>PM</w:t>
                  </w:r>
                  <w:r>
                    <w:rPr>
                      <w:vertAlign w:val="subscript"/>
                    </w:rPr>
                    <w:t>2.5</w:t>
                  </w:r>
                </w:p>
              </w:tc>
              <w:tc>
                <w:tcPr>
                  <w:tcW w:w="2694" w:type="dxa"/>
                  <w:vAlign w:val="center"/>
                </w:tcPr>
                <w:p w14:paraId="557F9259">
                  <w:pPr>
                    <w:pStyle w:val="41"/>
                  </w:pPr>
                  <w:r>
                    <w:t>年平均浓度值</w:t>
                  </w:r>
                </w:p>
              </w:tc>
              <w:tc>
                <w:tcPr>
                  <w:tcW w:w="1134" w:type="dxa"/>
                  <w:vAlign w:val="center"/>
                </w:tcPr>
                <w:p w14:paraId="544B3476">
                  <w:pPr>
                    <w:pStyle w:val="41"/>
                  </w:pPr>
                  <w:r>
                    <w:rPr>
                      <w:rFonts w:hint="eastAsia"/>
                    </w:rPr>
                    <w:t>23</w:t>
                  </w:r>
                </w:p>
              </w:tc>
              <w:tc>
                <w:tcPr>
                  <w:tcW w:w="1275" w:type="dxa"/>
                  <w:vAlign w:val="center"/>
                </w:tcPr>
                <w:p w14:paraId="4438BD00">
                  <w:pPr>
                    <w:pStyle w:val="41"/>
                  </w:pPr>
                  <w:r>
                    <w:t>35</w:t>
                  </w:r>
                </w:p>
              </w:tc>
              <w:tc>
                <w:tcPr>
                  <w:tcW w:w="1175" w:type="dxa"/>
                  <w:vAlign w:val="center"/>
                </w:tcPr>
                <w:p w14:paraId="5797D995">
                  <w:pPr>
                    <w:pStyle w:val="41"/>
                  </w:pPr>
                  <w:r>
                    <w:rPr>
                      <w:rFonts w:hint="eastAsia"/>
                    </w:rPr>
                    <w:t>65.7</w:t>
                  </w:r>
                </w:p>
              </w:tc>
              <w:tc>
                <w:tcPr>
                  <w:tcW w:w="939" w:type="dxa"/>
                  <w:vAlign w:val="center"/>
                </w:tcPr>
                <w:p w14:paraId="4998C700">
                  <w:pPr>
                    <w:pStyle w:val="41"/>
                  </w:pPr>
                  <w:r>
                    <w:t>达标</w:t>
                  </w:r>
                </w:p>
              </w:tc>
            </w:tr>
            <w:tr w14:paraId="1F613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5A27F382">
                  <w:pPr>
                    <w:pStyle w:val="41"/>
                  </w:pPr>
                  <w:r>
                    <w:t>CO</w:t>
                  </w:r>
                </w:p>
              </w:tc>
              <w:tc>
                <w:tcPr>
                  <w:tcW w:w="2694" w:type="dxa"/>
                  <w:vAlign w:val="center"/>
                </w:tcPr>
                <w:p w14:paraId="2FF20695">
                  <w:pPr>
                    <w:pStyle w:val="41"/>
                  </w:pPr>
                  <w:r>
                    <w:t>第95百分位数平均浓度值</w:t>
                  </w:r>
                </w:p>
              </w:tc>
              <w:tc>
                <w:tcPr>
                  <w:tcW w:w="1134" w:type="dxa"/>
                  <w:vAlign w:val="center"/>
                </w:tcPr>
                <w:p w14:paraId="3DB833BD">
                  <w:pPr>
                    <w:pStyle w:val="41"/>
                  </w:pPr>
                  <w:r>
                    <w:t>1</w:t>
                  </w:r>
                  <w:r>
                    <w:rPr>
                      <w:rFonts w:hint="eastAsia"/>
                    </w:rPr>
                    <w:t>1</w:t>
                  </w:r>
                  <w:r>
                    <w:t>00</w:t>
                  </w:r>
                </w:p>
              </w:tc>
              <w:tc>
                <w:tcPr>
                  <w:tcW w:w="1275" w:type="dxa"/>
                  <w:vAlign w:val="center"/>
                </w:tcPr>
                <w:p w14:paraId="34ED6E5E">
                  <w:pPr>
                    <w:pStyle w:val="41"/>
                  </w:pPr>
                  <w:r>
                    <w:t>4000</w:t>
                  </w:r>
                </w:p>
              </w:tc>
              <w:tc>
                <w:tcPr>
                  <w:tcW w:w="1175" w:type="dxa"/>
                  <w:vAlign w:val="center"/>
                </w:tcPr>
                <w:p w14:paraId="1C7DD8E3">
                  <w:pPr>
                    <w:pStyle w:val="41"/>
                  </w:pPr>
                  <w:r>
                    <w:rPr>
                      <w:rFonts w:hint="eastAsia"/>
                    </w:rPr>
                    <w:t>27.5</w:t>
                  </w:r>
                </w:p>
              </w:tc>
              <w:tc>
                <w:tcPr>
                  <w:tcW w:w="939" w:type="dxa"/>
                  <w:vAlign w:val="center"/>
                </w:tcPr>
                <w:p w14:paraId="21CC9A5C">
                  <w:pPr>
                    <w:pStyle w:val="41"/>
                  </w:pPr>
                  <w:r>
                    <w:t>达标</w:t>
                  </w:r>
                </w:p>
              </w:tc>
            </w:tr>
            <w:tr w14:paraId="127F6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75" w:type="dxa"/>
                  <w:vAlign w:val="center"/>
                </w:tcPr>
                <w:p w14:paraId="474AF8B5">
                  <w:pPr>
                    <w:pStyle w:val="41"/>
                  </w:pPr>
                  <w:r>
                    <w:t>O</w:t>
                  </w:r>
                  <w:r>
                    <w:rPr>
                      <w:vertAlign w:val="subscript"/>
                    </w:rPr>
                    <w:t>3</w:t>
                  </w:r>
                </w:p>
              </w:tc>
              <w:tc>
                <w:tcPr>
                  <w:tcW w:w="2694" w:type="dxa"/>
                  <w:vAlign w:val="center"/>
                </w:tcPr>
                <w:p w14:paraId="1E944895">
                  <w:pPr>
                    <w:pStyle w:val="41"/>
                  </w:pPr>
                  <w:r>
                    <w:t>第90百分位数平均浓度值</w:t>
                  </w:r>
                </w:p>
              </w:tc>
              <w:tc>
                <w:tcPr>
                  <w:tcW w:w="1134" w:type="dxa"/>
                  <w:vAlign w:val="center"/>
                </w:tcPr>
                <w:p w14:paraId="46BC76F9">
                  <w:pPr>
                    <w:pStyle w:val="41"/>
                  </w:pPr>
                  <w:r>
                    <w:rPr>
                      <w:rFonts w:hint="eastAsia"/>
                    </w:rPr>
                    <w:t>119</w:t>
                  </w:r>
                </w:p>
              </w:tc>
              <w:tc>
                <w:tcPr>
                  <w:tcW w:w="1275" w:type="dxa"/>
                  <w:vAlign w:val="center"/>
                </w:tcPr>
                <w:p w14:paraId="45097412">
                  <w:pPr>
                    <w:pStyle w:val="41"/>
                  </w:pPr>
                  <w:r>
                    <w:t>160</w:t>
                  </w:r>
                </w:p>
              </w:tc>
              <w:tc>
                <w:tcPr>
                  <w:tcW w:w="1175" w:type="dxa"/>
                  <w:vAlign w:val="center"/>
                </w:tcPr>
                <w:p w14:paraId="3B5957F1">
                  <w:pPr>
                    <w:pStyle w:val="41"/>
                  </w:pPr>
                  <w:r>
                    <w:rPr>
                      <w:rFonts w:hint="eastAsia"/>
                    </w:rPr>
                    <w:t>74.4</w:t>
                  </w:r>
                </w:p>
              </w:tc>
              <w:tc>
                <w:tcPr>
                  <w:tcW w:w="939" w:type="dxa"/>
                  <w:vAlign w:val="center"/>
                </w:tcPr>
                <w:p w14:paraId="25E54AB4">
                  <w:pPr>
                    <w:pStyle w:val="41"/>
                  </w:pPr>
                  <w:r>
                    <w:t>达标</w:t>
                  </w:r>
                </w:p>
              </w:tc>
            </w:tr>
          </w:tbl>
          <w:p w14:paraId="5444EFE0">
            <w:pPr>
              <w:ind w:firstLine="480"/>
            </w:pPr>
            <w:r>
              <w:t>由表3-1可知，项目所在区域各污染物现状浓度值均为达标，环境空气质量良好。</w:t>
            </w:r>
          </w:p>
          <w:p w14:paraId="1337CA2F">
            <w:pPr>
              <w:ind w:firstLine="480"/>
            </w:pPr>
            <w:r>
              <w:t>（2）特征污染物环境质量现状</w:t>
            </w:r>
          </w:p>
          <w:p w14:paraId="56748E24">
            <w:pPr>
              <w:ind w:firstLine="480"/>
            </w:pPr>
            <w:r>
              <w:t>本项目的特征污染物为TSP</w:t>
            </w:r>
            <w:r>
              <w:rPr>
                <w:rFonts w:hint="eastAsia"/>
                <w:lang w:eastAsia="zh-CN"/>
              </w:rPr>
              <w:t>、</w:t>
            </w:r>
            <w:r>
              <w:rPr>
                <w:rFonts w:hint="eastAsia"/>
                <w:lang w:val="en-US" w:eastAsia="zh-CN"/>
              </w:rPr>
              <w:t>TVOC</w:t>
            </w:r>
            <w:r>
              <w:t>，根据《建设项目环境影响报告表编制技术指南（污染影响类）》（试行）可知，排放国家、地方环境空气质量标准中有标准限值要求的特征污染物时，引用建设项目周边5千米范围内近3年的现有监测数据，无相关数据的选择当季主导风向下风向1个点位补充不少于3天的监测数据。</w:t>
            </w:r>
          </w:p>
          <w:p w14:paraId="155D08AE">
            <w:pPr>
              <w:ind w:firstLine="480"/>
            </w:pPr>
            <w:r>
              <w:t>为了解项目所在区域TSP</w:t>
            </w:r>
            <w:r>
              <w:rPr>
                <w:rFonts w:hint="eastAsia"/>
                <w:lang w:eastAsia="zh-CN"/>
              </w:rPr>
              <w:t>、</w:t>
            </w:r>
            <w:r>
              <w:rPr>
                <w:rFonts w:hint="eastAsia"/>
                <w:lang w:val="en-US" w:eastAsia="zh-CN"/>
              </w:rPr>
              <w:t>TVOC</w:t>
            </w:r>
            <w:r>
              <w:t>环境空气质量现状，本项目引用《乐昌产业转移工业园2022年度环境管理状况评估监测》（报告编号：EM22121540） 用于评价TSP</w:t>
            </w:r>
            <w:r>
              <w:rPr>
                <w:rFonts w:hint="eastAsia"/>
                <w:lang w:eastAsia="zh-CN"/>
              </w:rPr>
              <w:t>、</w:t>
            </w:r>
            <w:r>
              <w:rPr>
                <w:rFonts w:hint="eastAsia"/>
                <w:lang w:val="en-US" w:eastAsia="zh-CN"/>
              </w:rPr>
              <w:t>TVOC</w:t>
            </w:r>
            <w:r>
              <w:t>现状。深圳中检联检测有限公司于2022年12月20日-2022年12月26在本项目</w:t>
            </w:r>
            <w:r>
              <w:rPr>
                <w:rFonts w:hint="eastAsia"/>
              </w:rPr>
              <w:t>南</w:t>
            </w:r>
            <w:r>
              <w:t>侧</w:t>
            </w:r>
            <w:r>
              <w:rPr>
                <w:rFonts w:hint="eastAsia"/>
              </w:rPr>
              <w:t>1986</w:t>
            </w:r>
            <w:r>
              <w:t>m处G1和村进行采样监测的监测数据，连续监测7天。</w:t>
            </w:r>
          </w:p>
          <w:p w14:paraId="611EFCE1">
            <w:pPr>
              <w:pStyle w:val="22"/>
              <w:rPr>
                <w:szCs w:val="21"/>
              </w:rPr>
            </w:pPr>
            <w:r>
              <w:rPr>
                <w:szCs w:val="21"/>
              </w:rPr>
              <w:t>表3-2 其他污染物补充监测点位基本信息表</w:t>
            </w:r>
          </w:p>
          <w:tbl>
            <w:tblPr>
              <w:tblStyle w:val="23"/>
              <w:tblW w:w="82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3"/>
              <w:gridCol w:w="1134"/>
              <w:gridCol w:w="1076"/>
              <w:gridCol w:w="908"/>
              <w:gridCol w:w="1560"/>
              <w:gridCol w:w="1045"/>
              <w:gridCol w:w="1223"/>
            </w:tblGrid>
            <w:tr w14:paraId="31604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1303" w:type="dxa"/>
                  <w:vMerge w:val="restart"/>
                  <w:vAlign w:val="center"/>
                </w:tcPr>
                <w:p w14:paraId="1FD88F8B">
                  <w:pPr>
                    <w:pStyle w:val="41"/>
                    <w:rPr>
                      <w:b/>
                      <w:bCs/>
                    </w:rPr>
                  </w:pPr>
                  <w:r>
                    <w:rPr>
                      <w:b/>
                      <w:bCs/>
                    </w:rPr>
                    <w:t>监测点名称</w:t>
                  </w:r>
                </w:p>
              </w:tc>
              <w:tc>
                <w:tcPr>
                  <w:tcW w:w="2210" w:type="dxa"/>
                  <w:gridSpan w:val="2"/>
                  <w:vAlign w:val="center"/>
                </w:tcPr>
                <w:p w14:paraId="3A5A0DCF">
                  <w:pPr>
                    <w:pStyle w:val="41"/>
                    <w:rPr>
                      <w:b/>
                      <w:bCs/>
                    </w:rPr>
                  </w:pPr>
                  <w:r>
                    <w:rPr>
                      <w:b/>
                      <w:bCs/>
                    </w:rPr>
                    <w:t>监测点坐标</w:t>
                  </w:r>
                </w:p>
              </w:tc>
              <w:tc>
                <w:tcPr>
                  <w:tcW w:w="908" w:type="dxa"/>
                  <w:vMerge w:val="restart"/>
                  <w:vAlign w:val="center"/>
                </w:tcPr>
                <w:p w14:paraId="26338AE3">
                  <w:pPr>
                    <w:pStyle w:val="41"/>
                    <w:rPr>
                      <w:b/>
                      <w:bCs/>
                    </w:rPr>
                  </w:pPr>
                  <w:r>
                    <w:rPr>
                      <w:b/>
                      <w:bCs/>
                    </w:rPr>
                    <w:t>监测</w:t>
                  </w:r>
                </w:p>
                <w:p w14:paraId="73621A2F">
                  <w:pPr>
                    <w:pStyle w:val="41"/>
                    <w:rPr>
                      <w:b/>
                      <w:bCs/>
                    </w:rPr>
                  </w:pPr>
                  <w:r>
                    <w:rPr>
                      <w:b/>
                      <w:bCs/>
                    </w:rPr>
                    <w:t>因子</w:t>
                  </w:r>
                </w:p>
              </w:tc>
              <w:tc>
                <w:tcPr>
                  <w:tcW w:w="1560" w:type="dxa"/>
                  <w:vMerge w:val="restart"/>
                  <w:vAlign w:val="center"/>
                </w:tcPr>
                <w:p w14:paraId="5B7FC4DA">
                  <w:pPr>
                    <w:pStyle w:val="41"/>
                    <w:rPr>
                      <w:b/>
                      <w:bCs/>
                    </w:rPr>
                  </w:pPr>
                  <w:r>
                    <w:rPr>
                      <w:b/>
                      <w:bCs/>
                    </w:rPr>
                    <w:t>监测时段</w:t>
                  </w:r>
                </w:p>
              </w:tc>
              <w:tc>
                <w:tcPr>
                  <w:tcW w:w="1045" w:type="dxa"/>
                  <w:vMerge w:val="restart"/>
                  <w:vAlign w:val="center"/>
                </w:tcPr>
                <w:p w14:paraId="6270D537">
                  <w:pPr>
                    <w:pStyle w:val="41"/>
                    <w:rPr>
                      <w:b/>
                      <w:bCs/>
                    </w:rPr>
                  </w:pPr>
                  <w:r>
                    <w:rPr>
                      <w:b/>
                      <w:bCs/>
                    </w:rPr>
                    <w:t>相对厂址方位</w:t>
                  </w:r>
                </w:p>
              </w:tc>
              <w:tc>
                <w:tcPr>
                  <w:tcW w:w="1223" w:type="dxa"/>
                  <w:vMerge w:val="restart"/>
                  <w:vAlign w:val="center"/>
                </w:tcPr>
                <w:p w14:paraId="16F5140E">
                  <w:pPr>
                    <w:pStyle w:val="41"/>
                    <w:rPr>
                      <w:b/>
                      <w:bCs/>
                    </w:rPr>
                  </w:pPr>
                  <w:r>
                    <w:rPr>
                      <w:b/>
                      <w:bCs/>
                    </w:rPr>
                    <w:t>相对厂址方位/m</w:t>
                  </w:r>
                </w:p>
              </w:tc>
            </w:tr>
            <w:tr w14:paraId="2AF5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303" w:type="dxa"/>
                  <w:vMerge w:val="continue"/>
                  <w:vAlign w:val="center"/>
                </w:tcPr>
                <w:p w14:paraId="0FFF57E4">
                  <w:pPr>
                    <w:pStyle w:val="41"/>
                  </w:pPr>
                </w:p>
              </w:tc>
              <w:tc>
                <w:tcPr>
                  <w:tcW w:w="1134" w:type="dxa"/>
                  <w:vAlign w:val="center"/>
                </w:tcPr>
                <w:p w14:paraId="1660BD8B">
                  <w:pPr>
                    <w:pStyle w:val="41"/>
                  </w:pPr>
                  <w:r>
                    <w:t>X</w:t>
                  </w:r>
                </w:p>
              </w:tc>
              <w:tc>
                <w:tcPr>
                  <w:tcW w:w="1076" w:type="dxa"/>
                  <w:vAlign w:val="center"/>
                </w:tcPr>
                <w:p w14:paraId="03A3A2D5">
                  <w:pPr>
                    <w:pStyle w:val="41"/>
                  </w:pPr>
                  <w:r>
                    <w:t>Y</w:t>
                  </w:r>
                </w:p>
              </w:tc>
              <w:tc>
                <w:tcPr>
                  <w:tcW w:w="908" w:type="dxa"/>
                  <w:vMerge w:val="continue"/>
                  <w:vAlign w:val="center"/>
                </w:tcPr>
                <w:p w14:paraId="0F54B162">
                  <w:pPr>
                    <w:pStyle w:val="41"/>
                  </w:pPr>
                </w:p>
              </w:tc>
              <w:tc>
                <w:tcPr>
                  <w:tcW w:w="1560" w:type="dxa"/>
                  <w:vMerge w:val="continue"/>
                  <w:vAlign w:val="center"/>
                </w:tcPr>
                <w:p w14:paraId="2E3BB8E9">
                  <w:pPr>
                    <w:pStyle w:val="41"/>
                  </w:pPr>
                </w:p>
              </w:tc>
              <w:tc>
                <w:tcPr>
                  <w:tcW w:w="1045" w:type="dxa"/>
                  <w:vMerge w:val="continue"/>
                  <w:vAlign w:val="center"/>
                </w:tcPr>
                <w:p w14:paraId="41F60E6A">
                  <w:pPr>
                    <w:pStyle w:val="41"/>
                  </w:pPr>
                </w:p>
              </w:tc>
              <w:tc>
                <w:tcPr>
                  <w:tcW w:w="1223" w:type="dxa"/>
                  <w:vMerge w:val="continue"/>
                  <w:vAlign w:val="center"/>
                </w:tcPr>
                <w:p w14:paraId="22A03572">
                  <w:pPr>
                    <w:pStyle w:val="41"/>
                  </w:pPr>
                </w:p>
              </w:tc>
            </w:tr>
            <w:tr w14:paraId="1DA3A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1303" w:type="dxa"/>
                  <w:vMerge w:val="restart"/>
                  <w:vAlign w:val="center"/>
                </w:tcPr>
                <w:p w14:paraId="45EC212F">
                  <w:pPr>
                    <w:pStyle w:val="41"/>
                  </w:pPr>
                  <w:r>
                    <w:t>G1和村</w:t>
                  </w:r>
                </w:p>
              </w:tc>
              <w:tc>
                <w:tcPr>
                  <w:tcW w:w="1134" w:type="dxa"/>
                  <w:vMerge w:val="restart"/>
                  <w:vAlign w:val="center"/>
                </w:tcPr>
                <w:p w14:paraId="5D37511A">
                  <w:pPr>
                    <w:pStyle w:val="41"/>
                  </w:pPr>
                  <w:r>
                    <w:rPr>
                      <w:rFonts w:hint="eastAsia"/>
                    </w:rPr>
                    <w:t>0</w:t>
                  </w:r>
                </w:p>
              </w:tc>
              <w:tc>
                <w:tcPr>
                  <w:tcW w:w="1076" w:type="dxa"/>
                  <w:vMerge w:val="restart"/>
                  <w:vAlign w:val="center"/>
                </w:tcPr>
                <w:p w14:paraId="66757087">
                  <w:pPr>
                    <w:pStyle w:val="41"/>
                  </w:pPr>
                  <w:r>
                    <w:t>-</w:t>
                  </w:r>
                  <w:r>
                    <w:rPr>
                      <w:rFonts w:hint="eastAsia"/>
                    </w:rPr>
                    <w:t>1986</w:t>
                  </w:r>
                </w:p>
              </w:tc>
              <w:tc>
                <w:tcPr>
                  <w:tcW w:w="908" w:type="dxa"/>
                  <w:vAlign w:val="center"/>
                </w:tcPr>
                <w:p w14:paraId="751EDA88">
                  <w:pPr>
                    <w:pStyle w:val="41"/>
                  </w:pPr>
                  <w:r>
                    <w:t>TSP</w:t>
                  </w:r>
                </w:p>
              </w:tc>
              <w:tc>
                <w:tcPr>
                  <w:tcW w:w="1560" w:type="dxa"/>
                  <w:vMerge w:val="restart"/>
                  <w:vAlign w:val="center"/>
                </w:tcPr>
                <w:p w14:paraId="226487D5">
                  <w:pPr>
                    <w:pStyle w:val="41"/>
                  </w:pPr>
                  <w:r>
                    <w:t>202</w:t>
                  </w:r>
                  <w:r>
                    <w:rPr>
                      <w:rFonts w:hint="eastAsia"/>
                      <w:lang w:val="en-US" w:eastAsia="zh-CN"/>
                    </w:rPr>
                    <w:t>2</w:t>
                  </w:r>
                  <w:r>
                    <w:t>年12月</w:t>
                  </w:r>
                  <w:r>
                    <w:rPr>
                      <w:rFonts w:hint="eastAsia"/>
                      <w:lang w:val="en-US" w:eastAsia="zh-CN"/>
                    </w:rPr>
                    <w:t>20</w:t>
                  </w:r>
                  <w:r>
                    <w:t>~12月2</w:t>
                  </w:r>
                  <w:r>
                    <w:rPr>
                      <w:rFonts w:hint="eastAsia"/>
                      <w:lang w:val="en-US" w:eastAsia="zh-CN"/>
                    </w:rPr>
                    <w:t>6</w:t>
                  </w:r>
                  <w:r>
                    <w:t>日</w:t>
                  </w:r>
                </w:p>
              </w:tc>
              <w:tc>
                <w:tcPr>
                  <w:tcW w:w="1045" w:type="dxa"/>
                  <w:vMerge w:val="restart"/>
                  <w:vAlign w:val="center"/>
                </w:tcPr>
                <w:p w14:paraId="1B3A9E84">
                  <w:pPr>
                    <w:pStyle w:val="41"/>
                  </w:pPr>
                  <w:r>
                    <w:t>南</w:t>
                  </w:r>
                </w:p>
              </w:tc>
              <w:tc>
                <w:tcPr>
                  <w:tcW w:w="1223" w:type="dxa"/>
                  <w:vMerge w:val="restart"/>
                  <w:vAlign w:val="center"/>
                </w:tcPr>
                <w:p w14:paraId="2B65C310">
                  <w:pPr>
                    <w:pStyle w:val="41"/>
                  </w:pPr>
                  <w:r>
                    <w:rPr>
                      <w:rFonts w:hint="eastAsia"/>
                    </w:rPr>
                    <w:t>1986</w:t>
                  </w:r>
                </w:p>
              </w:tc>
            </w:tr>
            <w:tr w14:paraId="70C14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1303" w:type="dxa"/>
                  <w:vMerge w:val="continue"/>
                  <w:vAlign w:val="center"/>
                </w:tcPr>
                <w:p w14:paraId="02810579">
                  <w:pPr>
                    <w:pStyle w:val="41"/>
                  </w:pPr>
                </w:p>
              </w:tc>
              <w:tc>
                <w:tcPr>
                  <w:tcW w:w="1134" w:type="dxa"/>
                  <w:vMerge w:val="continue"/>
                  <w:vAlign w:val="center"/>
                </w:tcPr>
                <w:p w14:paraId="1DCB75C6">
                  <w:pPr>
                    <w:pStyle w:val="41"/>
                    <w:rPr>
                      <w:rFonts w:hint="eastAsia"/>
                    </w:rPr>
                  </w:pPr>
                </w:p>
              </w:tc>
              <w:tc>
                <w:tcPr>
                  <w:tcW w:w="1076" w:type="dxa"/>
                  <w:vMerge w:val="continue"/>
                  <w:vAlign w:val="center"/>
                </w:tcPr>
                <w:p w14:paraId="1F167FCF">
                  <w:pPr>
                    <w:pStyle w:val="41"/>
                  </w:pPr>
                </w:p>
              </w:tc>
              <w:tc>
                <w:tcPr>
                  <w:tcW w:w="908" w:type="dxa"/>
                  <w:vAlign w:val="center"/>
                </w:tcPr>
                <w:p w14:paraId="47B66094">
                  <w:pPr>
                    <w:pStyle w:val="41"/>
                    <w:rPr>
                      <w:rFonts w:hint="default" w:eastAsia="宋体"/>
                      <w:lang w:val="en-US" w:eastAsia="zh-CN"/>
                    </w:rPr>
                  </w:pPr>
                  <w:r>
                    <w:rPr>
                      <w:rFonts w:hint="eastAsia"/>
                      <w:lang w:val="en-US" w:eastAsia="zh-CN"/>
                    </w:rPr>
                    <w:t>TVOC</w:t>
                  </w:r>
                </w:p>
              </w:tc>
              <w:tc>
                <w:tcPr>
                  <w:tcW w:w="1560" w:type="dxa"/>
                  <w:vMerge w:val="continue"/>
                  <w:vAlign w:val="center"/>
                </w:tcPr>
                <w:p w14:paraId="07DC0B4B">
                  <w:pPr>
                    <w:pStyle w:val="41"/>
                  </w:pPr>
                </w:p>
              </w:tc>
              <w:tc>
                <w:tcPr>
                  <w:tcW w:w="1045" w:type="dxa"/>
                  <w:vMerge w:val="continue"/>
                  <w:vAlign w:val="center"/>
                </w:tcPr>
                <w:p w14:paraId="10361E30">
                  <w:pPr>
                    <w:pStyle w:val="41"/>
                  </w:pPr>
                </w:p>
              </w:tc>
              <w:tc>
                <w:tcPr>
                  <w:tcW w:w="1223" w:type="dxa"/>
                  <w:vMerge w:val="continue"/>
                  <w:vAlign w:val="center"/>
                </w:tcPr>
                <w:p w14:paraId="62E3C049">
                  <w:pPr>
                    <w:pStyle w:val="41"/>
                    <w:rPr>
                      <w:rFonts w:hint="eastAsia"/>
                    </w:rPr>
                  </w:pPr>
                </w:p>
              </w:tc>
            </w:tr>
            <w:tr w14:paraId="3D9F0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8249" w:type="dxa"/>
                  <w:gridSpan w:val="7"/>
                  <w:vAlign w:val="center"/>
                </w:tcPr>
                <w:p w14:paraId="30D3BA91">
                  <w:pPr>
                    <w:pStyle w:val="41"/>
                  </w:pPr>
                  <w:r>
                    <w:t>注：以本项目中心点为坐标原点（0，0）</w:t>
                  </w:r>
                </w:p>
              </w:tc>
            </w:tr>
          </w:tbl>
          <w:p w14:paraId="02429995">
            <w:pPr>
              <w:pStyle w:val="22"/>
              <w:rPr>
                <w:szCs w:val="21"/>
              </w:rPr>
            </w:pPr>
            <w:r>
              <w:rPr>
                <w:szCs w:val="21"/>
              </w:rPr>
              <w:t>表3-3 其他污染物环境质量现状监测结果</w:t>
            </w:r>
          </w:p>
          <w:tbl>
            <w:tblPr>
              <w:tblStyle w:val="23"/>
              <w:tblW w:w="4993" w:type="pct"/>
              <w:tblInd w:w="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343"/>
              <w:gridCol w:w="808"/>
              <w:gridCol w:w="947"/>
              <w:gridCol w:w="1180"/>
              <w:gridCol w:w="1406"/>
              <w:gridCol w:w="1153"/>
              <w:gridCol w:w="744"/>
              <w:gridCol w:w="794"/>
            </w:tblGrid>
            <w:tr w14:paraId="6F24B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801" w:type="pct"/>
                  <w:tcBorders>
                    <w:top w:val="single" w:color="000000" w:sz="2" w:space="0"/>
                    <w:left w:val="single" w:color="000000" w:sz="2" w:space="0"/>
                    <w:bottom w:val="single" w:color="000000" w:sz="2" w:space="0"/>
                    <w:right w:val="single" w:color="000000" w:sz="2" w:space="0"/>
                  </w:tcBorders>
                  <w:vAlign w:val="center"/>
                </w:tcPr>
                <w:p w14:paraId="60F3FC67">
                  <w:pPr>
                    <w:pStyle w:val="20"/>
                    <w:rPr>
                      <w:b/>
                      <w:bCs/>
                    </w:rPr>
                  </w:pPr>
                  <w:r>
                    <w:rPr>
                      <w:b/>
                      <w:bCs/>
                    </w:rPr>
                    <w:t>监测</w:t>
                  </w:r>
                </w:p>
                <w:p w14:paraId="772EB550">
                  <w:pPr>
                    <w:pStyle w:val="20"/>
                    <w:rPr>
                      <w:b/>
                      <w:bCs/>
                    </w:rPr>
                  </w:pPr>
                  <w:r>
                    <w:rPr>
                      <w:b/>
                      <w:bCs/>
                    </w:rPr>
                    <w:t>点位</w:t>
                  </w:r>
                </w:p>
              </w:tc>
              <w:tc>
                <w:tcPr>
                  <w:tcW w:w="482" w:type="pct"/>
                  <w:tcBorders>
                    <w:top w:val="single" w:color="000000" w:sz="2" w:space="0"/>
                    <w:left w:val="single" w:color="000000" w:sz="2" w:space="0"/>
                    <w:bottom w:val="single" w:color="000000" w:sz="2" w:space="0"/>
                    <w:right w:val="single" w:color="000000" w:sz="2" w:space="0"/>
                  </w:tcBorders>
                  <w:vAlign w:val="center"/>
                </w:tcPr>
                <w:p w14:paraId="6C8CA4DA">
                  <w:pPr>
                    <w:pStyle w:val="20"/>
                    <w:rPr>
                      <w:b/>
                      <w:bCs/>
                    </w:rPr>
                  </w:pPr>
                  <w:r>
                    <w:rPr>
                      <w:b/>
                      <w:bCs/>
                    </w:rPr>
                    <w:t>污染</w:t>
                  </w:r>
                </w:p>
                <w:p w14:paraId="65ADA94C">
                  <w:pPr>
                    <w:pStyle w:val="20"/>
                    <w:rPr>
                      <w:b/>
                      <w:bCs/>
                    </w:rPr>
                  </w:pPr>
                  <w:r>
                    <w:rPr>
                      <w:b/>
                      <w:bCs/>
                    </w:rPr>
                    <w:t>物</w:t>
                  </w:r>
                </w:p>
              </w:tc>
              <w:tc>
                <w:tcPr>
                  <w:tcW w:w="565" w:type="pct"/>
                  <w:tcBorders>
                    <w:top w:val="single" w:color="000000" w:sz="2" w:space="0"/>
                    <w:left w:val="single" w:color="000000" w:sz="2" w:space="0"/>
                    <w:bottom w:val="single" w:color="000000" w:sz="2" w:space="0"/>
                    <w:right w:val="single" w:color="000000" w:sz="2" w:space="0"/>
                  </w:tcBorders>
                  <w:vAlign w:val="center"/>
                </w:tcPr>
                <w:p w14:paraId="2E9A2050">
                  <w:pPr>
                    <w:pStyle w:val="20"/>
                    <w:rPr>
                      <w:b/>
                      <w:bCs/>
                    </w:rPr>
                  </w:pPr>
                  <w:r>
                    <w:rPr>
                      <w:b/>
                      <w:bCs/>
                    </w:rPr>
                    <w:t>平均</w:t>
                  </w:r>
                </w:p>
                <w:p w14:paraId="3311C0BD">
                  <w:pPr>
                    <w:pStyle w:val="20"/>
                    <w:rPr>
                      <w:b/>
                      <w:bCs/>
                    </w:rPr>
                  </w:pPr>
                  <w:r>
                    <w:rPr>
                      <w:b/>
                      <w:bCs/>
                    </w:rPr>
                    <w:t>时间</w:t>
                  </w:r>
                </w:p>
              </w:tc>
              <w:tc>
                <w:tcPr>
                  <w:tcW w:w="704" w:type="pct"/>
                  <w:tcBorders>
                    <w:top w:val="single" w:color="000000" w:sz="2" w:space="0"/>
                    <w:left w:val="single" w:color="000000" w:sz="2" w:space="0"/>
                    <w:bottom w:val="single" w:color="000000" w:sz="2" w:space="0"/>
                    <w:right w:val="single" w:color="000000" w:sz="2" w:space="0"/>
                  </w:tcBorders>
                  <w:vAlign w:val="center"/>
                </w:tcPr>
                <w:p w14:paraId="53D6CBE3">
                  <w:pPr>
                    <w:pStyle w:val="20"/>
                    <w:rPr>
                      <w:b/>
                      <w:bCs/>
                    </w:rPr>
                  </w:pPr>
                  <w:r>
                    <w:rPr>
                      <w:b/>
                      <w:bCs/>
                    </w:rPr>
                    <w:t>评价标准  /</w:t>
                  </w:r>
                  <w:r>
                    <w:rPr>
                      <w:rFonts w:hint="eastAsia"/>
                      <w:b/>
                      <w:bCs/>
                      <w:lang w:eastAsia="zh-CN"/>
                    </w:rPr>
                    <w:t>（</w:t>
                  </w:r>
                  <w:r>
                    <w:rPr>
                      <w:b/>
                      <w:bCs/>
                    </w:rPr>
                    <w:t>μg/m</w:t>
                  </w:r>
                  <w:r>
                    <w:rPr>
                      <w:b/>
                      <w:bCs/>
                      <w:vertAlign w:val="superscript"/>
                    </w:rPr>
                    <w:t>3</w:t>
                  </w:r>
                  <w:r>
                    <w:rPr>
                      <w:b/>
                      <w:bCs/>
                    </w:rPr>
                    <w:t>）</w:t>
                  </w:r>
                </w:p>
              </w:tc>
              <w:tc>
                <w:tcPr>
                  <w:tcW w:w="839" w:type="pct"/>
                  <w:tcBorders>
                    <w:top w:val="single" w:color="000000" w:sz="2" w:space="0"/>
                    <w:left w:val="single" w:color="000000" w:sz="2" w:space="0"/>
                    <w:bottom w:val="single" w:color="000000" w:sz="2" w:space="0"/>
                    <w:right w:val="single" w:color="000000" w:sz="2" w:space="0"/>
                  </w:tcBorders>
                  <w:vAlign w:val="center"/>
                </w:tcPr>
                <w:p w14:paraId="75DED839">
                  <w:pPr>
                    <w:pStyle w:val="20"/>
                    <w:rPr>
                      <w:b/>
                      <w:bCs/>
                    </w:rPr>
                  </w:pPr>
                  <w:r>
                    <w:rPr>
                      <w:b/>
                      <w:bCs/>
                    </w:rPr>
                    <w:t>监测浓度范  围/（ug/m</w:t>
                  </w:r>
                  <w:r>
                    <w:rPr>
                      <w:b/>
                      <w:bCs/>
                      <w:vertAlign w:val="superscript"/>
                    </w:rPr>
                    <w:t>3</w:t>
                  </w:r>
                  <w:r>
                    <w:rPr>
                      <w:b/>
                      <w:bCs/>
                    </w:rPr>
                    <w:t>）</w:t>
                  </w:r>
                </w:p>
              </w:tc>
              <w:tc>
                <w:tcPr>
                  <w:tcW w:w="688" w:type="pct"/>
                  <w:tcBorders>
                    <w:top w:val="single" w:color="000000" w:sz="2" w:space="0"/>
                    <w:left w:val="single" w:color="000000" w:sz="2" w:space="0"/>
                    <w:bottom w:val="single" w:color="000000" w:sz="2" w:space="0"/>
                    <w:right w:val="single" w:color="000000" w:sz="2" w:space="0"/>
                  </w:tcBorders>
                  <w:vAlign w:val="center"/>
                </w:tcPr>
                <w:p w14:paraId="37568AA9">
                  <w:pPr>
                    <w:pStyle w:val="20"/>
                    <w:rPr>
                      <w:b/>
                      <w:bCs/>
                    </w:rPr>
                  </w:pPr>
                  <w:r>
                    <w:rPr>
                      <w:b/>
                      <w:bCs/>
                    </w:rPr>
                    <w:t>最大浓度</w:t>
                  </w:r>
                </w:p>
                <w:p w14:paraId="54B5595F">
                  <w:pPr>
                    <w:pStyle w:val="20"/>
                    <w:rPr>
                      <w:b/>
                      <w:bCs/>
                    </w:rPr>
                  </w:pPr>
                  <w:r>
                    <w:rPr>
                      <w:b/>
                      <w:bCs/>
                    </w:rPr>
                    <w:t>占标率</w:t>
                  </w:r>
                </w:p>
                <w:p w14:paraId="2A2AB273">
                  <w:pPr>
                    <w:pStyle w:val="20"/>
                    <w:rPr>
                      <w:b/>
                      <w:bCs/>
                    </w:rPr>
                  </w:pPr>
                  <w:r>
                    <w:rPr>
                      <w:b/>
                      <w:bCs/>
                    </w:rPr>
                    <w:t>/%</w:t>
                  </w:r>
                </w:p>
              </w:tc>
              <w:tc>
                <w:tcPr>
                  <w:tcW w:w="444" w:type="pct"/>
                  <w:tcBorders>
                    <w:top w:val="single" w:color="000000" w:sz="2" w:space="0"/>
                    <w:left w:val="single" w:color="000000" w:sz="2" w:space="0"/>
                    <w:bottom w:val="single" w:color="000000" w:sz="2" w:space="0"/>
                    <w:right w:val="single" w:color="000000" w:sz="2" w:space="0"/>
                  </w:tcBorders>
                  <w:vAlign w:val="center"/>
                </w:tcPr>
                <w:p w14:paraId="29FBFC5A">
                  <w:pPr>
                    <w:pStyle w:val="20"/>
                    <w:rPr>
                      <w:b/>
                      <w:bCs/>
                    </w:rPr>
                  </w:pPr>
                  <w:r>
                    <w:rPr>
                      <w:b/>
                      <w:bCs/>
                    </w:rPr>
                    <w:t>超标频率/%</w:t>
                  </w:r>
                </w:p>
              </w:tc>
              <w:tc>
                <w:tcPr>
                  <w:tcW w:w="473" w:type="pct"/>
                  <w:tcBorders>
                    <w:top w:val="single" w:color="000000" w:sz="2" w:space="0"/>
                    <w:left w:val="single" w:color="000000" w:sz="2" w:space="0"/>
                    <w:bottom w:val="single" w:color="000000" w:sz="2" w:space="0"/>
                    <w:right w:val="single" w:color="000000" w:sz="2" w:space="0"/>
                  </w:tcBorders>
                  <w:vAlign w:val="center"/>
                </w:tcPr>
                <w:p w14:paraId="4A9EE524">
                  <w:pPr>
                    <w:pStyle w:val="20"/>
                    <w:rPr>
                      <w:b/>
                      <w:bCs/>
                    </w:rPr>
                  </w:pPr>
                  <w:r>
                    <w:rPr>
                      <w:b/>
                      <w:bCs/>
                    </w:rPr>
                    <w:t>达标</w:t>
                  </w:r>
                </w:p>
                <w:p w14:paraId="2C0E7925">
                  <w:pPr>
                    <w:pStyle w:val="20"/>
                    <w:rPr>
                      <w:b/>
                      <w:bCs/>
                    </w:rPr>
                  </w:pPr>
                  <w:r>
                    <w:rPr>
                      <w:b/>
                      <w:bCs/>
                    </w:rPr>
                    <w:t>情况</w:t>
                  </w:r>
                </w:p>
              </w:tc>
            </w:tr>
            <w:tr w14:paraId="3C1D29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801" w:type="pct"/>
                  <w:vMerge w:val="restart"/>
                  <w:tcBorders>
                    <w:top w:val="single" w:color="000000" w:sz="2" w:space="0"/>
                    <w:left w:val="single" w:color="000000" w:sz="2" w:space="0"/>
                    <w:right w:val="single" w:color="000000" w:sz="2" w:space="0"/>
                  </w:tcBorders>
                  <w:vAlign w:val="center"/>
                </w:tcPr>
                <w:p w14:paraId="3623AE24">
                  <w:pPr>
                    <w:pStyle w:val="20"/>
                  </w:pPr>
                  <w:r>
                    <w:t>G1和村</w:t>
                  </w:r>
                </w:p>
              </w:tc>
              <w:tc>
                <w:tcPr>
                  <w:tcW w:w="482" w:type="pct"/>
                  <w:tcBorders>
                    <w:top w:val="single" w:color="000000" w:sz="2" w:space="0"/>
                    <w:left w:val="single" w:color="000000" w:sz="2" w:space="0"/>
                    <w:bottom w:val="single" w:color="000000" w:sz="2" w:space="0"/>
                    <w:right w:val="single" w:color="000000" w:sz="2" w:space="0"/>
                  </w:tcBorders>
                  <w:vAlign w:val="center"/>
                </w:tcPr>
                <w:p w14:paraId="20279F07">
                  <w:pPr>
                    <w:pStyle w:val="20"/>
                  </w:pPr>
                  <w:r>
                    <w:t>TSP</w:t>
                  </w:r>
                </w:p>
              </w:tc>
              <w:tc>
                <w:tcPr>
                  <w:tcW w:w="565" w:type="pct"/>
                  <w:tcBorders>
                    <w:top w:val="single" w:color="000000" w:sz="2" w:space="0"/>
                    <w:left w:val="single" w:color="000000" w:sz="2" w:space="0"/>
                    <w:bottom w:val="single" w:color="000000" w:sz="2" w:space="0"/>
                    <w:right w:val="single" w:color="000000" w:sz="2" w:space="0"/>
                  </w:tcBorders>
                  <w:vAlign w:val="center"/>
                </w:tcPr>
                <w:p w14:paraId="2A097D35">
                  <w:pPr>
                    <w:pStyle w:val="20"/>
                  </w:pPr>
                  <w:r>
                    <w:t>日均值</w:t>
                  </w:r>
                </w:p>
              </w:tc>
              <w:tc>
                <w:tcPr>
                  <w:tcW w:w="704" w:type="pct"/>
                  <w:tcBorders>
                    <w:top w:val="single" w:color="000000" w:sz="2" w:space="0"/>
                    <w:left w:val="single" w:color="000000" w:sz="2" w:space="0"/>
                    <w:bottom w:val="single" w:color="000000" w:sz="2" w:space="0"/>
                    <w:right w:val="single" w:color="000000" w:sz="2" w:space="0"/>
                  </w:tcBorders>
                  <w:vAlign w:val="center"/>
                </w:tcPr>
                <w:p w14:paraId="5AB55C62">
                  <w:pPr>
                    <w:pStyle w:val="20"/>
                  </w:pPr>
                  <w:r>
                    <w:t>300</w:t>
                  </w:r>
                </w:p>
              </w:tc>
              <w:tc>
                <w:tcPr>
                  <w:tcW w:w="839" w:type="pct"/>
                  <w:tcBorders>
                    <w:top w:val="single" w:color="000000" w:sz="2" w:space="0"/>
                    <w:left w:val="single" w:color="000000" w:sz="2" w:space="0"/>
                    <w:bottom w:val="single" w:color="000000" w:sz="2" w:space="0"/>
                    <w:right w:val="single" w:color="000000" w:sz="2" w:space="0"/>
                  </w:tcBorders>
                  <w:vAlign w:val="center"/>
                </w:tcPr>
                <w:p w14:paraId="29BF2B71">
                  <w:pPr>
                    <w:pStyle w:val="20"/>
                  </w:pPr>
                  <w:r>
                    <w:t>83~108</w:t>
                  </w:r>
                </w:p>
              </w:tc>
              <w:tc>
                <w:tcPr>
                  <w:tcW w:w="688" w:type="pct"/>
                  <w:tcBorders>
                    <w:top w:val="single" w:color="000000" w:sz="2" w:space="0"/>
                    <w:left w:val="single" w:color="000000" w:sz="2" w:space="0"/>
                    <w:bottom w:val="single" w:color="000000" w:sz="2" w:space="0"/>
                    <w:right w:val="single" w:color="000000" w:sz="2" w:space="0"/>
                  </w:tcBorders>
                  <w:vAlign w:val="center"/>
                </w:tcPr>
                <w:p w14:paraId="56D67B11">
                  <w:pPr>
                    <w:pStyle w:val="20"/>
                    <w:rPr>
                      <w:rFonts w:hint="default" w:eastAsia="宋体"/>
                      <w:lang w:val="en-US" w:eastAsia="zh-CN"/>
                    </w:rPr>
                  </w:pPr>
                  <w:r>
                    <w:rPr>
                      <w:rFonts w:hint="eastAsia"/>
                      <w:lang w:val="en-US" w:eastAsia="zh-CN"/>
                    </w:rPr>
                    <w:t>36</w:t>
                  </w:r>
                </w:p>
              </w:tc>
              <w:tc>
                <w:tcPr>
                  <w:tcW w:w="444" w:type="pct"/>
                  <w:tcBorders>
                    <w:top w:val="single" w:color="000000" w:sz="2" w:space="0"/>
                    <w:left w:val="single" w:color="000000" w:sz="2" w:space="0"/>
                    <w:bottom w:val="single" w:color="000000" w:sz="2" w:space="0"/>
                    <w:right w:val="single" w:color="000000" w:sz="2" w:space="0"/>
                  </w:tcBorders>
                  <w:vAlign w:val="center"/>
                </w:tcPr>
                <w:p w14:paraId="67A95BE6">
                  <w:pPr>
                    <w:pStyle w:val="20"/>
                  </w:pPr>
                  <w:r>
                    <w:t>0</w:t>
                  </w:r>
                </w:p>
              </w:tc>
              <w:tc>
                <w:tcPr>
                  <w:tcW w:w="473" w:type="pct"/>
                  <w:tcBorders>
                    <w:top w:val="single" w:color="000000" w:sz="2" w:space="0"/>
                    <w:left w:val="single" w:color="000000" w:sz="2" w:space="0"/>
                    <w:bottom w:val="single" w:color="000000" w:sz="2" w:space="0"/>
                    <w:right w:val="single" w:color="000000" w:sz="2" w:space="0"/>
                  </w:tcBorders>
                  <w:vAlign w:val="center"/>
                </w:tcPr>
                <w:p w14:paraId="56783254">
                  <w:pPr>
                    <w:pStyle w:val="20"/>
                  </w:pPr>
                  <w:r>
                    <w:t>达标</w:t>
                  </w:r>
                </w:p>
              </w:tc>
            </w:tr>
            <w:tr w14:paraId="7B850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801" w:type="pct"/>
                  <w:vMerge w:val="continue"/>
                  <w:tcBorders>
                    <w:left w:val="single" w:color="000000" w:sz="2" w:space="0"/>
                    <w:right w:val="single" w:color="000000" w:sz="2" w:space="0"/>
                  </w:tcBorders>
                  <w:vAlign w:val="center"/>
                </w:tcPr>
                <w:p w14:paraId="48616C0E">
                  <w:pPr>
                    <w:pStyle w:val="20"/>
                  </w:pPr>
                </w:p>
              </w:tc>
              <w:tc>
                <w:tcPr>
                  <w:tcW w:w="482" w:type="pct"/>
                  <w:tcBorders>
                    <w:top w:val="single" w:color="000000" w:sz="2" w:space="0"/>
                    <w:left w:val="single" w:color="000000" w:sz="2" w:space="0"/>
                    <w:bottom w:val="single" w:color="000000" w:sz="2" w:space="0"/>
                    <w:right w:val="single" w:color="000000" w:sz="2" w:space="0"/>
                  </w:tcBorders>
                  <w:vAlign w:val="center"/>
                </w:tcPr>
                <w:p w14:paraId="6FFB12C3">
                  <w:pPr>
                    <w:pStyle w:val="20"/>
                    <w:rPr>
                      <w:rFonts w:hint="default" w:eastAsia="宋体"/>
                      <w:lang w:val="en-US" w:eastAsia="zh-CN"/>
                    </w:rPr>
                  </w:pPr>
                  <w:r>
                    <w:rPr>
                      <w:rFonts w:hint="eastAsia"/>
                      <w:lang w:val="en-US" w:eastAsia="zh-CN"/>
                    </w:rPr>
                    <w:t>TVOC</w:t>
                  </w:r>
                </w:p>
              </w:tc>
              <w:tc>
                <w:tcPr>
                  <w:tcW w:w="565" w:type="pct"/>
                  <w:tcBorders>
                    <w:top w:val="single" w:color="000000" w:sz="2" w:space="0"/>
                    <w:left w:val="single" w:color="000000" w:sz="2" w:space="0"/>
                    <w:bottom w:val="single" w:color="000000" w:sz="2" w:space="0"/>
                    <w:right w:val="single" w:color="000000" w:sz="2" w:space="0"/>
                  </w:tcBorders>
                  <w:vAlign w:val="center"/>
                </w:tcPr>
                <w:p w14:paraId="37AF963E">
                  <w:pPr>
                    <w:pStyle w:val="20"/>
                    <w:rPr>
                      <w:rFonts w:hint="default" w:eastAsia="宋体"/>
                      <w:lang w:val="en-US" w:eastAsia="zh-CN"/>
                    </w:rPr>
                  </w:pPr>
                  <w:r>
                    <w:rPr>
                      <w:rFonts w:hint="eastAsia"/>
                      <w:lang w:val="en-US" w:eastAsia="zh-CN"/>
                    </w:rPr>
                    <w:t>8小时平均值</w:t>
                  </w:r>
                </w:p>
              </w:tc>
              <w:tc>
                <w:tcPr>
                  <w:tcW w:w="704" w:type="pct"/>
                  <w:tcBorders>
                    <w:top w:val="single" w:color="000000" w:sz="2" w:space="0"/>
                    <w:left w:val="single" w:color="000000" w:sz="2" w:space="0"/>
                    <w:bottom w:val="single" w:color="000000" w:sz="2" w:space="0"/>
                    <w:right w:val="single" w:color="000000" w:sz="2" w:space="0"/>
                  </w:tcBorders>
                  <w:vAlign w:val="center"/>
                </w:tcPr>
                <w:p w14:paraId="1F2623A6">
                  <w:pPr>
                    <w:pStyle w:val="20"/>
                    <w:rPr>
                      <w:rFonts w:hint="default" w:eastAsia="宋体"/>
                      <w:lang w:val="en-US" w:eastAsia="zh-CN"/>
                    </w:rPr>
                  </w:pPr>
                  <w:r>
                    <w:rPr>
                      <w:rFonts w:hint="eastAsia"/>
                      <w:lang w:val="en-US" w:eastAsia="zh-CN"/>
                    </w:rPr>
                    <w:t>600</w:t>
                  </w:r>
                </w:p>
              </w:tc>
              <w:tc>
                <w:tcPr>
                  <w:tcW w:w="839" w:type="pct"/>
                  <w:tcBorders>
                    <w:top w:val="single" w:color="000000" w:sz="2" w:space="0"/>
                    <w:left w:val="single" w:color="000000" w:sz="2" w:space="0"/>
                    <w:bottom w:val="single" w:color="000000" w:sz="2" w:space="0"/>
                    <w:right w:val="single" w:color="000000" w:sz="2" w:space="0"/>
                  </w:tcBorders>
                  <w:vAlign w:val="center"/>
                </w:tcPr>
                <w:p w14:paraId="5AD3A65F">
                  <w:pPr>
                    <w:pStyle w:val="20"/>
                    <w:rPr>
                      <w:rFonts w:hint="default" w:eastAsia="宋体"/>
                      <w:lang w:val="en-US" w:eastAsia="zh-CN"/>
                    </w:rPr>
                  </w:pPr>
                  <w:r>
                    <w:rPr>
                      <w:rFonts w:hint="eastAsia"/>
                      <w:lang w:val="en-US" w:eastAsia="zh-CN"/>
                    </w:rPr>
                    <w:t>314~421</w:t>
                  </w:r>
                </w:p>
              </w:tc>
              <w:tc>
                <w:tcPr>
                  <w:tcW w:w="688" w:type="pct"/>
                  <w:tcBorders>
                    <w:top w:val="single" w:color="000000" w:sz="2" w:space="0"/>
                    <w:left w:val="single" w:color="000000" w:sz="2" w:space="0"/>
                    <w:bottom w:val="single" w:color="000000" w:sz="2" w:space="0"/>
                    <w:right w:val="single" w:color="000000" w:sz="2" w:space="0"/>
                  </w:tcBorders>
                  <w:vAlign w:val="center"/>
                </w:tcPr>
                <w:p w14:paraId="4D8DE00A">
                  <w:pPr>
                    <w:pStyle w:val="20"/>
                    <w:rPr>
                      <w:rFonts w:hint="default" w:eastAsia="宋体"/>
                      <w:lang w:val="en-US" w:eastAsia="zh-CN"/>
                    </w:rPr>
                  </w:pPr>
                  <w:r>
                    <w:rPr>
                      <w:rFonts w:hint="eastAsia"/>
                      <w:lang w:val="en-US" w:eastAsia="zh-CN"/>
                    </w:rPr>
                    <w:t>70.2</w:t>
                  </w:r>
                </w:p>
              </w:tc>
              <w:tc>
                <w:tcPr>
                  <w:tcW w:w="444" w:type="pct"/>
                  <w:tcBorders>
                    <w:top w:val="single" w:color="000000" w:sz="2" w:space="0"/>
                    <w:left w:val="single" w:color="000000" w:sz="2" w:space="0"/>
                    <w:bottom w:val="single" w:color="000000" w:sz="2" w:space="0"/>
                    <w:right w:val="single" w:color="000000" w:sz="2" w:space="0"/>
                  </w:tcBorders>
                  <w:vAlign w:val="center"/>
                </w:tcPr>
                <w:p w14:paraId="78CA0E08">
                  <w:pPr>
                    <w:pStyle w:val="20"/>
                    <w:rPr>
                      <w:rFonts w:hint="eastAsia" w:eastAsia="宋体"/>
                      <w:lang w:val="en-US" w:eastAsia="zh-CN"/>
                    </w:rPr>
                  </w:pPr>
                  <w:r>
                    <w:rPr>
                      <w:rFonts w:hint="eastAsia"/>
                      <w:lang w:val="en-US" w:eastAsia="zh-CN"/>
                    </w:rPr>
                    <w:t>0</w:t>
                  </w:r>
                </w:p>
              </w:tc>
              <w:tc>
                <w:tcPr>
                  <w:tcW w:w="473" w:type="pct"/>
                  <w:tcBorders>
                    <w:top w:val="single" w:color="000000" w:sz="2" w:space="0"/>
                    <w:left w:val="single" w:color="000000" w:sz="2" w:space="0"/>
                    <w:bottom w:val="single" w:color="000000" w:sz="2" w:space="0"/>
                    <w:right w:val="single" w:color="000000" w:sz="2" w:space="0"/>
                  </w:tcBorders>
                  <w:vAlign w:val="center"/>
                </w:tcPr>
                <w:p w14:paraId="3A9B5B94">
                  <w:pPr>
                    <w:pStyle w:val="20"/>
                    <w:rPr>
                      <w:rFonts w:hint="eastAsia" w:eastAsia="宋体"/>
                      <w:lang w:val="en-US" w:eastAsia="zh-CN"/>
                    </w:rPr>
                  </w:pPr>
                  <w:r>
                    <w:rPr>
                      <w:rFonts w:hint="eastAsia"/>
                      <w:lang w:val="en-US" w:eastAsia="zh-CN"/>
                    </w:rPr>
                    <w:t>达标</w:t>
                  </w:r>
                </w:p>
              </w:tc>
            </w:tr>
          </w:tbl>
          <w:p w14:paraId="33425F59">
            <w:pPr>
              <w:ind w:firstLine="480"/>
            </w:pPr>
            <w:r>
              <w:t>由上表可知，本项目大气环境现状评价范围内特征污染物TSP</w:t>
            </w:r>
            <w:r>
              <w:rPr>
                <w:rFonts w:hint="eastAsia"/>
                <w:lang w:eastAsia="zh-CN"/>
              </w:rPr>
              <w:t>、</w:t>
            </w:r>
            <w:r>
              <w:rPr>
                <w:rFonts w:hint="eastAsia"/>
                <w:lang w:val="en-US" w:eastAsia="zh-CN"/>
              </w:rPr>
              <w:t>TVOC</w:t>
            </w:r>
            <w:r>
              <w:t>的日平均浓度可达到《环境空气质量标准》（GB 3095-2012）及其修改单中二级限值要求。</w:t>
            </w:r>
          </w:p>
          <w:p w14:paraId="2D706C95">
            <w:pPr>
              <w:pStyle w:val="12"/>
              <w:ind w:firstLine="482"/>
            </w:pPr>
            <w:r>
              <w:t>二、地表水环境质量现状</w:t>
            </w:r>
          </w:p>
          <w:p w14:paraId="3C0F07F4">
            <w:pPr>
              <w:ind w:firstLine="480"/>
            </w:pPr>
            <w:r>
              <w:t>本项目生产废水经“混凝沉淀池+砂滤-碳滤”</w:t>
            </w:r>
            <w:r>
              <w:rPr>
                <w:rFonts w:hint="eastAsia"/>
              </w:rPr>
              <w:t>预</w:t>
            </w:r>
            <w:r>
              <w:t>处理后</w:t>
            </w:r>
            <w:r>
              <w:rPr>
                <w:rFonts w:hint="eastAsia"/>
              </w:rPr>
              <w:t>，</w:t>
            </w:r>
            <w:r>
              <w:t>经园区污水管网排入园区污水处理厂进行深化处理。该污水处理厂的受纳水体为武江（乐昌城-犁市）河段，根据《广东省地表水环境功能区划》（粤府函〔2011〕29号文），武江（乐昌城-犁市）河段的地表水环境功能区划分别为Ⅲ类，水质执行《地表水环境质量标准》（GB 3838-2002）中的Ⅲ类标准。</w:t>
            </w:r>
          </w:p>
          <w:p w14:paraId="12D5C5AC">
            <w:pPr>
              <w:ind w:firstLine="480"/>
            </w:pPr>
            <w:r>
              <w:t>根据《202</w:t>
            </w:r>
            <w:r>
              <w:rPr>
                <w:rFonts w:hint="eastAsia"/>
              </w:rPr>
              <w:t>3</w:t>
            </w:r>
            <w:r>
              <w:t>年韶关市生态环境状况公报》，202</w:t>
            </w:r>
            <w:r>
              <w:rPr>
                <w:rFonts w:hint="eastAsia"/>
              </w:rPr>
              <w:t>3</w:t>
            </w:r>
            <w:r>
              <w:t>年，韶关市11条主要江河</w:t>
            </w:r>
            <w:r>
              <w:rPr>
                <w:rFonts w:hint="eastAsia"/>
                <w:lang w:eastAsia="zh-CN"/>
              </w:rPr>
              <w:t>（</w:t>
            </w:r>
            <w:r>
              <w:t>北江、武江、浈江、南水河、墨江、锦江、马坝河、滃江、新丰江、横石水和大潭河</w:t>
            </w:r>
            <w:r>
              <w:rPr>
                <w:rFonts w:hint="eastAsia"/>
                <w:lang w:eastAsia="zh-CN"/>
              </w:rPr>
              <w:t>）</w:t>
            </w:r>
            <w:r>
              <w:t>34个市考以上手工监测断面水质优良率为100%，与2022年持平，其中I类比例为 2.94%、Ⅱ类比例为88.24%、Ш类比例为 8.82%。</w:t>
            </w:r>
          </w:p>
          <w:p w14:paraId="6D27925B">
            <w:pPr>
              <w:pStyle w:val="12"/>
              <w:ind w:firstLine="482"/>
            </w:pPr>
          </w:p>
          <w:p w14:paraId="73875694">
            <w:pPr>
              <w:pStyle w:val="12"/>
              <w:ind w:firstLine="482"/>
            </w:pPr>
            <w:r>
              <w:t>三、声环境现状</w:t>
            </w:r>
          </w:p>
          <w:p w14:paraId="161C2C7F">
            <w:pPr>
              <w:ind w:firstLine="480"/>
            </w:pPr>
            <w:r>
              <w:t>根据《建设项目环境影响报告表编制技术指南（污染影响类）（试行）》厂界外周边50m范围内存在声环境保护目标的建设项目，应监测保护目标声环境质量现状并评价达标情况。本项目厂界外50m内无声环境保护目标，因此，项目无需调查声环境质量现状。</w:t>
            </w:r>
          </w:p>
          <w:p w14:paraId="6FDF8779">
            <w:pPr>
              <w:pStyle w:val="12"/>
              <w:ind w:firstLine="482"/>
            </w:pPr>
            <w:r>
              <w:t>四、地下水、土壤环境现状</w:t>
            </w:r>
          </w:p>
          <w:p w14:paraId="2159972A">
            <w:pPr>
              <w:ind w:firstLine="480"/>
            </w:pPr>
            <w:r>
              <w:t>根据《建设项目环境影响报告表编制技术指南（污染影响类）（试行）》，原则上不开展地下水、土壤环境质量现状调查。本项目位于工业园区，厂区车间均进行硬底化，正常情况下不存在地下水、土壤污染途径，因此本报告不开展地下水、土壤环境质量现状调查。</w:t>
            </w:r>
          </w:p>
          <w:p w14:paraId="2318077A">
            <w:pPr>
              <w:pStyle w:val="12"/>
              <w:ind w:firstLine="482"/>
            </w:pPr>
            <w:r>
              <w:t>五、生态环境质量现状</w:t>
            </w:r>
          </w:p>
          <w:p w14:paraId="1E6E8BD9">
            <w:pPr>
              <w:ind w:firstLine="480"/>
            </w:pPr>
            <w:r>
              <w:t>根据《建设项目环境影响报告表编制技术指南（污染影响类）（试行）》，“产业园区外建设单位新增用地且用地范围内含有生态环境保护目标时，应进行生态现状调查”，本项目位于韶关市韶关华南先进装备产业园内，用地范围内不涉及自然保护区、风景名胜区、世界文化和自然遗产地、饮用水水源保护区和其他需要特殊保护的区域，因此，本项目不开展生态环境现状调查。</w:t>
            </w:r>
          </w:p>
          <w:p w14:paraId="0F38BFFE">
            <w:pPr>
              <w:pStyle w:val="12"/>
              <w:ind w:firstLine="482"/>
            </w:pPr>
            <w:r>
              <w:t>六、电磁辐射</w:t>
            </w:r>
          </w:p>
          <w:p w14:paraId="2976B6CD">
            <w:pPr>
              <w:ind w:firstLine="480"/>
            </w:pPr>
            <w:r>
              <w:t>项目不属于新建或改建、扩建广播电台、差转台、电视塔台、卫星地球上行站、雷达等电磁辐射类项目，无需对电磁辐射现状开展监测与评价。</w:t>
            </w:r>
          </w:p>
        </w:tc>
      </w:tr>
      <w:tr w14:paraId="4CBFE6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95" w:hRule="atLeast"/>
          <w:jc w:val="center"/>
        </w:trPr>
        <w:tc>
          <w:tcPr>
            <w:tcW w:w="249" w:type="pct"/>
            <w:vAlign w:val="center"/>
          </w:tcPr>
          <w:p w14:paraId="4DA398E8">
            <w:pPr>
              <w:pStyle w:val="11"/>
              <w:rPr>
                <w:rFonts w:ascii="Times New Roman" w:hAnsi="Times New Roman"/>
                <w:kern w:val="2"/>
              </w:rPr>
            </w:pPr>
            <w:r>
              <w:rPr>
                <w:rFonts w:ascii="Times New Roman" w:hAnsi="Times New Roman"/>
                <w:kern w:val="2"/>
              </w:rPr>
              <w:t>环境</w:t>
            </w:r>
          </w:p>
          <w:p w14:paraId="721D67AB">
            <w:pPr>
              <w:pStyle w:val="11"/>
              <w:rPr>
                <w:rFonts w:ascii="Times New Roman" w:hAnsi="Times New Roman"/>
                <w:kern w:val="2"/>
              </w:rPr>
            </w:pPr>
            <w:r>
              <w:rPr>
                <w:rFonts w:ascii="Times New Roman" w:hAnsi="Times New Roman"/>
                <w:kern w:val="2"/>
              </w:rPr>
              <w:t>保护</w:t>
            </w:r>
          </w:p>
          <w:p w14:paraId="4F56906A">
            <w:pPr>
              <w:pStyle w:val="11"/>
              <w:rPr>
                <w:rFonts w:ascii="Times New Roman" w:hAnsi="Times New Roman"/>
                <w:kern w:val="2"/>
              </w:rPr>
            </w:pPr>
            <w:r>
              <w:rPr>
                <w:rFonts w:ascii="Times New Roman" w:hAnsi="Times New Roman"/>
                <w:kern w:val="2"/>
              </w:rPr>
              <w:t>目标</w:t>
            </w:r>
          </w:p>
        </w:tc>
        <w:tc>
          <w:tcPr>
            <w:tcW w:w="4750" w:type="pct"/>
            <w:vAlign w:val="center"/>
          </w:tcPr>
          <w:p w14:paraId="77C7911C">
            <w:pPr>
              <w:ind w:firstLine="480"/>
            </w:pPr>
            <w:r>
              <w:t>本项目的主要环境保护目标是，保护好项目所在地周边评价区域环境质量。采取有效的环保措施，使该项目在建设开展和生产运行中，能够保持区域原有的大气质量、声环境质量、地下水环境质量、生态环境质量。</w:t>
            </w:r>
          </w:p>
          <w:p w14:paraId="41E4E394">
            <w:pPr>
              <w:ind w:firstLine="480"/>
            </w:pPr>
            <w:r>
              <w:t>1、大气环境保护目标</w:t>
            </w:r>
          </w:p>
          <w:p w14:paraId="7A44FF40">
            <w:pPr>
              <w:ind w:firstLine="480"/>
            </w:pPr>
            <w:r>
              <w:t>项目厂界500米范围内大气环境保护目标如下表所示，敏感点分布图见附图十一。</w:t>
            </w:r>
          </w:p>
          <w:p w14:paraId="3FCB27D3">
            <w:pPr>
              <w:pStyle w:val="7"/>
              <w:rPr>
                <w:rFonts w:hint="default"/>
                <w:kern w:val="2"/>
                <w:szCs w:val="21"/>
              </w:rPr>
            </w:pPr>
            <w:r>
              <w:rPr>
                <w:rFonts w:hint="default" w:eastAsia="宋体"/>
                <w:kern w:val="2"/>
                <w:szCs w:val="21"/>
              </w:rPr>
              <w:t>表3-4 厂界外500m范围内大气环境保护目标</w:t>
            </w:r>
          </w:p>
          <w:tbl>
            <w:tblPr>
              <w:tblStyle w:val="2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28"/>
              <w:gridCol w:w="928"/>
              <w:gridCol w:w="928"/>
              <w:gridCol w:w="932"/>
              <w:gridCol w:w="928"/>
              <w:gridCol w:w="928"/>
              <w:gridCol w:w="928"/>
              <w:gridCol w:w="928"/>
              <w:gridCol w:w="928"/>
              <w:gridCol w:w="21"/>
            </w:tblGrid>
            <w:tr w14:paraId="76F17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5" w:type="pct"/>
                <w:trHeight w:val="283" w:hRule="atLeast"/>
              </w:trPr>
              <w:tc>
                <w:tcPr>
                  <w:tcW w:w="554" w:type="pct"/>
                  <w:vMerge w:val="restart"/>
                  <w:vAlign w:val="center"/>
                </w:tcPr>
                <w:p w14:paraId="29239E1F">
                  <w:pPr>
                    <w:pStyle w:val="20"/>
                    <w:rPr>
                      <w:b/>
                      <w:bCs/>
                    </w:rPr>
                  </w:pPr>
                  <w:r>
                    <w:rPr>
                      <w:b/>
                      <w:bCs/>
                    </w:rPr>
                    <w:t>序号</w:t>
                  </w:r>
                </w:p>
              </w:tc>
              <w:tc>
                <w:tcPr>
                  <w:tcW w:w="554" w:type="pct"/>
                  <w:vMerge w:val="restart"/>
                  <w:vAlign w:val="center"/>
                </w:tcPr>
                <w:p w14:paraId="11FA2010">
                  <w:pPr>
                    <w:pStyle w:val="20"/>
                    <w:rPr>
                      <w:b/>
                      <w:bCs/>
                    </w:rPr>
                  </w:pPr>
                  <w:r>
                    <w:rPr>
                      <w:b/>
                      <w:bCs/>
                    </w:rPr>
                    <w:t>名称</w:t>
                  </w:r>
                </w:p>
              </w:tc>
              <w:tc>
                <w:tcPr>
                  <w:tcW w:w="1110" w:type="pct"/>
                  <w:gridSpan w:val="2"/>
                  <w:vAlign w:val="center"/>
                </w:tcPr>
                <w:p w14:paraId="11670674">
                  <w:pPr>
                    <w:pStyle w:val="20"/>
                    <w:rPr>
                      <w:b/>
                      <w:bCs/>
                    </w:rPr>
                  </w:pPr>
                  <w:r>
                    <w:rPr>
                      <w:b/>
                      <w:bCs/>
                    </w:rPr>
                    <w:t>坐标/m</w:t>
                  </w:r>
                </w:p>
              </w:tc>
              <w:tc>
                <w:tcPr>
                  <w:tcW w:w="554" w:type="pct"/>
                  <w:vMerge w:val="restart"/>
                  <w:vAlign w:val="center"/>
                </w:tcPr>
                <w:p w14:paraId="3F478DA7">
                  <w:pPr>
                    <w:pStyle w:val="20"/>
                    <w:rPr>
                      <w:b/>
                      <w:bCs/>
                    </w:rPr>
                  </w:pPr>
                  <w:r>
                    <w:rPr>
                      <w:b/>
                      <w:bCs/>
                    </w:rPr>
                    <w:t>保护对象</w:t>
                  </w:r>
                </w:p>
              </w:tc>
              <w:tc>
                <w:tcPr>
                  <w:tcW w:w="554" w:type="pct"/>
                  <w:vMerge w:val="restart"/>
                  <w:vAlign w:val="center"/>
                </w:tcPr>
                <w:p w14:paraId="26135DEF">
                  <w:pPr>
                    <w:pStyle w:val="20"/>
                    <w:rPr>
                      <w:b/>
                      <w:bCs/>
                    </w:rPr>
                  </w:pPr>
                  <w:r>
                    <w:rPr>
                      <w:b/>
                      <w:bCs/>
                    </w:rPr>
                    <w:t>保护内容</w:t>
                  </w:r>
                </w:p>
              </w:tc>
              <w:tc>
                <w:tcPr>
                  <w:tcW w:w="554" w:type="pct"/>
                  <w:vMerge w:val="restart"/>
                  <w:vAlign w:val="center"/>
                </w:tcPr>
                <w:p w14:paraId="7D720726">
                  <w:pPr>
                    <w:pStyle w:val="20"/>
                    <w:rPr>
                      <w:b/>
                      <w:bCs/>
                    </w:rPr>
                  </w:pPr>
                  <w:r>
                    <w:rPr>
                      <w:b/>
                      <w:bCs/>
                    </w:rPr>
                    <w:t>环境功</w:t>
                  </w:r>
                </w:p>
                <w:p w14:paraId="58A6748D">
                  <w:pPr>
                    <w:pStyle w:val="20"/>
                    <w:rPr>
                      <w:b/>
                      <w:bCs/>
                    </w:rPr>
                  </w:pPr>
                  <w:r>
                    <w:rPr>
                      <w:b/>
                      <w:bCs/>
                    </w:rPr>
                    <w:t>能区</w:t>
                  </w:r>
                </w:p>
              </w:tc>
              <w:tc>
                <w:tcPr>
                  <w:tcW w:w="554" w:type="pct"/>
                  <w:vMerge w:val="restart"/>
                  <w:vAlign w:val="center"/>
                </w:tcPr>
                <w:p w14:paraId="65C1FEF5">
                  <w:pPr>
                    <w:pStyle w:val="20"/>
                    <w:rPr>
                      <w:b/>
                      <w:bCs/>
                    </w:rPr>
                  </w:pPr>
                  <w:r>
                    <w:rPr>
                      <w:b/>
                      <w:bCs/>
                    </w:rPr>
                    <w:t>相对厂址 方位</w:t>
                  </w:r>
                </w:p>
              </w:tc>
              <w:tc>
                <w:tcPr>
                  <w:tcW w:w="554" w:type="pct"/>
                  <w:vMerge w:val="restart"/>
                  <w:vAlign w:val="center"/>
                </w:tcPr>
                <w:p w14:paraId="3A036E99">
                  <w:pPr>
                    <w:pStyle w:val="20"/>
                    <w:rPr>
                      <w:b/>
                      <w:bCs/>
                    </w:rPr>
                  </w:pPr>
                  <w:r>
                    <w:rPr>
                      <w:b/>
                      <w:bCs/>
                    </w:rPr>
                    <w:t>相对厂</w:t>
                  </w:r>
                </w:p>
                <w:p w14:paraId="5449A219">
                  <w:pPr>
                    <w:pStyle w:val="20"/>
                    <w:rPr>
                      <w:b/>
                      <w:bCs/>
                    </w:rPr>
                  </w:pPr>
                  <w:r>
                    <w:rPr>
                      <w:b/>
                      <w:bCs/>
                    </w:rPr>
                    <w:t>界距离</w:t>
                  </w:r>
                </w:p>
                <w:p w14:paraId="3774520C">
                  <w:pPr>
                    <w:pStyle w:val="20"/>
                    <w:rPr>
                      <w:b/>
                      <w:bCs/>
                    </w:rPr>
                  </w:pPr>
                  <w:r>
                    <w:rPr>
                      <w:b/>
                      <w:bCs/>
                    </w:rPr>
                    <w:t>/m</w:t>
                  </w:r>
                </w:p>
              </w:tc>
            </w:tr>
            <w:tr w14:paraId="15C85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5" w:type="pct"/>
                <w:trHeight w:val="539" w:hRule="atLeast"/>
              </w:trPr>
              <w:tc>
                <w:tcPr>
                  <w:tcW w:w="554" w:type="pct"/>
                  <w:vMerge w:val="continue"/>
                  <w:vAlign w:val="center"/>
                </w:tcPr>
                <w:p w14:paraId="29292389">
                  <w:pPr>
                    <w:pStyle w:val="20"/>
                  </w:pPr>
                </w:p>
              </w:tc>
              <w:tc>
                <w:tcPr>
                  <w:tcW w:w="554" w:type="pct"/>
                  <w:vMerge w:val="continue"/>
                  <w:vAlign w:val="center"/>
                </w:tcPr>
                <w:p w14:paraId="7F8B97F4">
                  <w:pPr>
                    <w:pStyle w:val="20"/>
                  </w:pPr>
                </w:p>
              </w:tc>
              <w:tc>
                <w:tcPr>
                  <w:tcW w:w="554" w:type="pct"/>
                  <w:vAlign w:val="center"/>
                </w:tcPr>
                <w:p w14:paraId="1165C4D4">
                  <w:pPr>
                    <w:pStyle w:val="20"/>
                  </w:pPr>
                  <w:r>
                    <w:t>X</w:t>
                  </w:r>
                </w:p>
              </w:tc>
              <w:tc>
                <w:tcPr>
                  <w:tcW w:w="555" w:type="pct"/>
                  <w:vAlign w:val="center"/>
                </w:tcPr>
                <w:p w14:paraId="6F68D0DE">
                  <w:pPr>
                    <w:pStyle w:val="20"/>
                  </w:pPr>
                  <w:r>
                    <w:t>Y</w:t>
                  </w:r>
                </w:p>
              </w:tc>
              <w:tc>
                <w:tcPr>
                  <w:tcW w:w="554" w:type="pct"/>
                  <w:vMerge w:val="continue"/>
                  <w:vAlign w:val="center"/>
                </w:tcPr>
                <w:p w14:paraId="460569D0">
                  <w:pPr>
                    <w:pStyle w:val="20"/>
                  </w:pPr>
                </w:p>
              </w:tc>
              <w:tc>
                <w:tcPr>
                  <w:tcW w:w="554" w:type="pct"/>
                  <w:vMerge w:val="continue"/>
                  <w:vAlign w:val="center"/>
                </w:tcPr>
                <w:p w14:paraId="0A9828F2">
                  <w:pPr>
                    <w:pStyle w:val="20"/>
                  </w:pPr>
                </w:p>
              </w:tc>
              <w:tc>
                <w:tcPr>
                  <w:tcW w:w="554" w:type="pct"/>
                  <w:vMerge w:val="continue"/>
                  <w:vAlign w:val="center"/>
                </w:tcPr>
                <w:p w14:paraId="1E84C204">
                  <w:pPr>
                    <w:pStyle w:val="20"/>
                  </w:pPr>
                </w:p>
              </w:tc>
              <w:tc>
                <w:tcPr>
                  <w:tcW w:w="554" w:type="pct"/>
                  <w:vMerge w:val="continue"/>
                  <w:vAlign w:val="center"/>
                </w:tcPr>
                <w:p w14:paraId="6B9F0ADD">
                  <w:pPr>
                    <w:pStyle w:val="20"/>
                  </w:pPr>
                </w:p>
              </w:tc>
              <w:tc>
                <w:tcPr>
                  <w:tcW w:w="554" w:type="pct"/>
                  <w:vMerge w:val="continue"/>
                  <w:vAlign w:val="center"/>
                </w:tcPr>
                <w:p w14:paraId="78438CEC">
                  <w:pPr>
                    <w:pStyle w:val="20"/>
                  </w:pPr>
                </w:p>
              </w:tc>
            </w:tr>
            <w:tr w14:paraId="0A7FC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5" w:type="pct"/>
                <w:trHeight w:val="548" w:hRule="atLeast"/>
              </w:trPr>
              <w:tc>
                <w:tcPr>
                  <w:tcW w:w="554" w:type="pct"/>
                  <w:vAlign w:val="center"/>
                </w:tcPr>
                <w:p w14:paraId="0BAD9007">
                  <w:pPr>
                    <w:pStyle w:val="20"/>
                  </w:pPr>
                  <w:r>
                    <w:t>1</w:t>
                  </w:r>
                </w:p>
              </w:tc>
              <w:tc>
                <w:tcPr>
                  <w:tcW w:w="554" w:type="pct"/>
                  <w:vAlign w:val="center"/>
                </w:tcPr>
                <w:p w14:paraId="1C6DB5E5">
                  <w:pPr>
                    <w:pStyle w:val="20"/>
                  </w:pPr>
                  <w:r>
                    <w:t>付村</w:t>
                  </w:r>
                </w:p>
              </w:tc>
              <w:tc>
                <w:tcPr>
                  <w:tcW w:w="554" w:type="pct"/>
                  <w:vAlign w:val="center"/>
                </w:tcPr>
                <w:p w14:paraId="21C244EA">
                  <w:pPr>
                    <w:pStyle w:val="20"/>
                  </w:pPr>
                  <w:r>
                    <w:rPr>
                      <w:rFonts w:hint="eastAsia"/>
                    </w:rPr>
                    <w:t>318.1</w:t>
                  </w:r>
                </w:p>
              </w:tc>
              <w:tc>
                <w:tcPr>
                  <w:tcW w:w="555" w:type="pct"/>
                  <w:vAlign w:val="center"/>
                </w:tcPr>
                <w:p w14:paraId="4E896E7A">
                  <w:pPr>
                    <w:pStyle w:val="20"/>
                  </w:pPr>
                  <w:r>
                    <w:t>0</w:t>
                  </w:r>
                </w:p>
              </w:tc>
              <w:tc>
                <w:tcPr>
                  <w:tcW w:w="554" w:type="pct"/>
                  <w:vAlign w:val="center"/>
                </w:tcPr>
                <w:p w14:paraId="6ED650CA">
                  <w:pPr>
                    <w:pStyle w:val="20"/>
                  </w:pPr>
                  <w:r>
                    <w:t>居民约 400 人</w:t>
                  </w:r>
                </w:p>
              </w:tc>
              <w:tc>
                <w:tcPr>
                  <w:tcW w:w="554" w:type="pct"/>
                  <w:vAlign w:val="center"/>
                </w:tcPr>
                <w:p w14:paraId="415A5298">
                  <w:pPr>
                    <w:pStyle w:val="20"/>
                  </w:pPr>
                  <w:r>
                    <w:t xml:space="preserve">大环境气 </w:t>
                  </w:r>
                </w:p>
              </w:tc>
              <w:tc>
                <w:tcPr>
                  <w:tcW w:w="554" w:type="pct"/>
                  <w:vAlign w:val="center"/>
                </w:tcPr>
                <w:p w14:paraId="2538EB21">
                  <w:pPr>
                    <w:pStyle w:val="20"/>
                  </w:pPr>
                  <w:r>
                    <w:t>环境空 气二类</w:t>
                  </w:r>
                </w:p>
              </w:tc>
              <w:tc>
                <w:tcPr>
                  <w:tcW w:w="554" w:type="pct"/>
                  <w:vAlign w:val="center"/>
                </w:tcPr>
                <w:p w14:paraId="7CFACF32">
                  <w:pPr>
                    <w:pStyle w:val="20"/>
                  </w:pPr>
                  <w:r>
                    <w:rPr>
                      <w:rFonts w:hint="eastAsia"/>
                    </w:rPr>
                    <w:t>东</w:t>
                  </w:r>
                  <w:r>
                    <w:t>面</w:t>
                  </w:r>
                </w:p>
              </w:tc>
              <w:tc>
                <w:tcPr>
                  <w:tcW w:w="554" w:type="pct"/>
                  <w:vAlign w:val="center"/>
                </w:tcPr>
                <w:p w14:paraId="3B01134F">
                  <w:pPr>
                    <w:pStyle w:val="20"/>
                  </w:pPr>
                  <w:r>
                    <w:rPr>
                      <w:rFonts w:hint="eastAsia"/>
                    </w:rPr>
                    <w:t>258.2</w:t>
                  </w:r>
                </w:p>
              </w:tc>
            </w:tr>
            <w:tr w14:paraId="41F81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3" w:hRule="atLeast"/>
              </w:trPr>
              <w:tc>
                <w:tcPr>
                  <w:tcW w:w="5000" w:type="pct"/>
                  <w:gridSpan w:val="10"/>
                  <w:vAlign w:val="center"/>
                </w:tcPr>
                <w:p w14:paraId="74A70703">
                  <w:pPr>
                    <w:pStyle w:val="20"/>
                  </w:pPr>
                  <w:r>
                    <w:t>注：设本项目所在位置中心坐标（东经113°24′54.857″，北纬25°7′46.815″）为原点（0，0），周围敏感点坐标取距离项目厂界最近的位置。</w:t>
                  </w:r>
                </w:p>
              </w:tc>
            </w:tr>
          </w:tbl>
          <w:p w14:paraId="1E136995">
            <w:pPr>
              <w:ind w:firstLine="480"/>
            </w:pPr>
            <w:r>
              <w:t>2、声环境保护目标</w:t>
            </w:r>
          </w:p>
          <w:p w14:paraId="05484452">
            <w:pPr>
              <w:ind w:firstLine="480"/>
            </w:pPr>
            <w:r>
              <w:t>本项目厂界外周边50米范围内不存在声环境保护目标。</w:t>
            </w:r>
          </w:p>
          <w:p w14:paraId="12BCAED3">
            <w:pPr>
              <w:ind w:firstLine="480"/>
            </w:pPr>
            <w:r>
              <w:t>3、地下水环境保护目标</w:t>
            </w:r>
          </w:p>
          <w:p w14:paraId="3A86E6D5">
            <w:pPr>
              <w:ind w:firstLine="480"/>
            </w:pPr>
            <w:r>
              <w:t>本项目厂界外500m范围内无地下水集中式使用水源和热水、矿泉水、温泉等特殊地下水资源，无地下水环境保护目标。</w:t>
            </w:r>
          </w:p>
          <w:p w14:paraId="1E2C51C4">
            <w:pPr>
              <w:ind w:firstLine="480"/>
            </w:pPr>
            <w:r>
              <w:t>4、生态环境保护目标</w:t>
            </w:r>
          </w:p>
          <w:p w14:paraId="4E356329">
            <w:pPr>
              <w:ind w:firstLine="480"/>
              <w:rPr>
                <w:rFonts w:cs="Calibri"/>
                <w:kern w:val="2"/>
              </w:rPr>
            </w:pPr>
            <w:r>
              <w:t>本项目位于乐昌市乐昌产业转移工业园内，不属于新增用地，项目周边不存在生态保护目标。</w:t>
            </w:r>
          </w:p>
        </w:tc>
      </w:tr>
      <w:tr w14:paraId="3A5C7D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27" w:hRule="atLeast"/>
          <w:jc w:val="center"/>
        </w:trPr>
        <w:tc>
          <w:tcPr>
            <w:tcW w:w="249" w:type="pct"/>
            <w:tcMar>
              <w:left w:w="28" w:type="dxa"/>
              <w:right w:w="28" w:type="dxa"/>
            </w:tcMar>
            <w:vAlign w:val="center"/>
          </w:tcPr>
          <w:p w14:paraId="76CEFE0A">
            <w:pPr>
              <w:pStyle w:val="11"/>
              <w:rPr>
                <w:rFonts w:ascii="Times New Roman" w:hAnsi="Times New Roman"/>
                <w:kern w:val="2"/>
              </w:rPr>
            </w:pPr>
            <w:r>
              <w:rPr>
                <w:rFonts w:ascii="Times New Roman" w:hAnsi="Times New Roman"/>
                <w:kern w:val="2"/>
              </w:rPr>
              <w:t>污染</w:t>
            </w:r>
          </w:p>
          <w:p w14:paraId="176F445C">
            <w:pPr>
              <w:pStyle w:val="11"/>
              <w:rPr>
                <w:rFonts w:ascii="Times New Roman" w:hAnsi="Times New Roman"/>
                <w:kern w:val="2"/>
              </w:rPr>
            </w:pPr>
            <w:r>
              <w:rPr>
                <w:rFonts w:ascii="Times New Roman" w:hAnsi="Times New Roman"/>
                <w:kern w:val="2"/>
              </w:rPr>
              <w:t>物排</w:t>
            </w:r>
          </w:p>
          <w:p w14:paraId="18D0F003">
            <w:pPr>
              <w:pStyle w:val="11"/>
              <w:rPr>
                <w:rFonts w:ascii="Times New Roman" w:hAnsi="Times New Roman"/>
                <w:kern w:val="2"/>
              </w:rPr>
            </w:pPr>
            <w:r>
              <w:rPr>
                <w:rFonts w:ascii="Times New Roman" w:hAnsi="Times New Roman"/>
                <w:kern w:val="2"/>
              </w:rPr>
              <w:t>放控</w:t>
            </w:r>
          </w:p>
          <w:p w14:paraId="015C9B9B">
            <w:pPr>
              <w:pStyle w:val="11"/>
              <w:rPr>
                <w:rFonts w:ascii="Times New Roman" w:hAnsi="Times New Roman"/>
                <w:kern w:val="2"/>
              </w:rPr>
            </w:pPr>
            <w:r>
              <w:rPr>
                <w:rFonts w:ascii="Times New Roman" w:hAnsi="Times New Roman"/>
                <w:kern w:val="2"/>
              </w:rPr>
              <w:t>制标</w:t>
            </w:r>
          </w:p>
          <w:p w14:paraId="4E892897">
            <w:pPr>
              <w:pStyle w:val="11"/>
              <w:rPr>
                <w:rFonts w:ascii="Times New Roman" w:hAnsi="Times New Roman"/>
                <w:kern w:val="2"/>
              </w:rPr>
            </w:pPr>
            <w:r>
              <w:rPr>
                <w:rFonts w:ascii="Times New Roman" w:hAnsi="Times New Roman"/>
                <w:kern w:val="2"/>
              </w:rPr>
              <w:t>准</w:t>
            </w:r>
          </w:p>
        </w:tc>
        <w:tc>
          <w:tcPr>
            <w:tcW w:w="4750" w:type="pct"/>
            <w:vAlign w:val="center"/>
          </w:tcPr>
          <w:p w14:paraId="0A0D1338">
            <w:pPr>
              <w:ind w:firstLine="480"/>
            </w:pPr>
            <w:r>
              <w:t>1、大气污染物排放标准</w:t>
            </w:r>
          </w:p>
          <w:p w14:paraId="1956591E">
            <w:pPr>
              <w:ind w:firstLine="480"/>
            </w:pPr>
            <w:r>
              <w:t>本项目废气来源于开料、机加工、焊接、喷粉、粉末固化、喷砂、电泳烘干等工艺所产生的粉尘、烟尘、烟气及</w:t>
            </w:r>
            <w:r>
              <w:rPr>
                <w:rFonts w:hint="eastAsia"/>
                <w:lang w:val="en-US" w:eastAsia="zh-CN"/>
              </w:rPr>
              <w:t>VOCs</w:t>
            </w:r>
            <w:r>
              <w:t>。主要污染因子为颗粒物、</w:t>
            </w:r>
            <w:r>
              <w:rPr>
                <w:rFonts w:hint="eastAsia"/>
              </w:rPr>
              <w:t>VOCs</w:t>
            </w:r>
            <w:r>
              <w:t>、二氧化硫、氮氧化物。</w:t>
            </w:r>
          </w:p>
          <w:p w14:paraId="7AFB74A4">
            <w:pPr>
              <w:ind w:firstLine="480"/>
            </w:pPr>
            <w:r>
              <w:t>① 开料、机加工、焊接、喷粉、喷砂废气</w:t>
            </w:r>
          </w:p>
          <w:p w14:paraId="43714D98">
            <w:pPr>
              <w:ind w:firstLine="480"/>
            </w:pPr>
            <w:r>
              <w:t>项目开料废气经设备下方自带重力沉降后无组织排放；焊接、机加工废气经移动式烟尘净化器、移动式布袋除尘器处理后无组织排放；喷粉废气经高效大旋风回收系统+滤筒式除尘器处理后无组织排放；喷砂废气经滤筒式除尘器处理后由15m高排气筒DA00</w:t>
            </w:r>
            <w:r>
              <w:rPr>
                <w:rFonts w:hint="eastAsia"/>
              </w:rPr>
              <w:t>2</w:t>
            </w:r>
            <w:r>
              <w:t>排放。</w:t>
            </w:r>
          </w:p>
          <w:p w14:paraId="77178DFC">
            <w:pPr>
              <w:ind w:firstLine="480"/>
            </w:pPr>
            <w:r>
              <w:t>其无组织颗粒物排放执行广东省《大气污染物排放限值》（DB 44/27-2001）中第二时段无组织排放监控浓度限值；喷砂有组织颗粒物排放执行执行广东省《大气污染物排放限值》（DB44/27-2001）第二时段二级标准。</w:t>
            </w:r>
          </w:p>
          <w:p w14:paraId="5BC3F325">
            <w:pPr>
              <w:ind w:firstLine="480"/>
            </w:pPr>
            <w:r>
              <w:t>②粉末固化、电泳烘干废气</w:t>
            </w:r>
          </w:p>
          <w:p w14:paraId="70E6767B">
            <w:pPr>
              <w:ind w:firstLine="480"/>
            </w:pPr>
            <w:r>
              <w:rPr>
                <w:lang w:bidi="ar"/>
              </w:rPr>
              <w:t>项目粉末固化、电泳烘干工序废气主要</w:t>
            </w:r>
            <w:r>
              <w:rPr>
                <w:rFonts w:hint="eastAsia"/>
                <w:lang w:bidi="ar"/>
              </w:rPr>
              <w:t>为</w:t>
            </w:r>
            <w:r>
              <w:rPr>
                <w:lang w:bidi="ar"/>
              </w:rPr>
              <w:t>有机废气及液化石油气燃烧废气组成，主要污染物为：</w:t>
            </w:r>
            <w:r>
              <w:rPr>
                <w:rFonts w:hint="eastAsia"/>
                <w:lang w:eastAsia="zh-CN" w:bidi="ar"/>
              </w:rPr>
              <w:t>VOCs</w:t>
            </w:r>
            <w:r>
              <w:rPr>
                <w:lang w:bidi="ar"/>
              </w:rPr>
              <w:t>、颗粒物、SO</w:t>
            </w:r>
            <w:r>
              <w:rPr>
                <w:vertAlign w:val="subscript"/>
                <w:lang w:bidi="ar"/>
              </w:rPr>
              <w:t>2</w:t>
            </w:r>
            <w:r>
              <w:rPr>
                <w:lang w:bidi="ar"/>
              </w:rPr>
              <w:t>、NO</w:t>
            </w:r>
            <w:r>
              <w:rPr>
                <w:vertAlign w:val="subscript"/>
                <w:lang w:bidi="ar"/>
              </w:rPr>
              <w:t>X</w:t>
            </w:r>
            <w:r>
              <w:rPr>
                <w:lang w:bidi="ar"/>
              </w:rPr>
              <w:t>。电泳烘干废气收集后经“</w:t>
            </w:r>
            <w:r>
              <w:rPr>
                <w:rFonts w:hint="eastAsia"/>
                <w:lang w:eastAsia="zh-CN" w:bidi="ar"/>
              </w:rPr>
              <w:t>喷淋塔+干式过滤+二级活性炭</w:t>
            </w:r>
            <w:r>
              <w:rPr>
                <w:lang w:bidi="ar"/>
              </w:rPr>
              <w:t>吸附装置”处理后由DA00</w:t>
            </w:r>
            <w:r>
              <w:rPr>
                <w:rFonts w:hint="eastAsia"/>
                <w:lang w:bidi="ar"/>
              </w:rPr>
              <w:t>3</w:t>
            </w:r>
            <w:r>
              <w:rPr>
                <w:lang w:bidi="ar"/>
              </w:rPr>
              <w:t>排气筒排放、粉末固化废气收集后经“</w:t>
            </w:r>
            <w:r>
              <w:rPr>
                <w:rFonts w:hint="eastAsia"/>
                <w:lang w:eastAsia="zh-CN" w:bidi="ar"/>
              </w:rPr>
              <w:t>喷淋塔+干式过滤+二级活性炭</w:t>
            </w:r>
            <w:r>
              <w:rPr>
                <w:lang w:bidi="ar"/>
              </w:rPr>
              <w:t>吸附装置”处理后由DA00</w:t>
            </w:r>
            <w:r>
              <w:rPr>
                <w:rFonts w:hint="eastAsia"/>
                <w:lang w:bidi="ar"/>
              </w:rPr>
              <w:t>4</w:t>
            </w:r>
            <w:r>
              <w:rPr>
                <w:lang w:bidi="ar"/>
              </w:rPr>
              <w:t>排气筒排放。</w:t>
            </w:r>
          </w:p>
          <w:p w14:paraId="50190311">
            <w:pPr>
              <w:ind w:firstLine="480"/>
            </w:pPr>
            <w:r>
              <w:t>粉末固化、电泳烘干废气</w:t>
            </w:r>
            <w:r>
              <w:rPr>
                <w:rFonts w:hint="eastAsia"/>
                <w:lang w:eastAsia="zh-CN"/>
              </w:rPr>
              <w:t>VOCs</w:t>
            </w:r>
            <w:r>
              <w:t>有组织排放执行广东省地方标准《固定污染源挥发性有机物综合排放标准》（DB44/2367-2022）表1挥发性有机物排放限值。颗粒物、SO</w:t>
            </w:r>
            <w:r>
              <w:rPr>
                <w:vertAlign w:val="subscript"/>
              </w:rPr>
              <w:t>2</w:t>
            </w:r>
            <w:r>
              <w:t>、NO</w:t>
            </w:r>
            <w:r>
              <w:rPr>
                <w:vertAlign w:val="subscript"/>
              </w:rPr>
              <w:t>X</w:t>
            </w:r>
            <w:r>
              <w:t>有组织排放参照执行《工业炉窑大气污染综合治理方案》（环大气</w:t>
            </w:r>
            <w:r>
              <w:rPr>
                <w:rFonts w:hint="eastAsia"/>
                <w:lang w:eastAsia="zh-CN"/>
              </w:rPr>
              <w:t>〔</w:t>
            </w:r>
            <w:r>
              <w:t>2019</w:t>
            </w:r>
            <w:r>
              <w:rPr>
                <w:rFonts w:hint="eastAsia"/>
                <w:lang w:eastAsia="zh-CN"/>
              </w:rPr>
              <w:t>〕</w:t>
            </w:r>
            <w:r>
              <w:t>56号）中重点区域排放限值，颗粒物、SO</w:t>
            </w:r>
            <w:r>
              <w:rPr>
                <w:vertAlign w:val="subscript"/>
              </w:rPr>
              <w:t>2</w:t>
            </w:r>
            <w:r>
              <w:t>、NO</w:t>
            </w:r>
            <w:r>
              <w:rPr>
                <w:vertAlign w:val="subscript"/>
              </w:rPr>
              <w:t>X</w:t>
            </w:r>
            <w:r>
              <w:t>分别不高于30 mg/m</w:t>
            </w:r>
            <w:r>
              <w:rPr>
                <w:vertAlign w:val="superscript"/>
              </w:rPr>
              <w:t>3</w:t>
            </w:r>
            <w:r>
              <w:t>、200 mg/m</w:t>
            </w:r>
            <w:r>
              <w:rPr>
                <w:vertAlign w:val="superscript"/>
              </w:rPr>
              <w:t>3</w:t>
            </w:r>
            <w:r>
              <w:t>、300 mg/m</w:t>
            </w:r>
            <w:r>
              <w:rPr>
                <w:vertAlign w:val="superscript"/>
              </w:rPr>
              <w:t>3</w:t>
            </w:r>
            <w:r>
              <w:t>要求。</w:t>
            </w:r>
          </w:p>
          <w:p w14:paraId="189A9B6D">
            <w:pPr>
              <w:pStyle w:val="22"/>
              <w:rPr>
                <w:szCs w:val="21"/>
                <w:lang w:val="ru-RU"/>
              </w:rPr>
            </w:pPr>
          </w:p>
          <w:p w14:paraId="3DF04296">
            <w:pPr>
              <w:pStyle w:val="22"/>
              <w:rPr>
                <w:szCs w:val="21"/>
                <w:lang w:val="ru-RU"/>
              </w:rPr>
            </w:pPr>
          </w:p>
          <w:p w14:paraId="2BEE73CA">
            <w:pPr>
              <w:pStyle w:val="22"/>
              <w:rPr>
                <w:szCs w:val="21"/>
                <w:lang w:val="ru-RU"/>
              </w:rPr>
            </w:pPr>
          </w:p>
          <w:p w14:paraId="151E3495">
            <w:pPr>
              <w:pStyle w:val="22"/>
              <w:rPr>
                <w:szCs w:val="21"/>
                <w:lang w:val="ru-RU"/>
              </w:rPr>
            </w:pPr>
          </w:p>
          <w:p w14:paraId="7A1A05D9">
            <w:pPr>
              <w:pStyle w:val="22"/>
              <w:rPr>
                <w:szCs w:val="21"/>
                <w:lang w:val="ru-RU"/>
              </w:rPr>
            </w:pPr>
          </w:p>
          <w:p w14:paraId="6B7C5CA9">
            <w:pPr>
              <w:pStyle w:val="22"/>
              <w:rPr>
                <w:szCs w:val="21"/>
                <w:lang w:val="ru-RU"/>
              </w:rPr>
            </w:pPr>
          </w:p>
          <w:p w14:paraId="522BD8DE">
            <w:pPr>
              <w:pStyle w:val="22"/>
              <w:rPr>
                <w:szCs w:val="21"/>
                <w:lang w:val="ru-RU"/>
              </w:rPr>
            </w:pPr>
          </w:p>
          <w:p w14:paraId="6A1B9534">
            <w:pPr>
              <w:pStyle w:val="22"/>
              <w:rPr>
                <w:szCs w:val="21"/>
                <w:lang w:val="ru-RU"/>
              </w:rPr>
            </w:pPr>
          </w:p>
          <w:p w14:paraId="3DB880FA">
            <w:pPr>
              <w:pStyle w:val="22"/>
              <w:rPr>
                <w:szCs w:val="21"/>
                <w:lang w:val="ru-RU"/>
              </w:rPr>
            </w:pPr>
          </w:p>
          <w:p w14:paraId="6E2DFC5D">
            <w:pPr>
              <w:pStyle w:val="22"/>
              <w:rPr>
                <w:szCs w:val="21"/>
                <w:lang w:val="ru-RU"/>
              </w:rPr>
            </w:pPr>
          </w:p>
          <w:p w14:paraId="136353BD">
            <w:pPr>
              <w:pStyle w:val="22"/>
              <w:rPr>
                <w:szCs w:val="21"/>
                <w:lang w:val="ru-RU"/>
              </w:rPr>
            </w:pPr>
          </w:p>
          <w:p w14:paraId="54094314">
            <w:pPr>
              <w:pStyle w:val="22"/>
              <w:rPr>
                <w:szCs w:val="21"/>
                <w:lang w:val="ru-RU"/>
              </w:rPr>
            </w:pPr>
            <w:r>
              <w:rPr>
                <w:szCs w:val="21"/>
                <w:lang w:val="ru-RU"/>
              </w:rPr>
              <w:t>表3-</w:t>
            </w:r>
            <w:r>
              <w:rPr>
                <w:szCs w:val="21"/>
              </w:rPr>
              <w:t>5</w:t>
            </w:r>
            <w:r>
              <w:rPr>
                <w:szCs w:val="21"/>
                <w:lang w:val="ru-RU"/>
              </w:rPr>
              <w:t xml:space="preserve"> 项目大气污染物排放标准</w:t>
            </w:r>
          </w:p>
          <w:tbl>
            <w:tblPr>
              <w:tblStyle w:val="23"/>
              <w:tblW w:w="8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7"/>
              <w:gridCol w:w="992"/>
              <w:gridCol w:w="764"/>
              <w:gridCol w:w="1131"/>
              <w:gridCol w:w="1132"/>
              <w:gridCol w:w="3593"/>
            </w:tblGrid>
            <w:tr w14:paraId="724C5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Align w:val="center"/>
                </w:tcPr>
                <w:p w14:paraId="4044337D">
                  <w:pPr>
                    <w:pStyle w:val="41"/>
                    <w:rPr>
                      <w:b/>
                      <w:bCs/>
                      <w:lang w:val="ru-RU"/>
                    </w:rPr>
                  </w:pPr>
                  <w:r>
                    <w:rPr>
                      <w:b/>
                      <w:bCs/>
                      <w:lang w:val="ru-RU"/>
                    </w:rPr>
                    <w:t>废气</w:t>
                  </w:r>
                </w:p>
                <w:p w14:paraId="6773BE8D">
                  <w:pPr>
                    <w:pStyle w:val="41"/>
                    <w:rPr>
                      <w:b/>
                      <w:bCs/>
                      <w:lang w:val="ru-RU"/>
                    </w:rPr>
                  </w:pPr>
                  <w:r>
                    <w:rPr>
                      <w:b/>
                      <w:bCs/>
                      <w:lang w:val="ru-RU"/>
                    </w:rPr>
                    <w:t>种类</w:t>
                  </w:r>
                </w:p>
              </w:tc>
              <w:tc>
                <w:tcPr>
                  <w:tcW w:w="992" w:type="dxa"/>
                  <w:vAlign w:val="center"/>
                </w:tcPr>
                <w:p w14:paraId="67CA6A9A">
                  <w:pPr>
                    <w:pStyle w:val="41"/>
                    <w:rPr>
                      <w:b/>
                      <w:bCs/>
                      <w:lang w:val="ru-RU"/>
                    </w:rPr>
                  </w:pPr>
                  <w:r>
                    <w:rPr>
                      <w:b/>
                      <w:bCs/>
                      <w:lang w:val="ru-RU"/>
                    </w:rPr>
                    <w:t>污染物</w:t>
                  </w:r>
                </w:p>
              </w:tc>
              <w:tc>
                <w:tcPr>
                  <w:tcW w:w="764" w:type="dxa"/>
                  <w:vAlign w:val="center"/>
                </w:tcPr>
                <w:p w14:paraId="113391FE">
                  <w:pPr>
                    <w:pStyle w:val="41"/>
                    <w:rPr>
                      <w:b/>
                      <w:bCs/>
                      <w:lang w:val="ru-RU"/>
                    </w:rPr>
                  </w:pPr>
                  <w:r>
                    <w:rPr>
                      <w:b/>
                      <w:bCs/>
                      <w:lang w:val="ru-RU"/>
                    </w:rPr>
                    <w:t>排气筒高度/m</w:t>
                  </w:r>
                </w:p>
              </w:tc>
              <w:tc>
                <w:tcPr>
                  <w:tcW w:w="1131" w:type="dxa"/>
                  <w:vAlign w:val="center"/>
                </w:tcPr>
                <w:p w14:paraId="377CB4FF">
                  <w:pPr>
                    <w:pStyle w:val="41"/>
                    <w:rPr>
                      <w:b/>
                      <w:bCs/>
                      <w:lang w:val="ru-RU"/>
                    </w:rPr>
                  </w:pPr>
                  <w:r>
                    <w:rPr>
                      <w:b/>
                      <w:bCs/>
                      <w:lang w:val="ru-RU"/>
                    </w:rPr>
                    <w:t>最高允许排放浓度mg/m</w:t>
                  </w:r>
                  <w:r>
                    <w:rPr>
                      <w:b/>
                      <w:bCs/>
                      <w:vertAlign w:val="superscript"/>
                      <w:lang w:val="ru-RU"/>
                    </w:rPr>
                    <w:t>3</w:t>
                  </w:r>
                </w:p>
              </w:tc>
              <w:tc>
                <w:tcPr>
                  <w:tcW w:w="1132" w:type="dxa"/>
                  <w:vAlign w:val="center"/>
                </w:tcPr>
                <w:p w14:paraId="6E8DF303">
                  <w:pPr>
                    <w:pStyle w:val="41"/>
                    <w:rPr>
                      <w:b/>
                      <w:bCs/>
                      <w:lang w:val="ru-RU"/>
                    </w:rPr>
                  </w:pPr>
                  <w:r>
                    <w:rPr>
                      <w:b/>
                      <w:bCs/>
                      <w:lang w:val="ru-RU"/>
                    </w:rPr>
                    <w:t>最高允许排放速率kg/h</w:t>
                  </w:r>
                </w:p>
              </w:tc>
              <w:tc>
                <w:tcPr>
                  <w:tcW w:w="3593" w:type="dxa"/>
                  <w:vAlign w:val="center"/>
                </w:tcPr>
                <w:p w14:paraId="10FD86C5">
                  <w:pPr>
                    <w:pStyle w:val="41"/>
                    <w:rPr>
                      <w:b/>
                      <w:bCs/>
                      <w:lang w:val="ru-RU"/>
                    </w:rPr>
                  </w:pPr>
                  <w:r>
                    <w:rPr>
                      <w:b/>
                      <w:bCs/>
                      <w:lang w:val="ru-RU"/>
                    </w:rPr>
                    <w:t>标准来源</w:t>
                  </w:r>
                </w:p>
              </w:tc>
            </w:tr>
            <w:tr w14:paraId="57CAB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restart"/>
                  <w:vAlign w:val="center"/>
                </w:tcPr>
                <w:p w14:paraId="23CA455F">
                  <w:pPr>
                    <w:pStyle w:val="41"/>
                  </w:pPr>
                  <w:r>
                    <w:t>粉末固化废气排放口DA00</w:t>
                  </w:r>
                  <w:r>
                    <w:rPr>
                      <w:rFonts w:hint="eastAsia"/>
                    </w:rPr>
                    <w:t>4</w:t>
                  </w:r>
                </w:p>
              </w:tc>
              <w:tc>
                <w:tcPr>
                  <w:tcW w:w="992" w:type="dxa"/>
                  <w:vAlign w:val="center"/>
                </w:tcPr>
                <w:p w14:paraId="4F171832">
                  <w:pPr>
                    <w:pStyle w:val="41"/>
                    <w:rPr>
                      <w:rFonts w:hint="eastAsia" w:eastAsia="宋体"/>
                      <w:vertAlign w:val="superscript"/>
                      <w:lang w:eastAsia="zh-CN"/>
                    </w:rPr>
                  </w:pPr>
                  <w:r>
                    <w:rPr>
                      <w:rFonts w:hint="eastAsia"/>
                      <w:lang w:val="ru-RU" w:eastAsia="zh-CN"/>
                    </w:rPr>
                    <w:t>NMHC</w:t>
                  </w:r>
                </w:p>
              </w:tc>
              <w:tc>
                <w:tcPr>
                  <w:tcW w:w="764" w:type="dxa"/>
                  <w:vMerge w:val="restart"/>
                  <w:vAlign w:val="center"/>
                </w:tcPr>
                <w:p w14:paraId="077BA7C3">
                  <w:pPr>
                    <w:pStyle w:val="41"/>
                    <w:rPr>
                      <w:lang w:val="ru-RU"/>
                    </w:rPr>
                  </w:pPr>
                  <w:r>
                    <w:rPr>
                      <w:lang w:val="ru-RU"/>
                    </w:rPr>
                    <w:t>15</w:t>
                  </w:r>
                </w:p>
              </w:tc>
              <w:tc>
                <w:tcPr>
                  <w:tcW w:w="1131" w:type="dxa"/>
                  <w:vAlign w:val="center"/>
                </w:tcPr>
                <w:p w14:paraId="1AF4DD85">
                  <w:pPr>
                    <w:pStyle w:val="20"/>
                    <w:rPr>
                      <w:rFonts w:hint="default" w:eastAsia="宋体"/>
                      <w:lang w:val="en-US" w:eastAsia="zh-CN"/>
                    </w:rPr>
                  </w:pPr>
                  <w:r>
                    <w:rPr>
                      <w:rFonts w:hint="eastAsia"/>
                      <w:lang w:val="en-US" w:eastAsia="zh-CN"/>
                    </w:rPr>
                    <w:t>80</w:t>
                  </w:r>
                </w:p>
              </w:tc>
              <w:tc>
                <w:tcPr>
                  <w:tcW w:w="1132" w:type="dxa"/>
                  <w:vMerge w:val="restart"/>
                  <w:vAlign w:val="center"/>
                </w:tcPr>
                <w:p w14:paraId="5F33D314">
                  <w:pPr>
                    <w:pStyle w:val="20"/>
                    <w:rPr>
                      <w:lang w:val="ru-RU"/>
                    </w:rPr>
                  </w:pPr>
                  <w:r>
                    <w:t>/</w:t>
                  </w:r>
                </w:p>
              </w:tc>
              <w:tc>
                <w:tcPr>
                  <w:tcW w:w="3593" w:type="dxa"/>
                  <w:vMerge w:val="restart"/>
                  <w:vAlign w:val="center"/>
                </w:tcPr>
                <w:p w14:paraId="5B1BDAAE">
                  <w:pPr>
                    <w:pStyle w:val="20"/>
                    <w:rPr>
                      <w:lang w:val="ru-RU"/>
                    </w:rPr>
                  </w:pPr>
                  <w:r>
                    <w:t>广东省地方标准《固定污染源挥发性有机物综合排放标准》（DB44/2367-2022）表1挥发性有机物排放限值</w:t>
                  </w:r>
                </w:p>
              </w:tc>
            </w:tr>
            <w:tr w14:paraId="0CFAB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0108D643">
                  <w:pPr>
                    <w:pStyle w:val="41"/>
                  </w:pPr>
                </w:p>
              </w:tc>
              <w:tc>
                <w:tcPr>
                  <w:tcW w:w="992" w:type="dxa"/>
                  <w:vAlign w:val="center"/>
                </w:tcPr>
                <w:p w14:paraId="7CF8A4DB">
                  <w:pPr>
                    <w:pStyle w:val="41"/>
                    <w:rPr>
                      <w:rFonts w:hint="default" w:eastAsia="宋体"/>
                      <w:lang w:val="en-US" w:eastAsia="zh-CN"/>
                    </w:rPr>
                  </w:pPr>
                  <w:r>
                    <w:rPr>
                      <w:rFonts w:hint="eastAsia"/>
                      <w:lang w:val="en-US" w:eastAsia="zh-CN"/>
                    </w:rPr>
                    <w:t>TVOC</w:t>
                  </w:r>
                </w:p>
              </w:tc>
              <w:tc>
                <w:tcPr>
                  <w:tcW w:w="764" w:type="dxa"/>
                  <w:vMerge w:val="continue"/>
                  <w:vAlign w:val="center"/>
                </w:tcPr>
                <w:p w14:paraId="6A7C0ED2">
                  <w:pPr>
                    <w:pStyle w:val="41"/>
                    <w:rPr>
                      <w:lang w:val="ru-RU"/>
                    </w:rPr>
                  </w:pPr>
                </w:p>
              </w:tc>
              <w:tc>
                <w:tcPr>
                  <w:tcW w:w="1131" w:type="dxa"/>
                  <w:vAlign w:val="center"/>
                </w:tcPr>
                <w:p w14:paraId="1BA0CA27">
                  <w:pPr>
                    <w:pStyle w:val="20"/>
                    <w:rPr>
                      <w:rFonts w:hint="default" w:eastAsia="宋体"/>
                      <w:lang w:val="en-US" w:eastAsia="zh-CN"/>
                    </w:rPr>
                  </w:pPr>
                  <w:r>
                    <w:rPr>
                      <w:rFonts w:hint="eastAsia"/>
                      <w:lang w:val="en-US" w:eastAsia="zh-CN"/>
                    </w:rPr>
                    <w:t>100</w:t>
                  </w:r>
                </w:p>
              </w:tc>
              <w:tc>
                <w:tcPr>
                  <w:tcW w:w="1132" w:type="dxa"/>
                  <w:vMerge w:val="continue"/>
                  <w:vAlign w:val="center"/>
                </w:tcPr>
                <w:p w14:paraId="0BB5E2D6">
                  <w:pPr>
                    <w:pStyle w:val="20"/>
                  </w:pPr>
                </w:p>
              </w:tc>
              <w:tc>
                <w:tcPr>
                  <w:tcW w:w="3593" w:type="dxa"/>
                  <w:vMerge w:val="continue"/>
                  <w:vAlign w:val="center"/>
                </w:tcPr>
                <w:p w14:paraId="0F001875">
                  <w:pPr>
                    <w:pStyle w:val="20"/>
                  </w:pPr>
                </w:p>
              </w:tc>
            </w:tr>
            <w:tr w14:paraId="4581D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69940EE1">
                  <w:pPr>
                    <w:pStyle w:val="41"/>
                  </w:pPr>
                </w:p>
              </w:tc>
              <w:tc>
                <w:tcPr>
                  <w:tcW w:w="992" w:type="dxa"/>
                  <w:vAlign w:val="center"/>
                </w:tcPr>
                <w:p w14:paraId="4ABB9DF0">
                  <w:pPr>
                    <w:pStyle w:val="41"/>
                  </w:pPr>
                  <w:r>
                    <w:t>颗粒物</w:t>
                  </w:r>
                </w:p>
              </w:tc>
              <w:tc>
                <w:tcPr>
                  <w:tcW w:w="764" w:type="dxa"/>
                  <w:vMerge w:val="continue"/>
                  <w:vAlign w:val="center"/>
                </w:tcPr>
                <w:p w14:paraId="49044DC1">
                  <w:pPr>
                    <w:pStyle w:val="41"/>
                    <w:rPr>
                      <w:lang w:val="ru-RU"/>
                    </w:rPr>
                  </w:pPr>
                </w:p>
              </w:tc>
              <w:tc>
                <w:tcPr>
                  <w:tcW w:w="1131" w:type="dxa"/>
                  <w:vAlign w:val="center"/>
                </w:tcPr>
                <w:p w14:paraId="03BDD2D0">
                  <w:pPr>
                    <w:pStyle w:val="20"/>
                  </w:pPr>
                  <w:r>
                    <w:t>30</w:t>
                  </w:r>
                </w:p>
              </w:tc>
              <w:tc>
                <w:tcPr>
                  <w:tcW w:w="1132" w:type="dxa"/>
                  <w:vAlign w:val="center"/>
                </w:tcPr>
                <w:p w14:paraId="102DDC88">
                  <w:pPr>
                    <w:pStyle w:val="20"/>
                    <w:rPr>
                      <w:lang w:val="ru-RU"/>
                    </w:rPr>
                  </w:pPr>
                  <w:r>
                    <w:rPr>
                      <w:lang w:val="ru-RU"/>
                    </w:rPr>
                    <w:t>/</w:t>
                  </w:r>
                </w:p>
              </w:tc>
              <w:tc>
                <w:tcPr>
                  <w:tcW w:w="3593" w:type="dxa"/>
                  <w:vMerge w:val="restart"/>
                  <w:vAlign w:val="center"/>
                </w:tcPr>
                <w:p w14:paraId="15628C6A">
                  <w:pPr>
                    <w:pStyle w:val="20"/>
                    <w:rPr>
                      <w:lang w:val="ru-RU"/>
                    </w:rPr>
                  </w:pPr>
                  <w:r>
                    <w:t>《工业炉窑大气污染综合治理方案》（环大气</w:t>
                  </w:r>
                  <w:r>
                    <w:rPr>
                      <w:rFonts w:hint="eastAsia"/>
                      <w:lang w:eastAsia="zh-CN"/>
                    </w:rPr>
                    <w:t>〔</w:t>
                  </w:r>
                  <w:r>
                    <w:t>2019</w:t>
                  </w:r>
                  <w:r>
                    <w:rPr>
                      <w:rFonts w:hint="eastAsia"/>
                      <w:lang w:eastAsia="zh-CN"/>
                    </w:rPr>
                    <w:t>〕</w:t>
                  </w:r>
                  <w:r>
                    <w:t>56号）中</w:t>
                  </w:r>
                  <w:r>
                    <w:rPr>
                      <w:lang w:val="zh-CN"/>
                    </w:rPr>
                    <w:t>重点区域排放限值</w:t>
                  </w:r>
                </w:p>
              </w:tc>
            </w:tr>
            <w:tr w14:paraId="3955E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119387A1">
                  <w:pPr>
                    <w:pStyle w:val="41"/>
                  </w:pPr>
                </w:p>
              </w:tc>
              <w:tc>
                <w:tcPr>
                  <w:tcW w:w="992" w:type="dxa"/>
                  <w:vAlign w:val="center"/>
                </w:tcPr>
                <w:p w14:paraId="469EADFE">
                  <w:pPr>
                    <w:pStyle w:val="41"/>
                    <w:rPr>
                      <w:lang w:val="ru-RU"/>
                    </w:rPr>
                  </w:pPr>
                  <w:r>
                    <w:rPr>
                      <w:lang w:val="ru-RU"/>
                    </w:rPr>
                    <w:t>SO</w:t>
                  </w:r>
                  <w:r>
                    <w:rPr>
                      <w:vertAlign w:val="subscript"/>
                      <w:lang w:val="ru-RU"/>
                    </w:rPr>
                    <w:t>2</w:t>
                  </w:r>
                </w:p>
              </w:tc>
              <w:tc>
                <w:tcPr>
                  <w:tcW w:w="764" w:type="dxa"/>
                  <w:vMerge w:val="continue"/>
                  <w:vAlign w:val="center"/>
                </w:tcPr>
                <w:p w14:paraId="6C499721">
                  <w:pPr>
                    <w:pStyle w:val="41"/>
                    <w:rPr>
                      <w:lang w:val="ru-RU"/>
                    </w:rPr>
                  </w:pPr>
                </w:p>
              </w:tc>
              <w:tc>
                <w:tcPr>
                  <w:tcW w:w="1131" w:type="dxa"/>
                  <w:vAlign w:val="center"/>
                </w:tcPr>
                <w:p w14:paraId="1767D650">
                  <w:pPr>
                    <w:pStyle w:val="20"/>
                  </w:pPr>
                  <w:r>
                    <w:t>200</w:t>
                  </w:r>
                </w:p>
              </w:tc>
              <w:tc>
                <w:tcPr>
                  <w:tcW w:w="1132" w:type="dxa"/>
                  <w:vAlign w:val="center"/>
                </w:tcPr>
                <w:p w14:paraId="1E2A9E0D">
                  <w:pPr>
                    <w:pStyle w:val="20"/>
                    <w:rPr>
                      <w:lang w:val="ru-RU"/>
                    </w:rPr>
                  </w:pPr>
                  <w:r>
                    <w:t>/</w:t>
                  </w:r>
                </w:p>
              </w:tc>
              <w:tc>
                <w:tcPr>
                  <w:tcW w:w="3593" w:type="dxa"/>
                  <w:vMerge w:val="continue"/>
                  <w:vAlign w:val="center"/>
                </w:tcPr>
                <w:p w14:paraId="54D1AFE0">
                  <w:pPr>
                    <w:pStyle w:val="20"/>
                  </w:pPr>
                </w:p>
              </w:tc>
            </w:tr>
            <w:tr w14:paraId="0EF9B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887" w:type="dxa"/>
                  <w:vMerge w:val="continue"/>
                  <w:vAlign w:val="center"/>
                </w:tcPr>
                <w:p w14:paraId="1B5F94C0">
                  <w:pPr>
                    <w:pStyle w:val="41"/>
                  </w:pPr>
                </w:p>
              </w:tc>
              <w:tc>
                <w:tcPr>
                  <w:tcW w:w="992" w:type="dxa"/>
                  <w:vAlign w:val="center"/>
                </w:tcPr>
                <w:p w14:paraId="52A7BB92">
                  <w:pPr>
                    <w:pStyle w:val="41"/>
                    <w:rPr>
                      <w:lang w:val="ru-RU"/>
                    </w:rPr>
                  </w:pPr>
                  <w:r>
                    <w:rPr>
                      <w:lang w:val="ru-RU"/>
                    </w:rPr>
                    <w:t>NO</w:t>
                  </w:r>
                  <w:r>
                    <w:rPr>
                      <w:vertAlign w:val="subscript"/>
                      <w:lang w:val="ru-RU"/>
                    </w:rPr>
                    <w:t>X</w:t>
                  </w:r>
                </w:p>
              </w:tc>
              <w:tc>
                <w:tcPr>
                  <w:tcW w:w="764" w:type="dxa"/>
                  <w:vMerge w:val="continue"/>
                  <w:vAlign w:val="center"/>
                </w:tcPr>
                <w:p w14:paraId="0F45B70F">
                  <w:pPr>
                    <w:pStyle w:val="41"/>
                    <w:rPr>
                      <w:lang w:val="ru-RU"/>
                    </w:rPr>
                  </w:pPr>
                </w:p>
              </w:tc>
              <w:tc>
                <w:tcPr>
                  <w:tcW w:w="1131" w:type="dxa"/>
                  <w:vAlign w:val="center"/>
                </w:tcPr>
                <w:p w14:paraId="0A69581F">
                  <w:pPr>
                    <w:pStyle w:val="20"/>
                  </w:pPr>
                  <w:r>
                    <w:t>300</w:t>
                  </w:r>
                </w:p>
              </w:tc>
              <w:tc>
                <w:tcPr>
                  <w:tcW w:w="1132" w:type="dxa"/>
                  <w:vAlign w:val="center"/>
                </w:tcPr>
                <w:p w14:paraId="5A2140C4">
                  <w:pPr>
                    <w:pStyle w:val="20"/>
                    <w:rPr>
                      <w:lang w:val="ru-RU"/>
                    </w:rPr>
                  </w:pPr>
                  <w:r>
                    <w:t>/</w:t>
                  </w:r>
                </w:p>
              </w:tc>
              <w:tc>
                <w:tcPr>
                  <w:tcW w:w="3593" w:type="dxa"/>
                  <w:vMerge w:val="continue"/>
                  <w:vAlign w:val="center"/>
                </w:tcPr>
                <w:p w14:paraId="04AABF10">
                  <w:pPr>
                    <w:pStyle w:val="20"/>
                  </w:pPr>
                </w:p>
              </w:tc>
            </w:tr>
            <w:tr w14:paraId="5A344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restart"/>
                  <w:vAlign w:val="center"/>
                </w:tcPr>
                <w:p w14:paraId="044B6D7A">
                  <w:pPr>
                    <w:pStyle w:val="41"/>
                  </w:pPr>
                  <w:r>
                    <w:t>电泳烘干废气排放口DA00</w:t>
                  </w:r>
                  <w:r>
                    <w:rPr>
                      <w:rFonts w:hint="eastAsia"/>
                    </w:rPr>
                    <w:t>3</w:t>
                  </w:r>
                </w:p>
              </w:tc>
              <w:tc>
                <w:tcPr>
                  <w:tcW w:w="992" w:type="dxa"/>
                  <w:vAlign w:val="center"/>
                </w:tcPr>
                <w:p w14:paraId="2937BD64">
                  <w:pPr>
                    <w:pStyle w:val="41"/>
                    <w:rPr>
                      <w:rFonts w:hint="eastAsia" w:eastAsia="宋体"/>
                      <w:vertAlign w:val="superscript"/>
                      <w:lang w:val="ru-RU" w:eastAsia="zh-CN"/>
                    </w:rPr>
                  </w:pPr>
                  <w:r>
                    <w:rPr>
                      <w:rFonts w:hint="eastAsia"/>
                      <w:lang w:val="ru-RU" w:eastAsia="zh-CN"/>
                    </w:rPr>
                    <w:t>NMHC</w:t>
                  </w:r>
                </w:p>
              </w:tc>
              <w:tc>
                <w:tcPr>
                  <w:tcW w:w="764" w:type="dxa"/>
                  <w:vMerge w:val="restart"/>
                  <w:vAlign w:val="center"/>
                </w:tcPr>
                <w:p w14:paraId="72584BB1">
                  <w:pPr>
                    <w:pStyle w:val="41"/>
                    <w:rPr>
                      <w:lang w:val="ru-RU"/>
                    </w:rPr>
                  </w:pPr>
                  <w:r>
                    <w:rPr>
                      <w:lang w:val="ru-RU"/>
                    </w:rPr>
                    <w:t>15</w:t>
                  </w:r>
                </w:p>
              </w:tc>
              <w:tc>
                <w:tcPr>
                  <w:tcW w:w="1131" w:type="dxa"/>
                  <w:vAlign w:val="center"/>
                </w:tcPr>
                <w:p w14:paraId="2F52E6E1">
                  <w:pPr>
                    <w:pStyle w:val="20"/>
                    <w:rPr>
                      <w:rFonts w:hint="default" w:eastAsia="宋体"/>
                      <w:lang w:val="en-US" w:eastAsia="zh-CN"/>
                    </w:rPr>
                  </w:pPr>
                  <w:r>
                    <w:rPr>
                      <w:rFonts w:hint="eastAsia"/>
                      <w:lang w:val="en-US" w:eastAsia="zh-CN"/>
                    </w:rPr>
                    <w:t>80</w:t>
                  </w:r>
                </w:p>
              </w:tc>
              <w:tc>
                <w:tcPr>
                  <w:tcW w:w="1132" w:type="dxa"/>
                  <w:vMerge w:val="restart"/>
                  <w:vAlign w:val="center"/>
                </w:tcPr>
                <w:p w14:paraId="61C64472">
                  <w:pPr>
                    <w:pStyle w:val="20"/>
                  </w:pPr>
                  <w:r>
                    <w:t>/</w:t>
                  </w:r>
                </w:p>
              </w:tc>
              <w:tc>
                <w:tcPr>
                  <w:tcW w:w="3593" w:type="dxa"/>
                  <w:vMerge w:val="restart"/>
                  <w:vAlign w:val="center"/>
                </w:tcPr>
                <w:p w14:paraId="7173A839">
                  <w:pPr>
                    <w:pStyle w:val="20"/>
                  </w:pPr>
                  <w:r>
                    <w:t>广东省地方标准《固定污染源挥发性有机物综合排放标准》（DB44/2367-2022）表1挥发性有机物排放限值</w:t>
                  </w:r>
                </w:p>
              </w:tc>
            </w:tr>
            <w:tr w14:paraId="72C64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7173A6EB">
                  <w:pPr>
                    <w:pStyle w:val="41"/>
                  </w:pPr>
                </w:p>
              </w:tc>
              <w:tc>
                <w:tcPr>
                  <w:tcW w:w="992" w:type="dxa"/>
                  <w:vAlign w:val="center"/>
                </w:tcPr>
                <w:p w14:paraId="0423F888">
                  <w:pPr>
                    <w:pStyle w:val="41"/>
                    <w:rPr>
                      <w:rFonts w:hint="default" w:eastAsia="宋体"/>
                      <w:lang w:val="en-US" w:eastAsia="zh-CN"/>
                    </w:rPr>
                  </w:pPr>
                  <w:r>
                    <w:rPr>
                      <w:rFonts w:hint="eastAsia"/>
                      <w:lang w:val="en-US" w:eastAsia="zh-CN"/>
                    </w:rPr>
                    <w:t>TVOC</w:t>
                  </w:r>
                </w:p>
              </w:tc>
              <w:tc>
                <w:tcPr>
                  <w:tcW w:w="764" w:type="dxa"/>
                  <w:vMerge w:val="continue"/>
                  <w:vAlign w:val="center"/>
                </w:tcPr>
                <w:p w14:paraId="403CD785">
                  <w:pPr>
                    <w:pStyle w:val="41"/>
                    <w:rPr>
                      <w:lang w:val="ru-RU"/>
                    </w:rPr>
                  </w:pPr>
                </w:p>
              </w:tc>
              <w:tc>
                <w:tcPr>
                  <w:tcW w:w="1131" w:type="dxa"/>
                  <w:vAlign w:val="center"/>
                </w:tcPr>
                <w:p w14:paraId="554FC873">
                  <w:pPr>
                    <w:pStyle w:val="20"/>
                    <w:rPr>
                      <w:rFonts w:hint="default" w:eastAsia="宋体"/>
                      <w:lang w:val="en-US" w:eastAsia="zh-CN"/>
                    </w:rPr>
                  </w:pPr>
                  <w:r>
                    <w:rPr>
                      <w:rFonts w:hint="eastAsia"/>
                      <w:lang w:val="en-US" w:eastAsia="zh-CN"/>
                    </w:rPr>
                    <w:t>100</w:t>
                  </w:r>
                </w:p>
              </w:tc>
              <w:tc>
                <w:tcPr>
                  <w:tcW w:w="1132" w:type="dxa"/>
                  <w:vMerge w:val="continue"/>
                  <w:vAlign w:val="center"/>
                </w:tcPr>
                <w:p w14:paraId="7AF35ABC">
                  <w:pPr>
                    <w:pStyle w:val="20"/>
                  </w:pPr>
                </w:p>
              </w:tc>
              <w:tc>
                <w:tcPr>
                  <w:tcW w:w="3593" w:type="dxa"/>
                  <w:vMerge w:val="continue"/>
                  <w:vAlign w:val="center"/>
                </w:tcPr>
                <w:p w14:paraId="53001965">
                  <w:pPr>
                    <w:pStyle w:val="20"/>
                  </w:pPr>
                </w:p>
              </w:tc>
            </w:tr>
            <w:tr w14:paraId="6D874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5510CD76">
                  <w:pPr>
                    <w:pStyle w:val="41"/>
                  </w:pPr>
                </w:p>
              </w:tc>
              <w:tc>
                <w:tcPr>
                  <w:tcW w:w="992" w:type="dxa"/>
                  <w:vAlign w:val="center"/>
                </w:tcPr>
                <w:p w14:paraId="1BEB02C3">
                  <w:pPr>
                    <w:pStyle w:val="41"/>
                  </w:pPr>
                  <w:r>
                    <w:t>颗粒物</w:t>
                  </w:r>
                </w:p>
              </w:tc>
              <w:tc>
                <w:tcPr>
                  <w:tcW w:w="764" w:type="dxa"/>
                  <w:vMerge w:val="continue"/>
                  <w:vAlign w:val="center"/>
                </w:tcPr>
                <w:p w14:paraId="375F7EFA">
                  <w:pPr>
                    <w:pStyle w:val="41"/>
                    <w:rPr>
                      <w:lang w:val="ru-RU"/>
                    </w:rPr>
                  </w:pPr>
                </w:p>
              </w:tc>
              <w:tc>
                <w:tcPr>
                  <w:tcW w:w="1131" w:type="dxa"/>
                  <w:vAlign w:val="center"/>
                </w:tcPr>
                <w:p w14:paraId="113E00F8">
                  <w:pPr>
                    <w:pStyle w:val="20"/>
                  </w:pPr>
                  <w:r>
                    <w:t>30</w:t>
                  </w:r>
                </w:p>
              </w:tc>
              <w:tc>
                <w:tcPr>
                  <w:tcW w:w="1132" w:type="dxa"/>
                  <w:vAlign w:val="center"/>
                </w:tcPr>
                <w:p w14:paraId="09FAA35C">
                  <w:pPr>
                    <w:pStyle w:val="20"/>
                  </w:pPr>
                  <w:r>
                    <w:rPr>
                      <w:lang w:val="ru-RU"/>
                    </w:rPr>
                    <w:t>/</w:t>
                  </w:r>
                </w:p>
              </w:tc>
              <w:tc>
                <w:tcPr>
                  <w:tcW w:w="3593" w:type="dxa"/>
                  <w:vMerge w:val="restart"/>
                  <w:vAlign w:val="center"/>
                </w:tcPr>
                <w:p w14:paraId="36DDCF71">
                  <w:pPr>
                    <w:pStyle w:val="20"/>
                  </w:pPr>
                  <w:r>
                    <w:t>《工业炉窑大气污染综合治理方案》（环大气</w:t>
                  </w:r>
                  <w:r>
                    <w:rPr>
                      <w:rFonts w:hint="eastAsia"/>
                      <w:lang w:eastAsia="zh-CN"/>
                    </w:rPr>
                    <w:t>〔</w:t>
                  </w:r>
                  <w:r>
                    <w:t>2019</w:t>
                  </w:r>
                  <w:r>
                    <w:rPr>
                      <w:rFonts w:hint="eastAsia"/>
                      <w:lang w:eastAsia="zh-CN"/>
                    </w:rPr>
                    <w:t>〕</w:t>
                  </w:r>
                  <w:r>
                    <w:t>56号）中</w:t>
                  </w:r>
                  <w:r>
                    <w:rPr>
                      <w:lang w:val="zh-CN"/>
                    </w:rPr>
                    <w:t>重点区域排放限值</w:t>
                  </w:r>
                </w:p>
              </w:tc>
            </w:tr>
            <w:tr w14:paraId="262EA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0703D9B7">
                  <w:pPr>
                    <w:pStyle w:val="41"/>
                  </w:pPr>
                </w:p>
              </w:tc>
              <w:tc>
                <w:tcPr>
                  <w:tcW w:w="992" w:type="dxa"/>
                  <w:vAlign w:val="center"/>
                </w:tcPr>
                <w:p w14:paraId="5ABED246">
                  <w:pPr>
                    <w:pStyle w:val="41"/>
                    <w:rPr>
                      <w:lang w:val="ru-RU"/>
                    </w:rPr>
                  </w:pPr>
                  <w:r>
                    <w:rPr>
                      <w:lang w:val="ru-RU"/>
                    </w:rPr>
                    <w:t>SO</w:t>
                  </w:r>
                  <w:r>
                    <w:rPr>
                      <w:vertAlign w:val="subscript"/>
                      <w:lang w:val="ru-RU"/>
                    </w:rPr>
                    <w:t>2</w:t>
                  </w:r>
                </w:p>
              </w:tc>
              <w:tc>
                <w:tcPr>
                  <w:tcW w:w="764" w:type="dxa"/>
                  <w:vMerge w:val="continue"/>
                  <w:vAlign w:val="center"/>
                </w:tcPr>
                <w:p w14:paraId="275FFF26">
                  <w:pPr>
                    <w:pStyle w:val="41"/>
                    <w:rPr>
                      <w:lang w:val="ru-RU"/>
                    </w:rPr>
                  </w:pPr>
                </w:p>
              </w:tc>
              <w:tc>
                <w:tcPr>
                  <w:tcW w:w="1131" w:type="dxa"/>
                  <w:vAlign w:val="center"/>
                </w:tcPr>
                <w:p w14:paraId="39C10756">
                  <w:pPr>
                    <w:pStyle w:val="20"/>
                  </w:pPr>
                  <w:r>
                    <w:t>200</w:t>
                  </w:r>
                </w:p>
              </w:tc>
              <w:tc>
                <w:tcPr>
                  <w:tcW w:w="1132" w:type="dxa"/>
                  <w:vAlign w:val="center"/>
                </w:tcPr>
                <w:p w14:paraId="22FCCD4D">
                  <w:pPr>
                    <w:pStyle w:val="20"/>
                  </w:pPr>
                  <w:r>
                    <w:t>/</w:t>
                  </w:r>
                </w:p>
              </w:tc>
              <w:tc>
                <w:tcPr>
                  <w:tcW w:w="3593" w:type="dxa"/>
                  <w:vMerge w:val="continue"/>
                  <w:vAlign w:val="center"/>
                </w:tcPr>
                <w:p w14:paraId="3317466D">
                  <w:pPr>
                    <w:pStyle w:val="41"/>
                  </w:pPr>
                </w:p>
              </w:tc>
            </w:tr>
            <w:tr w14:paraId="4B465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6C0BC5DE">
                  <w:pPr>
                    <w:pStyle w:val="41"/>
                    <w:rPr>
                      <w:lang w:val="ru-RU"/>
                    </w:rPr>
                  </w:pPr>
                </w:p>
              </w:tc>
              <w:tc>
                <w:tcPr>
                  <w:tcW w:w="992" w:type="dxa"/>
                  <w:vAlign w:val="center"/>
                </w:tcPr>
                <w:p w14:paraId="0840251F">
                  <w:pPr>
                    <w:pStyle w:val="41"/>
                    <w:rPr>
                      <w:lang w:val="ru-RU"/>
                    </w:rPr>
                  </w:pPr>
                  <w:r>
                    <w:rPr>
                      <w:lang w:val="ru-RU"/>
                    </w:rPr>
                    <w:t>NO</w:t>
                  </w:r>
                  <w:r>
                    <w:rPr>
                      <w:vertAlign w:val="subscript"/>
                      <w:lang w:val="ru-RU"/>
                    </w:rPr>
                    <w:t>X</w:t>
                  </w:r>
                </w:p>
              </w:tc>
              <w:tc>
                <w:tcPr>
                  <w:tcW w:w="764" w:type="dxa"/>
                  <w:vMerge w:val="continue"/>
                  <w:vAlign w:val="center"/>
                </w:tcPr>
                <w:p w14:paraId="4E2A77B7">
                  <w:pPr>
                    <w:pStyle w:val="41"/>
                  </w:pPr>
                </w:p>
              </w:tc>
              <w:tc>
                <w:tcPr>
                  <w:tcW w:w="1131" w:type="dxa"/>
                  <w:vAlign w:val="center"/>
                </w:tcPr>
                <w:p w14:paraId="023A7418">
                  <w:pPr>
                    <w:pStyle w:val="20"/>
                  </w:pPr>
                  <w:r>
                    <w:t>300</w:t>
                  </w:r>
                </w:p>
              </w:tc>
              <w:tc>
                <w:tcPr>
                  <w:tcW w:w="1132" w:type="dxa"/>
                  <w:vAlign w:val="center"/>
                </w:tcPr>
                <w:p w14:paraId="4EA3E7F0">
                  <w:pPr>
                    <w:pStyle w:val="20"/>
                    <w:rPr>
                      <w:lang w:val="ru-RU"/>
                    </w:rPr>
                  </w:pPr>
                  <w:r>
                    <w:t>/</w:t>
                  </w:r>
                </w:p>
              </w:tc>
              <w:tc>
                <w:tcPr>
                  <w:tcW w:w="3593" w:type="dxa"/>
                  <w:vMerge w:val="continue"/>
                  <w:vAlign w:val="center"/>
                </w:tcPr>
                <w:p w14:paraId="430AB382">
                  <w:pPr>
                    <w:pStyle w:val="41"/>
                  </w:pPr>
                </w:p>
              </w:tc>
            </w:tr>
            <w:tr w14:paraId="67A62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Align w:val="center"/>
                </w:tcPr>
                <w:p w14:paraId="683A6BB2">
                  <w:pPr>
                    <w:pStyle w:val="41"/>
                  </w:pPr>
                  <w:r>
                    <w:rPr>
                      <w:lang w:val="ru-RU"/>
                    </w:rPr>
                    <w:t>喷砂废气</w:t>
                  </w:r>
                  <w:r>
                    <w:t>排放口DA00</w:t>
                  </w:r>
                  <w:r>
                    <w:rPr>
                      <w:rFonts w:hint="eastAsia"/>
                    </w:rPr>
                    <w:t>2</w:t>
                  </w:r>
                </w:p>
              </w:tc>
              <w:tc>
                <w:tcPr>
                  <w:tcW w:w="992" w:type="dxa"/>
                  <w:vAlign w:val="center"/>
                </w:tcPr>
                <w:p w14:paraId="4936B7D6">
                  <w:pPr>
                    <w:pStyle w:val="41"/>
                  </w:pPr>
                  <w:r>
                    <w:t>颗粒物</w:t>
                  </w:r>
                </w:p>
              </w:tc>
              <w:tc>
                <w:tcPr>
                  <w:tcW w:w="764" w:type="dxa"/>
                  <w:vAlign w:val="center"/>
                </w:tcPr>
                <w:p w14:paraId="6D8D6330">
                  <w:pPr>
                    <w:pStyle w:val="41"/>
                  </w:pPr>
                  <w:r>
                    <w:t>15</w:t>
                  </w:r>
                </w:p>
              </w:tc>
              <w:tc>
                <w:tcPr>
                  <w:tcW w:w="1131" w:type="dxa"/>
                  <w:vAlign w:val="center"/>
                </w:tcPr>
                <w:p w14:paraId="01E7F2BF">
                  <w:pPr>
                    <w:pStyle w:val="20"/>
                  </w:pPr>
                  <w:r>
                    <w:t>120</w:t>
                  </w:r>
                </w:p>
              </w:tc>
              <w:tc>
                <w:tcPr>
                  <w:tcW w:w="1132" w:type="dxa"/>
                  <w:vAlign w:val="center"/>
                </w:tcPr>
                <w:p w14:paraId="0D5E5F96">
                  <w:pPr>
                    <w:pStyle w:val="20"/>
                  </w:pPr>
                  <w:r>
                    <w:t>2.9*</w:t>
                  </w:r>
                </w:p>
                <w:p w14:paraId="0662F0AB">
                  <w:pPr>
                    <w:pStyle w:val="20"/>
                  </w:pPr>
                  <w:r>
                    <w:rPr>
                      <w:lang w:val="ru-RU"/>
                    </w:rPr>
                    <w:t>（1.45折半执行</w:t>
                  </w:r>
                </w:p>
              </w:tc>
              <w:tc>
                <w:tcPr>
                  <w:tcW w:w="3593" w:type="dxa"/>
                  <w:vAlign w:val="center"/>
                </w:tcPr>
                <w:p w14:paraId="7F9AF406">
                  <w:pPr>
                    <w:pStyle w:val="20"/>
                    <w:rPr>
                      <w:lang w:val="ru-RU"/>
                    </w:rPr>
                  </w:pPr>
                  <w:r>
                    <w:rPr>
                      <w:lang w:val="ru-RU"/>
                    </w:rPr>
                    <w:t>广东省地方标准《大气污染物排放限值》（DB44/27-2001）第二时段二级标准</w:t>
                  </w:r>
                </w:p>
              </w:tc>
            </w:tr>
            <w:tr w14:paraId="70BA0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restart"/>
                  <w:vAlign w:val="center"/>
                </w:tcPr>
                <w:p w14:paraId="17ACED4D">
                  <w:pPr>
                    <w:pStyle w:val="41"/>
                    <w:rPr>
                      <w:lang w:val="ru-RU"/>
                    </w:rPr>
                  </w:pPr>
                  <w:r>
                    <w:rPr>
                      <w:lang w:val="ru-RU"/>
                    </w:rPr>
                    <w:t>厂界</w:t>
                  </w:r>
                </w:p>
                <w:p w14:paraId="6B79B2F1">
                  <w:pPr>
                    <w:pStyle w:val="41"/>
                    <w:rPr>
                      <w:lang w:val="ru-RU"/>
                    </w:rPr>
                  </w:pPr>
                  <w:r>
                    <w:rPr>
                      <w:lang w:val="ru-RU"/>
                    </w:rPr>
                    <w:t>外无</w:t>
                  </w:r>
                </w:p>
                <w:p w14:paraId="45323EE3">
                  <w:pPr>
                    <w:pStyle w:val="41"/>
                    <w:rPr>
                      <w:lang w:val="ru-RU"/>
                    </w:rPr>
                  </w:pPr>
                  <w:r>
                    <w:rPr>
                      <w:lang w:val="ru-RU"/>
                    </w:rPr>
                    <w:t>组织</w:t>
                  </w:r>
                </w:p>
                <w:p w14:paraId="72F53E7E">
                  <w:pPr>
                    <w:pStyle w:val="41"/>
                    <w:rPr>
                      <w:lang w:val="ru-RU"/>
                    </w:rPr>
                  </w:pPr>
                  <w:r>
                    <w:rPr>
                      <w:lang w:val="ru-RU"/>
                    </w:rPr>
                    <w:t>废气</w:t>
                  </w:r>
                </w:p>
              </w:tc>
              <w:tc>
                <w:tcPr>
                  <w:tcW w:w="992" w:type="dxa"/>
                  <w:vAlign w:val="center"/>
                </w:tcPr>
                <w:p w14:paraId="338D2396">
                  <w:pPr>
                    <w:pStyle w:val="20"/>
                    <w:rPr>
                      <w:lang w:val="ru-RU"/>
                    </w:rPr>
                  </w:pPr>
                  <w:r>
                    <w:rPr>
                      <w:lang w:val="ru-RU"/>
                    </w:rPr>
                    <w:t>颗粒物</w:t>
                  </w:r>
                </w:p>
              </w:tc>
              <w:tc>
                <w:tcPr>
                  <w:tcW w:w="764" w:type="dxa"/>
                  <w:vMerge w:val="restart"/>
                  <w:vAlign w:val="center"/>
                </w:tcPr>
                <w:p w14:paraId="29834B40">
                  <w:pPr>
                    <w:pStyle w:val="41"/>
                    <w:rPr>
                      <w:lang w:val="ru-RU"/>
                    </w:rPr>
                  </w:pPr>
                  <w:r>
                    <w:rPr>
                      <w:lang w:val="ru-RU"/>
                    </w:rPr>
                    <w:t>/</w:t>
                  </w:r>
                </w:p>
              </w:tc>
              <w:tc>
                <w:tcPr>
                  <w:tcW w:w="1131" w:type="dxa"/>
                  <w:vAlign w:val="center"/>
                </w:tcPr>
                <w:p w14:paraId="42089E40">
                  <w:pPr>
                    <w:pStyle w:val="20"/>
                    <w:rPr>
                      <w:lang w:val="ru-RU"/>
                    </w:rPr>
                  </w:pPr>
                  <w:r>
                    <w:rPr>
                      <w:lang w:val="ru-RU"/>
                    </w:rPr>
                    <w:t>1.0</w:t>
                  </w:r>
                </w:p>
              </w:tc>
              <w:tc>
                <w:tcPr>
                  <w:tcW w:w="1132" w:type="dxa"/>
                  <w:vAlign w:val="center"/>
                </w:tcPr>
                <w:p w14:paraId="1256E323">
                  <w:pPr>
                    <w:pStyle w:val="41"/>
                    <w:rPr>
                      <w:lang w:val="ru-RU"/>
                    </w:rPr>
                  </w:pPr>
                  <w:r>
                    <w:rPr>
                      <w:lang w:val="ru-RU"/>
                    </w:rPr>
                    <w:t>/</w:t>
                  </w:r>
                </w:p>
              </w:tc>
              <w:tc>
                <w:tcPr>
                  <w:tcW w:w="3593" w:type="dxa"/>
                  <w:vMerge w:val="restart"/>
                  <w:vAlign w:val="center"/>
                </w:tcPr>
                <w:p w14:paraId="0AE4AD4A">
                  <w:pPr>
                    <w:widowControl/>
                    <w:spacing w:line="240" w:lineRule="atLeast"/>
                    <w:ind w:firstLine="420"/>
                    <w:jc w:val="center"/>
                    <w:rPr>
                      <w:sz w:val="21"/>
                      <w:szCs w:val="21"/>
                      <w:lang w:val="ru-RU"/>
                    </w:rPr>
                  </w:pPr>
                  <w:r>
                    <w:rPr>
                      <w:sz w:val="21"/>
                      <w:szCs w:val="21"/>
                      <w:lang w:val="ru-RU"/>
                    </w:rPr>
                    <w:t>广东省地方标准《大气污染物排放限值》（DB44/27-2001）第二时段无组织排放监控浓度限值</w:t>
                  </w:r>
                </w:p>
              </w:tc>
            </w:tr>
            <w:tr w14:paraId="7525A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5BC79C98">
                  <w:pPr>
                    <w:pStyle w:val="41"/>
                    <w:rPr>
                      <w:lang w:val="ru-RU"/>
                    </w:rPr>
                  </w:pPr>
                </w:p>
              </w:tc>
              <w:tc>
                <w:tcPr>
                  <w:tcW w:w="992" w:type="dxa"/>
                  <w:vAlign w:val="center"/>
                </w:tcPr>
                <w:p w14:paraId="7D7964B7">
                  <w:pPr>
                    <w:pStyle w:val="20"/>
                    <w:rPr>
                      <w:lang w:val="ru-RU"/>
                    </w:rPr>
                  </w:pPr>
                  <w:r>
                    <w:t>SO</w:t>
                  </w:r>
                  <w:r>
                    <w:rPr>
                      <w:vertAlign w:val="subscript"/>
                    </w:rPr>
                    <w:t>2</w:t>
                  </w:r>
                </w:p>
              </w:tc>
              <w:tc>
                <w:tcPr>
                  <w:tcW w:w="764" w:type="dxa"/>
                  <w:vMerge w:val="continue"/>
                  <w:vAlign w:val="center"/>
                </w:tcPr>
                <w:p w14:paraId="4EF0F500">
                  <w:pPr>
                    <w:pStyle w:val="41"/>
                    <w:rPr>
                      <w:lang w:val="ru-RU"/>
                    </w:rPr>
                  </w:pPr>
                </w:p>
              </w:tc>
              <w:tc>
                <w:tcPr>
                  <w:tcW w:w="1131" w:type="dxa"/>
                  <w:vAlign w:val="center"/>
                </w:tcPr>
                <w:p w14:paraId="4F759A17">
                  <w:pPr>
                    <w:pStyle w:val="20"/>
                    <w:rPr>
                      <w:lang w:val="ru-RU"/>
                    </w:rPr>
                  </w:pPr>
                  <w:r>
                    <w:rPr>
                      <w:lang w:val="ru-RU"/>
                    </w:rPr>
                    <w:t>0.4</w:t>
                  </w:r>
                </w:p>
              </w:tc>
              <w:tc>
                <w:tcPr>
                  <w:tcW w:w="1132" w:type="dxa"/>
                  <w:vAlign w:val="center"/>
                </w:tcPr>
                <w:p w14:paraId="5E8CC91C">
                  <w:pPr>
                    <w:pStyle w:val="41"/>
                  </w:pPr>
                  <w:r>
                    <w:t>/</w:t>
                  </w:r>
                </w:p>
              </w:tc>
              <w:tc>
                <w:tcPr>
                  <w:tcW w:w="3593" w:type="dxa"/>
                  <w:vMerge w:val="continue"/>
                  <w:vAlign w:val="center"/>
                </w:tcPr>
                <w:p w14:paraId="358836DD">
                  <w:pPr>
                    <w:widowControl/>
                    <w:spacing w:line="240" w:lineRule="atLeast"/>
                    <w:ind w:firstLine="420"/>
                    <w:jc w:val="center"/>
                    <w:rPr>
                      <w:sz w:val="21"/>
                      <w:szCs w:val="21"/>
                      <w:lang w:val="ru-RU"/>
                    </w:rPr>
                  </w:pPr>
                </w:p>
              </w:tc>
            </w:tr>
            <w:tr w14:paraId="2E4D7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66624610">
                  <w:pPr>
                    <w:pStyle w:val="41"/>
                    <w:rPr>
                      <w:lang w:val="ru-RU"/>
                    </w:rPr>
                  </w:pPr>
                </w:p>
              </w:tc>
              <w:tc>
                <w:tcPr>
                  <w:tcW w:w="992" w:type="dxa"/>
                  <w:vAlign w:val="center"/>
                </w:tcPr>
                <w:p w14:paraId="73B1D49E">
                  <w:pPr>
                    <w:pStyle w:val="20"/>
                  </w:pPr>
                  <w:r>
                    <w:t>NO</w:t>
                  </w:r>
                  <w:r>
                    <w:rPr>
                      <w:vertAlign w:val="subscript"/>
                    </w:rPr>
                    <w:t>X</w:t>
                  </w:r>
                </w:p>
              </w:tc>
              <w:tc>
                <w:tcPr>
                  <w:tcW w:w="764" w:type="dxa"/>
                  <w:vMerge w:val="continue"/>
                  <w:vAlign w:val="center"/>
                </w:tcPr>
                <w:p w14:paraId="71887D08">
                  <w:pPr>
                    <w:pStyle w:val="41"/>
                    <w:rPr>
                      <w:lang w:val="ru-RU"/>
                    </w:rPr>
                  </w:pPr>
                </w:p>
              </w:tc>
              <w:tc>
                <w:tcPr>
                  <w:tcW w:w="1131" w:type="dxa"/>
                  <w:vAlign w:val="center"/>
                </w:tcPr>
                <w:p w14:paraId="22897BFD">
                  <w:pPr>
                    <w:pStyle w:val="20"/>
                  </w:pPr>
                  <w:r>
                    <w:rPr>
                      <w:lang w:val="ru-RU"/>
                    </w:rPr>
                    <w:t>0.12</w:t>
                  </w:r>
                </w:p>
              </w:tc>
              <w:tc>
                <w:tcPr>
                  <w:tcW w:w="1132" w:type="dxa"/>
                  <w:vAlign w:val="center"/>
                </w:tcPr>
                <w:p w14:paraId="73B6794F">
                  <w:pPr>
                    <w:pStyle w:val="41"/>
                  </w:pPr>
                  <w:r>
                    <w:t>/</w:t>
                  </w:r>
                </w:p>
              </w:tc>
              <w:tc>
                <w:tcPr>
                  <w:tcW w:w="3593" w:type="dxa"/>
                  <w:vMerge w:val="continue"/>
                  <w:vAlign w:val="center"/>
                </w:tcPr>
                <w:p w14:paraId="21D797A8">
                  <w:pPr>
                    <w:widowControl/>
                    <w:spacing w:line="240" w:lineRule="atLeast"/>
                    <w:ind w:firstLine="420"/>
                    <w:jc w:val="center"/>
                    <w:rPr>
                      <w:sz w:val="21"/>
                      <w:szCs w:val="21"/>
                      <w:lang w:val="ru-RU"/>
                    </w:rPr>
                  </w:pPr>
                </w:p>
              </w:tc>
            </w:tr>
            <w:tr w14:paraId="222FF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887" w:type="dxa"/>
                  <w:vMerge w:val="continue"/>
                  <w:vAlign w:val="center"/>
                </w:tcPr>
                <w:p w14:paraId="5018C503">
                  <w:pPr>
                    <w:pStyle w:val="41"/>
                    <w:rPr>
                      <w:lang w:val="ru-RU"/>
                    </w:rPr>
                  </w:pPr>
                </w:p>
              </w:tc>
              <w:tc>
                <w:tcPr>
                  <w:tcW w:w="992" w:type="dxa"/>
                  <w:vAlign w:val="center"/>
                </w:tcPr>
                <w:p w14:paraId="36851C3E">
                  <w:pPr>
                    <w:pStyle w:val="20"/>
                    <w:rPr>
                      <w:rFonts w:hint="eastAsia" w:eastAsia="宋体"/>
                      <w:lang w:eastAsia="zh-CN"/>
                    </w:rPr>
                  </w:pPr>
                  <w:r>
                    <w:rPr>
                      <w:rFonts w:hint="eastAsia"/>
                      <w:lang w:eastAsia="zh-CN"/>
                    </w:rPr>
                    <w:t>NMHC</w:t>
                  </w:r>
                </w:p>
              </w:tc>
              <w:tc>
                <w:tcPr>
                  <w:tcW w:w="764" w:type="dxa"/>
                  <w:vAlign w:val="center"/>
                </w:tcPr>
                <w:p w14:paraId="1F2A67EC">
                  <w:pPr>
                    <w:pStyle w:val="41"/>
                    <w:rPr>
                      <w:lang w:val="ru-RU"/>
                    </w:rPr>
                  </w:pPr>
                </w:p>
              </w:tc>
              <w:tc>
                <w:tcPr>
                  <w:tcW w:w="1131" w:type="dxa"/>
                  <w:vAlign w:val="center"/>
                </w:tcPr>
                <w:p w14:paraId="10BEDA01">
                  <w:pPr>
                    <w:pStyle w:val="20"/>
                    <w:rPr>
                      <w:rFonts w:hint="default" w:eastAsia="宋体"/>
                      <w:lang w:val="en-US" w:eastAsia="zh-CN"/>
                    </w:rPr>
                  </w:pPr>
                  <w:r>
                    <w:rPr>
                      <w:rFonts w:hint="eastAsia"/>
                      <w:lang w:val="en-US" w:eastAsia="zh-CN"/>
                    </w:rPr>
                    <w:t>4.0</w:t>
                  </w:r>
                </w:p>
              </w:tc>
              <w:tc>
                <w:tcPr>
                  <w:tcW w:w="1132" w:type="dxa"/>
                  <w:vAlign w:val="center"/>
                </w:tcPr>
                <w:p w14:paraId="74F6AE71">
                  <w:pPr>
                    <w:pStyle w:val="41"/>
                    <w:rPr>
                      <w:rFonts w:hint="eastAsia" w:eastAsia="宋体"/>
                      <w:lang w:val="en-US" w:eastAsia="zh-CN"/>
                    </w:rPr>
                  </w:pPr>
                  <w:r>
                    <w:rPr>
                      <w:rFonts w:hint="eastAsia"/>
                      <w:lang w:val="en-US" w:eastAsia="zh-CN"/>
                    </w:rPr>
                    <w:t>/</w:t>
                  </w:r>
                </w:p>
              </w:tc>
              <w:tc>
                <w:tcPr>
                  <w:tcW w:w="3593" w:type="dxa"/>
                  <w:vMerge w:val="continue"/>
                  <w:vAlign w:val="center"/>
                </w:tcPr>
                <w:p w14:paraId="38FE00ED">
                  <w:pPr>
                    <w:widowControl/>
                    <w:spacing w:line="240" w:lineRule="atLeast"/>
                    <w:ind w:firstLine="420"/>
                    <w:jc w:val="center"/>
                    <w:rPr>
                      <w:sz w:val="21"/>
                      <w:szCs w:val="21"/>
                      <w:lang w:val="ru-RU"/>
                    </w:rPr>
                  </w:pPr>
                </w:p>
              </w:tc>
            </w:tr>
            <w:tr w14:paraId="5B141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restart"/>
                  <w:vAlign w:val="center"/>
                </w:tcPr>
                <w:p w14:paraId="480F3D14">
                  <w:pPr>
                    <w:pStyle w:val="41"/>
                    <w:rPr>
                      <w:lang w:val="ru-RU"/>
                    </w:rPr>
                  </w:pPr>
                  <w:r>
                    <w:rPr>
                      <w:lang w:val="ru-RU"/>
                    </w:rPr>
                    <w:t>厂区</w:t>
                  </w:r>
                </w:p>
                <w:p w14:paraId="01982BA4">
                  <w:pPr>
                    <w:pStyle w:val="41"/>
                    <w:rPr>
                      <w:lang w:val="ru-RU"/>
                    </w:rPr>
                  </w:pPr>
                  <w:r>
                    <w:rPr>
                      <w:lang w:val="ru-RU"/>
                    </w:rPr>
                    <w:t>内</w:t>
                  </w:r>
                </w:p>
              </w:tc>
              <w:tc>
                <w:tcPr>
                  <w:tcW w:w="992" w:type="dxa"/>
                  <w:vMerge w:val="restart"/>
                  <w:vAlign w:val="center"/>
                </w:tcPr>
                <w:p w14:paraId="21E57038">
                  <w:pPr>
                    <w:pStyle w:val="41"/>
                    <w:rPr>
                      <w:lang w:val="ru-RU"/>
                    </w:rPr>
                  </w:pPr>
                  <w:r>
                    <w:rPr>
                      <w:lang w:val="ru-RU"/>
                    </w:rPr>
                    <w:t>NMHC</w:t>
                  </w:r>
                </w:p>
              </w:tc>
              <w:tc>
                <w:tcPr>
                  <w:tcW w:w="764" w:type="dxa"/>
                  <w:vMerge w:val="restart"/>
                  <w:vAlign w:val="center"/>
                </w:tcPr>
                <w:p w14:paraId="07DB232C">
                  <w:pPr>
                    <w:pStyle w:val="41"/>
                    <w:rPr>
                      <w:lang w:val="ru-RU"/>
                    </w:rPr>
                  </w:pPr>
                  <w:r>
                    <w:rPr>
                      <w:lang w:val="ru-RU"/>
                    </w:rPr>
                    <w:t>/</w:t>
                  </w:r>
                </w:p>
              </w:tc>
              <w:tc>
                <w:tcPr>
                  <w:tcW w:w="1131" w:type="dxa"/>
                  <w:vAlign w:val="center"/>
                </w:tcPr>
                <w:p w14:paraId="52E3B7E1">
                  <w:pPr>
                    <w:pStyle w:val="41"/>
                    <w:rPr>
                      <w:lang w:val="ru-RU"/>
                    </w:rPr>
                  </w:pPr>
                  <w:r>
                    <w:rPr>
                      <w:lang w:val="ru-RU"/>
                    </w:rPr>
                    <w:t>6</w:t>
                  </w:r>
                </w:p>
                <w:p w14:paraId="2C0AEF5D">
                  <w:pPr>
                    <w:pStyle w:val="41"/>
                    <w:rPr>
                      <w:lang w:val="ru-RU"/>
                    </w:rPr>
                  </w:pPr>
                  <w:r>
                    <w:rPr>
                      <w:lang w:val="ru-RU"/>
                    </w:rPr>
                    <w:t>（1h平均）</w:t>
                  </w:r>
                </w:p>
              </w:tc>
              <w:tc>
                <w:tcPr>
                  <w:tcW w:w="1132" w:type="dxa"/>
                  <w:vMerge w:val="restart"/>
                  <w:vAlign w:val="center"/>
                </w:tcPr>
                <w:p w14:paraId="01D7D7E1">
                  <w:pPr>
                    <w:pStyle w:val="41"/>
                    <w:rPr>
                      <w:lang w:val="ru-RU"/>
                    </w:rPr>
                  </w:pPr>
                  <w:r>
                    <w:rPr>
                      <w:lang w:val="ru-RU"/>
                    </w:rPr>
                    <w:t>/</w:t>
                  </w:r>
                </w:p>
              </w:tc>
              <w:tc>
                <w:tcPr>
                  <w:tcW w:w="3593" w:type="dxa"/>
                  <w:vMerge w:val="restart"/>
                  <w:vAlign w:val="center"/>
                </w:tcPr>
                <w:p w14:paraId="1BD70AC6">
                  <w:pPr>
                    <w:pStyle w:val="41"/>
                    <w:rPr>
                      <w:lang w:val="ru-RU"/>
                    </w:rPr>
                  </w:pPr>
                  <w:r>
                    <w:rPr>
                      <w:lang w:val="ru-RU"/>
                    </w:rPr>
                    <w:t>广东省《固定污染源挥发性有机物综合排放标准》（DB</w:t>
                  </w:r>
                  <w:r>
                    <w:t xml:space="preserve"> </w:t>
                  </w:r>
                  <w:r>
                    <w:rPr>
                      <w:lang w:val="ru-RU"/>
                    </w:rPr>
                    <w:t>44/2367-2022）</w:t>
                  </w:r>
                </w:p>
              </w:tc>
            </w:tr>
            <w:tr w14:paraId="77208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vMerge w:val="continue"/>
                  <w:vAlign w:val="center"/>
                </w:tcPr>
                <w:p w14:paraId="6409C098">
                  <w:pPr>
                    <w:pStyle w:val="41"/>
                    <w:rPr>
                      <w:lang w:val="ru-RU"/>
                    </w:rPr>
                  </w:pPr>
                </w:p>
              </w:tc>
              <w:tc>
                <w:tcPr>
                  <w:tcW w:w="992" w:type="dxa"/>
                  <w:vMerge w:val="continue"/>
                  <w:vAlign w:val="center"/>
                </w:tcPr>
                <w:p w14:paraId="32836A2E">
                  <w:pPr>
                    <w:pStyle w:val="41"/>
                    <w:rPr>
                      <w:lang w:val="ru-RU"/>
                    </w:rPr>
                  </w:pPr>
                </w:p>
              </w:tc>
              <w:tc>
                <w:tcPr>
                  <w:tcW w:w="764" w:type="dxa"/>
                  <w:vMerge w:val="continue"/>
                  <w:vAlign w:val="center"/>
                </w:tcPr>
                <w:p w14:paraId="467163CE">
                  <w:pPr>
                    <w:pStyle w:val="41"/>
                    <w:rPr>
                      <w:lang w:val="ru-RU"/>
                    </w:rPr>
                  </w:pPr>
                </w:p>
              </w:tc>
              <w:tc>
                <w:tcPr>
                  <w:tcW w:w="1131" w:type="dxa"/>
                  <w:vAlign w:val="center"/>
                </w:tcPr>
                <w:p w14:paraId="40CCBC3A">
                  <w:pPr>
                    <w:pStyle w:val="41"/>
                    <w:rPr>
                      <w:lang w:val="ru-RU"/>
                    </w:rPr>
                  </w:pPr>
                  <w:r>
                    <w:rPr>
                      <w:lang w:val="ru-RU"/>
                    </w:rPr>
                    <w:t>20</w:t>
                  </w:r>
                </w:p>
                <w:p w14:paraId="01DA8ADB">
                  <w:pPr>
                    <w:pStyle w:val="41"/>
                    <w:rPr>
                      <w:lang w:val="ru-RU"/>
                    </w:rPr>
                  </w:pPr>
                  <w:r>
                    <w:rPr>
                      <w:lang w:val="ru-RU"/>
                    </w:rPr>
                    <w:t>（任意1次）</w:t>
                  </w:r>
                </w:p>
              </w:tc>
              <w:tc>
                <w:tcPr>
                  <w:tcW w:w="1132" w:type="dxa"/>
                  <w:vMerge w:val="continue"/>
                  <w:vAlign w:val="center"/>
                </w:tcPr>
                <w:p w14:paraId="4EA71AFF">
                  <w:pPr>
                    <w:pStyle w:val="41"/>
                    <w:rPr>
                      <w:lang w:val="ru-RU"/>
                    </w:rPr>
                  </w:pPr>
                </w:p>
              </w:tc>
              <w:tc>
                <w:tcPr>
                  <w:tcW w:w="3593" w:type="dxa"/>
                  <w:vMerge w:val="continue"/>
                  <w:vAlign w:val="center"/>
                </w:tcPr>
                <w:p w14:paraId="001E8B36">
                  <w:pPr>
                    <w:pStyle w:val="41"/>
                    <w:rPr>
                      <w:lang w:val="ru-RU"/>
                    </w:rPr>
                  </w:pPr>
                </w:p>
              </w:tc>
            </w:tr>
            <w:tr w14:paraId="4CC42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8499" w:type="dxa"/>
                  <w:gridSpan w:val="6"/>
                  <w:vAlign w:val="center"/>
                </w:tcPr>
                <w:p w14:paraId="70F30294">
                  <w:pPr>
                    <w:pStyle w:val="41"/>
                    <w:rPr>
                      <w:lang w:val="ru-RU"/>
                    </w:rPr>
                  </w:pPr>
                  <w:r>
                    <w:rPr>
                      <w:vertAlign w:val="superscript"/>
                      <w:lang w:val="ru-RU"/>
                    </w:rPr>
                    <w:t>＊</w:t>
                  </w:r>
                  <w:r>
                    <w:rPr>
                      <w:kern w:val="0"/>
                      <w:szCs w:val="21"/>
                      <w:lang w:val="ru-RU"/>
                    </w:rPr>
                    <w:t>本项目排放口高度为15m，未能达到高于周围200m半径范围的最高建筑5m以上要求，故本项目的排气筒排放速率需按照最高允许排放速率的50%执行。</w:t>
                  </w:r>
                </w:p>
              </w:tc>
            </w:tr>
          </w:tbl>
          <w:p w14:paraId="3448A94F">
            <w:pPr>
              <w:ind w:firstLine="480"/>
            </w:pPr>
          </w:p>
          <w:p w14:paraId="61D15F15">
            <w:pPr>
              <w:ind w:firstLine="480"/>
            </w:pPr>
          </w:p>
          <w:p w14:paraId="5D1814D0">
            <w:pPr>
              <w:ind w:firstLine="480"/>
            </w:pPr>
          </w:p>
          <w:p w14:paraId="35287326">
            <w:pPr>
              <w:ind w:firstLine="480"/>
            </w:pPr>
          </w:p>
          <w:p w14:paraId="322B2196">
            <w:pPr>
              <w:ind w:firstLine="480"/>
            </w:pPr>
            <w:r>
              <w:t>2、废水排放标准</w:t>
            </w:r>
          </w:p>
          <w:p w14:paraId="7B2B7B41">
            <w:pPr>
              <w:ind w:firstLine="480"/>
            </w:pPr>
            <w:r>
              <w:t>（1）本项目建设施工期废水经临时沉淀池处理后全部用于扬尘点洒水，不外排。施工人员不在现场食宿，无生活污水产生。</w:t>
            </w:r>
          </w:p>
          <w:p w14:paraId="3FD08616">
            <w:pPr>
              <w:ind w:firstLine="480"/>
            </w:pPr>
            <w:r>
              <w:t>（2）本项目生产废水主要为电泳前处理清洗废水，清洗废水经“经混凝沉淀池+砂滤-碳滤”预处理达到广东省地方标准《水污染物排放限值》</w:t>
            </w:r>
            <w:r>
              <w:rPr>
                <w:rFonts w:hint="eastAsia"/>
                <w:lang w:eastAsia="zh-CN"/>
              </w:rPr>
              <w:t>（</w:t>
            </w:r>
            <w:r>
              <w:t>DB44/26-2001</w:t>
            </w:r>
            <w:r>
              <w:rPr>
                <w:rFonts w:hint="eastAsia"/>
                <w:lang w:eastAsia="zh-CN"/>
              </w:rPr>
              <w:t>）</w:t>
            </w:r>
            <w:r>
              <w:t>第二时段三级标准及园区污水处理厂接管水质要求较严值后，通过园区污水管网排入园区污水处理厂进一步处理。园区污水处理厂出水水质执行广东省《水污染物排放限值》（DB 44/26-2001）第二时段一级标准和《城镇污水处理厂污染物排放标准》（GB 18918-2002）一级B标准两者较严值。</w:t>
            </w:r>
          </w:p>
          <w:p w14:paraId="5A5D601E">
            <w:pPr>
              <w:pStyle w:val="22"/>
              <w:rPr>
                <w:szCs w:val="21"/>
              </w:rPr>
            </w:pPr>
            <w:r>
              <w:rPr>
                <w:szCs w:val="21"/>
              </w:rPr>
              <w:t>表3-</w:t>
            </w:r>
            <w:r>
              <w:rPr>
                <w:rFonts w:hint="eastAsia"/>
                <w:szCs w:val="21"/>
              </w:rPr>
              <w:t>6</w:t>
            </w:r>
            <w:r>
              <w:rPr>
                <w:szCs w:val="21"/>
              </w:rPr>
              <w:t xml:space="preserve"> </w:t>
            </w:r>
            <w:r>
              <w:rPr>
                <w:rFonts w:hint="eastAsia"/>
                <w:szCs w:val="21"/>
              </w:rPr>
              <w:t>项目水污染物排放执行标准</w:t>
            </w:r>
            <w:r>
              <w:rPr>
                <w:szCs w:val="21"/>
              </w:rPr>
              <w:t xml:space="preserve"> （单位：mg/L，pH除外）</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9"/>
              <w:gridCol w:w="969"/>
              <w:gridCol w:w="991"/>
              <w:gridCol w:w="991"/>
              <w:gridCol w:w="991"/>
              <w:gridCol w:w="1115"/>
              <w:gridCol w:w="1232"/>
              <w:gridCol w:w="1121"/>
            </w:tblGrid>
            <w:tr w14:paraId="43B65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78" w:type="pct"/>
                  <w:vAlign w:val="center"/>
                </w:tcPr>
                <w:p w14:paraId="3E8DC3C5">
                  <w:pPr>
                    <w:pStyle w:val="20"/>
                    <w:rPr>
                      <w:b/>
                      <w:bCs/>
                    </w:rPr>
                  </w:pPr>
                  <w:r>
                    <w:rPr>
                      <w:b/>
                      <w:bCs/>
                    </w:rPr>
                    <w:t>污染物</w:t>
                  </w:r>
                </w:p>
              </w:tc>
              <w:tc>
                <w:tcPr>
                  <w:tcW w:w="578" w:type="pct"/>
                  <w:vAlign w:val="center"/>
                </w:tcPr>
                <w:p w14:paraId="062C5C56">
                  <w:pPr>
                    <w:pStyle w:val="20"/>
                    <w:rPr>
                      <w:b/>
                      <w:bCs/>
                    </w:rPr>
                  </w:pPr>
                  <w:r>
                    <w:rPr>
                      <w:b/>
                      <w:bCs/>
                    </w:rPr>
                    <w:t>pH</w:t>
                  </w:r>
                </w:p>
              </w:tc>
              <w:tc>
                <w:tcPr>
                  <w:tcW w:w="591" w:type="pct"/>
                  <w:vAlign w:val="center"/>
                </w:tcPr>
                <w:p w14:paraId="0268CF79">
                  <w:pPr>
                    <w:pStyle w:val="20"/>
                    <w:rPr>
                      <w:b/>
                      <w:bCs/>
                    </w:rPr>
                  </w:pPr>
                  <w:r>
                    <w:rPr>
                      <w:b/>
                      <w:bCs/>
                    </w:rPr>
                    <w:t>SS</w:t>
                  </w:r>
                </w:p>
              </w:tc>
              <w:tc>
                <w:tcPr>
                  <w:tcW w:w="591" w:type="pct"/>
                  <w:vAlign w:val="center"/>
                </w:tcPr>
                <w:p w14:paraId="0A3A947A">
                  <w:pPr>
                    <w:pStyle w:val="20"/>
                    <w:rPr>
                      <w:b/>
                      <w:bCs/>
                    </w:rPr>
                  </w:pPr>
                  <w:r>
                    <w:rPr>
                      <w:b/>
                      <w:bCs/>
                    </w:rPr>
                    <w:t>CODcr</w:t>
                  </w:r>
                </w:p>
              </w:tc>
              <w:tc>
                <w:tcPr>
                  <w:tcW w:w="591" w:type="pct"/>
                  <w:vAlign w:val="center"/>
                </w:tcPr>
                <w:p w14:paraId="43321FFB">
                  <w:pPr>
                    <w:pStyle w:val="20"/>
                    <w:rPr>
                      <w:b/>
                      <w:bCs/>
                    </w:rPr>
                  </w:pPr>
                  <w:r>
                    <w:rPr>
                      <w:b/>
                      <w:bCs/>
                    </w:rPr>
                    <w:t>石油类</w:t>
                  </w:r>
                </w:p>
              </w:tc>
              <w:tc>
                <w:tcPr>
                  <w:tcW w:w="665" w:type="pct"/>
                  <w:vAlign w:val="center"/>
                </w:tcPr>
                <w:p w14:paraId="212ECAF1">
                  <w:pPr>
                    <w:pStyle w:val="20"/>
                    <w:rPr>
                      <w:b/>
                      <w:bCs/>
                    </w:rPr>
                  </w:pPr>
                  <w:r>
                    <w:rPr>
                      <w:b/>
                      <w:bCs/>
                    </w:rPr>
                    <w:t>LAS</w:t>
                  </w:r>
                </w:p>
              </w:tc>
              <w:tc>
                <w:tcPr>
                  <w:tcW w:w="735" w:type="pct"/>
                  <w:vAlign w:val="center"/>
                </w:tcPr>
                <w:p w14:paraId="3EE76A29">
                  <w:pPr>
                    <w:pStyle w:val="20"/>
                    <w:rPr>
                      <w:b/>
                      <w:bCs/>
                    </w:rPr>
                  </w:pPr>
                  <w:r>
                    <w:rPr>
                      <w:b/>
                      <w:bCs/>
                    </w:rPr>
                    <w:t>BOD</w:t>
                  </w:r>
                  <w:r>
                    <w:rPr>
                      <w:b/>
                      <w:bCs/>
                      <w:vertAlign w:val="subscript"/>
                    </w:rPr>
                    <w:t>5</w:t>
                  </w:r>
                </w:p>
              </w:tc>
              <w:tc>
                <w:tcPr>
                  <w:tcW w:w="668" w:type="pct"/>
                  <w:vAlign w:val="center"/>
                </w:tcPr>
                <w:p w14:paraId="30F3CC58">
                  <w:pPr>
                    <w:pStyle w:val="20"/>
                    <w:rPr>
                      <w:b/>
                      <w:bCs/>
                    </w:rPr>
                  </w:pPr>
                  <w:r>
                    <w:rPr>
                      <w:b/>
                      <w:bCs/>
                    </w:rPr>
                    <w:t>氟化物</w:t>
                  </w:r>
                </w:p>
              </w:tc>
            </w:tr>
            <w:tr w14:paraId="3E07E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78" w:type="pct"/>
                  <w:vAlign w:val="center"/>
                </w:tcPr>
                <w:p w14:paraId="390CF56B">
                  <w:pPr>
                    <w:pStyle w:val="20"/>
                  </w:pPr>
                  <w:r>
                    <w:t>标准值</w:t>
                  </w:r>
                </w:p>
              </w:tc>
              <w:tc>
                <w:tcPr>
                  <w:tcW w:w="578" w:type="pct"/>
                  <w:vAlign w:val="center"/>
                </w:tcPr>
                <w:p w14:paraId="02058798">
                  <w:pPr>
                    <w:pStyle w:val="20"/>
                  </w:pPr>
                  <w:r>
                    <w:t>6～9</w:t>
                  </w:r>
                </w:p>
              </w:tc>
              <w:tc>
                <w:tcPr>
                  <w:tcW w:w="591" w:type="pct"/>
                  <w:vAlign w:val="center"/>
                </w:tcPr>
                <w:p w14:paraId="06FEAEAC">
                  <w:pPr>
                    <w:pStyle w:val="20"/>
                  </w:pPr>
                  <w:r>
                    <w:t>≤300</w:t>
                  </w:r>
                </w:p>
              </w:tc>
              <w:tc>
                <w:tcPr>
                  <w:tcW w:w="591" w:type="pct"/>
                  <w:vAlign w:val="center"/>
                </w:tcPr>
                <w:p w14:paraId="4A0EBE55">
                  <w:pPr>
                    <w:pStyle w:val="20"/>
                  </w:pPr>
                  <w:r>
                    <w:t>≤350</w:t>
                  </w:r>
                </w:p>
              </w:tc>
              <w:tc>
                <w:tcPr>
                  <w:tcW w:w="591" w:type="pct"/>
                  <w:vAlign w:val="center"/>
                </w:tcPr>
                <w:p w14:paraId="725826A2">
                  <w:pPr>
                    <w:pStyle w:val="20"/>
                  </w:pPr>
                  <w:r>
                    <w:t>≤10</w:t>
                  </w:r>
                </w:p>
              </w:tc>
              <w:tc>
                <w:tcPr>
                  <w:tcW w:w="665" w:type="pct"/>
                  <w:vAlign w:val="center"/>
                </w:tcPr>
                <w:p w14:paraId="16C9B477">
                  <w:pPr>
                    <w:pStyle w:val="20"/>
                  </w:pPr>
                  <w:r>
                    <w:t>≤20</w:t>
                  </w:r>
                </w:p>
              </w:tc>
              <w:tc>
                <w:tcPr>
                  <w:tcW w:w="735" w:type="pct"/>
                  <w:vAlign w:val="center"/>
                </w:tcPr>
                <w:p w14:paraId="4C37F0A1">
                  <w:pPr>
                    <w:pStyle w:val="20"/>
                  </w:pPr>
                  <w:r>
                    <w:t>≤150</w:t>
                  </w:r>
                </w:p>
              </w:tc>
              <w:tc>
                <w:tcPr>
                  <w:tcW w:w="668" w:type="pct"/>
                  <w:vAlign w:val="center"/>
                </w:tcPr>
                <w:p w14:paraId="1B1232DE">
                  <w:pPr>
                    <w:pStyle w:val="20"/>
                  </w:pPr>
                  <w:r>
                    <w:t>≤20</w:t>
                  </w:r>
                </w:p>
              </w:tc>
            </w:tr>
          </w:tbl>
          <w:p w14:paraId="5F4C7592">
            <w:pPr>
              <w:pStyle w:val="22"/>
              <w:rPr>
                <w:szCs w:val="21"/>
              </w:rPr>
            </w:pPr>
          </w:p>
          <w:p w14:paraId="3D8506A4">
            <w:pPr>
              <w:pStyle w:val="22"/>
              <w:rPr>
                <w:szCs w:val="21"/>
              </w:rPr>
            </w:pPr>
            <w:r>
              <w:rPr>
                <w:szCs w:val="21"/>
              </w:rPr>
              <w:t>表3-</w:t>
            </w:r>
            <w:r>
              <w:rPr>
                <w:rFonts w:hint="eastAsia"/>
                <w:szCs w:val="21"/>
              </w:rPr>
              <w:t>7</w:t>
            </w:r>
            <w:r>
              <w:rPr>
                <w:szCs w:val="21"/>
              </w:rPr>
              <w:t xml:space="preserve"> 污水处理</w:t>
            </w:r>
            <w:r>
              <w:rPr>
                <w:rFonts w:hint="eastAsia"/>
                <w:szCs w:val="21"/>
              </w:rPr>
              <w:t>厂</w:t>
            </w:r>
            <w:r>
              <w:rPr>
                <w:szCs w:val="21"/>
              </w:rPr>
              <w:t>水污染物排放执行标准 （单位：mg/L，pH除外）</w:t>
            </w:r>
          </w:p>
          <w:tbl>
            <w:tblPr>
              <w:tblStyle w:val="23"/>
              <w:tblW w:w="81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7"/>
              <w:gridCol w:w="2341"/>
              <w:gridCol w:w="2341"/>
              <w:gridCol w:w="2341"/>
            </w:tblGrid>
            <w:tr w14:paraId="34476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47" w:type="dxa"/>
                  <w:vAlign w:val="center"/>
                </w:tcPr>
                <w:p w14:paraId="4D4986B3">
                  <w:pPr>
                    <w:pStyle w:val="41"/>
                    <w:rPr>
                      <w:b/>
                      <w:bCs/>
                    </w:rPr>
                  </w:pPr>
                  <w:r>
                    <w:rPr>
                      <w:b/>
                      <w:bCs/>
                    </w:rPr>
                    <w:t>执行标准</w:t>
                  </w:r>
                </w:p>
              </w:tc>
              <w:tc>
                <w:tcPr>
                  <w:tcW w:w="2341" w:type="dxa"/>
                  <w:vAlign w:val="center"/>
                </w:tcPr>
                <w:p w14:paraId="2FA41A98">
                  <w:pPr>
                    <w:pStyle w:val="41"/>
                    <w:rPr>
                      <w:b/>
                      <w:bCs/>
                    </w:rPr>
                  </w:pPr>
                  <w:r>
                    <w:rPr>
                      <w:b/>
                      <w:bCs/>
                    </w:rPr>
                    <w:t>《城镇污水处理厂污染物排放标准》（GB 18918-2002）一级B标准</w:t>
                  </w:r>
                </w:p>
              </w:tc>
              <w:tc>
                <w:tcPr>
                  <w:tcW w:w="2341" w:type="dxa"/>
                  <w:vAlign w:val="center"/>
                </w:tcPr>
                <w:p w14:paraId="0BCCD2A2">
                  <w:pPr>
                    <w:pStyle w:val="41"/>
                    <w:rPr>
                      <w:b/>
                      <w:bCs/>
                    </w:rPr>
                  </w:pPr>
                  <w:r>
                    <w:rPr>
                      <w:b/>
                      <w:bCs/>
                    </w:rPr>
                    <w:t>广东省《水污染物排放限值》（DB 44/26-2001）第二时段一级标准（城镇二级污水处理厂）</w:t>
                  </w:r>
                </w:p>
              </w:tc>
              <w:tc>
                <w:tcPr>
                  <w:tcW w:w="2341" w:type="dxa"/>
                  <w:vAlign w:val="center"/>
                </w:tcPr>
                <w:p w14:paraId="4CB031ED">
                  <w:pPr>
                    <w:pStyle w:val="41"/>
                    <w:rPr>
                      <w:b/>
                      <w:bCs/>
                    </w:rPr>
                  </w:pPr>
                  <w:r>
                    <w:rPr>
                      <w:b/>
                      <w:bCs/>
                    </w:rPr>
                    <w:t>（GB 18918-2002）一级A标准和（DB 44/26-2001）第二时段一级标准的严者</w:t>
                  </w:r>
                </w:p>
              </w:tc>
            </w:tr>
            <w:tr w14:paraId="402DB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47" w:type="dxa"/>
                  <w:vAlign w:val="center"/>
                </w:tcPr>
                <w:p w14:paraId="3E1B62A1">
                  <w:pPr>
                    <w:pStyle w:val="41"/>
                  </w:pPr>
                  <w:r>
                    <w:t>pH</w:t>
                  </w:r>
                </w:p>
              </w:tc>
              <w:tc>
                <w:tcPr>
                  <w:tcW w:w="2341" w:type="dxa"/>
                  <w:vAlign w:val="center"/>
                </w:tcPr>
                <w:p w14:paraId="2188D069">
                  <w:pPr>
                    <w:pStyle w:val="41"/>
                  </w:pPr>
                  <w:r>
                    <w:t>6～9</w:t>
                  </w:r>
                </w:p>
              </w:tc>
              <w:tc>
                <w:tcPr>
                  <w:tcW w:w="2341" w:type="dxa"/>
                  <w:vAlign w:val="center"/>
                </w:tcPr>
                <w:p w14:paraId="612EAA29">
                  <w:pPr>
                    <w:pStyle w:val="41"/>
                  </w:pPr>
                  <w:r>
                    <w:t>6～9</w:t>
                  </w:r>
                </w:p>
              </w:tc>
              <w:tc>
                <w:tcPr>
                  <w:tcW w:w="2341" w:type="dxa"/>
                  <w:vAlign w:val="center"/>
                </w:tcPr>
                <w:p w14:paraId="2D2A47EA">
                  <w:pPr>
                    <w:pStyle w:val="41"/>
                  </w:pPr>
                  <w:r>
                    <w:t>6～9</w:t>
                  </w:r>
                </w:p>
              </w:tc>
            </w:tr>
            <w:tr w14:paraId="4601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47" w:type="dxa"/>
                  <w:vAlign w:val="center"/>
                </w:tcPr>
                <w:p w14:paraId="6D347421">
                  <w:pPr>
                    <w:pStyle w:val="41"/>
                  </w:pPr>
                  <w:r>
                    <w:t>SS</w:t>
                  </w:r>
                </w:p>
              </w:tc>
              <w:tc>
                <w:tcPr>
                  <w:tcW w:w="2341" w:type="dxa"/>
                  <w:vAlign w:val="center"/>
                </w:tcPr>
                <w:p w14:paraId="0F72EE98">
                  <w:pPr>
                    <w:pStyle w:val="41"/>
                  </w:pPr>
                  <w:r>
                    <w:t xml:space="preserve"> ≤20</w:t>
                  </w:r>
                </w:p>
              </w:tc>
              <w:tc>
                <w:tcPr>
                  <w:tcW w:w="2341" w:type="dxa"/>
                  <w:vAlign w:val="center"/>
                </w:tcPr>
                <w:p w14:paraId="474289CB">
                  <w:pPr>
                    <w:pStyle w:val="41"/>
                  </w:pPr>
                  <w:r>
                    <w:t>≤20</w:t>
                  </w:r>
                </w:p>
              </w:tc>
              <w:tc>
                <w:tcPr>
                  <w:tcW w:w="2341" w:type="dxa"/>
                  <w:vAlign w:val="center"/>
                </w:tcPr>
                <w:p w14:paraId="26763169">
                  <w:pPr>
                    <w:pStyle w:val="41"/>
                  </w:pPr>
                  <w:r>
                    <w:t>20</w:t>
                  </w:r>
                </w:p>
              </w:tc>
            </w:tr>
            <w:tr w14:paraId="3B715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47" w:type="dxa"/>
                  <w:vAlign w:val="center"/>
                </w:tcPr>
                <w:p w14:paraId="65CBF1DA">
                  <w:pPr>
                    <w:pStyle w:val="41"/>
                  </w:pPr>
                  <w:r>
                    <w:t>CODcr</w:t>
                  </w:r>
                </w:p>
              </w:tc>
              <w:tc>
                <w:tcPr>
                  <w:tcW w:w="2341" w:type="dxa"/>
                  <w:vAlign w:val="center"/>
                </w:tcPr>
                <w:p w14:paraId="1D1B0EF4">
                  <w:pPr>
                    <w:pStyle w:val="41"/>
                  </w:pPr>
                  <w:r>
                    <w:t>≤60</w:t>
                  </w:r>
                </w:p>
              </w:tc>
              <w:tc>
                <w:tcPr>
                  <w:tcW w:w="2341" w:type="dxa"/>
                  <w:vAlign w:val="center"/>
                </w:tcPr>
                <w:p w14:paraId="3D6188F9">
                  <w:pPr>
                    <w:pStyle w:val="41"/>
                  </w:pPr>
                  <w:r>
                    <w:t>≤40</w:t>
                  </w:r>
                </w:p>
              </w:tc>
              <w:tc>
                <w:tcPr>
                  <w:tcW w:w="2341" w:type="dxa"/>
                  <w:vAlign w:val="center"/>
                </w:tcPr>
                <w:p w14:paraId="7505644E">
                  <w:pPr>
                    <w:pStyle w:val="41"/>
                  </w:pPr>
                  <w:r>
                    <w:t>40</w:t>
                  </w:r>
                </w:p>
              </w:tc>
            </w:tr>
            <w:tr w14:paraId="40536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47" w:type="dxa"/>
                  <w:vAlign w:val="center"/>
                </w:tcPr>
                <w:p w14:paraId="16D201B6">
                  <w:pPr>
                    <w:pStyle w:val="41"/>
                  </w:pPr>
                  <w:r>
                    <w:t>石油类</w:t>
                  </w:r>
                </w:p>
              </w:tc>
              <w:tc>
                <w:tcPr>
                  <w:tcW w:w="2341" w:type="dxa"/>
                  <w:vAlign w:val="center"/>
                </w:tcPr>
                <w:p w14:paraId="69E13B29">
                  <w:pPr>
                    <w:pStyle w:val="41"/>
                  </w:pPr>
                  <w:r>
                    <w:t>≤3</w:t>
                  </w:r>
                </w:p>
              </w:tc>
              <w:tc>
                <w:tcPr>
                  <w:tcW w:w="2341" w:type="dxa"/>
                  <w:vAlign w:val="center"/>
                </w:tcPr>
                <w:p w14:paraId="443C7B91">
                  <w:pPr>
                    <w:pStyle w:val="41"/>
                  </w:pPr>
                  <w:r>
                    <w:t>≤5</w:t>
                  </w:r>
                </w:p>
              </w:tc>
              <w:tc>
                <w:tcPr>
                  <w:tcW w:w="2341" w:type="dxa"/>
                  <w:vAlign w:val="center"/>
                </w:tcPr>
                <w:p w14:paraId="20A8B055">
                  <w:pPr>
                    <w:pStyle w:val="41"/>
                  </w:pPr>
                  <w:r>
                    <w:t>3</w:t>
                  </w:r>
                </w:p>
              </w:tc>
            </w:tr>
            <w:tr w14:paraId="3A948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47" w:type="dxa"/>
                  <w:vAlign w:val="center"/>
                </w:tcPr>
                <w:p w14:paraId="2A893957">
                  <w:pPr>
                    <w:pStyle w:val="41"/>
                  </w:pPr>
                  <w:r>
                    <w:t>LAS</w:t>
                  </w:r>
                </w:p>
              </w:tc>
              <w:tc>
                <w:tcPr>
                  <w:tcW w:w="2341" w:type="dxa"/>
                  <w:vAlign w:val="center"/>
                </w:tcPr>
                <w:p w14:paraId="3FD49349">
                  <w:pPr>
                    <w:pStyle w:val="41"/>
                  </w:pPr>
                  <w:r>
                    <w:t>≤1</w:t>
                  </w:r>
                </w:p>
              </w:tc>
              <w:tc>
                <w:tcPr>
                  <w:tcW w:w="2341" w:type="dxa"/>
                  <w:vAlign w:val="center"/>
                </w:tcPr>
                <w:p w14:paraId="7F846255">
                  <w:pPr>
                    <w:pStyle w:val="41"/>
                  </w:pPr>
                  <w:r>
                    <w:t>≤5</w:t>
                  </w:r>
                </w:p>
              </w:tc>
              <w:tc>
                <w:tcPr>
                  <w:tcW w:w="2341" w:type="dxa"/>
                  <w:vAlign w:val="center"/>
                </w:tcPr>
                <w:p w14:paraId="23C4E34A">
                  <w:pPr>
                    <w:pStyle w:val="41"/>
                  </w:pPr>
                  <w:r>
                    <w:t>1</w:t>
                  </w:r>
                </w:p>
              </w:tc>
            </w:tr>
            <w:tr w14:paraId="5F6B7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1147" w:type="dxa"/>
                  <w:vAlign w:val="center"/>
                </w:tcPr>
                <w:p w14:paraId="0F439B7B">
                  <w:pPr>
                    <w:pStyle w:val="41"/>
                  </w:pPr>
                  <w:r>
                    <w:t>BOD</w:t>
                  </w:r>
                  <w:r>
                    <w:rPr>
                      <w:vertAlign w:val="subscript"/>
                    </w:rPr>
                    <w:t>5</w:t>
                  </w:r>
                </w:p>
              </w:tc>
              <w:tc>
                <w:tcPr>
                  <w:tcW w:w="2341" w:type="dxa"/>
                  <w:vAlign w:val="center"/>
                </w:tcPr>
                <w:p w14:paraId="2030775D">
                  <w:pPr>
                    <w:pStyle w:val="41"/>
                  </w:pPr>
                  <w:r>
                    <w:t>≤20</w:t>
                  </w:r>
                </w:p>
              </w:tc>
              <w:tc>
                <w:tcPr>
                  <w:tcW w:w="2341" w:type="dxa"/>
                  <w:vAlign w:val="center"/>
                </w:tcPr>
                <w:p w14:paraId="31059CCB">
                  <w:pPr>
                    <w:pStyle w:val="41"/>
                  </w:pPr>
                  <w:r>
                    <w:t>≤20</w:t>
                  </w:r>
                </w:p>
              </w:tc>
              <w:tc>
                <w:tcPr>
                  <w:tcW w:w="2341" w:type="dxa"/>
                  <w:vAlign w:val="center"/>
                </w:tcPr>
                <w:p w14:paraId="1451C236">
                  <w:pPr>
                    <w:pStyle w:val="41"/>
                  </w:pPr>
                  <w:r>
                    <w:t>20</w:t>
                  </w:r>
                </w:p>
              </w:tc>
            </w:tr>
            <w:tr w14:paraId="2C72D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47" w:type="dxa"/>
                  <w:vAlign w:val="center"/>
                </w:tcPr>
                <w:p w14:paraId="68925318">
                  <w:pPr>
                    <w:pStyle w:val="41"/>
                  </w:pPr>
                  <w:r>
                    <w:t>氟化物</w:t>
                  </w:r>
                </w:p>
              </w:tc>
              <w:tc>
                <w:tcPr>
                  <w:tcW w:w="2341" w:type="dxa"/>
                  <w:vAlign w:val="center"/>
                </w:tcPr>
                <w:p w14:paraId="3231857E">
                  <w:pPr>
                    <w:pStyle w:val="41"/>
                  </w:pPr>
                  <w:r>
                    <w:t>/</w:t>
                  </w:r>
                </w:p>
              </w:tc>
              <w:tc>
                <w:tcPr>
                  <w:tcW w:w="2341" w:type="dxa"/>
                  <w:vAlign w:val="center"/>
                </w:tcPr>
                <w:p w14:paraId="2D087E77">
                  <w:pPr>
                    <w:pStyle w:val="41"/>
                  </w:pPr>
                  <w:r>
                    <w:t>≤10</w:t>
                  </w:r>
                </w:p>
              </w:tc>
              <w:tc>
                <w:tcPr>
                  <w:tcW w:w="2341" w:type="dxa"/>
                  <w:vAlign w:val="center"/>
                </w:tcPr>
                <w:p w14:paraId="109EA4A2">
                  <w:pPr>
                    <w:pStyle w:val="41"/>
                  </w:pPr>
                  <w:r>
                    <w:t>10</w:t>
                  </w:r>
                </w:p>
              </w:tc>
            </w:tr>
          </w:tbl>
          <w:p w14:paraId="324375A0">
            <w:pPr>
              <w:ind w:firstLine="480"/>
            </w:pPr>
            <w:r>
              <w:t>3、噪声排放标准</w:t>
            </w:r>
          </w:p>
          <w:p w14:paraId="656AB829">
            <w:pPr>
              <w:ind w:firstLine="480"/>
            </w:pPr>
            <w:r>
              <w:t>施工期噪声执行《建筑施工场界环境噪声排放标准》（GB 12523-2011）中噪声限值，即昼间≤中噪声限（昼间≤70dB（A），夜间≤55dB（A））；</w:t>
            </w:r>
          </w:p>
          <w:p w14:paraId="241728A5">
            <w:pPr>
              <w:ind w:firstLine="480"/>
            </w:pPr>
            <w:r>
              <w:t>运营期</w:t>
            </w:r>
            <w:r>
              <w:rPr>
                <w:rFonts w:hint="eastAsia"/>
              </w:rPr>
              <w:t>东、南、北厂界参照《工业企业厂界环境噪声排放标准》</w:t>
            </w:r>
            <w:r>
              <w:rPr>
                <w:rFonts w:hint="eastAsia"/>
                <w:lang w:eastAsia="zh-CN"/>
              </w:rPr>
              <w:t>（</w:t>
            </w:r>
            <w:r>
              <w:rPr>
                <w:rFonts w:hint="eastAsia"/>
              </w:rPr>
              <w:t>GB 12348-2008</w:t>
            </w:r>
            <w:r>
              <w:rPr>
                <w:rFonts w:hint="eastAsia"/>
                <w:lang w:eastAsia="zh-CN"/>
              </w:rPr>
              <w:t>）</w:t>
            </w:r>
            <w:r>
              <w:rPr>
                <w:rFonts w:hint="eastAsia"/>
              </w:rPr>
              <w:t>3类标准，西厂界参照《工业企业厂界环境噪声排放标准》</w:t>
            </w:r>
            <w:r>
              <w:rPr>
                <w:rFonts w:hint="eastAsia"/>
                <w:lang w:eastAsia="zh-CN"/>
              </w:rPr>
              <w:t>（</w:t>
            </w:r>
            <w:r>
              <w:rPr>
                <w:rFonts w:hint="eastAsia"/>
              </w:rPr>
              <w:t>GB 12348-2008</w:t>
            </w:r>
            <w:r>
              <w:rPr>
                <w:rFonts w:hint="eastAsia"/>
                <w:lang w:eastAsia="zh-CN"/>
              </w:rPr>
              <w:t>）</w:t>
            </w:r>
            <w:r>
              <w:rPr>
                <w:rFonts w:hint="eastAsia"/>
              </w:rPr>
              <w:t>4类标准</w:t>
            </w:r>
            <w:r>
              <w:t>。具体标准值见表3-9。</w:t>
            </w:r>
          </w:p>
          <w:p w14:paraId="6EB53404">
            <w:pPr>
              <w:pStyle w:val="22"/>
              <w:rPr>
                <w:szCs w:val="21"/>
              </w:rPr>
            </w:pPr>
          </w:p>
          <w:p w14:paraId="7CAD8827">
            <w:pPr>
              <w:pStyle w:val="22"/>
              <w:rPr>
                <w:szCs w:val="21"/>
              </w:rPr>
            </w:pPr>
            <w:r>
              <w:rPr>
                <w:szCs w:val="21"/>
              </w:rPr>
              <w:t>表3-9 工业企业厂界环境噪声排放标准 单位：Leq dB（A）</w:t>
            </w:r>
          </w:p>
          <w:tbl>
            <w:tblPr>
              <w:tblStyle w:val="23"/>
              <w:tblW w:w="82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66"/>
              <w:gridCol w:w="2389"/>
              <w:gridCol w:w="2417"/>
            </w:tblGrid>
            <w:tr w14:paraId="7D98E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466" w:type="dxa"/>
                  <w:vAlign w:val="center"/>
                </w:tcPr>
                <w:p w14:paraId="3A290170">
                  <w:pPr>
                    <w:pStyle w:val="41"/>
                    <w:rPr>
                      <w:b/>
                      <w:bCs/>
                    </w:rPr>
                  </w:pPr>
                  <w:r>
                    <w:rPr>
                      <w:b/>
                      <w:bCs/>
                    </w:rPr>
                    <w:t>厂界外声环境功能区类别</w:t>
                  </w:r>
                </w:p>
              </w:tc>
              <w:tc>
                <w:tcPr>
                  <w:tcW w:w="2389" w:type="dxa"/>
                  <w:vAlign w:val="center"/>
                </w:tcPr>
                <w:p w14:paraId="7C68DC26">
                  <w:pPr>
                    <w:pStyle w:val="41"/>
                    <w:rPr>
                      <w:b/>
                      <w:bCs/>
                    </w:rPr>
                  </w:pPr>
                  <w:r>
                    <w:rPr>
                      <w:b/>
                      <w:bCs/>
                    </w:rPr>
                    <w:t>昼间</w:t>
                  </w:r>
                </w:p>
              </w:tc>
              <w:tc>
                <w:tcPr>
                  <w:tcW w:w="2417" w:type="dxa"/>
                  <w:vAlign w:val="center"/>
                </w:tcPr>
                <w:p w14:paraId="232E2729">
                  <w:pPr>
                    <w:pStyle w:val="41"/>
                    <w:rPr>
                      <w:b/>
                      <w:bCs/>
                    </w:rPr>
                  </w:pPr>
                  <w:r>
                    <w:rPr>
                      <w:b/>
                      <w:bCs/>
                    </w:rPr>
                    <w:t>夜间</w:t>
                  </w:r>
                </w:p>
              </w:tc>
            </w:tr>
            <w:tr w14:paraId="082FE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466" w:type="dxa"/>
                  <w:vAlign w:val="center"/>
                </w:tcPr>
                <w:p w14:paraId="55FC2CAF">
                  <w:pPr>
                    <w:pStyle w:val="41"/>
                  </w:pPr>
                  <w:r>
                    <w:t>3类</w:t>
                  </w:r>
                </w:p>
              </w:tc>
              <w:tc>
                <w:tcPr>
                  <w:tcW w:w="2389" w:type="dxa"/>
                  <w:vAlign w:val="center"/>
                </w:tcPr>
                <w:p w14:paraId="3D9EEEC1">
                  <w:pPr>
                    <w:pStyle w:val="41"/>
                  </w:pPr>
                  <w:r>
                    <w:t>65</w:t>
                  </w:r>
                </w:p>
              </w:tc>
              <w:tc>
                <w:tcPr>
                  <w:tcW w:w="2417" w:type="dxa"/>
                  <w:vAlign w:val="center"/>
                </w:tcPr>
                <w:p w14:paraId="41A9BC28">
                  <w:pPr>
                    <w:pStyle w:val="41"/>
                  </w:pPr>
                  <w:r>
                    <w:t>55</w:t>
                  </w:r>
                </w:p>
              </w:tc>
            </w:tr>
            <w:tr w14:paraId="0B910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466" w:type="dxa"/>
                  <w:vAlign w:val="center"/>
                </w:tcPr>
                <w:p w14:paraId="2EEC93FA">
                  <w:pPr>
                    <w:pStyle w:val="41"/>
                  </w:pPr>
                  <w:r>
                    <w:rPr>
                      <w:rFonts w:hint="eastAsia"/>
                    </w:rPr>
                    <w:t>4类</w:t>
                  </w:r>
                </w:p>
              </w:tc>
              <w:tc>
                <w:tcPr>
                  <w:tcW w:w="2389" w:type="dxa"/>
                  <w:vAlign w:val="center"/>
                </w:tcPr>
                <w:p w14:paraId="510CA60C">
                  <w:pPr>
                    <w:pStyle w:val="41"/>
                  </w:pPr>
                  <w:r>
                    <w:rPr>
                      <w:rFonts w:hint="eastAsia"/>
                    </w:rPr>
                    <w:t>70</w:t>
                  </w:r>
                </w:p>
              </w:tc>
              <w:tc>
                <w:tcPr>
                  <w:tcW w:w="2417" w:type="dxa"/>
                  <w:vAlign w:val="center"/>
                </w:tcPr>
                <w:p w14:paraId="2F7A37BE">
                  <w:pPr>
                    <w:pStyle w:val="41"/>
                  </w:pPr>
                  <w:r>
                    <w:rPr>
                      <w:rFonts w:hint="eastAsia"/>
                    </w:rPr>
                    <w:t>60</w:t>
                  </w:r>
                </w:p>
              </w:tc>
            </w:tr>
          </w:tbl>
          <w:p w14:paraId="42928717">
            <w:pPr>
              <w:ind w:firstLine="480"/>
            </w:pPr>
            <w:r>
              <w:t>4、固体废物</w:t>
            </w:r>
          </w:p>
          <w:p w14:paraId="2EF9F74A">
            <w:pPr>
              <w:ind w:firstLine="480"/>
            </w:pPr>
            <w:r>
              <w:t>固体废物管理应遵照《中华人民共和国固体废物污染环境防治法》和《广东省固体废物污染环境防治条例》，一般固废的管理还应遵照《一般工业固体废物贮存和填埋污染控制标准》（GB 18599-2020）的要求；项目危险废物按照《国家危险废物名录（2021年版）》类别进行管理，危险废物贮存符合《危险废物贮存污染控制标准》</w:t>
            </w:r>
            <w:r>
              <w:rPr>
                <w:bCs/>
              </w:rPr>
              <w:t>（GB18597-2023）</w:t>
            </w:r>
            <w:r>
              <w:t>要求。</w:t>
            </w:r>
          </w:p>
          <w:p w14:paraId="4018C82C">
            <w:pPr>
              <w:ind w:firstLine="480"/>
            </w:pPr>
          </w:p>
          <w:p w14:paraId="5FE2D220">
            <w:pPr>
              <w:ind w:firstLine="480"/>
            </w:pPr>
          </w:p>
          <w:p w14:paraId="64B7FBCB">
            <w:pPr>
              <w:ind w:firstLine="480"/>
            </w:pPr>
          </w:p>
        </w:tc>
      </w:tr>
      <w:tr w14:paraId="299B42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533" w:hRule="atLeast"/>
          <w:jc w:val="center"/>
        </w:trPr>
        <w:tc>
          <w:tcPr>
            <w:tcW w:w="249" w:type="pct"/>
            <w:vAlign w:val="center"/>
          </w:tcPr>
          <w:p w14:paraId="45D32F8B">
            <w:pPr>
              <w:pStyle w:val="11"/>
              <w:rPr>
                <w:rFonts w:ascii="Times New Roman" w:hAnsi="Times New Roman"/>
                <w:kern w:val="2"/>
              </w:rPr>
            </w:pPr>
            <w:r>
              <w:rPr>
                <w:rFonts w:ascii="Times New Roman" w:hAnsi="Times New Roman"/>
                <w:kern w:val="2"/>
              </w:rPr>
              <w:t>总量</w:t>
            </w:r>
          </w:p>
          <w:p w14:paraId="0B6AF5AD">
            <w:pPr>
              <w:pStyle w:val="11"/>
              <w:rPr>
                <w:rFonts w:ascii="Times New Roman" w:hAnsi="Times New Roman"/>
                <w:kern w:val="2"/>
              </w:rPr>
            </w:pPr>
            <w:r>
              <w:rPr>
                <w:rFonts w:ascii="Times New Roman" w:hAnsi="Times New Roman"/>
                <w:kern w:val="2"/>
              </w:rPr>
              <w:t>控制</w:t>
            </w:r>
          </w:p>
          <w:p w14:paraId="7F4C6197">
            <w:pPr>
              <w:pStyle w:val="11"/>
              <w:rPr>
                <w:rFonts w:ascii="Times New Roman" w:hAnsi="Times New Roman"/>
                <w:kern w:val="2"/>
              </w:rPr>
            </w:pPr>
            <w:r>
              <w:rPr>
                <w:rFonts w:ascii="Times New Roman" w:hAnsi="Times New Roman"/>
                <w:kern w:val="2"/>
              </w:rPr>
              <w:t>指标</w:t>
            </w:r>
          </w:p>
        </w:tc>
        <w:tc>
          <w:tcPr>
            <w:tcW w:w="4750" w:type="pct"/>
            <w:vAlign w:val="center"/>
          </w:tcPr>
          <w:p w14:paraId="71B1741B">
            <w:pPr>
              <w:ind w:firstLine="480"/>
              <w:rPr>
                <w:lang w:val="zh-CN"/>
              </w:rPr>
            </w:pPr>
            <w:r>
              <w:rPr>
                <w:lang w:val="zh-CN"/>
              </w:rPr>
              <w:t>根据本项目污染物排放总量，建议其总量控制指标按以下执行：</w:t>
            </w:r>
          </w:p>
          <w:p w14:paraId="5F10D397">
            <w:pPr>
              <w:ind w:firstLine="480"/>
              <w:rPr>
                <w:lang w:val="zh-CN"/>
              </w:rPr>
            </w:pPr>
            <w:r>
              <w:rPr>
                <w:lang w:val="zh-CN"/>
              </w:rPr>
              <w:t>1、水污染物排放总量控制指标</w:t>
            </w:r>
          </w:p>
          <w:p w14:paraId="4B6B8473">
            <w:pPr>
              <w:ind w:firstLine="480"/>
              <w:rPr>
                <w:lang w:val="zh-CN"/>
              </w:rPr>
            </w:pPr>
            <w:r>
              <w:rPr>
                <w:lang w:val="zh-CN"/>
              </w:rPr>
              <w:t>本项目</w:t>
            </w:r>
            <w:r>
              <w:rPr>
                <w:rFonts w:hint="eastAsia"/>
              </w:rPr>
              <w:t>生产废水</w:t>
            </w:r>
            <w:r>
              <w:rPr>
                <w:lang w:val="zh-CN"/>
              </w:rPr>
              <w:t>排放量为2511m³/a，CODcr排放量为0.703t/a，</w:t>
            </w:r>
            <w:r>
              <w:rPr>
                <w:rFonts w:hint="eastAsia"/>
              </w:rPr>
              <w:t>生产废水</w:t>
            </w:r>
            <w:r>
              <w:rPr>
                <w:lang w:val="zh-CN"/>
              </w:rPr>
              <w:t>经预处理后排入园区污水处理厂处理达标后外排，因此建议本项目水污染物排放总量指标纳入园区污水处理厂总量控制计划，不再另行分配。</w:t>
            </w:r>
          </w:p>
          <w:p w14:paraId="649D5E6D">
            <w:pPr>
              <w:numPr>
                <w:ilvl w:val="0"/>
                <w:numId w:val="3"/>
              </w:numPr>
              <w:ind w:firstLine="480"/>
              <w:rPr>
                <w:lang w:val="zh-CN"/>
              </w:rPr>
            </w:pPr>
            <w:r>
              <w:rPr>
                <w:lang w:val="zh-CN"/>
              </w:rPr>
              <w:t>大气污染物排放总量控制指标</w:t>
            </w:r>
          </w:p>
          <w:p w14:paraId="006BB1D4">
            <w:pPr>
              <w:ind w:firstLine="480"/>
              <w:rPr>
                <w:kern w:val="2"/>
                <w:lang w:val="zh-CN"/>
              </w:rPr>
            </w:pPr>
            <w:r>
              <w:rPr>
                <w:kern w:val="2"/>
                <w:lang w:val="zh-CN"/>
              </w:rPr>
              <w:t>本项目运营期产生的废气污染物</w:t>
            </w:r>
            <w:r>
              <w:rPr>
                <w:rFonts w:hint="eastAsia"/>
                <w:kern w:val="2"/>
              </w:rPr>
              <w:t>中</w:t>
            </w:r>
            <w:r>
              <w:rPr>
                <w:rFonts w:hint="eastAsia"/>
                <w:kern w:val="2"/>
                <w:lang w:val="zh-CN"/>
              </w:rPr>
              <w:t>VOCs</w:t>
            </w:r>
            <w:r>
              <w:rPr>
                <w:kern w:val="2"/>
                <w:lang w:val="zh-CN"/>
              </w:rPr>
              <w:t>排放量为</w:t>
            </w:r>
            <w:r>
              <w:rPr>
                <w:rFonts w:hint="eastAsia"/>
                <w:kern w:val="2"/>
              </w:rPr>
              <w:t>0.5547</w:t>
            </w:r>
            <w:r>
              <w:rPr>
                <w:kern w:val="2"/>
                <w:lang w:val="zh-CN"/>
              </w:rPr>
              <w:t>t/a（其中有组织</w:t>
            </w:r>
            <w:r>
              <w:rPr>
                <w:kern w:val="2"/>
              </w:rPr>
              <w:t>0.3566</w:t>
            </w:r>
            <w:r>
              <w:rPr>
                <w:kern w:val="2"/>
                <w:lang w:val="zh-CN"/>
              </w:rPr>
              <w:t>t/a，无组织</w:t>
            </w:r>
            <w:r>
              <w:rPr>
                <w:kern w:val="2"/>
              </w:rPr>
              <w:t>0.1981</w:t>
            </w:r>
            <w:r>
              <w:rPr>
                <w:kern w:val="2"/>
                <w:lang w:val="zh-CN"/>
              </w:rPr>
              <w:t>t/a），NOx排放量为</w:t>
            </w:r>
            <w:r>
              <w:rPr>
                <w:kern w:val="2"/>
              </w:rPr>
              <w:t>0.062</w:t>
            </w:r>
            <w:r>
              <w:rPr>
                <w:kern w:val="2"/>
                <w:lang w:val="zh-CN"/>
              </w:rPr>
              <w:t>t/a</w:t>
            </w:r>
            <w:r>
              <w:rPr>
                <w:rFonts w:hint="eastAsia"/>
                <w:kern w:val="2"/>
                <w:lang w:val="zh-CN"/>
              </w:rPr>
              <w:t>，</w:t>
            </w:r>
            <w:r>
              <w:rPr>
                <w:rFonts w:hint="eastAsia"/>
                <w:kern w:val="2"/>
              </w:rPr>
              <w:t>颗粒物排放量为</w:t>
            </w:r>
            <w:r>
              <w:rPr>
                <w:rFonts w:hint="eastAsia"/>
                <w:kern w:val="2"/>
                <w:lang w:val="en-US" w:eastAsia="zh-CN"/>
              </w:rPr>
              <w:t>8.6127</w:t>
            </w:r>
            <w:r>
              <w:rPr>
                <w:rFonts w:hint="eastAsia"/>
                <w:kern w:val="2"/>
              </w:rPr>
              <w:t>（其中有组织1.9124t/a，无组织6.7003t/a），SO</w:t>
            </w:r>
            <w:r>
              <w:rPr>
                <w:rFonts w:hint="eastAsia"/>
                <w:kern w:val="2"/>
                <w:vertAlign w:val="subscript"/>
              </w:rPr>
              <w:t>2</w:t>
            </w:r>
            <w:r>
              <w:rPr>
                <w:rFonts w:hint="eastAsia"/>
                <w:kern w:val="2"/>
              </w:rPr>
              <w:t>排放量为0.0228t/a</w:t>
            </w:r>
            <w:r>
              <w:rPr>
                <w:kern w:val="2"/>
                <w:lang w:val="zh-CN"/>
              </w:rPr>
              <w:t>。</w:t>
            </w:r>
          </w:p>
          <w:p w14:paraId="06B30061">
            <w:pPr>
              <w:ind w:firstLine="480"/>
              <w:rPr>
                <w:kern w:val="2"/>
                <w:lang w:val="zh-CN"/>
              </w:rPr>
            </w:pPr>
            <w:r>
              <w:rPr>
                <w:kern w:val="2"/>
                <w:lang w:val="zh-CN"/>
              </w:rPr>
              <w:t>根据《广东省生态环境厅关于做好重点行业建设项目挥发性有机物总量指标管理工作的通知》（粤环发</w:t>
            </w:r>
            <w:r>
              <w:rPr>
                <w:rFonts w:hint="eastAsia"/>
                <w:kern w:val="2"/>
                <w:lang w:val="zh-CN"/>
              </w:rPr>
              <w:t>〔</w:t>
            </w:r>
            <w:r>
              <w:rPr>
                <w:kern w:val="2"/>
                <w:lang w:val="zh-CN"/>
              </w:rPr>
              <w:t>2019</w:t>
            </w:r>
            <w:r>
              <w:rPr>
                <w:rFonts w:hint="eastAsia"/>
                <w:kern w:val="2"/>
                <w:lang w:val="zh-CN"/>
              </w:rPr>
              <w:t>〕</w:t>
            </w:r>
            <w:r>
              <w:rPr>
                <w:kern w:val="2"/>
                <w:lang w:val="zh-CN"/>
              </w:rPr>
              <w:t>2号）“四、对VOCs排放量大于300公斤/年的新、改、扩建项目，进行总量替代…..”。本项目VOCs的排放量为</w:t>
            </w:r>
            <w:r>
              <w:rPr>
                <w:rFonts w:hint="eastAsia"/>
                <w:kern w:val="2"/>
                <w:lang w:val="zh-CN"/>
              </w:rPr>
              <w:t>0.5547</w:t>
            </w:r>
            <w:r>
              <w:rPr>
                <w:kern w:val="2"/>
                <w:lang w:val="zh-CN"/>
              </w:rPr>
              <w:t>t/a，</w:t>
            </w:r>
            <w:r>
              <w:rPr>
                <w:rFonts w:hint="eastAsia"/>
                <w:kern w:val="2"/>
              </w:rPr>
              <w:t>大</w:t>
            </w:r>
            <w:r>
              <w:rPr>
                <w:kern w:val="2"/>
                <w:lang w:val="zh-CN"/>
              </w:rPr>
              <w:t>于300公斤/年，所以本项目排放的</w:t>
            </w:r>
            <w:r>
              <w:rPr>
                <w:rFonts w:hint="eastAsia"/>
                <w:kern w:val="2"/>
              </w:rPr>
              <w:t>VOCs</w:t>
            </w:r>
            <w:r>
              <w:rPr>
                <w:kern w:val="2"/>
                <w:lang w:val="zh-CN"/>
              </w:rPr>
              <w:t>需向韶关市生态环境局乐昌分局申请分配实行等量代替。</w:t>
            </w:r>
            <w:r>
              <w:rPr>
                <w:rFonts w:hint="eastAsia"/>
                <w:kern w:val="2"/>
                <w:lang w:val="en-US" w:eastAsia="zh-CN"/>
              </w:rPr>
              <w:t>项目</w:t>
            </w:r>
            <w:r>
              <w:rPr>
                <w:kern w:val="2"/>
                <w:lang w:val="zh-CN"/>
              </w:rPr>
              <w:t>VOCs</w:t>
            </w:r>
            <w:r>
              <w:rPr>
                <w:rFonts w:hint="eastAsia"/>
                <w:kern w:val="2"/>
                <w:lang w:val="zh-CN"/>
              </w:rPr>
              <w:t>总量控制指标为</w:t>
            </w:r>
            <w:r>
              <w:rPr>
                <w:kern w:val="2"/>
                <w:lang w:val="zh-CN"/>
              </w:rPr>
              <w:t xml:space="preserve"> </w:t>
            </w:r>
            <w:r>
              <w:rPr>
                <w:rFonts w:hint="eastAsia"/>
                <w:kern w:val="2"/>
                <w:lang w:val="zh-CN"/>
              </w:rPr>
              <w:t>0.5547</w:t>
            </w:r>
            <w:r>
              <w:rPr>
                <w:kern w:val="2"/>
                <w:lang w:val="zh-CN"/>
              </w:rPr>
              <w:t>t/a</w:t>
            </w:r>
            <w:r>
              <w:rPr>
                <w:rFonts w:hint="eastAsia"/>
                <w:kern w:val="2"/>
                <w:lang w:val="zh-CN"/>
              </w:rPr>
              <w:t>（其中有组织0.3566t/a，无组织0.1981t/a），</w:t>
            </w:r>
            <w:r>
              <w:rPr>
                <w:rFonts w:hint="eastAsia"/>
                <w:kern w:val="2"/>
                <w:lang w:val="en-US" w:eastAsia="zh-CN"/>
              </w:rPr>
              <w:t>总量指标来源于韶关乐淇包装材料有限公司和广东沃府实业有限公司的VOCs减排项目</w:t>
            </w:r>
            <w:r>
              <w:rPr>
                <w:rFonts w:hint="eastAsia"/>
                <w:kern w:val="2"/>
                <w:lang w:val="zh-CN"/>
              </w:rPr>
              <w:t>。</w:t>
            </w:r>
            <w:r>
              <w:rPr>
                <w:kern w:val="2"/>
                <w:lang w:val="zh-CN"/>
              </w:rPr>
              <w:t>NOx</w:t>
            </w:r>
            <w:r>
              <w:rPr>
                <w:rFonts w:hint="eastAsia"/>
                <w:kern w:val="2"/>
                <w:lang w:val="zh-CN"/>
              </w:rPr>
              <w:t>总量控制指标为</w:t>
            </w:r>
            <w:r>
              <w:rPr>
                <w:kern w:val="2"/>
                <w:lang w:val="zh-CN"/>
              </w:rPr>
              <w:t>0.062t/a，</w:t>
            </w:r>
            <w:r>
              <w:rPr>
                <w:rFonts w:hint="eastAsia"/>
                <w:kern w:val="2"/>
                <w:lang w:val="zh-CN"/>
              </w:rPr>
              <w:t>总量指标来源于乐昌东锆燃煤锅炉淘汰项目。</w:t>
            </w:r>
          </w:p>
          <w:p w14:paraId="2F225EF5">
            <w:pPr>
              <w:pStyle w:val="10"/>
              <w:ind w:firstLine="422"/>
              <w:rPr>
                <w:rFonts w:hint="default" w:ascii="Calibri" w:hAnsi="Calibri" w:cs="Calibri"/>
                <w:kern w:val="2"/>
              </w:rPr>
            </w:pPr>
            <w:r>
              <w:rPr>
                <w:rFonts w:ascii="Calibri" w:hAnsi="Calibri" w:cs="Calibri"/>
                <w:kern w:val="2"/>
              </w:rPr>
              <w:t>表3-10 建设项目污染物排放量汇总表</w:t>
            </w:r>
          </w:p>
          <w:tbl>
            <w:tblPr>
              <w:tblStyle w:val="2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858"/>
              <w:gridCol w:w="1657"/>
              <w:gridCol w:w="1657"/>
              <w:gridCol w:w="2275"/>
            </w:tblGrid>
            <w:tr w14:paraId="05D34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6" w:type="pct"/>
                  <w:vAlign w:val="center"/>
                </w:tcPr>
                <w:p w14:paraId="053B7A1D">
                  <w:pPr>
                    <w:pStyle w:val="41"/>
                    <w:rPr>
                      <w:b/>
                    </w:rPr>
                  </w:pPr>
                  <w:r>
                    <w:rPr>
                      <w:rFonts w:hint="eastAsia"/>
                      <w:b/>
                    </w:rPr>
                    <w:t>项目</w:t>
                  </w:r>
                </w:p>
                <w:p w14:paraId="1FD7C6A1">
                  <w:pPr>
                    <w:pStyle w:val="41"/>
                    <w:rPr>
                      <w:b/>
                    </w:rPr>
                  </w:pPr>
                  <w:r>
                    <w:rPr>
                      <w:rFonts w:hint="eastAsia"/>
                      <w:b/>
                    </w:rPr>
                    <w:t>分类</w:t>
                  </w:r>
                </w:p>
              </w:tc>
              <w:tc>
                <w:tcPr>
                  <w:tcW w:w="1108" w:type="pct"/>
                  <w:vAlign w:val="center"/>
                </w:tcPr>
                <w:p w14:paraId="0298D33F">
                  <w:pPr>
                    <w:pStyle w:val="41"/>
                    <w:rPr>
                      <w:b/>
                    </w:rPr>
                  </w:pPr>
                  <w:r>
                    <w:rPr>
                      <w:rFonts w:hint="eastAsia"/>
                      <w:b/>
                    </w:rPr>
                    <w:t>污染物名称</w:t>
                  </w:r>
                </w:p>
              </w:tc>
              <w:tc>
                <w:tcPr>
                  <w:tcW w:w="988" w:type="pct"/>
                  <w:vAlign w:val="center"/>
                </w:tcPr>
                <w:p w14:paraId="65868745">
                  <w:pPr>
                    <w:pStyle w:val="41"/>
                    <w:rPr>
                      <w:b/>
                    </w:rPr>
                  </w:pPr>
                  <w:r>
                    <w:rPr>
                      <w:rFonts w:hint="eastAsia"/>
                      <w:b/>
                    </w:rPr>
                    <w:t>现有工程</w:t>
                  </w:r>
                </w:p>
                <w:p w14:paraId="4B7A3195">
                  <w:pPr>
                    <w:pStyle w:val="41"/>
                    <w:rPr>
                      <w:b/>
                    </w:rPr>
                  </w:pPr>
                  <w:r>
                    <w:rPr>
                      <w:rFonts w:hint="eastAsia"/>
                      <w:b/>
                    </w:rPr>
                    <w:t>排放量t/a</w:t>
                  </w:r>
                </w:p>
              </w:tc>
              <w:tc>
                <w:tcPr>
                  <w:tcW w:w="988" w:type="pct"/>
                  <w:vAlign w:val="center"/>
                </w:tcPr>
                <w:p w14:paraId="5553B432">
                  <w:pPr>
                    <w:pStyle w:val="41"/>
                    <w:rPr>
                      <w:b/>
                    </w:rPr>
                  </w:pPr>
                  <w:r>
                    <w:rPr>
                      <w:rFonts w:hint="eastAsia"/>
                      <w:b/>
                    </w:rPr>
                    <w:t>本项目</w:t>
                  </w:r>
                </w:p>
                <w:p w14:paraId="5F647469">
                  <w:pPr>
                    <w:pStyle w:val="41"/>
                    <w:rPr>
                      <w:b/>
                    </w:rPr>
                  </w:pPr>
                  <w:r>
                    <w:rPr>
                      <w:rFonts w:hint="eastAsia"/>
                      <w:b/>
                    </w:rPr>
                    <w:t>排放量t/a</w:t>
                  </w:r>
                </w:p>
              </w:tc>
              <w:tc>
                <w:tcPr>
                  <w:tcW w:w="1357" w:type="pct"/>
                  <w:vAlign w:val="center"/>
                </w:tcPr>
                <w:p w14:paraId="554AC122">
                  <w:pPr>
                    <w:pStyle w:val="41"/>
                    <w:rPr>
                      <w:b/>
                    </w:rPr>
                  </w:pPr>
                  <w:r>
                    <w:rPr>
                      <w:rFonts w:hint="eastAsia"/>
                      <w:b/>
                    </w:rPr>
                    <w:t>本项目建成后</w:t>
                  </w:r>
                </w:p>
                <w:p w14:paraId="5A9CF65C">
                  <w:pPr>
                    <w:pStyle w:val="41"/>
                    <w:rPr>
                      <w:b/>
                    </w:rPr>
                  </w:pPr>
                  <w:r>
                    <w:rPr>
                      <w:rFonts w:hint="eastAsia"/>
                      <w:b/>
                    </w:rPr>
                    <w:t>全厂排放量t/a</w:t>
                  </w:r>
                </w:p>
              </w:tc>
            </w:tr>
            <w:tr w14:paraId="29CFE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6" w:type="pct"/>
                  <w:vMerge w:val="restart"/>
                  <w:vAlign w:val="center"/>
                </w:tcPr>
                <w:p w14:paraId="6E1EA47E">
                  <w:pPr>
                    <w:pStyle w:val="41"/>
                  </w:pPr>
                  <w:r>
                    <w:rPr>
                      <w:rFonts w:hint="eastAsia"/>
                    </w:rPr>
                    <w:t>废气</w:t>
                  </w:r>
                </w:p>
              </w:tc>
              <w:tc>
                <w:tcPr>
                  <w:tcW w:w="1108" w:type="pct"/>
                  <w:vAlign w:val="center"/>
                </w:tcPr>
                <w:p w14:paraId="658BF0EC">
                  <w:pPr>
                    <w:pStyle w:val="20"/>
                    <w:rPr>
                      <w:rFonts w:hint="eastAsia" w:eastAsia="宋体"/>
                      <w:lang w:eastAsia="zh-CN"/>
                    </w:rPr>
                  </w:pPr>
                  <w:r>
                    <w:rPr>
                      <w:rFonts w:hint="eastAsia"/>
                      <w:lang w:val="ru-RU" w:eastAsia="zh-CN"/>
                    </w:rPr>
                    <w:t>VOCs</w:t>
                  </w:r>
                </w:p>
              </w:tc>
              <w:tc>
                <w:tcPr>
                  <w:tcW w:w="988" w:type="pct"/>
                  <w:vAlign w:val="center"/>
                </w:tcPr>
                <w:p w14:paraId="430F6495">
                  <w:pPr>
                    <w:pStyle w:val="41"/>
                  </w:pPr>
                  <w:r>
                    <w:rPr>
                      <w:rFonts w:hint="eastAsia"/>
                    </w:rPr>
                    <w:t>/</w:t>
                  </w:r>
                </w:p>
              </w:tc>
              <w:tc>
                <w:tcPr>
                  <w:tcW w:w="988" w:type="pct"/>
                  <w:vAlign w:val="center"/>
                </w:tcPr>
                <w:p w14:paraId="17308379">
                  <w:pPr>
                    <w:pStyle w:val="41"/>
                  </w:pPr>
                  <w:r>
                    <w:rPr>
                      <w:rFonts w:hint="eastAsia"/>
                    </w:rPr>
                    <w:t>0.5547</w:t>
                  </w:r>
                </w:p>
              </w:tc>
              <w:tc>
                <w:tcPr>
                  <w:tcW w:w="1357" w:type="pct"/>
                  <w:vAlign w:val="center"/>
                </w:tcPr>
                <w:p w14:paraId="2CD24C33">
                  <w:pPr>
                    <w:pStyle w:val="41"/>
                  </w:pPr>
                  <w:r>
                    <w:rPr>
                      <w:rFonts w:hint="eastAsia"/>
                    </w:rPr>
                    <w:t>0.5547</w:t>
                  </w:r>
                </w:p>
              </w:tc>
            </w:tr>
            <w:tr w14:paraId="2C05E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6" w:type="pct"/>
                  <w:vMerge w:val="continue"/>
                  <w:vAlign w:val="center"/>
                </w:tcPr>
                <w:p w14:paraId="38DF4337">
                  <w:pPr>
                    <w:pStyle w:val="41"/>
                  </w:pPr>
                </w:p>
              </w:tc>
              <w:tc>
                <w:tcPr>
                  <w:tcW w:w="1108" w:type="pct"/>
                  <w:vAlign w:val="center"/>
                </w:tcPr>
                <w:p w14:paraId="4EBD1B40">
                  <w:pPr>
                    <w:pStyle w:val="20"/>
                  </w:pPr>
                  <w:r>
                    <w:rPr>
                      <w:rFonts w:hint="eastAsia"/>
                    </w:rPr>
                    <w:t>颗粒物</w:t>
                  </w:r>
                </w:p>
              </w:tc>
              <w:tc>
                <w:tcPr>
                  <w:tcW w:w="988" w:type="pct"/>
                  <w:vAlign w:val="center"/>
                </w:tcPr>
                <w:p w14:paraId="566833A0">
                  <w:pPr>
                    <w:pStyle w:val="41"/>
                  </w:pPr>
                  <w:r>
                    <w:rPr>
                      <w:rFonts w:hint="eastAsia"/>
                    </w:rPr>
                    <w:t>0.552</w:t>
                  </w:r>
                </w:p>
              </w:tc>
              <w:tc>
                <w:tcPr>
                  <w:tcW w:w="988" w:type="pct"/>
                  <w:vAlign w:val="center"/>
                </w:tcPr>
                <w:p w14:paraId="3206044A">
                  <w:pPr>
                    <w:pStyle w:val="41"/>
                    <w:rPr>
                      <w:rFonts w:hint="default" w:eastAsia="宋体"/>
                      <w:lang w:val="en-US" w:eastAsia="zh-CN" w:bidi="ar"/>
                    </w:rPr>
                  </w:pPr>
                  <w:r>
                    <w:rPr>
                      <w:rFonts w:hint="eastAsia"/>
                      <w:lang w:val="en-US" w:eastAsia="zh-CN" w:bidi="ar"/>
                    </w:rPr>
                    <w:t>8.6127</w:t>
                  </w:r>
                </w:p>
              </w:tc>
              <w:tc>
                <w:tcPr>
                  <w:tcW w:w="1357" w:type="pct"/>
                  <w:vAlign w:val="center"/>
                </w:tcPr>
                <w:p w14:paraId="026BE968">
                  <w:pPr>
                    <w:pStyle w:val="41"/>
                    <w:rPr>
                      <w:rFonts w:hint="default" w:eastAsia="宋体"/>
                      <w:lang w:val="en-US" w:eastAsia="zh-CN" w:bidi="ar"/>
                    </w:rPr>
                  </w:pPr>
                  <w:r>
                    <w:rPr>
                      <w:rFonts w:hint="eastAsia"/>
                      <w:lang w:val="en-US" w:eastAsia="zh-CN" w:bidi="ar"/>
                    </w:rPr>
                    <w:t>9.1647</w:t>
                  </w:r>
                </w:p>
              </w:tc>
            </w:tr>
            <w:tr w14:paraId="3385B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6" w:type="pct"/>
                  <w:vMerge w:val="continue"/>
                  <w:vAlign w:val="center"/>
                </w:tcPr>
                <w:p w14:paraId="5AAB23A7">
                  <w:pPr>
                    <w:pStyle w:val="41"/>
                  </w:pPr>
                </w:p>
              </w:tc>
              <w:tc>
                <w:tcPr>
                  <w:tcW w:w="1108" w:type="pct"/>
                  <w:vAlign w:val="center"/>
                </w:tcPr>
                <w:p w14:paraId="645F1591">
                  <w:pPr>
                    <w:pStyle w:val="20"/>
                    <w:rPr>
                      <w:lang w:val="ru-RU"/>
                    </w:rPr>
                  </w:pPr>
                  <w:r>
                    <w:rPr>
                      <w:rFonts w:hint="eastAsia"/>
                      <w:lang w:val="ru-RU"/>
                    </w:rPr>
                    <w:t>SO</w:t>
                  </w:r>
                  <w:r>
                    <w:rPr>
                      <w:rFonts w:hint="eastAsia"/>
                      <w:vertAlign w:val="subscript"/>
                      <w:lang w:val="ru-RU"/>
                    </w:rPr>
                    <w:t>2</w:t>
                  </w:r>
                </w:p>
              </w:tc>
              <w:tc>
                <w:tcPr>
                  <w:tcW w:w="988" w:type="pct"/>
                  <w:vAlign w:val="center"/>
                </w:tcPr>
                <w:p w14:paraId="3CCE46F0">
                  <w:pPr>
                    <w:pStyle w:val="41"/>
                  </w:pPr>
                  <w:r>
                    <w:rPr>
                      <w:rFonts w:hint="eastAsia"/>
                    </w:rPr>
                    <w:t>/</w:t>
                  </w:r>
                </w:p>
              </w:tc>
              <w:tc>
                <w:tcPr>
                  <w:tcW w:w="988" w:type="pct"/>
                  <w:vAlign w:val="center"/>
                </w:tcPr>
                <w:p w14:paraId="1F5F186E">
                  <w:pPr>
                    <w:pStyle w:val="41"/>
                  </w:pPr>
                  <w:r>
                    <w:rPr>
                      <w:rFonts w:hint="eastAsia"/>
                    </w:rPr>
                    <w:t>0.0228</w:t>
                  </w:r>
                </w:p>
              </w:tc>
              <w:tc>
                <w:tcPr>
                  <w:tcW w:w="1357" w:type="pct"/>
                  <w:vAlign w:val="center"/>
                </w:tcPr>
                <w:p w14:paraId="642ADACA">
                  <w:pPr>
                    <w:pStyle w:val="41"/>
                  </w:pPr>
                  <w:r>
                    <w:rPr>
                      <w:rFonts w:hint="eastAsia"/>
                    </w:rPr>
                    <w:t>0.0228</w:t>
                  </w:r>
                </w:p>
              </w:tc>
            </w:tr>
            <w:tr w14:paraId="0CE62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6" w:type="pct"/>
                  <w:vMerge w:val="continue"/>
                  <w:vAlign w:val="center"/>
                </w:tcPr>
                <w:p w14:paraId="2180D696">
                  <w:pPr>
                    <w:pStyle w:val="41"/>
                  </w:pPr>
                </w:p>
              </w:tc>
              <w:tc>
                <w:tcPr>
                  <w:tcW w:w="1108" w:type="pct"/>
                  <w:vAlign w:val="center"/>
                </w:tcPr>
                <w:p w14:paraId="1890F11D">
                  <w:pPr>
                    <w:pStyle w:val="20"/>
                    <w:rPr>
                      <w:lang w:val="ru-RU"/>
                    </w:rPr>
                  </w:pPr>
                  <w:r>
                    <w:rPr>
                      <w:rFonts w:hint="eastAsia"/>
                      <w:lang w:val="ru-RU"/>
                    </w:rPr>
                    <w:t>NO</w:t>
                  </w:r>
                  <w:r>
                    <w:rPr>
                      <w:rFonts w:hint="eastAsia"/>
                      <w:vertAlign w:val="subscript"/>
                      <w:lang w:val="ru-RU"/>
                    </w:rPr>
                    <w:t>X</w:t>
                  </w:r>
                </w:p>
              </w:tc>
              <w:tc>
                <w:tcPr>
                  <w:tcW w:w="988" w:type="pct"/>
                  <w:vAlign w:val="center"/>
                </w:tcPr>
                <w:p w14:paraId="25040580">
                  <w:pPr>
                    <w:pStyle w:val="41"/>
                  </w:pPr>
                  <w:r>
                    <w:rPr>
                      <w:rFonts w:hint="eastAsia"/>
                    </w:rPr>
                    <w:t>/</w:t>
                  </w:r>
                </w:p>
              </w:tc>
              <w:tc>
                <w:tcPr>
                  <w:tcW w:w="988" w:type="pct"/>
                  <w:vAlign w:val="center"/>
                </w:tcPr>
                <w:p w14:paraId="6537C19E">
                  <w:pPr>
                    <w:pStyle w:val="41"/>
                  </w:pPr>
                  <w:r>
                    <w:rPr>
                      <w:rFonts w:hint="eastAsia"/>
                    </w:rPr>
                    <w:t>0.062</w:t>
                  </w:r>
                </w:p>
              </w:tc>
              <w:tc>
                <w:tcPr>
                  <w:tcW w:w="1357" w:type="pct"/>
                  <w:vAlign w:val="center"/>
                </w:tcPr>
                <w:p w14:paraId="72FCE519">
                  <w:pPr>
                    <w:pStyle w:val="41"/>
                  </w:pPr>
                  <w:r>
                    <w:rPr>
                      <w:rFonts w:hint="eastAsia"/>
                    </w:rPr>
                    <w:t>0.062</w:t>
                  </w:r>
                </w:p>
              </w:tc>
            </w:tr>
            <w:tr w14:paraId="0369D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6" w:type="pct"/>
                  <w:vAlign w:val="center"/>
                </w:tcPr>
                <w:p w14:paraId="077B4C75">
                  <w:pPr>
                    <w:pStyle w:val="41"/>
                  </w:pPr>
                  <w:r>
                    <w:rPr>
                      <w:rFonts w:hint="eastAsia"/>
                    </w:rPr>
                    <w:t>废水</w:t>
                  </w:r>
                </w:p>
              </w:tc>
              <w:tc>
                <w:tcPr>
                  <w:tcW w:w="1108" w:type="pct"/>
                  <w:vAlign w:val="center"/>
                </w:tcPr>
                <w:p w14:paraId="101637E1">
                  <w:pPr>
                    <w:pStyle w:val="20"/>
                  </w:pPr>
                  <w:r>
                    <w:t>COD</w:t>
                  </w:r>
                  <w:r>
                    <w:rPr>
                      <w:rFonts w:hint="eastAsia"/>
                    </w:rPr>
                    <w:t>cr</w:t>
                  </w:r>
                </w:p>
              </w:tc>
              <w:tc>
                <w:tcPr>
                  <w:tcW w:w="988" w:type="pct"/>
                  <w:vAlign w:val="center"/>
                </w:tcPr>
                <w:p w14:paraId="3CBE6A71">
                  <w:pPr>
                    <w:pStyle w:val="41"/>
                  </w:pPr>
                  <w:r>
                    <w:rPr>
                      <w:rFonts w:hint="eastAsia"/>
                    </w:rPr>
                    <w:t>0.763</w:t>
                  </w:r>
                </w:p>
              </w:tc>
              <w:tc>
                <w:tcPr>
                  <w:tcW w:w="988" w:type="pct"/>
                  <w:vAlign w:val="center"/>
                </w:tcPr>
                <w:p w14:paraId="2D27DE55">
                  <w:pPr>
                    <w:pStyle w:val="41"/>
                  </w:pPr>
                  <w:r>
                    <w:rPr>
                      <w:rFonts w:hint="eastAsia"/>
                    </w:rPr>
                    <w:t>0.703</w:t>
                  </w:r>
                </w:p>
              </w:tc>
              <w:tc>
                <w:tcPr>
                  <w:tcW w:w="1357" w:type="pct"/>
                  <w:vAlign w:val="center"/>
                </w:tcPr>
                <w:p w14:paraId="1131A320">
                  <w:pPr>
                    <w:pStyle w:val="41"/>
                  </w:pPr>
                  <w:r>
                    <w:rPr>
                      <w:rFonts w:hint="eastAsia"/>
                    </w:rPr>
                    <w:t>1.466</w:t>
                  </w:r>
                </w:p>
              </w:tc>
            </w:tr>
          </w:tbl>
          <w:p w14:paraId="2FF43943">
            <w:pPr>
              <w:ind w:firstLine="480"/>
            </w:pPr>
          </w:p>
        </w:tc>
      </w:tr>
    </w:tbl>
    <w:p w14:paraId="411FD9EE">
      <w:pPr>
        <w:pStyle w:val="21"/>
        <w:jc w:val="center"/>
        <w:outlineLvl w:val="0"/>
        <w:rPr>
          <w:rFonts w:ascii="Times New Roman" w:hAnsi="Times New Roman" w:eastAsia="黑体"/>
          <w:snapToGrid w:val="0"/>
          <w:sz w:val="36"/>
          <w:szCs w:val="36"/>
        </w:rPr>
        <w:sectPr>
          <w:pgSz w:w="11907" w:h="16840"/>
          <w:pgMar w:top="1701" w:right="1531" w:bottom="2127" w:left="1531" w:header="851" w:footer="851" w:gutter="0"/>
          <w:cols w:space="720" w:num="1"/>
          <w:docGrid w:linePitch="312" w:charSpace="0"/>
        </w:sectPr>
      </w:pPr>
    </w:p>
    <w:p w14:paraId="6D72DE05">
      <w:pPr>
        <w:pStyle w:val="5"/>
        <w:ind w:firstLine="602"/>
        <w:rPr>
          <w:rFonts w:ascii="Times New Roman" w:hAnsi="Times New Roman"/>
        </w:rPr>
      </w:pPr>
      <w:r>
        <w:rPr>
          <w:rFonts w:ascii="Times New Roman" w:hAnsi="Times New Roman"/>
        </w:rPr>
        <w:t>四、主要环境影响和保护措施</w:t>
      </w:r>
    </w:p>
    <w:tbl>
      <w:tblPr>
        <w:tblStyle w:val="23"/>
        <w:tblW w:w="5088"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298"/>
        <w:gridCol w:w="8841"/>
      </w:tblGrid>
      <w:tr w14:paraId="223AE1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7223" w:hRule="atLeast"/>
          <w:jc w:val="center"/>
        </w:trPr>
        <w:tc>
          <w:tcPr>
            <w:tcW w:w="163" w:type="pct"/>
            <w:tcMar>
              <w:left w:w="28" w:type="dxa"/>
              <w:right w:w="28" w:type="dxa"/>
            </w:tcMar>
            <w:vAlign w:val="center"/>
          </w:tcPr>
          <w:p w14:paraId="23A18E7A">
            <w:pPr>
              <w:pStyle w:val="11"/>
              <w:rPr>
                <w:rFonts w:ascii="Times New Roman" w:hAnsi="Times New Roman"/>
                <w:kern w:val="2"/>
              </w:rPr>
            </w:pPr>
            <w:r>
              <w:rPr>
                <w:rFonts w:ascii="Times New Roman" w:hAnsi="Times New Roman"/>
                <w:kern w:val="2"/>
              </w:rPr>
              <w:t>施工</w:t>
            </w:r>
          </w:p>
          <w:p w14:paraId="68D36CCF">
            <w:pPr>
              <w:pStyle w:val="11"/>
              <w:rPr>
                <w:rFonts w:ascii="Times New Roman" w:hAnsi="Times New Roman"/>
                <w:kern w:val="2"/>
              </w:rPr>
            </w:pPr>
            <w:r>
              <w:rPr>
                <w:rFonts w:ascii="Times New Roman" w:hAnsi="Times New Roman"/>
                <w:kern w:val="2"/>
              </w:rPr>
              <w:t>期环</w:t>
            </w:r>
          </w:p>
          <w:p w14:paraId="21AFB4DB">
            <w:pPr>
              <w:pStyle w:val="11"/>
              <w:rPr>
                <w:rFonts w:ascii="Times New Roman" w:hAnsi="Times New Roman"/>
                <w:kern w:val="2"/>
              </w:rPr>
            </w:pPr>
            <w:r>
              <w:rPr>
                <w:rFonts w:ascii="Times New Roman" w:hAnsi="Times New Roman"/>
                <w:kern w:val="2"/>
              </w:rPr>
              <w:t>境保</w:t>
            </w:r>
          </w:p>
          <w:p w14:paraId="3137E801">
            <w:pPr>
              <w:pStyle w:val="11"/>
              <w:rPr>
                <w:rFonts w:ascii="Times New Roman" w:hAnsi="Times New Roman"/>
                <w:kern w:val="2"/>
              </w:rPr>
            </w:pPr>
            <w:r>
              <w:rPr>
                <w:rFonts w:ascii="Times New Roman" w:hAnsi="Times New Roman"/>
                <w:kern w:val="2"/>
              </w:rPr>
              <w:t>护措</w:t>
            </w:r>
          </w:p>
          <w:p w14:paraId="747876A7">
            <w:pPr>
              <w:pStyle w:val="11"/>
              <w:rPr>
                <w:rFonts w:ascii="Times New Roman" w:hAnsi="Times New Roman"/>
                <w:kern w:val="2"/>
              </w:rPr>
            </w:pPr>
            <w:r>
              <w:rPr>
                <w:rFonts w:ascii="Times New Roman" w:hAnsi="Times New Roman"/>
                <w:kern w:val="2"/>
              </w:rPr>
              <w:t>施</w:t>
            </w:r>
          </w:p>
        </w:tc>
        <w:tc>
          <w:tcPr>
            <w:tcW w:w="4836" w:type="pct"/>
            <w:vAlign w:val="center"/>
          </w:tcPr>
          <w:p w14:paraId="2B8682CC">
            <w:pPr>
              <w:ind w:firstLine="480"/>
            </w:pPr>
            <w:r>
              <w:t>本项目施工期产生的污染主要为建设过程中产生的扬尘、废水、噪声、固体废物等，为减小施工期废气对周围的影响，建设单位必须采取以下治理措施，减小施工期对环境的影响。</w:t>
            </w:r>
          </w:p>
          <w:p w14:paraId="685F3370">
            <w:pPr>
              <w:ind w:firstLine="480"/>
            </w:pPr>
            <w:r>
              <w:t>1、施工期水环境保护措施</w:t>
            </w:r>
          </w:p>
          <w:p w14:paraId="30BA36D3">
            <w:pPr>
              <w:ind w:firstLine="480"/>
            </w:pPr>
            <w:r>
              <w:t>在施工场地周边建设临时导流沟，将施工污水和降雨径流引至施工场地设置的临时沉淀池收集储存，用于施工场地洒水抑尘及车辆洗涤、循环使用不外排。</w:t>
            </w:r>
          </w:p>
          <w:p w14:paraId="4691FF97">
            <w:pPr>
              <w:ind w:firstLine="480"/>
            </w:pPr>
            <w:r>
              <w:t>2、施工期大气环境保护措施</w:t>
            </w:r>
          </w:p>
          <w:p w14:paraId="057ABD34">
            <w:pPr>
              <w:ind w:firstLine="480"/>
            </w:pPr>
            <w:r>
              <w:t>①平整场地、开挖基础作业时，应经常洒水使作业面土壤保持较高的湿度；施工场地内裸露的地面，也应经常洒水防止扬尘；</w:t>
            </w:r>
          </w:p>
          <w:p w14:paraId="11A805E5">
            <w:pPr>
              <w:ind w:firstLine="480"/>
            </w:pPr>
            <w:r>
              <w:t>②运土及运粉状建筑材料的运输车辆应采用有遮盖的专用车辆或者配置防止洒落装置，车辆装载不宜过满，避免运输过程中散落，严禁超载；</w:t>
            </w:r>
          </w:p>
          <w:p w14:paraId="70E39811">
            <w:pPr>
              <w:ind w:firstLine="480"/>
            </w:pPr>
            <w:r>
              <w:t>③在施工场地边界建设临时围墙，在临时围墙大门入口设一个临时洗车场，车辆出施工场地前必须冲洗干净再驶出大门；</w:t>
            </w:r>
          </w:p>
          <w:p w14:paraId="34851741">
            <w:pPr>
              <w:ind w:firstLine="480"/>
            </w:pPr>
            <w:r>
              <w:t>④施工设备及运输机械应选用符合标准的燃料，进行定期的保养。</w:t>
            </w:r>
          </w:p>
          <w:p w14:paraId="1ACD1CCA">
            <w:pPr>
              <w:ind w:firstLine="480"/>
            </w:pPr>
            <w:r>
              <w:t>3、施工期声环境保护措施</w:t>
            </w:r>
          </w:p>
          <w:p w14:paraId="61686A9D">
            <w:pPr>
              <w:ind w:firstLine="480"/>
            </w:pPr>
            <w:r>
              <w:t>①采用低噪声的施工机械和先进的施工技术，使施工噪声降低；</w:t>
            </w:r>
          </w:p>
          <w:p w14:paraId="485BD209">
            <w:pPr>
              <w:ind w:firstLine="480"/>
            </w:pPr>
            <w:r>
              <w:t>②规范施工秩序，文明施工作业；</w:t>
            </w:r>
          </w:p>
          <w:p w14:paraId="02FC0BBB">
            <w:pPr>
              <w:ind w:firstLine="480"/>
            </w:pPr>
            <w:r>
              <w:t>③对产生噪声的施工设备加强维护和维修工作，有利于噪声的降低；</w:t>
            </w:r>
          </w:p>
          <w:p w14:paraId="73E88C68">
            <w:pPr>
              <w:ind w:firstLine="480"/>
            </w:pPr>
            <w:r>
              <w:t>④合理安排运输车辆的路线和工作时间，尤其在深夜，避免运输车辆经过居民居住区，防止噪声扰民；</w:t>
            </w:r>
          </w:p>
          <w:p w14:paraId="28CFEEA2">
            <w:pPr>
              <w:ind w:firstLine="480"/>
            </w:pPr>
            <w:r>
              <w:t>⑤禁止打桩机在夜间施工，需合理安排昼间打桩机使用时段，尽量避免在中午12：00-14：00时间段内打桩，以减少这类噪声对周边声环境的影响。</w:t>
            </w:r>
          </w:p>
          <w:p w14:paraId="306C68CD">
            <w:pPr>
              <w:ind w:firstLine="480"/>
            </w:pPr>
            <w:r>
              <w:t>4、施工期固体废物防治措施</w:t>
            </w:r>
          </w:p>
          <w:p w14:paraId="4CEF74E2">
            <w:pPr>
              <w:ind w:firstLine="480"/>
            </w:pPr>
            <w:r>
              <w:t>①严禁施工人员在工地内乱堆乱扔垃圾，应将垃圾扔到固定的垃圾桶。</w:t>
            </w:r>
          </w:p>
          <w:p w14:paraId="2A9E8996">
            <w:pPr>
              <w:ind w:firstLine="480"/>
            </w:pPr>
            <w:r>
              <w:t>②要加强施工期的余土和建筑垃圾的管理，施工单位应当规范运输，不能随意倾倒、堆放建筑垃圾。施工结束后，应及时清运建筑垃圾。对建筑垃圾中的土建施工垃圾，可以就地填埋处理（可用于地基或低洼地的回填）；安装施工的金属垃圾要进行回收。总之，施工期的固体废物应送到指定处置场所堆放或处置。</w:t>
            </w:r>
          </w:p>
          <w:p w14:paraId="5A16838D">
            <w:pPr>
              <w:ind w:firstLine="480"/>
            </w:pPr>
            <w:r>
              <w:t>5、 施工期振动防治措施</w:t>
            </w:r>
          </w:p>
          <w:p w14:paraId="3605578D">
            <w:pPr>
              <w:ind w:firstLine="480"/>
              <w:rPr>
                <w:kern w:val="2"/>
              </w:rPr>
            </w:pPr>
            <w:r>
              <w:t>科学的施工现场布局是降低施工振动的重要途径，充分考虑现场布置与环境的关系，选择环境要求较低的位置作为固定制件制作场地；施工车辆，特别是中型运输车辆的运行通路应尽量避开振动敏感区域；靠近居民住宅等敏感区段施工时，夜间禁止使用打桩机等强振动机械；做好施工人员的环境保护意识教育，倡导文明施工的自觉性。</w:t>
            </w:r>
          </w:p>
        </w:tc>
      </w:tr>
      <w:tr w14:paraId="51BD12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32" w:hRule="atLeast"/>
          <w:jc w:val="center"/>
        </w:trPr>
        <w:tc>
          <w:tcPr>
            <w:tcW w:w="163" w:type="pct"/>
            <w:tcMar>
              <w:left w:w="28" w:type="dxa"/>
              <w:right w:w="28" w:type="dxa"/>
            </w:tcMar>
            <w:vAlign w:val="center"/>
          </w:tcPr>
          <w:p w14:paraId="7A9F0B76">
            <w:pPr>
              <w:spacing w:line="240" w:lineRule="atLeast"/>
              <w:ind w:firstLine="0" w:firstLineChars="0"/>
              <w:jc w:val="center"/>
              <w:rPr>
                <w:kern w:val="2"/>
              </w:rPr>
            </w:pPr>
            <w:r>
              <w:rPr>
                <w:kern w:val="2"/>
              </w:rPr>
              <w:br w:type="page"/>
            </w:r>
            <w:r>
              <w:rPr>
                <w:kern w:val="2"/>
              </w:rPr>
              <w:t>运营</w:t>
            </w:r>
          </w:p>
          <w:p w14:paraId="5BF374D1">
            <w:pPr>
              <w:pStyle w:val="11"/>
              <w:spacing w:line="240" w:lineRule="atLeast"/>
              <w:rPr>
                <w:rFonts w:ascii="Times New Roman" w:hAnsi="Times New Roman"/>
                <w:kern w:val="2"/>
              </w:rPr>
            </w:pPr>
            <w:r>
              <w:rPr>
                <w:rFonts w:ascii="Times New Roman" w:hAnsi="Times New Roman"/>
                <w:kern w:val="2"/>
              </w:rPr>
              <w:t>期环</w:t>
            </w:r>
          </w:p>
          <w:p w14:paraId="642E99E1">
            <w:pPr>
              <w:pStyle w:val="11"/>
              <w:spacing w:line="240" w:lineRule="atLeast"/>
              <w:rPr>
                <w:rFonts w:ascii="Times New Roman" w:hAnsi="Times New Roman"/>
                <w:kern w:val="2"/>
              </w:rPr>
            </w:pPr>
            <w:r>
              <w:rPr>
                <w:rFonts w:ascii="Times New Roman" w:hAnsi="Times New Roman"/>
                <w:kern w:val="2"/>
              </w:rPr>
              <w:t>境影</w:t>
            </w:r>
          </w:p>
          <w:p w14:paraId="0EDE0339">
            <w:pPr>
              <w:pStyle w:val="11"/>
              <w:spacing w:line="240" w:lineRule="atLeast"/>
              <w:rPr>
                <w:rFonts w:ascii="Times New Roman" w:hAnsi="Times New Roman"/>
                <w:kern w:val="2"/>
              </w:rPr>
            </w:pPr>
            <w:r>
              <w:rPr>
                <w:rFonts w:ascii="Times New Roman" w:hAnsi="Times New Roman"/>
                <w:kern w:val="2"/>
              </w:rPr>
              <w:t>响和</w:t>
            </w:r>
          </w:p>
          <w:p w14:paraId="4A1A049F">
            <w:pPr>
              <w:pStyle w:val="11"/>
              <w:spacing w:line="240" w:lineRule="atLeast"/>
              <w:rPr>
                <w:rFonts w:ascii="Times New Roman" w:hAnsi="Times New Roman"/>
                <w:kern w:val="2"/>
              </w:rPr>
            </w:pPr>
            <w:r>
              <w:rPr>
                <w:rFonts w:ascii="Times New Roman" w:hAnsi="Times New Roman"/>
                <w:kern w:val="2"/>
              </w:rPr>
              <w:t>保护</w:t>
            </w:r>
          </w:p>
          <w:p w14:paraId="150C49B0">
            <w:pPr>
              <w:pStyle w:val="11"/>
              <w:spacing w:line="240" w:lineRule="atLeast"/>
              <w:rPr>
                <w:rFonts w:ascii="Times New Roman" w:hAnsi="Times New Roman"/>
                <w:kern w:val="2"/>
              </w:rPr>
            </w:pPr>
            <w:r>
              <w:rPr>
                <w:rFonts w:ascii="Times New Roman" w:hAnsi="Times New Roman"/>
                <w:kern w:val="2"/>
              </w:rPr>
              <w:t>措施</w:t>
            </w:r>
          </w:p>
        </w:tc>
        <w:tc>
          <w:tcPr>
            <w:tcW w:w="4836" w:type="pct"/>
            <w:vAlign w:val="center"/>
          </w:tcPr>
          <w:p w14:paraId="6C240736">
            <w:pPr>
              <w:pStyle w:val="6"/>
              <w:rPr>
                <w:rFonts w:hint="default"/>
              </w:rPr>
            </w:pPr>
            <w:r>
              <w:rPr>
                <w:rFonts w:hint="default"/>
              </w:rPr>
              <w:t>一、废气</w:t>
            </w:r>
          </w:p>
          <w:p w14:paraId="49090E21">
            <w:pPr>
              <w:pStyle w:val="21"/>
              <w:widowControl w:val="0"/>
              <w:spacing w:before="0" w:beforeAutospacing="0" w:after="0" w:afterAutospacing="0"/>
              <w:ind w:firstLine="482"/>
              <w:rPr>
                <w:rFonts w:ascii="Times New Roman" w:hAnsi="Times New Roman"/>
                <w:b/>
                <w:szCs w:val="24"/>
              </w:rPr>
            </w:pPr>
            <w:r>
              <w:rPr>
                <w:rFonts w:ascii="Times New Roman" w:hAnsi="Times New Roman"/>
                <w:b/>
                <w:szCs w:val="24"/>
                <w:lang w:bidi="ar"/>
              </w:rPr>
              <w:t>1、废气源强核算</w:t>
            </w:r>
          </w:p>
          <w:p w14:paraId="3A1F2A1B">
            <w:pPr>
              <w:ind w:firstLine="480"/>
            </w:pPr>
            <w:r>
              <w:rPr>
                <w:lang w:bidi="ar"/>
              </w:rPr>
              <w:t>本项目废气来源于开料、机加工、焊接、喷粉、喷砂、电泳、电泳烘干等工艺所产生的粉尘、烟尘及有机废气。</w:t>
            </w:r>
          </w:p>
          <w:p w14:paraId="79EA0B4C">
            <w:pPr>
              <w:ind w:firstLine="482"/>
              <w:rPr>
                <w:b/>
                <w:bCs/>
                <w:lang w:bidi="ar"/>
              </w:rPr>
            </w:pPr>
            <w:r>
              <w:rPr>
                <w:b/>
                <w:bCs/>
                <w:lang w:bidi="ar"/>
              </w:rPr>
              <w:t>（一）开料粉尘核算及废气收集处理</w:t>
            </w:r>
          </w:p>
          <w:p w14:paraId="6A9430B7">
            <w:pPr>
              <w:ind w:firstLine="480"/>
              <w:rPr>
                <w:lang w:bidi="ar"/>
              </w:rPr>
            </w:pPr>
            <w:r>
              <w:rPr>
                <w:lang w:bidi="ar"/>
              </w:rPr>
              <w:t>开料工序生产过程中会产生金属粉尘，根据《排放源统计调查产排污核算方法和系数手册》（公告2021年第24号）中《34 通用设备制造行业系数手册》中的04下料“钢板、铝板、铝合金板、其它金属材料—等离子切割”颗粒物的产污系数为1.1千克/吨-原料。项目生产使用的钢材总用量为18290.715t/a。则粉尘产生量为20.11t/a。</w:t>
            </w:r>
          </w:p>
          <w:p w14:paraId="387BB587">
            <w:pPr>
              <w:ind w:firstLine="480"/>
              <w:rPr>
                <w:lang w:bidi="ar"/>
              </w:rPr>
            </w:pPr>
            <w:r>
              <w:rPr>
                <w:rFonts w:hint="default"/>
                <w:lang w:bidi="ar"/>
              </w:rPr>
              <w:t>根据《大气污染物综合排放标准》</w:t>
            </w:r>
            <w:r>
              <w:rPr>
                <w:rFonts w:hint="default"/>
                <w:lang w:eastAsia="zh-CN" w:bidi="ar"/>
              </w:rPr>
              <w:t>（GB-16297）</w:t>
            </w:r>
            <w:r>
              <w:rPr>
                <w:rFonts w:hint="default"/>
                <w:lang w:bidi="ar"/>
              </w:rPr>
              <w:t>复核调研和国家环保总局《大污染物排放达标技术指南》课题调查资料表明，调研的国内6个机加工企业</w:t>
            </w:r>
            <w:r>
              <w:rPr>
                <w:rFonts w:hint="default"/>
                <w:lang w:eastAsia="zh-CN" w:bidi="ar"/>
              </w:rPr>
              <w:t>，</w:t>
            </w:r>
            <w:r>
              <w:rPr>
                <w:rFonts w:hint="default"/>
                <w:lang w:bidi="ar"/>
              </w:rPr>
              <w:t>由于金属颗粒物质量较重粉尘比重和粒径较大，且车间厂房阻拦，颗粒物散落范</w:t>
            </w:r>
            <w:r>
              <w:rPr>
                <w:rFonts w:hint="default"/>
                <w:lang w:val="en-US" w:eastAsia="zh-CN" w:bidi="ar"/>
              </w:rPr>
              <w:t>围</w:t>
            </w:r>
            <w:r>
              <w:rPr>
                <w:rFonts w:hint="default"/>
                <w:lang w:bidi="ar"/>
              </w:rPr>
              <w:t>很小，多在机加工车床周围5m以内，飘逸至车间外环境的金属颗粒物很少基本沉降在车间内</w:t>
            </w:r>
            <w:r>
              <w:rPr>
                <w:rFonts w:hint="default"/>
                <w:lang w:eastAsia="zh-CN" w:bidi="ar"/>
              </w:rPr>
              <w:t>（约90%）</w:t>
            </w:r>
            <w:r>
              <w:rPr>
                <w:rFonts w:hint="default"/>
                <w:lang w:bidi="ar"/>
              </w:rPr>
              <w:t>，沉降部分及时清理后作为金属屑处理，极少部分</w:t>
            </w:r>
            <w:r>
              <w:rPr>
                <w:rFonts w:hint="default"/>
                <w:lang w:eastAsia="zh-CN" w:bidi="ar"/>
              </w:rPr>
              <w:t>（10%）</w:t>
            </w:r>
            <w:r>
              <w:rPr>
                <w:rFonts w:hint="default"/>
                <w:lang w:bidi="ar"/>
              </w:rPr>
              <w:t>扩散至大气中形成粉尘飘逸至车间外，即下料粉尘约</w:t>
            </w:r>
            <w:r>
              <w:rPr>
                <w:rFonts w:hint="default"/>
                <w:lang w:val="en-US" w:eastAsia="zh-CN" w:bidi="ar"/>
              </w:rPr>
              <w:t>18.1</w:t>
            </w:r>
            <w:r>
              <w:rPr>
                <w:rFonts w:hint="default"/>
                <w:lang w:bidi="ar"/>
              </w:rPr>
              <w:t>t</w:t>
            </w:r>
            <w:r>
              <w:rPr>
                <w:rFonts w:hint="default"/>
                <w:lang w:val="en-US" w:eastAsia="zh-CN" w:bidi="ar"/>
              </w:rPr>
              <w:t>/</w:t>
            </w:r>
            <w:r>
              <w:rPr>
                <w:rFonts w:hint="default"/>
                <w:lang w:bidi="ar"/>
              </w:rPr>
              <w:t>a在车间内</w:t>
            </w:r>
            <w:r>
              <w:rPr>
                <w:rFonts w:hint="default"/>
                <w:lang w:val="en-US" w:eastAsia="zh-CN" w:bidi="ar"/>
              </w:rPr>
              <w:t>沉</w:t>
            </w:r>
            <w:r>
              <w:rPr>
                <w:rFonts w:hint="default"/>
                <w:lang w:bidi="ar"/>
              </w:rPr>
              <w:t>降，</w:t>
            </w:r>
            <w:r>
              <w:rPr>
                <w:rFonts w:hint="default"/>
                <w:lang w:val="en-US" w:eastAsia="zh-CN" w:bidi="ar"/>
              </w:rPr>
              <w:t>2.011</w:t>
            </w:r>
            <w:r>
              <w:rPr>
                <w:rFonts w:hint="default"/>
                <w:lang w:bidi="ar"/>
              </w:rPr>
              <w:t>t</w:t>
            </w:r>
            <w:r>
              <w:rPr>
                <w:rFonts w:hint="default"/>
                <w:lang w:val="en-US" w:eastAsia="zh-CN" w:bidi="ar"/>
              </w:rPr>
              <w:t>/</w:t>
            </w:r>
            <w:r>
              <w:rPr>
                <w:rFonts w:hint="default"/>
                <w:lang w:bidi="ar"/>
              </w:rPr>
              <w:t>a无组织排放。</w:t>
            </w:r>
          </w:p>
          <w:p w14:paraId="1284EC46">
            <w:pPr>
              <w:ind w:firstLine="482"/>
              <w:rPr>
                <w:lang w:bidi="ar"/>
              </w:rPr>
            </w:pPr>
            <w:r>
              <w:rPr>
                <w:b/>
                <w:bCs/>
                <w:lang w:bidi="ar"/>
              </w:rPr>
              <w:t>（二）机加工粉尘核算及废气收集处理</w:t>
            </w:r>
          </w:p>
          <w:p w14:paraId="777ECEED">
            <w:pPr>
              <w:ind w:firstLine="480"/>
              <w:rPr>
                <w:lang w:bidi="ar"/>
              </w:rPr>
            </w:pPr>
            <w:r>
              <w:rPr>
                <w:lang w:bidi="ar"/>
              </w:rPr>
              <w:t>机加工粉尘产生情况：项目机加工粉尘主要为管材加工、成品加工。其中管材加工产生打磨、抛光粉尘；成品加工中的打磨粉尘。</w:t>
            </w:r>
          </w:p>
          <w:p w14:paraId="487D4F6D">
            <w:pPr>
              <w:ind w:firstLine="480"/>
              <w:rPr>
                <w:lang w:bidi="ar"/>
              </w:rPr>
            </w:pPr>
            <w:r>
              <w:rPr>
                <w:lang w:bidi="ar"/>
              </w:rPr>
              <w:t>a、打磨粉尘：根据《排放源统计调查产排污核算方法和系数手册》（公告2021年第24号）中《34 通用设备制造行业系数手册》中的06预处理“钢材（含板材、构件等）、铝材（含板材、构件等）、铝合金（含板材、构件等）、铁材、其它金属材料—抛丸、喷砂、打磨、滚筒”颗粒物的产污系数为2.19千克/吨-原料；本项目产品部件总质量约为18272.605t/a（下料过程钢材损耗0.1%，即18.11t/a），其中打磨的部位仅焊接处，根据建设单位经验，打磨量约占总钢材量的1%，既182.73t/a，则打磨粉尘产生量为0.4002t/a。</w:t>
            </w:r>
          </w:p>
          <w:p w14:paraId="5757A875">
            <w:pPr>
              <w:ind w:firstLine="480"/>
              <w:rPr>
                <w:lang w:bidi="ar"/>
              </w:rPr>
            </w:pPr>
            <w:r>
              <w:rPr>
                <w:lang w:bidi="ar"/>
              </w:rPr>
              <w:t>b、抛光粉尘：根据《排放源统计调查产排污核算方法和系数手册》（公告2021年第24号）中《34 通用设备制造行业系数手册》中的06预处理“钢材（含板材、构件等）、铝材（含板材、构件等）、铝合金（含板材、构件等）、铁材、其它金属材料—抛丸、喷砂、打磨、滚筒”颗粒物的产污系数为2.19千克/吨-原料；本项采用布轮、麻轮对管材焊接处抛光。项目管材量约为17903.27t/a（下料过程钢材损耗1%，即17.92t/a），其中抛光的部位仅焊接处，根据建设单位经验，抛光量约占总管材量的1%，既179.03t/a；项目布轮、麻轮使用量为6.01t/a。则抛光粉尘产生量为0.4053t/a。</w:t>
            </w:r>
          </w:p>
          <w:p w14:paraId="32360736">
            <w:pPr>
              <w:ind w:firstLine="480"/>
              <w:rPr>
                <w:kern w:val="2"/>
              </w:rPr>
            </w:pPr>
            <w:r>
              <w:rPr>
                <w:kern w:val="2"/>
              </w:rPr>
              <w:t>综上，项目机加工粉尘产生量为0.8055t/a。</w:t>
            </w:r>
          </w:p>
          <w:p w14:paraId="31C13B15">
            <w:pPr>
              <w:ind w:firstLine="480"/>
            </w:pPr>
            <w:r>
              <w:rPr>
                <w:lang w:bidi="ar"/>
              </w:rPr>
              <w:t>项目拟在机加工区设置移动式布袋除尘器收集处理粉尘，设计收集风量为2000m</w:t>
            </w:r>
            <w:r>
              <w:rPr>
                <w:vertAlign w:val="superscript"/>
                <w:lang w:bidi="ar"/>
              </w:rPr>
              <w:t>3</w:t>
            </w:r>
            <w:r>
              <w:rPr>
                <w:lang w:bidi="ar"/>
              </w:rPr>
              <w:t>/h，粉尘经处理后无组织排放于车间内。参考《排放源统计调查产排污核算方法和系数手册》（公告2021年第24号）中《34 通用设备制造行业系数手册》中的颗粒物采用袋式除尘处理效率为95%。则本项目机加工粉尘处理效率按95%计。</w:t>
            </w:r>
          </w:p>
          <w:p w14:paraId="2D311111">
            <w:pPr>
              <w:ind w:firstLine="480"/>
              <w:rPr>
                <w:lang w:bidi="ar"/>
              </w:rPr>
            </w:pPr>
            <w:r>
              <w:rPr>
                <w:lang w:bidi="ar"/>
              </w:rPr>
              <w:t>参考《广东省工业源挥发性有机物减排量核算方法（2023年修订版）》表3.3-2废气收集集气效率参考值中，“外部集气罩-相应工位所有VOCs逸散点控制风速不小于0.3m/s”收集效率30%。本项目机加工工序在非密闭空间区域内无组织排放但通过抽风设施排入处理设施，且采用外部集气罩作为废气收集系统，故机加工粉尘的收集效率为30%。</w:t>
            </w:r>
          </w:p>
          <w:p w14:paraId="6B0C74D1">
            <w:pPr>
              <w:ind w:firstLine="482"/>
              <w:rPr>
                <w:lang w:bidi="ar"/>
              </w:rPr>
            </w:pPr>
            <w:r>
              <w:rPr>
                <w:b/>
                <w:bCs/>
                <w:lang w:bidi="ar"/>
              </w:rPr>
              <w:t>（三）焊接烟尘核算及废气收集处理</w:t>
            </w:r>
          </w:p>
          <w:p w14:paraId="6B84C104">
            <w:pPr>
              <w:ind w:firstLine="480"/>
              <w:rPr>
                <w:lang w:bidi="ar"/>
              </w:rPr>
            </w:pPr>
            <w:r>
              <w:rPr>
                <w:lang w:bidi="ar"/>
              </w:rPr>
              <w:t>根据《排放源统计调查产排污核算方法和系数手册》（公告2021年第24号）中《33-37,431-434 机械行业系数手册》的09焊接“实芯焊丝—二氧化碳保护焊、埋弧焊、氩弧焊”颗粒物的产污系数为9.19千克/吨-原料。项目焊丝年用量为3t/a，因此焊接烟尘产生量为0.0276t/a。</w:t>
            </w:r>
          </w:p>
          <w:p w14:paraId="6D139F1D">
            <w:pPr>
              <w:ind w:firstLine="480"/>
              <w:rPr>
                <w:lang w:bidi="ar"/>
              </w:rPr>
            </w:pPr>
            <w:r>
              <w:rPr>
                <w:lang w:bidi="ar"/>
              </w:rPr>
              <w:t>项目拟设置移动式焊接烟尘净化器，设计收集风量为2000m</w:t>
            </w:r>
            <w:r>
              <w:rPr>
                <w:vertAlign w:val="superscript"/>
                <w:lang w:bidi="ar"/>
              </w:rPr>
              <w:t>3</w:t>
            </w:r>
            <w:r>
              <w:rPr>
                <w:lang w:bidi="ar"/>
              </w:rPr>
              <w:t>/h，焊接烟尘经处理后无组织排放于车间内。参考《排放源统计调查产排污核算方法和系数手册》（公告2021年第24号）中《34 通用设备制造行业系数手册》中的颗粒物采用袋式除尘处理效率为95%。则本项目焊接烟尘处理效率按95%计。</w:t>
            </w:r>
          </w:p>
          <w:p w14:paraId="3DF3CF90">
            <w:pPr>
              <w:ind w:firstLine="480"/>
              <w:rPr>
                <w:lang w:bidi="ar"/>
              </w:rPr>
            </w:pPr>
            <w:r>
              <w:rPr>
                <w:lang w:bidi="ar"/>
              </w:rPr>
              <w:t>参考《广东省工业源挥发性有机物减排量核算方法（2023年修订版）》表3.3-2废气收集集气效率参考值中，“外部集气罩-相应工位所有VOCs逸散点控制风速不小于0.3m/s”收集效率30%。本项目焊接工序在非密闭空间区域内无组织排放但通过抽风设施排入处理设施，且采用外部集气罩作为废气收集系统，故机烟尘的收集效率为30%。则项目烟尘总产生量为0.0276t/a，无组织排放量为0.0197t/a。</w:t>
            </w:r>
          </w:p>
          <w:p w14:paraId="08A08F2C">
            <w:pPr>
              <w:pStyle w:val="22"/>
              <w:rPr>
                <w:kern w:val="0"/>
                <w:szCs w:val="24"/>
              </w:rPr>
            </w:pPr>
            <w:r>
              <w:rPr>
                <w:kern w:val="0"/>
                <w:szCs w:val="24"/>
                <w:lang w:bidi="ar"/>
              </w:rPr>
              <w:t>表4-1 项目开料、机加工、焊接粉尘产排情况一览表</w:t>
            </w:r>
          </w:p>
          <w:tbl>
            <w:tblPr>
              <w:tblStyle w:val="23"/>
              <w:tblW w:w="4986"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149"/>
              <w:gridCol w:w="2092"/>
              <w:gridCol w:w="2143"/>
              <w:gridCol w:w="2203"/>
              <w:gridCol w:w="9"/>
            </w:tblGrid>
            <w:tr w14:paraId="4ECD1F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250" w:type="pct"/>
                  <w:tcBorders>
                    <w:top w:val="single" w:color="auto" w:sz="4" w:space="0"/>
                    <w:left w:val="single" w:color="auto" w:sz="4" w:space="0"/>
                    <w:bottom w:val="single" w:color="auto" w:sz="4" w:space="0"/>
                    <w:right w:val="single" w:color="auto" w:sz="4" w:space="0"/>
                  </w:tcBorders>
                  <w:vAlign w:val="center"/>
                </w:tcPr>
                <w:p w14:paraId="10BAAFF0">
                  <w:pPr>
                    <w:pStyle w:val="41"/>
                    <w:rPr>
                      <w:b/>
                      <w:bCs/>
                    </w:rPr>
                  </w:pPr>
                  <w:r>
                    <w:rPr>
                      <w:b/>
                      <w:bCs/>
                    </w:rPr>
                    <w:t>车间</w:t>
                  </w:r>
                </w:p>
              </w:tc>
              <w:tc>
                <w:tcPr>
                  <w:tcW w:w="3749" w:type="pct"/>
                  <w:gridSpan w:val="4"/>
                  <w:tcBorders>
                    <w:top w:val="single" w:color="000000" w:sz="2" w:space="0"/>
                    <w:left w:val="nil"/>
                    <w:bottom w:val="single" w:color="auto" w:sz="4" w:space="0"/>
                    <w:right w:val="single" w:color="000000" w:sz="2" w:space="0"/>
                  </w:tcBorders>
                  <w:vAlign w:val="center"/>
                </w:tcPr>
                <w:p w14:paraId="06090749">
                  <w:pPr>
                    <w:pStyle w:val="41"/>
                    <w:rPr>
                      <w:b/>
                      <w:bCs/>
                    </w:rPr>
                  </w:pPr>
                  <w:r>
                    <w:rPr>
                      <w:b/>
                      <w:bCs/>
                    </w:rPr>
                    <w:t>B厂房</w:t>
                  </w:r>
                </w:p>
              </w:tc>
            </w:tr>
            <w:tr w14:paraId="67B261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250" w:type="pct"/>
                  <w:vMerge w:val="restart"/>
                  <w:tcBorders>
                    <w:top w:val="nil"/>
                    <w:left w:val="single" w:color="auto" w:sz="4" w:space="0"/>
                    <w:bottom w:val="single" w:color="auto" w:sz="4" w:space="0"/>
                    <w:right w:val="single" w:color="auto" w:sz="4" w:space="0"/>
                  </w:tcBorders>
                  <w:vAlign w:val="center"/>
                </w:tcPr>
                <w:p w14:paraId="5899C68F">
                  <w:pPr>
                    <w:pStyle w:val="41"/>
                  </w:pPr>
                  <w:r>
                    <w:t>污染物</w:t>
                  </w:r>
                </w:p>
              </w:tc>
              <w:tc>
                <w:tcPr>
                  <w:tcW w:w="1217" w:type="pct"/>
                  <w:tcBorders>
                    <w:top w:val="single" w:color="auto" w:sz="4" w:space="0"/>
                    <w:left w:val="single" w:color="auto" w:sz="4" w:space="0"/>
                    <w:bottom w:val="single" w:color="auto" w:sz="4" w:space="0"/>
                    <w:right w:val="single" w:color="auto" w:sz="4" w:space="0"/>
                  </w:tcBorders>
                  <w:vAlign w:val="center"/>
                </w:tcPr>
                <w:p w14:paraId="7238A2C6">
                  <w:pPr>
                    <w:pStyle w:val="41"/>
                  </w:pPr>
                  <w:r>
                    <w:t>开料</w:t>
                  </w:r>
                </w:p>
              </w:tc>
              <w:tc>
                <w:tcPr>
                  <w:tcW w:w="1246" w:type="pct"/>
                  <w:tcBorders>
                    <w:top w:val="single" w:color="auto" w:sz="4" w:space="0"/>
                    <w:left w:val="single" w:color="auto" w:sz="4" w:space="0"/>
                    <w:bottom w:val="single" w:color="auto" w:sz="4" w:space="0"/>
                    <w:right w:val="single" w:color="000000" w:sz="2" w:space="0"/>
                  </w:tcBorders>
                  <w:vAlign w:val="center"/>
                </w:tcPr>
                <w:p w14:paraId="56D5BADE">
                  <w:pPr>
                    <w:pStyle w:val="41"/>
                  </w:pPr>
                  <w:r>
                    <w:t>机加工</w:t>
                  </w:r>
                </w:p>
              </w:tc>
              <w:tc>
                <w:tcPr>
                  <w:tcW w:w="1286" w:type="pct"/>
                  <w:gridSpan w:val="2"/>
                  <w:tcBorders>
                    <w:top w:val="single" w:color="auto" w:sz="4" w:space="0"/>
                    <w:left w:val="single" w:color="auto" w:sz="4" w:space="0"/>
                    <w:bottom w:val="single" w:color="auto" w:sz="4" w:space="0"/>
                    <w:right w:val="single" w:color="000000" w:sz="2" w:space="0"/>
                  </w:tcBorders>
                  <w:vAlign w:val="center"/>
                </w:tcPr>
                <w:p w14:paraId="1F92BD77">
                  <w:pPr>
                    <w:pStyle w:val="41"/>
                  </w:pPr>
                  <w:r>
                    <w:t>焊接</w:t>
                  </w:r>
                </w:p>
              </w:tc>
            </w:tr>
            <w:tr w14:paraId="7C2C6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250" w:type="pct"/>
                  <w:vMerge w:val="continue"/>
                  <w:tcBorders>
                    <w:top w:val="nil"/>
                    <w:left w:val="single" w:color="auto" w:sz="4" w:space="0"/>
                    <w:bottom w:val="single" w:color="auto" w:sz="4" w:space="0"/>
                    <w:right w:val="single" w:color="auto" w:sz="4" w:space="0"/>
                  </w:tcBorders>
                  <w:vAlign w:val="center"/>
                </w:tcPr>
                <w:p w14:paraId="1A6C1162">
                  <w:pPr>
                    <w:pStyle w:val="41"/>
                  </w:pPr>
                </w:p>
              </w:tc>
              <w:tc>
                <w:tcPr>
                  <w:tcW w:w="3749" w:type="pct"/>
                  <w:gridSpan w:val="4"/>
                  <w:tcBorders>
                    <w:top w:val="single" w:color="auto" w:sz="4" w:space="0"/>
                    <w:left w:val="single" w:color="auto" w:sz="4" w:space="0"/>
                    <w:bottom w:val="single" w:color="auto" w:sz="4" w:space="0"/>
                    <w:right w:val="single" w:color="000000" w:sz="2" w:space="0"/>
                  </w:tcBorders>
                  <w:vAlign w:val="center"/>
                </w:tcPr>
                <w:p w14:paraId="4DF318AE">
                  <w:pPr>
                    <w:pStyle w:val="41"/>
                  </w:pPr>
                  <w:r>
                    <w:t>颗粒物</w:t>
                  </w:r>
                </w:p>
              </w:tc>
            </w:tr>
            <w:tr w14:paraId="30F92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auto" w:sz="4" w:space="0"/>
                    <w:left w:val="single" w:color="000000" w:sz="2" w:space="0"/>
                    <w:bottom w:val="single" w:color="000000" w:sz="2" w:space="0"/>
                    <w:right w:val="single" w:color="000000" w:sz="2" w:space="0"/>
                  </w:tcBorders>
                  <w:vAlign w:val="center"/>
                </w:tcPr>
                <w:p w14:paraId="7266721D">
                  <w:pPr>
                    <w:pStyle w:val="41"/>
                  </w:pPr>
                  <w:r>
                    <w:t>产生量 t/a</w:t>
                  </w:r>
                </w:p>
              </w:tc>
              <w:tc>
                <w:tcPr>
                  <w:tcW w:w="1217" w:type="pct"/>
                  <w:tcBorders>
                    <w:top w:val="single" w:color="auto" w:sz="4" w:space="0"/>
                    <w:left w:val="single" w:color="000000" w:sz="2" w:space="0"/>
                    <w:bottom w:val="single" w:color="000000" w:sz="2" w:space="0"/>
                    <w:right w:val="single" w:color="000000" w:sz="2" w:space="0"/>
                  </w:tcBorders>
                  <w:vAlign w:val="center"/>
                </w:tcPr>
                <w:p w14:paraId="203F54EE">
                  <w:pPr>
                    <w:pStyle w:val="41"/>
                  </w:pPr>
                  <w:r>
                    <w:t>20.11</w:t>
                  </w:r>
                </w:p>
              </w:tc>
              <w:tc>
                <w:tcPr>
                  <w:tcW w:w="1246" w:type="pct"/>
                  <w:tcBorders>
                    <w:top w:val="single" w:color="auto" w:sz="4" w:space="0"/>
                    <w:left w:val="single" w:color="000000" w:sz="2" w:space="0"/>
                    <w:bottom w:val="single" w:color="000000" w:sz="2" w:space="0"/>
                    <w:right w:val="single" w:color="000000" w:sz="2" w:space="0"/>
                  </w:tcBorders>
                  <w:vAlign w:val="center"/>
                </w:tcPr>
                <w:p w14:paraId="528757B7">
                  <w:pPr>
                    <w:pStyle w:val="20"/>
                  </w:pPr>
                  <w:r>
                    <w:t>0.8055</w:t>
                  </w:r>
                </w:p>
              </w:tc>
              <w:tc>
                <w:tcPr>
                  <w:tcW w:w="1280" w:type="pct"/>
                  <w:tcBorders>
                    <w:top w:val="single" w:color="000000" w:sz="2" w:space="0"/>
                    <w:left w:val="single" w:color="000000" w:sz="2" w:space="0"/>
                    <w:bottom w:val="single" w:color="000000" w:sz="2" w:space="0"/>
                    <w:right w:val="single" w:color="000000" w:sz="2" w:space="0"/>
                  </w:tcBorders>
                  <w:vAlign w:val="center"/>
                </w:tcPr>
                <w:p w14:paraId="1F77CD76">
                  <w:pPr>
                    <w:pStyle w:val="41"/>
                  </w:pPr>
                  <w:r>
                    <w:t>0.0276</w:t>
                  </w:r>
                </w:p>
              </w:tc>
            </w:tr>
            <w:tr w14:paraId="1C49D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75146C2A">
                  <w:pPr>
                    <w:pStyle w:val="41"/>
                  </w:pPr>
                  <w:r>
                    <w:t>工作时长 h</w:t>
                  </w:r>
                </w:p>
              </w:tc>
              <w:tc>
                <w:tcPr>
                  <w:tcW w:w="1217" w:type="pct"/>
                  <w:tcBorders>
                    <w:top w:val="single" w:color="000000" w:sz="2" w:space="0"/>
                    <w:left w:val="single" w:color="000000" w:sz="2" w:space="0"/>
                    <w:bottom w:val="single" w:color="000000" w:sz="2" w:space="0"/>
                    <w:right w:val="single" w:color="000000" w:sz="2" w:space="0"/>
                  </w:tcBorders>
                  <w:vAlign w:val="center"/>
                </w:tcPr>
                <w:p w14:paraId="0BC4EEE3">
                  <w:pPr>
                    <w:pStyle w:val="41"/>
                  </w:pPr>
                  <w:r>
                    <w:t>4800</w:t>
                  </w:r>
                </w:p>
              </w:tc>
              <w:tc>
                <w:tcPr>
                  <w:tcW w:w="1246" w:type="pct"/>
                  <w:tcBorders>
                    <w:top w:val="single" w:color="000000" w:sz="2" w:space="0"/>
                    <w:left w:val="single" w:color="000000" w:sz="2" w:space="0"/>
                    <w:bottom w:val="single" w:color="000000" w:sz="2" w:space="0"/>
                    <w:right w:val="single" w:color="000000" w:sz="2" w:space="0"/>
                  </w:tcBorders>
                  <w:vAlign w:val="center"/>
                </w:tcPr>
                <w:p w14:paraId="29442E79">
                  <w:pPr>
                    <w:pStyle w:val="20"/>
                  </w:pPr>
                  <w:r>
                    <w:t>4800</w:t>
                  </w:r>
                </w:p>
              </w:tc>
              <w:tc>
                <w:tcPr>
                  <w:tcW w:w="1280" w:type="pct"/>
                  <w:tcBorders>
                    <w:top w:val="single" w:color="000000" w:sz="2" w:space="0"/>
                    <w:left w:val="single" w:color="000000" w:sz="2" w:space="0"/>
                    <w:bottom w:val="single" w:color="000000" w:sz="2" w:space="0"/>
                    <w:right w:val="single" w:color="000000" w:sz="2" w:space="0"/>
                  </w:tcBorders>
                  <w:vAlign w:val="center"/>
                </w:tcPr>
                <w:p w14:paraId="5F463048">
                  <w:pPr>
                    <w:pStyle w:val="41"/>
                  </w:pPr>
                  <w:r>
                    <w:t>4800</w:t>
                  </w:r>
                </w:p>
              </w:tc>
            </w:tr>
            <w:tr w14:paraId="4D17CD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7EF57771">
                  <w:pPr>
                    <w:pStyle w:val="41"/>
                  </w:pPr>
                  <w:r>
                    <w:t>产生速率 kg/h</w:t>
                  </w:r>
                </w:p>
              </w:tc>
              <w:tc>
                <w:tcPr>
                  <w:tcW w:w="1217" w:type="pct"/>
                  <w:tcBorders>
                    <w:top w:val="single" w:color="000000" w:sz="2" w:space="0"/>
                    <w:left w:val="single" w:color="000000" w:sz="2" w:space="0"/>
                    <w:bottom w:val="single" w:color="000000" w:sz="2" w:space="0"/>
                    <w:right w:val="single" w:color="000000" w:sz="2" w:space="0"/>
                  </w:tcBorders>
                  <w:vAlign w:val="center"/>
                </w:tcPr>
                <w:p w14:paraId="1F568688">
                  <w:pPr>
                    <w:pStyle w:val="41"/>
                  </w:pPr>
                  <w:r>
                    <w:t>4.1896</w:t>
                  </w:r>
                </w:p>
              </w:tc>
              <w:tc>
                <w:tcPr>
                  <w:tcW w:w="1246" w:type="pct"/>
                  <w:tcBorders>
                    <w:top w:val="single" w:color="000000" w:sz="2" w:space="0"/>
                    <w:left w:val="single" w:color="000000" w:sz="2" w:space="0"/>
                    <w:bottom w:val="single" w:color="000000" w:sz="2" w:space="0"/>
                    <w:right w:val="single" w:color="000000" w:sz="2" w:space="0"/>
                  </w:tcBorders>
                  <w:vAlign w:val="center"/>
                </w:tcPr>
                <w:p w14:paraId="60C5D90E">
                  <w:pPr>
                    <w:pStyle w:val="20"/>
                  </w:pPr>
                  <w:r>
                    <w:t>0.1678</w:t>
                  </w:r>
                </w:p>
              </w:tc>
              <w:tc>
                <w:tcPr>
                  <w:tcW w:w="1280" w:type="pct"/>
                  <w:tcBorders>
                    <w:top w:val="single" w:color="000000" w:sz="2" w:space="0"/>
                    <w:left w:val="single" w:color="000000" w:sz="2" w:space="0"/>
                    <w:bottom w:val="single" w:color="000000" w:sz="2" w:space="0"/>
                    <w:right w:val="single" w:color="000000" w:sz="2" w:space="0"/>
                  </w:tcBorders>
                  <w:vAlign w:val="center"/>
                </w:tcPr>
                <w:p w14:paraId="2CC9B2CE">
                  <w:pPr>
                    <w:pStyle w:val="41"/>
                  </w:pPr>
                  <w:r>
                    <w:t>0.0058</w:t>
                  </w:r>
                </w:p>
              </w:tc>
            </w:tr>
            <w:tr w14:paraId="1F7C4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7299E74E">
                  <w:pPr>
                    <w:pStyle w:val="41"/>
                  </w:pPr>
                  <w:r>
                    <w:t>粉尘收集处理措施</w:t>
                  </w:r>
                </w:p>
              </w:tc>
              <w:tc>
                <w:tcPr>
                  <w:tcW w:w="1217" w:type="pct"/>
                  <w:tcBorders>
                    <w:top w:val="single" w:color="000000" w:sz="2" w:space="0"/>
                    <w:left w:val="single" w:color="000000" w:sz="2" w:space="0"/>
                    <w:bottom w:val="single" w:color="000000" w:sz="2" w:space="0"/>
                    <w:right w:val="single" w:color="000000" w:sz="2" w:space="0"/>
                  </w:tcBorders>
                  <w:vAlign w:val="center"/>
                </w:tcPr>
                <w:p w14:paraId="6A1BCE27">
                  <w:pPr>
                    <w:pStyle w:val="41"/>
                  </w:pPr>
                  <w:r>
                    <w:t>重力沉降、厂房阻隔</w:t>
                  </w:r>
                </w:p>
              </w:tc>
              <w:tc>
                <w:tcPr>
                  <w:tcW w:w="1246" w:type="pct"/>
                  <w:tcBorders>
                    <w:top w:val="single" w:color="000000" w:sz="2" w:space="0"/>
                    <w:left w:val="single" w:color="000000" w:sz="2" w:space="0"/>
                    <w:bottom w:val="single" w:color="000000" w:sz="2" w:space="0"/>
                    <w:right w:val="single" w:color="000000" w:sz="2" w:space="0"/>
                  </w:tcBorders>
                  <w:vAlign w:val="center"/>
                </w:tcPr>
                <w:p w14:paraId="040E0600">
                  <w:pPr>
                    <w:pStyle w:val="20"/>
                  </w:pPr>
                  <w:r>
                    <w:t>移动式布袋除尘器</w:t>
                  </w:r>
                </w:p>
              </w:tc>
              <w:tc>
                <w:tcPr>
                  <w:tcW w:w="1280" w:type="pct"/>
                  <w:tcBorders>
                    <w:top w:val="single" w:color="000000" w:sz="2" w:space="0"/>
                    <w:left w:val="single" w:color="000000" w:sz="2" w:space="0"/>
                    <w:bottom w:val="single" w:color="000000" w:sz="2" w:space="0"/>
                    <w:right w:val="single" w:color="000000" w:sz="2" w:space="0"/>
                  </w:tcBorders>
                  <w:vAlign w:val="center"/>
                </w:tcPr>
                <w:p w14:paraId="2E5C716E">
                  <w:pPr>
                    <w:pStyle w:val="41"/>
                  </w:pPr>
                  <w:r>
                    <w:t>移动式焊接烟尘净化器</w:t>
                  </w:r>
                </w:p>
              </w:tc>
            </w:tr>
            <w:tr w14:paraId="285D3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4FCD2D27">
                  <w:pPr>
                    <w:pStyle w:val="41"/>
                  </w:pPr>
                  <w:r>
                    <w:t>收集效率</w:t>
                  </w:r>
                </w:p>
              </w:tc>
              <w:tc>
                <w:tcPr>
                  <w:tcW w:w="1217" w:type="pct"/>
                  <w:tcBorders>
                    <w:top w:val="single" w:color="000000" w:sz="2" w:space="0"/>
                    <w:left w:val="single" w:color="000000" w:sz="2" w:space="0"/>
                    <w:bottom w:val="single" w:color="000000" w:sz="2" w:space="0"/>
                    <w:right w:val="single" w:color="000000" w:sz="2" w:space="0"/>
                  </w:tcBorders>
                  <w:vAlign w:val="center"/>
                </w:tcPr>
                <w:p w14:paraId="6AFF5468">
                  <w:pPr>
                    <w:pStyle w:val="41"/>
                  </w:pPr>
                  <w:r>
                    <w:t>90%</w:t>
                  </w:r>
                  <w:r>
                    <w:rPr>
                      <w:vertAlign w:val="superscript"/>
                    </w:rPr>
                    <w:t>①</w:t>
                  </w:r>
                </w:p>
              </w:tc>
              <w:tc>
                <w:tcPr>
                  <w:tcW w:w="1246" w:type="pct"/>
                  <w:tcBorders>
                    <w:top w:val="single" w:color="000000" w:sz="2" w:space="0"/>
                    <w:left w:val="single" w:color="000000" w:sz="2" w:space="0"/>
                    <w:bottom w:val="single" w:color="000000" w:sz="2" w:space="0"/>
                    <w:right w:val="single" w:color="000000" w:sz="2" w:space="0"/>
                  </w:tcBorders>
                  <w:vAlign w:val="center"/>
                </w:tcPr>
                <w:p w14:paraId="511580C4">
                  <w:pPr>
                    <w:pStyle w:val="20"/>
                  </w:pPr>
                  <w:r>
                    <w:t>30%</w:t>
                  </w:r>
                </w:p>
              </w:tc>
              <w:tc>
                <w:tcPr>
                  <w:tcW w:w="1280" w:type="pct"/>
                  <w:tcBorders>
                    <w:top w:val="single" w:color="000000" w:sz="2" w:space="0"/>
                    <w:left w:val="single" w:color="000000" w:sz="2" w:space="0"/>
                    <w:bottom w:val="single" w:color="000000" w:sz="2" w:space="0"/>
                    <w:right w:val="single" w:color="000000" w:sz="2" w:space="0"/>
                  </w:tcBorders>
                  <w:vAlign w:val="center"/>
                </w:tcPr>
                <w:p w14:paraId="259DFAA6">
                  <w:pPr>
                    <w:pStyle w:val="41"/>
                  </w:pPr>
                  <w:r>
                    <w:t>30%</w:t>
                  </w:r>
                </w:p>
              </w:tc>
            </w:tr>
            <w:tr w14:paraId="343E17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7E00CBC4">
                  <w:pPr>
                    <w:pStyle w:val="41"/>
                  </w:pPr>
                  <w:r>
                    <w:t>处理效率</w:t>
                  </w:r>
                </w:p>
              </w:tc>
              <w:tc>
                <w:tcPr>
                  <w:tcW w:w="1217" w:type="pct"/>
                  <w:tcBorders>
                    <w:top w:val="single" w:color="000000" w:sz="2" w:space="0"/>
                    <w:left w:val="single" w:color="000000" w:sz="2" w:space="0"/>
                    <w:bottom w:val="single" w:color="000000" w:sz="2" w:space="0"/>
                    <w:right w:val="single" w:color="000000" w:sz="2" w:space="0"/>
                  </w:tcBorders>
                  <w:vAlign w:val="center"/>
                </w:tcPr>
                <w:p w14:paraId="02D98801">
                  <w:pPr>
                    <w:pStyle w:val="41"/>
                    <w:rPr>
                      <w:rFonts w:hint="default" w:eastAsia="宋体"/>
                      <w:lang w:eastAsia="zh-CN"/>
                    </w:rPr>
                  </w:pPr>
                  <w:r>
                    <w:rPr>
                      <w:rFonts w:hint="default"/>
                      <w:lang w:val="en-US" w:eastAsia="zh-CN"/>
                    </w:rPr>
                    <w:t>/</w:t>
                  </w:r>
                </w:p>
              </w:tc>
              <w:tc>
                <w:tcPr>
                  <w:tcW w:w="1246" w:type="pct"/>
                  <w:tcBorders>
                    <w:top w:val="single" w:color="000000" w:sz="2" w:space="0"/>
                    <w:left w:val="single" w:color="000000" w:sz="2" w:space="0"/>
                    <w:bottom w:val="single" w:color="000000" w:sz="2" w:space="0"/>
                    <w:right w:val="single" w:color="000000" w:sz="2" w:space="0"/>
                  </w:tcBorders>
                  <w:vAlign w:val="center"/>
                </w:tcPr>
                <w:p w14:paraId="5BCFFA77">
                  <w:pPr>
                    <w:pStyle w:val="20"/>
                  </w:pPr>
                  <w:r>
                    <w:t>95%</w:t>
                  </w:r>
                </w:p>
              </w:tc>
              <w:tc>
                <w:tcPr>
                  <w:tcW w:w="1280" w:type="pct"/>
                  <w:tcBorders>
                    <w:top w:val="single" w:color="000000" w:sz="2" w:space="0"/>
                    <w:left w:val="single" w:color="000000" w:sz="2" w:space="0"/>
                    <w:bottom w:val="single" w:color="000000" w:sz="2" w:space="0"/>
                    <w:right w:val="single" w:color="000000" w:sz="2" w:space="0"/>
                  </w:tcBorders>
                  <w:vAlign w:val="center"/>
                </w:tcPr>
                <w:p w14:paraId="3DC281FE">
                  <w:pPr>
                    <w:pStyle w:val="41"/>
                  </w:pPr>
                  <w:r>
                    <w:t>95%</w:t>
                  </w:r>
                </w:p>
              </w:tc>
            </w:tr>
            <w:tr w14:paraId="2E88EB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4DBE3A76">
                  <w:pPr>
                    <w:pStyle w:val="41"/>
                  </w:pPr>
                  <w:r>
                    <w:t>无组织排放量 t/a</w:t>
                  </w:r>
                </w:p>
              </w:tc>
              <w:tc>
                <w:tcPr>
                  <w:tcW w:w="1217" w:type="pct"/>
                  <w:tcBorders>
                    <w:top w:val="single" w:color="000000" w:sz="2" w:space="0"/>
                    <w:left w:val="single" w:color="000000" w:sz="2" w:space="0"/>
                    <w:bottom w:val="single" w:color="000000" w:sz="2" w:space="0"/>
                    <w:right w:val="single" w:color="000000" w:sz="2" w:space="0"/>
                  </w:tcBorders>
                  <w:vAlign w:val="center"/>
                </w:tcPr>
                <w:p w14:paraId="387F3BD4">
                  <w:pPr>
                    <w:pStyle w:val="41"/>
                    <w:rPr>
                      <w:rFonts w:hint="default" w:eastAsia="宋体"/>
                      <w:lang w:val="en-US" w:eastAsia="zh-CN"/>
                    </w:rPr>
                  </w:pPr>
                  <w:r>
                    <w:rPr>
                      <w:rFonts w:hint="default"/>
                      <w:lang w:val="en-US" w:eastAsia="zh-CN"/>
                    </w:rPr>
                    <w:t>2.011</w:t>
                  </w:r>
                </w:p>
              </w:tc>
              <w:tc>
                <w:tcPr>
                  <w:tcW w:w="2143" w:type="dxa"/>
                  <w:tcBorders>
                    <w:top w:val="single" w:color="000000" w:sz="2" w:space="0"/>
                    <w:left w:val="single" w:color="000000" w:sz="2" w:space="0"/>
                    <w:bottom w:val="single" w:color="000000" w:sz="2" w:space="0"/>
                    <w:right w:val="single" w:color="000000" w:sz="2" w:space="0"/>
                  </w:tcBorders>
                  <w:vAlign w:val="center"/>
                </w:tcPr>
                <w:p w14:paraId="68038907">
                  <w:pPr>
                    <w:pStyle w:val="20"/>
                  </w:pPr>
                  <w:r>
                    <w:t>0.5759</w:t>
                  </w:r>
                </w:p>
              </w:tc>
              <w:tc>
                <w:tcPr>
                  <w:tcW w:w="1280" w:type="pct"/>
                  <w:tcBorders>
                    <w:top w:val="single" w:color="000000" w:sz="2" w:space="0"/>
                    <w:left w:val="single" w:color="000000" w:sz="2" w:space="0"/>
                    <w:bottom w:val="single" w:color="000000" w:sz="2" w:space="0"/>
                    <w:right w:val="single" w:color="000000" w:sz="2" w:space="0"/>
                  </w:tcBorders>
                  <w:vAlign w:val="center"/>
                </w:tcPr>
                <w:p w14:paraId="332B1878">
                  <w:pPr>
                    <w:pStyle w:val="41"/>
                  </w:pPr>
                  <w:r>
                    <w:t>0.0197</w:t>
                  </w:r>
                </w:p>
              </w:tc>
            </w:tr>
            <w:tr w14:paraId="16904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1250" w:type="pct"/>
                  <w:tcBorders>
                    <w:top w:val="single" w:color="000000" w:sz="2" w:space="0"/>
                    <w:left w:val="single" w:color="000000" w:sz="2" w:space="0"/>
                    <w:bottom w:val="single" w:color="000000" w:sz="2" w:space="0"/>
                    <w:right w:val="single" w:color="000000" w:sz="2" w:space="0"/>
                  </w:tcBorders>
                  <w:vAlign w:val="center"/>
                </w:tcPr>
                <w:p w14:paraId="00CC8A15">
                  <w:pPr>
                    <w:pStyle w:val="41"/>
                  </w:pPr>
                  <w:r>
                    <w:t>无组织排放速率 kg/h</w:t>
                  </w:r>
                </w:p>
              </w:tc>
              <w:tc>
                <w:tcPr>
                  <w:tcW w:w="1217" w:type="pct"/>
                  <w:tcBorders>
                    <w:top w:val="single" w:color="000000" w:sz="2" w:space="0"/>
                    <w:left w:val="single" w:color="000000" w:sz="2" w:space="0"/>
                    <w:bottom w:val="single" w:color="000000" w:sz="2" w:space="0"/>
                    <w:right w:val="single" w:color="000000" w:sz="2" w:space="0"/>
                  </w:tcBorders>
                  <w:vAlign w:val="center"/>
                </w:tcPr>
                <w:p w14:paraId="67BB8D89">
                  <w:pPr>
                    <w:pStyle w:val="41"/>
                    <w:rPr>
                      <w:rFonts w:hint="default" w:eastAsia="宋体"/>
                      <w:lang w:val="en-US" w:eastAsia="zh-CN"/>
                    </w:rPr>
                  </w:pPr>
                  <w:r>
                    <w:t>0.</w:t>
                  </w:r>
                  <w:r>
                    <w:rPr>
                      <w:rFonts w:hint="default"/>
                      <w:lang w:val="en-US" w:eastAsia="zh-CN"/>
                    </w:rPr>
                    <w:t>4190</w:t>
                  </w:r>
                </w:p>
              </w:tc>
              <w:tc>
                <w:tcPr>
                  <w:tcW w:w="2143" w:type="dxa"/>
                  <w:tcBorders>
                    <w:top w:val="single" w:color="000000" w:sz="2" w:space="0"/>
                    <w:left w:val="single" w:color="000000" w:sz="2" w:space="0"/>
                    <w:bottom w:val="single" w:color="000000" w:sz="2" w:space="0"/>
                    <w:right w:val="single" w:color="000000" w:sz="2" w:space="0"/>
                  </w:tcBorders>
                  <w:vAlign w:val="center"/>
                </w:tcPr>
                <w:p w14:paraId="71C999DB">
                  <w:pPr>
                    <w:pStyle w:val="20"/>
                  </w:pPr>
                  <w:r>
                    <w:t>0.12</w:t>
                  </w:r>
                </w:p>
              </w:tc>
              <w:tc>
                <w:tcPr>
                  <w:tcW w:w="1280" w:type="pct"/>
                  <w:tcBorders>
                    <w:top w:val="single" w:color="000000" w:sz="2" w:space="0"/>
                    <w:left w:val="single" w:color="000000" w:sz="2" w:space="0"/>
                    <w:bottom w:val="single" w:color="000000" w:sz="2" w:space="0"/>
                    <w:right w:val="single" w:color="000000" w:sz="2" w:space="0"/>
                  </w:tcBorders>
                  <w:vAlign w:val="center"/>
                </w:tcPr>
                <w:p w14:paraId="0A70A6B6">
                  <w:pPr>
                    <w:pStyle w:val="41"/>
                  </w:pPr>
                  <w:r>
                    <w:t>0.0041</w:t>
                  </w:r>
                </w:p>
              </w:tc>
            </w:tr>
            <w:tr w14:paraId="524CD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pct"/>
                <w:trHeight w:val="454" w:hRule="atLeast"/>
                <w:jc w:val="center"/>
              </w:trPr>
              <w:tc>
                <w:tcPr>
                  <w:tcW w:w="4994" w:type="pct"/>
                  <w:gridSpan w:val="4"/>
                  <w:tcBorders>
                    <w:top w:val="single" w:color="000000" w:sz="2" w:space="0"/>
                    <w:left w:val="single" w:color="000000" w:sz="2" w:space="0"/>
                    <w:bottom w:val="single" w:color="000000" w:sz="2" w:space="0"/>
                    <w:right w:val="single" w:color="000000" w:sz="2" w:space="0"/>
                  </w:tcBorders>
                  <w:vAlign w:val="center"/>
                </w:tcPr>
                <w:p w14:paraId="4613CC0E">
                  <w:pPr>
                    <w:pStyle w:val="41"/>
                    <w:ind w:firstLine="0" w:firstLineChars="0"/>
                    <w:jc w:val="left"/>
                  </w:pPr>
                  <w:r>
                    <w:t>注：</w:t>
                  </w:r>
                  <w:r>
                    <w:rPr>
                      <w:vertAlign w:val="superscript"/>
                    </w:rPr>
                    <w:t>①</w:t>
                  </w:r>
                  <w:r>
                    <w:t>下料工序废气沉降效率为90%。</w:t>
                  </w:r>
                </w:p>
              </w:tc>
            </w:tr>
          </w:tbl>
          <w:p w14:paraId="764A5266">
            <w:pPr>
              <w:ind w:firstLine="482"/>
              <w:rPr>
                <w:b/>
                <w:bCs/>
                <w:lang w:bidi="ar"/>
              </w:rPr>
            </w:pPr>
            <w:r>
              <w:rPr>
                <w:b/>
                <w:bCs/>
                <w:lang w:bidi="ar"/>
              </w:rPr>
              <w:t>（四）喷砂粉尘核算及废气收集处理</w:t>
            </w:r>
          </w:p>
          <w:p w14:paraId="360C3F49">
            <w:pPr>
              <w:adjustRightInd w:val="0"/>
              <w:snapToGrid w:val="0"/>
              <w:ind w:firstLine="480"/>
              <w:rPr>
                <w:kern w:val="2"/>
              </w:rPr>
            </w:pPr>
            <w:r>
              <w:rPr>
                <w:kern w:val="2"/>
              </w:rPr>
              <w:t>本项目配置1台喷砂机，用于工件表面金属氧化层的去除，喷砂过程中会产生少量的喷砂粉尘，喷砂机年工作时间300天，每天运行16小时计。根据《排放源统计调查产排污核算方法和系数手册》（公告2021年第24号）中《33-37,431-434 机械行业系数手册》的06预处理“抛丸、喷砂、打磨、滚筒”颗粒物的产污系数为2.19千克/吨-原料，根据建设单位提供的资料，本项目喷砂加工量为18290.715t/a，则本项目喷砂粉尘产生量为40.06t/a。废气收集后通过滤筒式除尘器处理后由15m高排气筒（DA002）排放，喷砂在密闭的喷砂机中进行，废气收集效率约95%。</w:t>
            </w:r>
          </w:p>
          <w:p w14:paraId="22742B90">
            <w:pPr>
              <w:adjustRightInd w:val="0"/>
              <w:snapToGrid w:val="0"/>
              <w:ind w:firstLine="480"/>
              <w:rPr>
                <w:kern w:val="2"/>
              </w:rPr>
            </w:pPr>
            <w:r>
              <w:rPr>
                <w:kern w:val="2"/>
              </w:rPr>
              <w:t>根据《排放源统计调查产排污核算方法和系数手册》（公告2021年第24号）中《34 通用设备制造行业系数手册》中的06预处理“袋式除尘”的末端治理技术效率为95%，滤筒式除尘器除尘原理和布袋除尘器类似，均是采用滤料过滤粉尘，滤筒式除尘器皱褶形滤料相比布袋除尘器过滤面积更大，滤筒式除尘器除尘效率保守估计按95%计。</w:t>
            </w:r>
          </w:p>
          <w:p w14:paraId="4C792477">
            <w:pPr>
              <w:adjustRightInd w:val="0"/>
              <w:snapToGrid w:val="0"/>
              <w:ind w:firstLine="482"/>
              <w:rPr>
                <w:kern w:val="2"/>
              </w:rPr>
            </w:pPr>
            <w:r>
              <w:rPr>
                <w:b/>
                <w:bCs/>
                <w:kern w:val="2"/>
              </w:rPr>
              <w:t>（五）喷粉废气核算及废气收集处理</w:t>
            </w:r>
          </w:p>
          <w:p w14:paraId="671D3513">
            <w:pPr>
              <w:adjustRightInd w:val="0"/>
              <w:snapToGrid w:val="0"/>
              <w:ind w:firstLine="480"/>
              <w:rPr>
                <w:kern w:val="2"/>
              </w:rPr>
            </w:pPr>
            <w:r>
              <w:rPr>
                <w:kern w:val="2"/>
              </w:rPr>
              <w:t>树脂粉末涂料是一种100%固体分的粉末，涂料粒径大约为20~50um，喷涂过程中会产生喷涂废气，污染因子为颗粒物，大旋风喷房年工作300天，每天2班，每班运行8小时。根据《排放源统计调查产排污核算方法和系数手册》（公告2021年第24号）中《33-37,431-434 机械行业系数手册》的14涂装“粉末涂料喷塑”颗粒物的产污系数为300kg/t-原料。根据建设单位提供资料，本项目树脂粉末涂料的使用量为101t/a，则喷粉房颗粒物的产生量为30.3t/a。</w:t>
            </w:r>
          </w:p>
          <w:p w14:paraId="094C4566">
            <w:pPr>
              <w:adjustRightInd w:val="0"/>
              <w:snapToGrid w:val="0"/>
              <w:ind w:firstLine="480"/>
              <w:rPr>
                <w:kern w:val="2"/>
              </w:rPr>
            </w:pPr>
            <w:r>
              <w:rPr>
                <w:kern w:val="2"/>
              </w:rPr>
              <w:t>本项目粉末喷涂工序在自动喷粉房内进行，废气的收集效率按95%计，废气经“高效大旋风回收系统+滤筒式除尘器”处理后以无组织形式排放。“高效大旋风回收系统+滤筒式除尘器”回收的树脂粉末重新倒入供粉桶内与新粉混合起来，再输入到喷粉枪中进行喷粉。</w:t>
            </w:r>
          </w:p>
          <w:p w14:paraId="3593D97C">
            <w:pPr>
              <w:adjustRightInd w:val="0"/>
              <w:snapToGrid w:val="0"/>
              <w:ind w:firstLine="480"/>
              <w:rPr>
                <w:kern w:val="2"/>
              </w:rPr>
            </w:pPr>
            <w:r>
              <w:rPr>
                <w:kern w:val="2"/>
              </w:rPr>
              <w:t>根据《排放源统计调查产排污核算方法和系数手册》（公告2021年第24号）中《33-37,431-434 机械行业系数手册》的14涂装“单筒（多筒并联）旋风”的末端治理技术效率为60%。根据《排放源统计调查产排污核算方法和系数手册》（公告2021年第24号）中《33-37,431-434 机械行业系数手册》的14涂装“袋式除尘”的末端治理技术效率为95%，滤筒式除尘器除尘原理和布袋除尘器类似，均是采用滤料过滤粉尘，滤筒式除尘器皱褶形滤料相比布袋除尘器过滤面积更大，滤筒式除尘器除尘效率保守估计按95%计。则“高效大旋风回收系统+滤筒式除尘器”除尘总效率为1-（1-60%）×（1-95%）=98%。</w:t>
            </w:r>
          </w:p>
          <w:p w14:paraId="02C23A7F">
            <w:pPr>
              <w:pStyle w:val="10"/>
              <w:ind w:firstLine="422"/>
              <w:rPr>
                <w:rFonts w:hint="default"/>
                <w:kern w:val="2"/>
              </w:rPr>
            </w:pPr>
          </w:p>
          <w:p w14:paraId="3B8E1BEE">
            <w:pPr>
              <w:pStyle w:val="10"/>
              <w:ind w:firstLine="422"/>
              <w:rPr>
                <w:rFonts w:hint="default"/>
                <w:kern w:val="2"/>
              </w:rPr>
            </w:pPr>
          </w:p>
          <w:p w14:paraId="408B4217">
            <w:pPr>
              <w:pStyle w:val="10"/>
              <w:ind w:firstLine="422"/>
              <w:rPr>
                <w:rFonts w:hint="default"/>
                <w:kern w:val="2"/>
              </w:rPr>
            </w:pPr>
          </w:p>
          <w:p w14:paraId="728C6F32">
            <w:pPr>
              <w:pStyle w:val="10"/>
              <w:ind w:firstLine="422"/>
              <w:rPr>
                <w:rFonts w:hint="default"/>
                <w:kern w:val="2"/>
              </w:rPr>
            </w:pPr>
          </w:p>
          <w:p w14:paraId="58D7CDB9">
            <w:pPr>
              <w:rPr>
                <w:rFonts w:hint="default"/>
                <w:kern w:val="2"/>
              </w:rPr>
            </w:pPr>
          </w:p>
          <w:p w14:paraId="57FE464C">
            <w:pPr>
              <w:rPr>
                <w:rFonts w:hint="default"/>
                <w:kern w:val="2"/>
              </w:rPr>
            </w:pPr>
          </w:p>
          <w:p w14:paraId="461C47AF">
            <w:pPr>
              <w:rPr>
                <w:rFonts w:hint="default"/>
                <w:kern w:val="2"/>
              </w:rPr>
            </w:pPr>
          </w:p>
          <w:p w14:paraId="5C44A437">
            <w:pPr>
              <w:pStyle w:val="10"/>
              <w:ind w:firstLine="422"/>
              <w:rPr>
                <w:rFonts w:hint="default"/>
                <w:kern w:val="2"/>
              </w:rPr>
            </w:pPr>
            <w:r>
              <w:rPr>
                <w:rFonts w:hint="default"/>
                <w:kern w:val="2"/>
              </w:rPr>
              <w:t>表4-2 项目喷粉粉尘产排情况一览表</w:t>
            </w:r>
          </w:p>
          <w:tbl>
            <w:tblPr>
              <w:tblStyle w:val="2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58"/>
              <w:gridCol w:w="1258"/>
              <w:gridCol w:w="1144"/>
              <w:gridCol w:w="1151"/>
              <w:gridCol w:w="1459"/>
              <w:gridCol w:w="1170"/>
              <w:gridCol w:w="1170"/>
            </w:tblGrid>
            <w:tr w14:paraId="6640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 w:type="pct"/>
                  <w:vAlign w:val="center"/>
                </w:tcPr>
                <w:p w14:paraId="7D85E0E6">
                  <w:pPr>
                    <w:pStyle w:val="20"/>
                    <w:rPr>
                      <w:b/>
                      <w:bCs/>
                    </w:rPr>
                  </w:pPr>
                  <w:r>
                    <w:rPr>
                      <w:b/>
                      <w:bCs/>
                    </w:rPr>
                    <w:t>工序</w:t>
                  </w:r>
                </w:p>
              </w:tc>
              <w:tc>
                <w:tcPr>
                  <w:tcW w:w="730" w:type="pct"/>
                  <w:vAlign w:val="center"/>
                </w:tcPr>
                <w:p w14:paraId="4832B7CF">
                  <w:pPr>
                    <w:pStyle w:val="20"/>
                    <w:rPr>
                      <w:b/>
                      <w:bCs/>
                    </w:rPr>
                  </w:pPr>
                  <w:r>
                    <w:rPr>
                      <w:b/>
                      <w:bCs/>
                    </w:rPr>
                    <w:t>产生量 t/a</w:t>
                  </w:r>
                </w:p>
              </w:tc>
              <w:tc>
                <w:tcPr>
                  <w:tcW w:w="664" w:type="pct"/>
                  <w:vAlign w:val="center"/>
                </w:tcPr>
                <w:p w14:paraId="4807587E">
                  <w:pPr>
                    <w:pStyle w:val="20"/>
                    <w:rPr>
                      <w:b/>
                      <w:bCs/>
                    </w:rPr>
                  </w:pPr>
                  <w:r>
                    <w:rPr>
                      <w:b/>
                      <w:bCs/>
                    </w:rPr>
                    <w:t>工作时长 h</w:t>
                  </w:r>
                </w:p>
              </w:tc>
              <w:tc>
                <w:tcPr>
                  <w:tcW w:w="668" w:type="pct"/>
                  <w:vAlign w:val="center"/>
                </w:tcPr>
                <w:p w14:paraId="41414A6B">
                  <w:pPr>
                    <w:pStyle w:val="20"/>
                    <w:rPr>
                      <w:b/>
                      <w:bCs/>
                    </w:rPr>
                  </w:pPr>
                  <w:r>
                    <w:rPr>
                      <w:b/>
                      <w:bCs/>
                    </w:rPr>
                    <w:t>产生速率 kg/h</w:t>
                  </w:r>
                </w:p>
              </w:tc>
              <w:tc>
                <w:tcPr>
                  <w:tcW w:w="847" w:type="pct"/>
                  <w:vAlign w:val="center"/>
                </w:tcPr>
                <w:p w14:paraId="4B3C36E3">
                  <w:pPr>
                    <w:pStyle w:val="20"/>
                    <w:rPr>
                      <w:b/>
                      <w:bCs/>
                    </w:rPr>
                  </w:pPr>
                  <w:r>
                    <w:rPr>
                      <w:b/>
                      <w:bCs/>
                    </w:rPr>
                    <w:t>粉尘收集处理措施</w:t>
                  </w:r>
                </w:p>
              </w:tc>
              <w:tc>
                <w:tcPr>
                  <w:tcW w:w="679" w:type="pct"/>
                  <w:vAlign w:val="center"/>
                </w:tcPr>
                <w:p w14:paraId="2E9DB67B">
                  <w:pPr>
                    <w:pStyle w:val="20"/>
                    <w:rPr>
                      <w:b/>
                      <w:bCs/>
                    </w:rPr>
                  </w:pPr>
                  <w:r>
                    <w:rPr>
                      <w:b/>
                      <w:bCs/>
                    </w:rPr>
                    <w:t>无组织排放量 t/a</w:t>
                  </w:r>
                </w:p>
              </w:tc>
              <w:tc>
                <w:tcPr>
                  <w:tcW w:w="679" w:type="pct"/>
                  <w:vAlign w:val="center"/>
                </w:tcPr>
                <w:p w14:paraId="3400F370">
                  <w:pPr>
                    <w:pStyle w:val="20"/>
                    <w:rPr>
                      <w:b/>
                      <w:bCs/>
                    </w:rPr>
                  </w:pPr>
                  <w:r>
                    <w:rPr>
                      <w:b/>
                      <w:bCs/>
                    </w:rPr>
                    <w:t>无组织排放速率 kg/h</w:t>
                  </w:r>
                </w:p>
              </w:tc>
            </w:tr>
            <w:tr w14:paraId="53B0F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 w:type="pct"/>
                  <w:vAlign w:val="center"/>
                </w:tcPr>
                <w:p w14:paraId="6342047D">
                  <w:pPr>
                    <w:pStyle w:val="20"/>
                  </w:pPr>
                  <w:r>
                    <w:t>喷粉</w:t>
                  </w:r>
                </w:p>
              </w:tc>
              <w:tc>
                <w:tcPr>
                  <w:tcW w:w="730" w:type="pct"/>
                  <w:vAlign w:val="center"/>
                </w:tcPr>
                <w:p w14:paraId="48906BD8">
                  <w:pPr>
                    <w:pStyle w:val="20"/>
                  </w:pPr>
                  <w:r>
                    <w:t>30.3</w:t>
                  </w:r>
                </w:p>
              </w:tc>
              <w:tc>
                <w:tcPr>
                  <w:tcW w:w="664" w:type="pct"/>
                  <w:vAlign w:val="center"/>
                </w:tcPr>
                <w:p w14:paraId="1F4CB6A5">
                  <w:pPr>
                    <w:pStyle w:val="20"/>
                  </w:pPr>
                  <w:r>
                    <w:t>4800</w:t>
                  </w:r>
                </w:p>
              </w:tc>
              <w:tc>
                <w:tcPr>
                  <w:tcW w:w="668" w:type="pct"/>
                  <w:vAlign w:val="center"/>
                </w:tcPr>
                <w:p w14:paraId="44B04FEB">
                  <w:pPr>
                    <w:pStyle w:val="20"/>
                  </w:pPr>
                  <w:r>
                    <w:t>6.313</w:t>
                  </w:r>
                </w:p>
              </w:tc>
              <w:tc>
                <w:tcPr>
                  <w:tcW w:w="847" w:type="pct"/>
                  <w:vAlign w:val="center"/>
                </w:tcPr>
                <w:p w14:paraId="6227BD95">
                  <w:pPr>
                    <w:pStyle w:val="20"/>
                  </w:pPr>
                  <w:r>
                    <w:t>高效大旋风回收系统+滤筒式除尘器（收集效率95%、处理效率98%）</w:t>
                  </w:r>
                </w:p>
              </w:tc>
              <w:tc>
                <w:tcPr>
                  <w:tcW w:w="679" w:type="pct"/>
                  <w:vAlign w:val="center"/>
                </w:tcPr>
                <w:p w14:paraId="0F77BD78">
                  <w:pPr>
                    <w:pStyle w:val="20"/>
                  </w:pPr>
                  <w:r>
                    <w:t>2.0907</w:t>
                  </w:r>
                </w:p>
              </w:tc>
              <w:tc>
                <w:tcPr>
                  <w:tcW w:w="679" w:type="pct"/>
                  <w:vAlign w:val="center"/>
                </w:tcPr>
                <w:p w14:paraId="022433E8">
                  <w:pPr>
                    <w:pStyle w:val="20"/>
                  </w:pPr>
                  <w:r>
                    <w:t>0.4356</w:t>
                  </w:r>
                </w:p>
              </w:tc>
            </w:tr>
          </w:tbl>
          <w:p w14:paraId="7CA55563">
            <w:pPr>
              <w:adjustRightInd w:val="0"/>
              <w:snapToGrid w:val="0"/>
              <w:ind w:firstLine="482"/>
              <w:rPr>
                <w:b/>
                <w:bCs/>
                <w:kern w:val="2"/>
              </w:rPr>
            </w:pPr>
            <w:r>
              <w:rPr>
                <w:b/>
                <w:bCs/>
                <w:kern w:val="2"/>
              </w:rPr>
              <w:t>（六）粉末固化废气核算</w:t>
            </w:r>
          </w:p>
          <w:p w14:paraId="14EB1913">
            <w:pPr>
              <w:ind w:firstLine="480"/>
              <w:rPr>
                <w:kern w:val="2"/>
              </w:rPr>
            </w:pPr>
            <w:r>
              <w:rPr>
                <w:kern w:val="2"/>
              </w:rPr>
              <w:t>本项目设置粉末固化在2#烘干房进行，利用燃液化石油气产生热量加热固化。产生粉末固化废气，主要污染因子来源于液化石油气燃烧和粉末涂料在加热熔融过程中产生的</w:t>
            </w:r>
            <w:r>
              <w:rPr>
                <w:rFonts w:hint="default"/>
                <w:kern w:val="2"/>
                <w:lang w:val="en-US" w:eastAsia="zh-CN"/>
              </w:rPr>
              <w:t>挥发性有机废气</w:t>
            </w:r>
            <w:r>
              <w:rPr>
                <w:kern w:val="2"/>
              </w:rPr>
              <w:t>，粉末固化烘干废气与燃液化石油燃烧气一起收集后经“二级活性炭吸附装置”处理后由DA004排气筒排放。</w:t>
            </w:r>
          </w:p>
          <w:p w14:paraId="2C9678EC">
            <w:pPr>
              <w:ind w:firstLine="480"/>
              <w:rPr>
                <w:kern w:val="2"/>
              </w:rPr>
            </w:pPr>
            <w:r>
              <w:rPr>
                <w:kern w:val="2"/>
              </w:rPr>
              <w:t>根据建设单位提供的资料，本项目树脂粉末涂料的使用量为101t/a，根据《排放源统计调查产排污核算方法和系数手册》（公告2021年第24号）中《33-37,431-434 机械行业系数手册》中的14涂装“粉末涂料喷塑后烘干”挥发性有机物的产污系数为1.2kg/t-原料，则</w:t>
            </w:r>
            <w:r>
              <w:rPr>
                <w:rFonts w:hint="default"/>
                <w:kern w:val="2"/>
                <w:lang w:eastAsia="zh-CN"/>
              </w:rPr>
              <w:t>VOCs</w:t>
            </w:r>
            <w:r>
              <w:rPr>
                <w:kern w:val="2"/>
              </w:rPr>
              <w:t>产生量为0.1212t/a。</w:t>
            </w:r>
          </w:p>
          <w:p w14:paraId="125717FA">
            <w:pPr>
              <w:adjustRightInd w:val="0"/>
              <w:snapToGrid w:val="0"/>
              <w:ind w:firstLine="482"/>
              <w:rPr>
                <w:lang w:bidi="ar"/>
              </w:rPr>
            </w:pPr>
            <w:r>
              <w:rPr>
                <w:b/>
                <w:bCs/>
                <w:kern w:val="2"/>
              </w:rPr>
              <w:t>（七）电泳线</w:t>
            </w:r>
            <w:r>
              <w:rPr>
                <w:b/>
                <w:bCs/>
                <w:lang w:bidi="ar"/>
              </w:rPr>
              <w:t>废气核算</w:t>
            </w:r>
          </w:p>
          <w:p w14:paraId="0F594926">
            <w:pPr>
              <w:ind w:firstLine="480"/>
              <w:rPr>
                <w:lang w:bidi="ar"/>
              </w:rPr>
            </w:pPr>
            <w:r>
              <w:rPr>
                <w:lang w:bidi="ar"/>
              </w:rPr>
              <w:t>本项目电泳工序使用的电泳槽液是以色浆、乳液、水以1：5.5：6.5比例在电泳槽中混合使用。电泳漆不单独进行配置，直接采用计量泵按配比抽至电泳槽内，因此无调漆废气产生，根据色浆MSDS各成分为：丙二醇丁醚0.6~0.8%，水48.3~58.3%，炭黑5~10%、高岭土14~26%，环氧树脂14~23%；根据乳液的MSDS各成分为：丙二醇丁醚0.3~0.5%、水60~65%、聚氨酯1~8%、环氧树脂28~35%。色浆、乳液挥发性成分均为丙二醇丁醚，其沸点为170℃，由于电泳过程为常温，因此在电泳过程中挥发极小，基本在烘干固化过程受热挥发，因此无电泳废气产生。</w:t>
            </w:r>
          </w:p>
          <w:p w14:paraId="740A9B93">
            <w:pPr>
              <w:ind w:firstLine="480"/>
              <w:rPr>
                <w:lang w:bidi="ar"/>
              </w:rPr>
            </w:pPr>
            <w:r>
              <w:rPr>
                <w:lang w:bidi="ar"/>
              </w:rPr>
              <w:t>工件经电泳上漆后需要进入1#烘干房进行烘干固化，温度达到180~220℃左右，电泳涂装液中的环氧树脂等有机物经加热在高温下会</w:t>
            </w:r>
            <w:r>
              <w:rPr>
                <w:rFonts w:hint="default"/>
                <w:lang w:val="en-US" w:eastAsia="zh-CN" w:bidi="ar"/>
              </w:rPr>
              <w:t>产生VOCs</w:t>
            </w:r>
            <w:r>
              <w:rPr>
                <w:lang w:bidi="ar"/>
              </w:rPr>
              <w:t>。电泳烘干废气与燃液化石油气燃烧废气一起收集后经“水喷淋+二级活性炭吸附装置”处理后由DA003排气筒排放。</w:t>
            </w:r>
          </w:p>
          <w:p w14:paraId="416B68B7">
            <w:pPr>
              <w:ind w:firstLine="480"/>
              <w:rPr>
                <w:lang w:bidi="ar"/>
              </w:rPr>
            </w:pPr>
            <w:r>
              <w:rPr>
                <w:lang w:bidi="ar"/>
              </w:rPr>
              <w:t>根据《排放源统计调查产排污核算方法和系数手册》（生态环境部公告 2021 年第 24 号）“33-37，431-434 机械行业系数手册”中表“14涂装”“电泳底漆烘干”有机废气产生系数为“42.5kg/t-原料”，本项目水性阴极电泳漆乳液、色浆总用量为43.76t/a，以最不利情况分析，按电泳底漆全附着于工件进入烘干工序，则本项目烘干有机废气</w:t>
            </w:r>
            <w:r>
              <w:rPr>
                <w:rFonts w:hint="default"/>
                <w:lang w:val="en-US" w:eastAsia="zh-CN" w:bidi="ar"/>
              </w:rPr>
              <w:t>VOCs</w:t>
            </w:r>
            <w:r>
              <w:rPr>
                <w:lang w:bidi="ar"/>
              </w:rPr>
              <w:t>产生量为1.8598t/a。</w:t>
            </w:r>
          </w:p>
          <w:p w14:paraId="0F2DBF82">
            <w:pPr>
              <w:ind w:firstLine="482"/>
              <w:rPr>
                <w:b/>
                <w:bCs/>
                <w:kern w:val="2"/>
              </w:rPr>
            </w:pPr>
            <w:r>
              <w:rPr>
                <w:b/>
                <w:bCs/>
                <w:kern w:val="2"/>
              </w:rPr>
              <w:t>（八）燃液化石油气燃烧废气</w:t>
            </w:r>
          </w:p>
          <w:p w14:paraId="21431D1C">
            <w:pPr>
              <w:ind w:firstLine="480"/>
              <w:rPr>
                <w:kern w:val="2"/>
              </w:rPr>
            </w:pPr>
            <w:r>
              <w:rPr>
                <w:kern w:val="2"/>
              </w:rPr>
              <w:t>本项目喷粉固化工序、电泳烘干工序均采用液化石油气燃烧供热，项目喷粉固化烘干炉为2#烘干炉、电泳烘干炉为1#烘干炉。根据企业提供的设备参数资料，单个烘干炉液化石油气消耗量为0.13t/d，项目年运行300天，则单个烘干炉液化石油气年用量为39t/a。液化石油气主要污染物为 SO</w:t>
            </w:r>
            <w:r>
              <w:rPr>
                <w:kern w:val="2"/>
                <w:vertAlign w:val="subscript"/>
              </w:rPr>
              <w:t>2</w:t>
            </w:r>
            <w:r>
              <w:rPr>
                <w:kern w:val="2"/>
              </w:rPr>
              <w:t>、NOx、颗粒物。项目1#烘干炉废气与电泳烘干废气一起收集后经“水喷淋+二级活性炭吸附装置”处理后由DA003排气筒排放；2#烘干炉废气与粉末固化废气一起经“水喷淋+二级活性炭吸附装置”处理后由DA004排气筒排放。</w:t>
            </w:r>
          </w:p>
          <w:p w14:paraId="2AC820B8">
            <w:pPr>
              <w:ind w:firstLine="480"/>
              <w:rPr>
                <w:kern w:val="2"/>
              </w:rPr>
            </w:pPr>
            <w:r>
              <w:rPr>
                <w:kern w:val="2"/>
              </w:rPr>
              <w:t>液化石油气燃烧工业SO</w:t>
            </w:r>
            <w:r>
              <w:rPr>
                <w:kern w:val="2"/>
                <w:vertAlign w:val="subscript"/>
              </w:rPr>
              <w:t>2</w:t>
            </w:r>
            <w:r>
              <w:rPr>
                <w:kern w:val="2"/>
              </w:rPr>
              <w:t>、NO</w:t>
            </w:r>
            <w:r>
              <w:rPr>
                <w:kern w:val="2"/>
                <w:vertAlign w:val="subscript"/>
              </w:rPr>
              <w:t>X</w:t>
            </w:r>
            <w:r>
              <w:rPr>
                <w:kern w:val="2"/>
              </w:rPr>
              <w:t xml:space="preserve"> 、颗粒物产污系数参考《排放源统计调查产排污核算方法和系数手册》33-37,431-434 械行业系数手册（生态环境部公告2021 年第24号）中液化石油气工业炉窑系数，见下表：</w:t>
            </w:r>
          </w:p>
          <w:p w14:paraId="1E600BE4">
            <w:pPr>
              <w:pStyle w:val="10"/>
              <w:ind w:firstLine="422"/>
              <w:rPr>
                <w:rFonts w:hint="default" w:eastAsia="Times New Roman"/>
                <w:kern w:val="2"/>
                <w:szCs w:val="24"/>
              </w:rPr>
            </w:pPr>
            <w:r>
              <w:rPr>
                <w:rFonts w:hint="default"/>
                <w:kern w:val="2"/>
                <w:szCs w:val="24"/>
              </w:rPr>
              <w:t>表4-3  液化石油气产污系数详情一览表</w:t>
            </w:r>
          </w:p>
          <w:tbl>
            <w:tblPr>
              <w:tblStyle w:val="23"/>
              <w:tblW w:w="85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7"/>
              <w:gridCol w:w="601"/>
              <w:gridCol w:w="733"/>
              <w:gridCol w:w="922"/>
              <w:gridCol w:w="602"/>
              <w:gridCol w:w="1669"/>
              <w:gridCol w:w="1029"/>
              <w:gridCol w:w="1135"/>
              <w:gridCol w:w="1222"/>
            </w:tblGrid>
            <w:tr w14:paraId="19D26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7" w:type="dxa"/>
                  <w:tcBorders>
                    <w:top w:val="single" w:color="auto" w:sz="4" w:space="0"/>
                    <w:left w:val="single" w:color="auto" w:sz="4" w:space="0"/>
                    <w:bottom w:val="single" w:color="auto" w:sz="4" w:space="0"/>
                    <w:right w:val="single" w:color="auto" w:sz="4" w:space="0"/>
                  </w:tcBorders>
                  <w:vAlign w:val="center"/>
                </w:tcPr>
                <w:p w14:paraId="03216341">
                  <w:pPr>
                    <w:pStyle w:val="20"/>
                    <w:rPr>
                      <w:b/>
                      <w:bCs/>
                    </w:rPr>
                  </w:pPr>
                  <w:r>
                    <w:rPr>
                      <w:b/>
                      <w:bCs/>
                    </w:rPr>
                    <w:t>工段名称</w:t>
                  </w:r>
                </w:p>
              </w:tc>
              <w:tc>
                <w:tcPr>
                  <w:tcW w:w="601" w:type="dxa"/>
                  <w:tcBorders>
                    <w:top w:val="single" w:color="auto" w:sz="4" w:space="0"/>
                    <w:left w:val="single" w:color="auto" w:sz="4" w:space="0"/>
                    <w:bottom w:val="single" w:color="auto" w:sz="4" w:space="0"/>
                    <w:right w:val="single" w:color="auto" w:sz="4" w:space="0"/>
                  </w:tcBorders>
                  <w:vAlign w:val="center"/>
                </w:tcPr>
                <w:p w14:paraId="6DE7FEBC">
                  <w:pPr>
                    <w:pStyle w:val="20"/>
                    <w:rPr>
                      <w:b/>
                      <w:bCs/>
                    </w:rPr>
                  </w:pPr>
                  <w:r>
                    <w:rPr>
                      <w:b/>
                      <w:bCs/>
                    </w:rPr>
                    <w:t>产品名称</w:t>
                  </w:r>
                </w:p>
              </w:tc>
              <w:tc>
                <w:tcPr>
                  <w:tcW w:w="733" w:type="dxa"/>
                  <w:tcBorders>
                    <w:top w:val="single" w:color="auto" w:sz="4" w:space="0"/>
                    <w:left w:val="single" w:color="auto" w:sz="4" w:space="0"/>
                    <w:bottom w:val="single" w:color="auto" w:sz="4" w:space="0"/>
                    <w:right w:val="single" w:color="auto" w:sz="4" w:space="0"/>
                  </w:tcBorders>
                  <w:vAlign w:val="center"/>
                </w:tcPr>
                <w:p w14:paraId="582EC267">
                  <w:pPr>
                    <w:pStyle w:val="20"/>
                    <w:rPr>
                      <w:b/>
                      <w:bCs/>
                    </w:rPr>
                  </w:pPr>
                  <w:r>
                    <w:rPr>
                      <w:b/>
                      <w:bCs/>
                    </w:rPr>
                    <w:t>原料名称</w:t>
                  </w:r>
                </w:p>
              </w:tc>
              <w:tc>
                <w:tcPr>
                  <w:tcW w:w="922" w:type="dxa"/>
                  <w:tcBorders>
                    <w:top w:val="single" w:color="auto" w:sz="4" w:space="0"/>
                    <w:left w:val="single" w:color="auto" w:sz="4" w:space="0"/>
                    <w:bottom w:val="single" w:color="auto" w:sz="4" w:space="0"/>
                    <w:right w:val="single" w:color="auto" w:sz="4" w:space="0"/>
                  </w:tcBorders>
                  <w:vAlign w:val="center"/>
                </w:tcPr>
                <w:p w14:paraId="67F10331">
                  <w:pPr>
                    <w:pStyle w:val="20"/>
                    <w:rPr>
                      <w:b/>
                      <w:bCs/>
                    </w:rPr>
                  </w:pPr>
                  <w:r>
                    <w:rPr>
                      <w:b/>
                      <w:bCs/>
                    </w:rPr>
                    <w:t>工艺名称</w:t>
                  </w:r>
                </w:p>
              </w:tc>
              <w:tc>
                <w:tcPr>
                  <w:tcW w:w="602" w:type="dxa"/>
                  <w:tcBorders>
                    <w:top w:val="single" w:color="auto" w:sz="4" w:space="0"/>
                    <w:left w:val="single" w:color="auto" w:sz="4" w:space="0"/>
                    <w:bottom w:val="single" w:color="auto" w:sz="4" w:space="0"/>
                    <w:right w:val="single" w:color="auto" w:sz="4" w:space="0"/>
                  </w:tcBorders>
                  <w:vAlign w:val="center"/>
                </w:tcPr>
                <w:p w14:paraId="6FEF3EDE">
                  <w:pPr>
                    <w:pStyle w:val="20"/>
                    <w:rPr>
                      <w:b/>
                      <w:bCs/>
                    </w:rPr>
                  </w:pPr>
                  <w:r>
                    <w:rPr>
                      <w:b/>
                      <w:bCs/>
                    </w:rPr>
                    <w:t>规模等级</w:t>
                  </w:r>
                </w:p>
              </w:tc>
              <w:tc>
                <w:tcPr>
                  <w:tcW w:w="1669" w:type="dxa"/>
                  <w:tcBorders>
                    <w:top w:val="single" w:color="auto" w:sz="4" w:space="0"/>
                    <w:left w:val="single" w:color="auto" w:sz="4" w:space="0"/>
                    <w:bottom w:val="single" w:color="auto" w:sz="4" w:space="0"/>
                    <w:right w:val="single" w:color="auto" w:sz="4" w:space="0"/>
                  </w:tcBorders>
                  <w:vAlign w:val="center"/>
                </w:tcPr>
                <w:p w14:paraId="611D59FC">
                  <w:pPr>
                    <w:pStyle w:val="20"/>
                    <w:rPr>
                      <w:b/>
                      <w:bCs/>
                    </w:rPr>
                  </w:pPr>
                  <w:r>
                    <w:rPr>
                      <w:b/>
                      <w:bCs/>
                    </w:rPr>
                    <w:t>产污系数参考</w:t>
                  </w:r>
                </w:p>
              </w:tc>
              <w:tc>
                <w:tcPr>
                  <w:tcW w:w="1029" w:type="dxa"/>
                  <w:tcBorders>
                    <w:top w:val="single" w:color="auto" w:sz="4" w:space="0"/>
                    <w:left w:val="single" w:color="auto" w:sz="4" w:space="0"/>
                    <w:bottom w:val="single" w:color="auto" w:sz="4" w:space="0"/>
                    <w:right w:val="single" w:color="auto" w:sz="4" w:space="0"/>
                  </w:tcBorders>
                  <w:vAlign w:val="center"/>
                </w:tcPr>
                <w:p w14:paraId="49D42C9C">
                  <w:pPr>
                    <w:pStyle w:val="20"/>
                    <w:rPr>
                      <w:b/>
                      <w:bCs/>
                    </w:rPr>
                  </w:pPr>
                  <w:r>
                    <w:rPr>
                      <w:b/>
                      <w:bCs/>
                    </w:rPr>
                    <w:t>污染物指标</w:t>
                  </w:r>
                </w:p>
              </w:tc>
              <w:tc>
                <w:tcPr>
                  <w:tcW w:w="1135" w:type="dxa"/>
                  <w:tcBorders>
                    <w:top w:val="single" w:color="auto" w:sz="4" w:space="0"/>
                    <w:left w:val="single" w:color="auto" w:sz="4" w:space="0"/>
                    <w:bottom w:val="single" w:color="auto" w:sz="4" w:space="0"/>
                    <w:right w:val="single" w:color="auto" w:sz="4" w:space="0"/>
                  </w:tcBorders>
                  <w:vAlign w:val="center"/>
                </w:tcPr>
                <w:p w14:paraId="2C333A34">
                  <w:pPr>
                    <w:pStyle w:val="20"/>
                    <w:rPr>
                      <w:b/>
                      <w:bCs/>
                    </w:rPr>
                  </w:pPr>
                  <w:r>
                    <w:rPr>
                      <w:b/>
                      <w:bCs/>
                    </w:rPr>
                    <w:t>单位</w:t>
                  </w:r>
                </w:p>
              </w:tc>
              <w:tc>
                <w:tcPr>
                  <w:tcW w:w="1222" w:type="dxa"/>
                  <w:tcBorders>
                    <w:top w:val="single" w:color="auto" w:sz="4" w:space="0"/>
                    <w:left w:val="single" w:color="auto" w:sz="4" w:space="0"/>
                    <w:bottom w:val="single" w:color="auto" w:sz="4" w:space="0"/>
                    <w:right w:val="single" w:color="auto" w:sz="4" w:space="0"/>
                  </w:tcBorders>
                  <w:vAlign w:val="center"/>
                </w:tcPr>
                <w:p w14:paraId="03D2CD9C">
                  <w:pPr>
                    <w:pStyle w:val="20"/>
                    <w:rPr>
                      <w:b/>
                      <w:bCs/>
                    </w:rPr>
                  </w:pPr>
                  <w:r>
                    <w:rPr>
                      <w:b/>
                      <w:bCs/>
                    </w:rPr>
                    <w:t>产污系数</w:t>
                  </w:r>
                </w:p>
              </w:tc>
            </w:tr>
            <w:tr w14:paraId="30221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7" w:type="dxa"/>
                  <w:vMerge w:val="restart"/>
                  <w:tcBorders>
                    <w:top w:val="single" w:color="auto" w:sz="4" w:space="0"/>
                    <w:left w:val="single" w:color="auto" w:sz="4" w:space="0"/>
                    <w:bottom w:val="single" w:color="auto" w:sz="4" w:space="0"/>
                    <w:right w:val="single" w:color="auto" w:sz="4" w:space="0"/>
                  </w:tcBorders>
                  <w:vAlign w:val="center"/>
                </w:tcPr>
                <w:p w14:paraId="0241E336">
                  <w:pPr>
                    <w:pStyle w:val="20"/>
                  </w:pPr>
                  <w:r>
                    <w:t>/</w:t>
                  </w:r>
                </w:p>
              </w:tc>
              <w:tc>
                <w:tcPr>
                  <w:tcW w:w="601" w:type="dxa"/>
                  <w:vMerge w:val="restart"/>
                  <w:tcBorders>
                    <w:top w:val="single" w:color="auto" w:sz="4" w:space="0"/>
                    <w:left w:val="single" w:color="auto" w:sz="4" w:space="0"/>
                    <w:bottom w:val="single" w:color="auto" w:sz="4" w:space="0"/>
                    <w:right w:val="single" w:color="auto" w:sz="4" w:space="0"/>
                  </w:tcBorders>
                  <w:vAlign w:val="center"/>
                </w:tcPr>
                <w:p w14:paraId="27A09470">
                  <w:pPr>
                    <w:pStyle w:val="20"/>
                  </w:pPr>
                  <w:r>
                    <w:t>/</w:t>
                  </w:r>
                </w:p>
              </w:tc>
              <w:tc>
                <w:tcPr>
                  <w:tcW w:w="733" w:type="dxa"/>
                  <w:vMerge w:val="restart"/>
                  <w:tcBorders>
                    <w:top w:val="single" w:color="auto" w:sz="4" w:space="0"/>
                    <w:left w:val="single" w:color="auto" w:sz="4" w:space="0"/>
                    <w:bottom w:val="single" w:color="auto" w:sz="4" w:space="0"/>
                    <w:right w:val="single" w:color="auto" w:sz="4" w:space="0"/>
                  </w:tcBorders>
                  <w:vAlign w:val="center"/>
                </w:tcPr>
                <w:p w14:paraId="1C83BE70">
                  <w:pPr>
                    <w:pStyle w:val="20"/>
                  </w:pPr>
                  <w:r>
                    <w:t>液化石油气</w:t>
                  </w:r>
                </w:p>
              </w:tc>
              <w:tc>
                <w:tcPr>
                  <w:tcW w:w="922" w:type="dxa"/>
                  <w:vMerge w:val="restart"/>
                  <w:tcBorders>
                    <w:top w:val="single" w:color="auto" w:sz="4" w:space="0"/>
                    <w:left w:val="single" w:color="auto" w:sz="4" w:space="0"/>
                    <w:bottom w:val="single" w:color="auto" w:sz="4" w:space="0"/>
                    <w:right w:val="single" w:color="auto" w:sz="4" w:space="0"/>
                  </w:tcBorders>
                  <w:vAlign w:val="center"/>
                </w:tcPr>
                <w:p w14:paraId="3FEBD4D2">
                  <w:pPr>
                    <w:pStyle w:val="20"/>
                  </w:pPr>
                  <w:r>
                    <w:t>液化石油气工业炉窑</w:t>
                  </w:r>
                </w:p>
              </w:tc>
              <w:tc>
                <w:tcPr>
                  <w:tcW w:w="602" w:type="dxa"/>
                  <w:vMerge w:val="restart"/>
                  <w:tcBorders>
                    <w:top w:val="single" w:color="auto" w:sz="4" w:space="0"/>
                    <w:left w:val="single" w:color="auto" w:sz="4" w:space="0"/>
                    <w:bottom w:val="single" w:color="auto" w:sz="4" w:space="0"/>
                    <w:right w:val="single" w:color="auto" w:sz="4" w:space="0"/>
                  </w:tcBorders>
                  <w:vAlign w:val="center"/>
                </w:tcPr>
                <w:p w14:paraId="66E84071">
                  <w:pPr>
                    <w:pStyle w:val="20"/>
                  </w:pPr>
                  <w:r>
                    <w:t>所有规模</w:t>
                  </w:r>
                </w:p>
              </w:tc>
              <w:tc>
                <w:tcPr>
                  <w:tcW w:w="1669" w:type="dxa"/>
                  <w:vMerge w:val="restart"/>
                  <w:tcBorders>
                    <w:top w:val="single" w:color="auto" w:sz="4" w:space="0"/>
                    <w:left w:val="single" w:color="auto" w:sz="4" w:space="0"/>
                    <w:bottom w:val="single" w:color="auto" w:sz="4" w:space="0"/>
                    <w:right w:val="single" w:color="auto" w:sz="4" w:space="0"/>
                  </w:tcBorders>
                  <w:vAlign w:val="center"/>
                </w:tcPr>
                <w:p w14:paraId="743E6A67">
                  <w:pPr>
                    <w:pStyle w:val="20"/>
                  </w:pPr>
                  <w:r>
                    <w:t>《排放源统计调查产排污核算方法和系数手册》33-37,431-434 械行业系数手册（生态环境部公告 2021 年 第24 号）中液化石油气工业炉窑系数</w:t>
                  </w:r>
                </w:p>
              </w:tc>
              <w:tc>
                <w:tcPr>
                  <w:tcW w:w="1029" w:type="dxa"/>
                  <w:tcBorders>
                    <w:top w:val="single" w:color="auto" w:sz="4" w:space="0"/>
                    <w:left w:val="single" w:color="auto" w:sz="4" w:space="0"/>
                    <w:bottom w:val="single" w:color="auto" w:sz="4" w:space="0"/>
                    <w:right w:val="single" w:color="auto" w:sz="4" w:space="0"/>
                  </w:tcBorders>
                  <w:vAlign w:val="center"/>
                </w:tcPr>
                <w:p w14:paraId="438ACA7D">
                  <w:pPr>
                    <w:pStyle w:val="20"/>
                  </w:pPr>
                  <w:r>
                    <w:t>工业废气量</w:t>
                  </w:r>
                </w:p>
              </w:tc>
              <w:tc>
                <w:tcPr>
                  <w:tcW w:w="1135" w:type="dxa"/>
                  <w:tcBorders>
                    <w:top w:val="single" w:color="auto" w:sz="4" w:space="0"/>
                    <w:left w:val="single" w:color="auto" w:sz="4" w:space="0"/>
                    <w:bottom w:val="single" w:color="auto" w:sz="4" w:space="0"/>
                    <w:right w:val="single" w:color="auto" w:sz="4" w:space="0"/>
                  </w:tcBorders>
                  <w:vAlign w:val="center"/>
                </w:tcPr>
                <w:p w14:paraId="093322F1">
                  <w:pPr>
                    <w:pStyle w:val="20"/>
                  </w:pPr>
                  <w:r>
                    <w:t>立方米/立方米-原料</w:t>
                  </w:r>
                </w:p>
              </w:tc>
              <w:tc>
                <w:tcPr>
                  <w:tcW w:w="1222" w:type="dxa"/>
                  <w:tcBorders>
                    <w:top w:val="single" w:color="auto" w:sz="4" w:space="0"/>
                    <w:left w:val="single" w:color="auto" w:sz="4" w:space="0"/>
                    <w:bottom w:val="single" w:color="auto" w:sz="4" w:space="0"/>
                    <w:right w:val="single" w:color="auto" w:sz="4" w:space="0"/>
                  </w:tcBorders>
                  <w:vAlign w:val="center"/>
                </w:tcPr>
                <w:p w14:paraId="1E1372FE">
                  <w:pPr>
                    <w:pStyle w:val="20"/>
                  </w:pPr>
                  <w:r>
                    <w:t>33.4</w:t>
                  </w:r>
                </w:p>
              </w:tc>
            </w:tr>
            <w:tr w14:paraId="09151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7" w:type="dxa"/>
                  <w:vMerge w:val="continue"/>
                  <w:tcBorders>
                    <w:top w:val="single" w:color="auto" w:sz="4" w:space="0"/>
                    <w:left w:val="single" w:color="auto" w:sz="4" w:space="0"/>
                    <w:bottom w:val="single" w:color="auto" w:sz="4" w:space="0"/>
                    <w:right w:val="single" w:color="auto" w:sz="4" w:space="0"/>
                  </w:tcBorders>
                  <w:vAlign w:val="center"/>
                </w:tcPr>
                <w:p w14:paraId="31C2DC97">
                  <w:pPr>
                    <w:pStyle w:val="20"/>
                  </w:pPr>
                </w:p>
              </w:tc>
              <w:tc>
                <w:tcPr>
                  <w:tcW w:w="601" w:type="dxa"/>
                  <w:vMerge w:val="continue"/>
                  <w:tcBorders>
                    <w:top w:val="single" w:color="auto" w:sz="4" w:space="0"/>
                    <w:left w:val="single" w:color="auto" w:sz="4" w:space="0"/>
                    <w:bottom w:val="single" w:color="auto" w:sz="4" w:space="0"/>
                    <w:right w:val="single" w:color="auto" w:sz="4" w:space="0"/>
                  </w:tcBorders>
                  <w:vAlign w:val="center"/>
                </w:tcPr>
                <w:p w14:paraId="37816CFD">
                  <w:pPr>
                    <w:pStyle w:val="20"/>
                  </w:pPr>
                </w:p>
              </w:tc>
              <w:tc>
                <w:tcPr>
                  <w:tcW w:w="733" w:type="dxa"/>
                  <w:vMerge w:val="continue"/>
                  <w:tcBorders>
                    <w:top w:val="single" w:color="auto" w:sz="4" w:space="0"/>
                    <w:left w:val="single" w:color="auto" w:sz="4" w:space="0"/>
                    <w:bottom w:val="single" w:color="auto" w:sz="4" w:space="0"/>
                    <w:right w:val="single" w:color="auto" w:sz="4" w:space="0"/>
                  </w:tcBorders>
                  <w:vAlign w:val="center"/>
                </w:tcPr>
                <w:p w14:paraId="48CB8D4C">
                  <w:pPr>
                    <w:pStyle w:val="20"/>
                  </w:pPr>
                </w:p>
              </w:tc>
              <w:tc>
                <w:tcPr>
                  <w:tcW w:w="922" w:type="dxa"/>
                  <w:vMerge w:val="continue"/>
                  <w:tcBorders>
                    <w:top w:val="single" w:color="auto" w:sz="4" w:space="0"/>
                    <w:left w:val="single" w:color="auto" w:sz="4" w:space="0"/>
                    <w:bottom w:val="single" w:color="auto" w:sz="4" w:space="0"/>
                    <w:right w:val="single" w:color="auto" w:sz="4" w:space="0"/>
                  </w:tcBorders>
                  <w:vAlign w:val="center"/>
                </w:tcPr>
                <w:p w14:paraId="65106BB9">
                  <w:pPr>
                    <w:pStyle w:val="20"/>
                  </w:pPr>
                </w:p>
              </w:tc>
              <w:tc>
                <w:tcPr>
                  <w:tcW w:w="602" w:type="dxa"/>
                  <w:vMerge w:val="continue"/>
                  <w:tcBorders>
                    <w:top w:val="single" w:color="auto" w:sz="4" w:space="0"/>
                    <w:left w:val="single" w:color="auto" w:sz="4" w:space="0"/>
                    <w:bottom w:val="single" w:color="auto" w:sz="4" w:space="0"/>
                    <w:right w:val="single" w:color="auto" w:sz="4" w:space="0"/>
                  </w:tcBorders>
                  <w:vAlign w:val="center"/>
                </w:tcPr>
                <w:p w14:paraId="19844D63">
                  <w:pPr>
                    <w:pStyle w:val="20"/>
                  </w:pPr>
                </w:p>
              </w:tc>
              <w:tc>
                <w:tcPr>
                  <w:tcW w:w="1669" w:type="dxa"/>
                  <w:vMerge w:val="continue"/>
                  <w:tcBorders>
                    <w:top w:val="single" w:color="auto" w:sz="4" w:space="0"/>
                    <w:left w:val="single" w:color="auto" w:sz="4" w:space="0"/>
                    <w:bottom w:val="single" w:color="auto" w:sz="4" w:space="0"/>
                    <w:right w:val="single" w:color="auto" w:sz="4" w:space="0"/>
                  </w:tcBorders>
                  <w:vAlign w:val="center"/>
                </w:tcPr>
                <w:p w14:paraId="13C6BCE3">
                  <w:pPr>
                    <w:pStyle w:val="20"/>
                  </w:pPr>
                </w:p>
              </w:tc>
              <w:tc>
                <w:tcPr>
                  <w:tcW w:w="1029" w:type="dxa"/>
                  <w:tcBorders>
                    <w:top w:val="single" w:color="auto" w:sz="4" w:space="0"/>
                    <w:left w:val="single" w:color="auto" w:sz="4" w:space="0"/>
                    <w:bottom w:val="single" w:color="auto" w:sz="4" w:space="0"/>
                    <w:right w:val="single" w:color="auto" w:sz="4" w:space="0"/>
                  </w:tcBorders>
                  <w:vAlign w:val="center"/>
                </w:tcPr>
                <w:p w14:paraId="1FA2E806">
                  <w:pPr>
                    <w:pStyle w:val="20"/>
                  </w:pPr>
                  <w:r>
                    <w:t>颗粒物</w:t>
                  </w:r>
                </w:p>
              </w:tc>
              <w:tc>
                <w:tcPr>
                  <w:tcW w:w="1135" w:type="dxa"/>
                  <w:tcBorders>
                    <w:top w:val="single" w:color="auto" w:sz="4" w:space="0"/>
                    <w:left w:val="single" w:color="auto" w:sz="4" w:space="0"/>
                    <w:bottom w:val="single" w:color="auto" w:sz="4" w:space="0"/>
                    <w:right w:val="single" w:color="auto" w:sz="4" w:space="0"/>
                  </w:tcBorders>
                  <w:vAlign w:val="center"/>
                </w:tcPr>
                <w:p w14:paraId="113FCFBC">
                  <w:pPr>
                    <w:pStyle w:val="20"/>
                  </w:pPr>
                  <w:r>
                    <w:t>千克/立方米-原料</w:t>
                  </w:r>
                </w:p>
              </w:tc>
              <w:tc>
                <w:tcPr>
                  <w:tcW w:w="1222" w:type="dxa"/>
                  <w:tcBorders>
                    <w:top w:val="single" w:color="auto" w:sz="4" w:space="0"/>
                    <w:left w:val="single" w:color="auto" w:sz="4" w:space="0"/>
                    <w:bottom w:val="single" w:color="auto" w:sz="4" w:space="0"/>
                    <w:right w:val="single" w:color="auto" w:sz="4" w:space="0"/>
                  </w:tcBorders>
                  <w:vAlign w:val="center"/>
                </w:tcPr>
                <w:p w14:paraId="76EEA16C">
                  <w:pPr>
                    <w:pStyle w:val="20"/>
                  </w:pPr>
                  <w:r>
                    <w:t>0.000286</w:t>
                  </w:r>
                </w:p>
              </w:tc>
            </w:tr>
            <w:tr w14:paraId="55243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7" w:type="dxa"/>
                  <w:vMerge w:val="continue"/>
                  <w:tcBorders>
                    <w:top w:val="single" w:color="auto" w:sz="4" w:space="0"/>
                    <w:left w:val="single" w:color="auto" w:sz="4" w:space="0"/>
                    <w:bottom w:val="single" w:color="auto" w:sz="4" w:space="0"/>
                    <w:right w:val="single" w:color="auto" w:sz="4" w:space="0"/>
                  </w:tcBorders>
                  <w:vAlign w:val="center"/>
                </w:tcPr>
                <w:p w14:paraId="25A08287">
                  <w:pPr>
                    <w:pStyle w:val="20"/>
                  </w:pPr>
                </w:p>
              </w:tc>
              <w:tc>
                <w:tcPr>
                  <w:tcW w:w="601" w:type="dxa"/>
                  <w:vMerge w:val="continue"/>
                  <w:tcBorders>
                    <w:top w:val="single" w:color="auto" w:sz="4" w:space="0"/>
                    <w:left w:val="single" w:color="auto" w:sz="4" w:space="0"/>
                    <w:bottom w:val="single" w:color="auto" w:sz="4" w:space="0"/>
                    <w:right w:val="single" w:color="auto" w:sz="4" w:space="0"/>
                  </w:tcBorders>
                  <w:vAlign w:val="center"/>
                </w:tcPr>
                <w:p w14:paraId="6A4AD26F">
                  <w:pPr>
                    <w:pStyle w:val="20"/>
                  </w:pPr>
                </w:p>
              </w:tc>
              <w:tc>
                <w:tcPr>
                  <w:tcW w:w="733" w:type="dxa"/>
                  <w:vMerge w:val="continue"/>
                  <w:tcBorders>
                    <w:top w:val="single" w:color="auto" w:sz="4" w:space="0"/>
                    <w:left w:val="single" w:color="auto" w:sz="4" w:space="0"/>
                    <w:bottom w:val="single" w:color="auto" w:sz="4" w:space="0"/>
                    <w:right w:val="single" w:color="auto" w:sz="4" w:space="0"/>
                  </w:tcBorders>
                  <w:vAlign w:val="center"/>
                </w:tcPr>
                <w:p w14:paraId="329F6315">
                  <w:pPr>
                    <w:pStyle w:val="20"/>
                  </w:pPr>
                </w:p>
              </w:tc>
              <w:tc>
                <w:tcPr>
                  <w:tcW w:w="922" w:type="dxa"/>
                  <w:vMerge w:val="continue"/>
                  <w:tcBorders>
                    <w:top w:val="single" w:color="auto" w:sz="4" w:space="0"/>
                    <w:left w:val="single" w:color="auto" w:sz="4" w:space="0"/>
                    <w:bottom w:val="single" w:color="auto" w:sz="4" w:space="0"/>
                    <w:right w:val="single" w:color="auto" w:sz="4" w:space="0"/>
                  </w:tcBorders>
                  <w:vAlign w:val="center"/>
                </w:tcPr>
                <w:p w14:paraId="10C4A6B5">
                  <w:pPr>
                    <w:pStyle w:val="20"/>
                  </w:pPr>
                </w:p>
              </w:tc>
              <w:tc>
                <w:tcPr>
                  <w:tcW w:w="602" w:type="dxa"/>
                  <w:vMerge w:val="continue"/>
                  <w:tcBorders>
                    <w:top w:val="single" w:color="auto" w:sz="4" w:space="0"/>
                    <w:left w:val="single" w:color="auto" w:sz="4" w:space="0"/>
                    <w:bottom w:val="single" w:color="auto" w:sz="4" w:space="0"/>
                    <w:right w:val="single" w:color="auto" w:sz="4" w:space="0"/>
                  </w:tcBorders>
                  <w:vAlign w:val="center"/>
                </w:tcPr>
                <w:p w14:paraId="25372A02">
                  <w:pPr>
                    <w:pStyle w:val="20"/>
                  </w:pPr>
                </w:p>
              </w:tc>
              <w:tc>
                <w:tcPr>
                  <w:tcW w:w="1669" w:type="dxa"/>
                  <w:vMerge w:val="continue"/>
                  <w:tcBorders>
                    <w:top w:val="single" w:color="auto" w:sz="4" w:space="0"/>
                    <w:left w:val="single" w:color="auto" w:sz="4" w:space="0"/>
                    <w:bottom w:val="single" w:color="auto" w:sz="4" w:space="0"/>
                    <w:right w:val="single" w:color="auto" w:sz="4" w:space="0"/>
                  </w:tcBorders>
                  <w:vAlign w:val="center"/>
                </w:tcPr>
                <w:p w14:paraId="540D46AB">
                  <w:pPr>
                    <w:pStyle w:val="20"/>
                  </w:pPr>
                </w:p>
              </w:tc>
              <w:tc>
                <w:tcPr>
                  <w:tcW w:w="1029" w:type="dxa"/>
                  <w:tcBorders>
                    <w:top w:val="single" w:color="auto" w:sz="4" w:space="0"/>
                    <w:left w:val="single" w:color="auto" w:sz="4" w:space="0"/>
                    <w:bottom w:val="single" w:color="auto" w:sz="4" w:space="0"/>
                    <w:right w:val="single" w:color="auto" w:sz="4" w:space="0"/>
                  </w:tcBorders>
                  <w:vAlign w:val="center"/>
                </w:tcPr>
                <w:p w14:paraId="2CE2075A">
                  <w:pPr>
                    <w:pStyle w:val="20"/>
                  </w:pPr>
                  <w:r>
                    <w:t>二氧化硫</w:t>
                  </w:r>
                </w:p>
              </w:tc>
              <w:tc>
                <w:tcPr>
                  <w:tcW w:w="1135" w:type="dxa"/>
                  <w:tcBorders>
                    <w:top w:val="single" w:color="auto" w:sz="4" w:space="0"/>
                    <w:left w:val="single" w:color="auto" w:sz="4" w:space="0"/>
                    <w:bottom w:val="single" w:color="auto" w:sz="4" w:space="0"/>
                    <w:right w:val="single" w:color="auto" w:sz="4" w:space="0"/>
                  </w:tcBorders>
                  <w:vAlign w:val="center"/>
                </w:tcPr>
                <w:p w14:paraId="34DBF277">
                  <w:pPr>
                    <w:pStyle w:val="20"/>
                  </w:pPr>
                  <w:r>
                    <w:t>千克/立方米-原料</w:t>
                  </w:r>
                </w:p>
              </w:tc>
              <w:tc>
                <w:tcPr>
                  <w:tcW w:w="1222" w:type="dxa"/>
                  <w:tcBorders>
                    <w:top w:val="single" w:color="auto" w:sz="4" w:space="0"/>
                    <w:left w:val="single" w:color="auto" w:sz="4" w:space="0"/>
                    <w:bottom w:val="single" w:color="auto" w:sz="4" w:space="0"/>
                    <w:right w:val="single" w:color="auto" w:sz="4" w:space="0"/>
                  </w:tcBorders>
                  <w:vAlign w:val="center"/>
                </w:tcPr>
                <w:p w14:paraId="5EA9E461">
                  <w:pPr>
                    <w:pStyle w:val="20"/>
                  </w:pPr>
                  <w:r>
                    <w:t>0.000002S</w:t>
                  </w:r>
                </w:p>
              </w:tc>
            </w:tr>
            <w:tr w14:paraId="1FDD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17" w:type="dxa"/>
                  <w:vMerge w:val="continue"/>
                  <w:tcBorders>
                    <w:top w:val="single" w:color="auto" w:sz="4" w:space="0"/>
                    <w:left w:val="single" w:color="auto" w:sz="4" w:space="0"/>
                    <w:bottom w:val="single" w:color="auto" w:sz="4" w:space="0"/>
                    <w:right w:val="single" w:color="auto" w:sz="4" w:space="0"/>
                  </w:tcBorders>
                  <w:vAlign w:val="center"/>
                </w:tcPr>
                <w:p w14:paraId="544C7D81">
                  <w:pPr>
                    <w:pStyle w:val="20"/>
                  </w:pPr>
                </w:p>
              </w:tc>
              <w:tc>
                <w:tcPr>
                  <w:tcW w:w="601" w:type="dxa"/>
                  <w:vMerge w:val="continue"/>
                  <w:tcBorders>
                    <w:top w:val="single" w:color="auto" w:sz="4" w:space="0"/>
                    <w:left w:val="single" w:color="auto" w:sz="4" w:space="0"/>
                    <w:bottom w:val="single" w:color="auto" w:sz="4" w:space="0"/>
                    <w:right w:val="single" w:color="auto" w:sz="4" w:space="0"/>
                  </w:tcBorders>
                  <w:vAlign w:val="center"/>
                </w:tcPr>
                <w:p w14:paraId="42C180EE">
                  <w:pPr>
                    <w:pStyle w:val="20"/>
                  </w:pPr>
                </w:p>
              </w:tc>
              <w:tc>
                <w:tcPr>
                  <w:tcW w:w="733" w:type="dxa"/>
                  <w:vMerge w:val="continue"/>
                  <w:tcBorders>
                    <w:top w:val="single" w:color="auto" w:sz="4" w:space="0"/>
                    <w:left w:val="single" w:color="auto" w:sz="4" w:space="0"/>
                    <w:bottom w:val="single" w:color="auto" w:sz="4" w:space="0"/>
                    <w:right w:val="single" w:color="auto" w:sz="4" w:space="0"/>
                  </w:tcBorders>
                  <w:vAlign w:val="center"/>
                </w:tcPr>
                <w:p w14:paraId="3FDE088A">
                  <w:pPr>
                    <w:pStyle w:val="20"/>
                  </w:pPr>
                </w:p>
              </w:tc>
              <w:tc>
                <w:tcPr>
                  <w:tcW w:w="922" w:type="dxa"/>
                  <w:vMerge w:val="continue"/>
                  <w:tcBorders>
                    <w:top w:val="single" w:color="auto" w:sz="4" w:space="0"/>
                    <w:left w:val="single" w:color="auto" w:sz="4" w:space="0"/>
                    <w:bottom w:val="single" w:color="auto" w:sz="4" w:space="0"/>
                    <w:right w:val="single" w:color="auto" w:sz="4" w:space="0"/>
                  </w:tcBorders>
                  <w:vAlign w:val="center"/>
                </w:tcPr>
                <w:p w14:paraId="7E921C8D">
                  <w:pPr>
                    <w:pStyle w:val="20"/>
                  </w:pPr>
                </w:p>
              </w:tc>
              <w:tc>
                <w:tcPr>
                  <w:tcW w:w="602" w:type="dxa"/>
                  <w:vMerge w:val="continue"/>
                  <w:tcBorders>
                    <w:top w:val="single" w:color="auto" w:sz="4" w:space="0"/>
                    <w:left w:val="single" w:color="auto" w:sz="4" w:space="0"/>
                    <w:bottom w:val="single" w:color="auto" w:sz="4" w:space="0"/>
                    <w:right w:val="single" w:color="auto" w:sz="4" w:space="0"/>
                  </w:tcBorders>
                  <w:vAlign w:val="center"/>
                </w:tcPr>
                <w:p w14:paraId="3E28B323">
                  <w:pPr>
                    <w:pStyle w:val="20"/>
                  </w:pPr>
                </w:p>
              </w:tc>
              <w:tc>
                <w:tcPr>
                  <w:tcW w:w="1669" w:type="dxa"/>
                  <w:vMerge w:val="continue"/>
                  <w:tcBorders>
                    <w:top w:val="single" w:color="auto" w:sz="4" w:space="0"/>
                    <w:left w:val="single" w:color="auto" w:sz="4" w:space="0"/>
                    <w:bottom w:val="single" w:color="auto" w:sz="4" w:space="0"/>
                    <w:right w:val="single" w:color="auto" w:sz="4" w:space="0"/>
                  </w:tcBorders>
                  <w:vAlign w:val="center"/>
                </w:tcPr>
                <w:p w14:paraId="7C1E099B">
                  <w:pPr>
                    <w:pStyle w:val="20"/>
                  </w:pPr>
                </w:p>
              </w:tc>
              <w:tc>
                <w:tcPr>
                  <w:tcW w:w="1029" w:type="dxa"/>
                  <w:tcBorders>
                    <w:top w:val="single" w:color="auto" w:sz="4" w:space="0"/>
                    <w:left w:val="single" w:color="auto" w:sz="4" w:space="0"/>
                    <w:bottom w:val="single" w:color="auto" w:sz="4" w:space="0"/>
                    <w:right w:val="single" w:color="auto" w:sz="4" w:space="0"/>
                  </w:tcBorders>
                  <w:vAlign w:val="center"/>
                </w:tcPr>
                <w:p w14:paraId="1A1F2757">
                  <w:pPr>
                    <w:pStyle w:val="20"/>
                  </w:pPr>
                  <w:r>
                    <w:t>氮氧化物</w:t>
                  </w:r>
                </w:p>
              </w:tc>
              <w:tc>
                <w:tcPr>
                  <w:tcW w:w="1135" w:type="dxa"/>
                  <w:tcBorders>
                    <w:top w:val="single" w:color="auto" w:sz="4" w:space="0"/>
                    <w:left w:val="single" w:color="auto" w:sz="4" w:space="0"/>
                    <w:bottom w:val="single" w:color="auto" w:sz="4" w:space="0"/>
                    <w:right w:val="single" w:color="auto" w:sz="4" w:space="0"/>
                  </w:tcBorders>
                  <w:vAlign w:val="center"/>
                </w:tcPr>
                <w:p w14:paraId="3F02E599">
                  <w:pPr>
                    <w:pStyle w:val="20"/>
                  </w:pPr>
                  <w:r>
                    <w:t>千克/立方米-原料</w:t>
                  </w:r>
                </w:p>
              </w:tc>
              <w:tc>
                <w:tcPr>
                  <w:tcW w:w="1222" w:type="dxa"/>
                  <w:tcBorders>
                    <w:top w:val="single" w:color="auto" w:sz="4" w:space="0"/>
                    <w:left w:val="single" w:color="auto" w:sz="4" w:space="0"/>
                    <w:bottom w:val="single" w:color="auto" w:sz="4" w:space="0"/>
                    <w:right w:val="single" w:color="auto" w:sz="4" w:space="0"/>
                  </w:tcBorders>
                  <w:vAlign w:val="center"/>
                </w:tcPr>
                <w:p w14:paraId="28678C50">
                  <w:pPr>
                    <w:pStyle w:val="20"/>
                  </w:pPr>
                  <w:r>
                    <w:t>0.00187</w:t>
                  </w:r>
                </w:p>
              </w:tc>
            </w:tr>
            <w:tr w14:paraId="72D91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0" w:type="dxa"/>
                  <w:gridSpan w:val="9"/>
                  <w:tcBorders>
                    <w:top w:val="single" w:color="auto" w:sz="4" w:space="0"/>
                    <w:left w:val="single" w:color="auto" w:sz="4" w:space="0"/>
                    <w:bottom w:val="single" w:color="auto" w:sz="4" w:space="0"/>
                    <w:right w:val="single" w:color="auto" w:sz="4" w:space="0"/>
                  </w:tcBorders>
                  <w:vAlign w:val="center"/>
                </w:tcPr>
                <w:p w14:paraId="54234602">
                  <w:pPr>
                    <w:pStyle w:val="20"/>
                  </w:pPr>
                  <w:r>
                    <w:t>备注：产排污系数表中二氧化硫的产排污系数是以含硫量（S）的形式表示的，其中含硫量（S）是指燃料收到基硫分含量，单位为毫克/立方米，如燃料中含硫量（S）为 200 毫克/立方米，则 S=200。本项目采用液化石油气为燃料，根据《液化石油气》（GB 11174-2011）液化石油气中总硫含量不高于343mg/m</w:t>
                  </w:r>
                  <w:r>
                    <w:rPr>
                      <w:vertAlign w:val="superscript"/>
                    </w:rPr>
                    <w:t>3</w:t>
                  </w:r>
                  <w:r>
                    <w:t>，本报告液化石油气硫含量S按343mg/m</w:t>
                  </w:r>
                  <w:r>
                    <w:rPr>
                      <w:vertAlign w:val="superscript"/>
                    </w:rPr>
                    <w:t>3</w:t>
                  </w:r>
                  <w:r>
                    <w:t>进行核算，S=343。</w:t>
                  </w:r>
                </w:p>
              </w:tc>
            </w:tr>
          </w:tbl>
          <w:p w14:paraId="010F78E6">
            <w:pPr>
              <w:pStyle w:val="58"/>
              <w:spacing w:before="120" w:beforeLines="50" w:line="360" w:lineRule="auto"/>
              <w:ind w:firstLine="480"/>
              <w:jc w:val="both"/>
              <w:rPr>
                <w:rFonts w:ascii="Times New Roman" w:hAnsi="Times New Roman" w:eastAsia="Times New Roman"/>
              </w:rPr>
            </w:pPr>
            <w:r>
              <w:rPr>
                <w:rFonts w:ascii="Times New Roman" w:hAnsi="Times New Roman"/>
              </w:rPr>
              <w:t>项目固化炉液化石油气燃烧废气产生情况详见下表。</w:t>
            </w:r>
          </w:p>
          <w:p w14:paraId="3A996FAE">
            <w:pPr>
              <w:pStyle w:val="10"/>
              <w:ind w:firstLine="422"/>
              <w:rPr>
                <w:rFonts w:hint="default" w:eastAsia="Times New Roman"/>
                <w:kern w:val="2"/>
                <w:szCs w:val="24"/>
              </w:rPr>
            </w:pPr>
            <w:r>
              <w:rPr>
                <w:rFonts w:hint="default"/>
                <w:kern w:val="2"/>
                <w:szCs w:val="24"/>
              </w:rPr>
              <w:t>表4-4  项目液化石油气燃烧废气产生情况一览表</w:t>
            </w:r>
          </w:p>
          <w:tbl>
            <w:tblPr>
              <w:tblStyle w:val="23"/>
              <w:tblW w:w="85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6"/>
              <w:gridCol w:w="1706"/>
              <w:gridCol w:w="1706"/>
              <w:gridCol w:w="1706"/>
              <w:gridCol w:w="1707"/>
            </w:tblGrid>
            <w:tr w14:paraId="35FF0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tcBorders>
                    <w:top w:val="single" w:color="auto" w:sz="4" w:space="0"/>
                    <w:left w:val="single" w:color="auto" w:sz="4" w:space="0"/>
                    <w:bottom w:val="single" w:color="auto" w:sz="4" w:space="0"/>
                    <w:right w:val="single" w:color="auto" w:sz="4" w:space="0"/>
                  </w:tcBorders>
                  <w:vAlign w:val="center"/>
                </w:tcPr>
                <w:p w14:paraId="24FF6840">
                  <w:pPr>
                    <w:pStyle w:val="20"/>
                    <w:rPr>
                      <w:b/>
                      <w:bCs/>
                    </w:rPr>
                  </w:pPr>
                  <w:r>
                    <w:rPr>
                      <w:b/>
                      <w:bCs/>
                    </w:rPr>
                    <w:t>工序</w:t>
                  </w:r>
                </w:p>
              </w:tc>
              <w:tc>
                <w:tcPr>
                  <w:tcW w:w="1706" w:type="dxa"/>
                  <w:tcBorders>
                    <w:top w:val="single" w:color="auto" w:sz="4" w:space="0"/>
                    <w:left w:val="single" w:color="auto" w:sz="4" w:space="0"/>
                    <w:bottom w:val="single" w:color="auto" w:sz="4" w:space="0"/>
                    <w:right w:val="single" w:color="auto" w:sz="4" w:space="0"/>
                  </w:tcBorders>
                  <w:vAlign w:val="center"/>
                </w:tcPr>
                <w:p w14:paraId="22314DA5">
                  <w:pPr>
                    <w:pStyle w:val="20"/>
                    <w:rPr>
                      <w:b/>
                      <w:bCs/>
                    </w:rPr>
                  </w:pPr>
                  <w:r>
                    <w:rPr>
                      <w:b/>
                      <w:bCs/>
                    </w:rPr>
                    <w:t>污染物</w:t>
                  </w:r>
                </w:p>
              </w:tc>
              <w:tc>
                <w:tcPr>
                  <w:tcW w:w="1706" w:type="dxa"/>
                  <w:tcBorders>
                    <w:top w:val="single" w:color="auto" w:sz="4" w:space="0"/>
                    <w:left w:val="single" w:color="auto" w:sz="4" w:space="0"/>
                    <w:bottom w:val="single" w:color="auto" w:sz="4" w:space="0"/>
                    <w:right w:val="single" w:color="auto" w:sz="4" w:space="0"/>
                  </w:tcBorders>
                  <w:vAlign w:val="center"/>
                </w:tcPr>
                <w:p w14:paraId="5D814B6B">
                  <w:pPr>
                    <w:pStyle w:val="20"/>
                    <w:rPr>
                      <w:b/>
                      <w:bCs/>
                    </w:rPr>
                  </w:pPr>
                  <w:r>
                    <w:rPr>
                      <w:b/>
                      <w:bCs/>
                    </w:rPr>
                    <w:t>液化石油气消耗量</w:t>
                  </w:r>
                </w:p>
              </w:tc>
              <w:tc>
                <w:tcPr>
                  <w:tcW w:w="1706" w:type="dxa"/>
                  <w:tcBorders>
                    <w:top w:val="single" w:color="auto" w:sz="4" w:space="0"/>
                    <w:left w:val="single" w:color="auto" w:sz="4" w:space="0"/>
                    <w:bottom w:val="single" w:color="auto" w:sz="4" w:space="0"/>
                    <w:right w:val="single" w:color="auto" w:sz="4" w:space="0"/>
                  </w:tcBorders>
                  <w:vAlign w:val="center"/>
                </w:tcPr>
                <w:p w14:paraId="44CB43DE">
                  <w:pPr>
                    <w:pStyle w:val="20"/>
                    <w:rPr>
                      <w:b/>
                      <w:bCs/>
                    </w:rPr>
                  </w:pPr>
                  <w:r>
                    <w:rPr>
                      <w:b/>
                      <w:bCs/>
                    </w:rPr>
                    <w:t>产生量（t/a）</w:t>
                  </w:r>
                </w:p>
              </w:tc>
              <w:tc>
                <w:tcPr>
                  <w:tcW w:w="1707" w:type="dxa"/>
                  <w:tcBorders>
                    <w:top w:val="single" w:color="auto" w:sz="4" w:space="0"/>
                    <w:left w:val="single" w:color="auto" w:sz="4" w:space="0"/>
                    <w:bottom w:val="single" w:color="auto" w:sz="4" w:space="0"/>
                    <w:right w:val="single" w:color="auto" w:sz="4" w:space="0"/>
                  </w:tcBorders>
                  <w:vAlign w:val="center"/>
                </w:tcPr>
                <w:p w14:paraId="53723B0E">
                  <w:pPr>
                    <w:pStyle w:val="20"/>
                    <w:rPr>
                      <w:b/>
                      <w:bCs/>
                    </w:rPr>
                  </w:pPr>
                  <w:r>
                    <w:rPr>
                      <w:b/>
                      <w:bCs/>
                    </w:rPr>
                    <w:t>产生速率（kg/h）</w:t>
                  </w:r>
                </w:p>
              </w:tc>
            </w:tr>
            <w:tr w14:paraId="5FF0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vMerge w:val="restart"/>
                  <w:tcBorders>
                    <w:top w:val="single" w:color="auto" w:sz="4" w:space="0"/>
                    <w:left w:val="single" w:color="auto" w:sz="4" w:space="0"/>
                    <w:right w:val="single" w:color="auto" w:sz="4" w:space="0"/>
                  </w:tcBorders>
                  <w:vAlign w:val="center"/>
                </w:tcPr>
                <w:p w14:paraId="254B457D">
                  <w:pPr>
                    <w:pStyle w:val="20"/>
                  </w:pPr>
                  <w:r>
                    <w:t>1#烘干炉</w:t>
                  </w:r>
                </w:p>
              </w:tc>
              <w:tc>
                <w:tcPr>
                  <w:tcW w:w="1706" w:type="dxa"/>
                  <w:tcBorders>
                    <w:top w:val="single" w:color="auto" w:sz="4" w:space="0"/>
                    <w:left w:val="single" w:color="auto" w:sz="4" w:space="0"/>
                    <w:bottom w:val="single" w:color="auto" w:sz="4" w:space="0"/>
                    <w:right w:val="single" w:color="auto" w:sz="4" w:space="0"/>
                  </w:tcBorders>
                  <w:vAlign w:val="center"/>
                </w:tcPr>
                <w:p w14:paraId="4FD9B169">
                  <w:pPr>
                    <w:pStyle w:val="20"/>
                  </w:pPr>
                  <w:r>
                    <w:t>SO</w:t>
                  </w:r>
                  <w:r>
                    <w:rPr>
                      <w:vertAlign w:val="subscript"/>
                    </w:rPr>
                    <w:t>2</w:t>
                  </w:r>
                </w:p>
              </w:tc>
              <w:tc>
                <w:tcPr>
                  <w:tcW w:w="1706" w:type="dxa"/>
                  <w:vMerge w:val="restart"/>
                  <w:tcBorders>
                    <w:top w:val="single" w:color="auto" w:sz="4" w:space="0"/>
                    <w:left w:val="single" w:color="auto" w:sz="4" w:space="0"/>
                    <w:bottom w:val="single" w:color="auto" w:sz="4" w:space="0"/>
                    <w:right w:val="single" w:color="auto" w:sz="4" w:space="0"/>
                  </w:tcBorders>
                  <w:vAlign w:val="center"/>
                </w:tcPr>
                <w:p w14:paraId="4512669F">
                  <w:pPr>
                    <w:pStyle w:val="20"/>
                  </w:pPr>
                  <w:r>
                    <w:t>39t /a（约16595.74m</w:t>
                  </w:r>
                  <w:r>
                    <w:rPr>
                      <w:vertAlign w:val="superscript"/>
                    </w:rPr>
                    <w:t>3</w:t>
                  </w:r>
                  <w:r>
                    <w:t>/a,按气态密度2.35kg/m</w:t>
                  </w:r>
                  <w:r>
                    <w:rPr>
                      <w:vertAlign w:val="superscript"/>
                    </w:rPr>
                    <w:t>3</w:t>
                  </w:r>
                  <w:r>
                    <w:t>折算）</w:t>
                  </w:r>
                </w:p>
              </w:tc>
              <w:tc>
                <w:tcPr>
                  <w:tcW w:w="1706" w:type="dxa"/>
                  <w:tcBorders>
                    <w:top w:val="single" w:color="auto" w:sz="4" w:space="0"/>
                    <w:left w:val="single" w:color="auto" w:sz="4" w:space="0"/>
                    <w:bottom w:val="single" w:color="auto" w:sz="4" w:space="0"/>
                    <w:right w:val="single" w:color="auto" w:sz="4" w:space="0"/>
                  </w:tcBorders>
                  <w:vAlign w:val="center"/>
                </w:tcPr>
                <w:p w14:paraId="2F4E8388">
                  <w:pPr>
                    <w:pStyle w:val="20"/>
                  </w:pPr>
                  <w:r>
                    <w:t>0.0114</w:t>
                  </w:r>
                </w:p>
              </w:tc>
              <w:tc>
                <w:tcPr>
                  <w:tcW w:w="1707" w:type="dxa"/>
                  <w:tcBorders>
                    <w:top w:val="single" w:color="auto" w:sz="4" w:space="0"/>
                    <w:left w:val="single" w:color="auto" w:sz="4" w:space="0"/>
                    <w:bottom w:val="single" w:color="auto" w:sz="4" w:space="0"/>
                    <w:right w:val="single" w:color="auto" w:sz="4" w:space="0"/>
                  </w:tcBorders>
                  <w:vAlign w:val="center"/>
                </w:tcPr>
                <w:p w14:paraId="0EA15E5A">
                  <w:pPr>
                    <w:pStyle w:val="20"/>
                  </w:pPr>
                  <w:r>
                    <w:t>0.0024</w:t>
                  </w:r>
                </w:p>
              </w:tc>
            </w:tr>
            <w:tr w14:paraId="335DB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vMerge w:val="continue"/>
                  <w:tcBorders>
                    <w:left w:val="single" w:color="auto" w:sz="4" w:space="0"/>
                    <w:right w:val="single" w:color="auto" w:sz="4" w:space="0"/>
                  </w:tcBorders>
                  <w:vAlign w:val="center"/>
                </w:tcPr>
                <w:p w14:paraId="7AD70EED">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41993182">
                  <w:pPr>
                    <w:pStyle w:val="20"/>
                  </w:pPr>
                  <w:r>
                    <w:t>NO</w:t>
                  </w:r>
                  <w:r>
                    <w:rPr>
                      <w:vertAlign w:val="subscript"/>
                    </w:rPr>
                    <w:t>X</w:t>
                  </w:r>
                </w:p>
              </w:tc>
              <w:tc>
                <w:tcPr>
                  <w:tcW w:w="1706" w:type="dxa"/>
                  <w:vMerge w:val="continue"/>
                  <w:tcBorders>
                    <w:top w:val="single" w:color="auto" w:sz="4" w:space="0"/>
                    <w:left w:val="single" w:color="auto" w:sz="4" w:space="0"/>
                    <w:bottom w:val="single" w:color="auto" w:sz="4" w:space="0"/>
                    <w:right w:val="single" w:color="auto" w:sz="4" w:space="0"/>
                  </w:tcBorders>
                  <w:vAlign w:val="center"/>
                </w:tcPr>
                <w:p w14:paraId="68703614">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6E14FA3D">
                  <w:pPr>
                    <w:pStyle w:val="20"/>
                  </w:pPr>
                  <w:r>
                    <w:t>0.0310</w:t>
                  </w:r>
                </w:p>
              </w:tc>
              <w:tc>
                <w:tcPr>
                  <w:tcW w:w="1707" w:type="dxa"/>
                  <w:tcBorders>
                    <w:top w:val="single" w:color="auto" w:sz="4" w:space="0"/>
                    <w:left w:val="single" w:color="auto" w:sz="4" w:space="0"/>
                    <w:bottom w:val="single" w:color="auto" w:sz="4" w:space="0"/>
                    <w:right w:val="single" w:color="auto" w:sz="4" w:space="0"/>
                  </w:tcBorders>
                  <w:vAlign w:val="center"/>
                </w:tcPr>
                <w:p w14:paraId="2CE7364A">
                  <w:pPr>
                    <w:pStyle w:val="20"/>
                  </w:pPr>
                  <w:r>
                    <w:t>0.0065</w:t>
                  </w:r>
                </w:p>
              </w:tc>
            </w:tr>
            <w:tr w14:paraId="77E39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vMerge w:val="continue"/>
                  <w:tcBorders>
                    <w:left w:val="single" w:color="auto" w:sz="4" w:space="0"/>
                    <w:right w:val="single" w:color="auto" w:sz="4" w:space="0"/>
                  </w:tcBorders>
                  <w:vAlign w:val="center"/>
                </w:tcPr>
                <w:p w14:paraId="02771E01">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0B7C1BAE">
                  <w:pPr>
                    <w:pStyle w:val="20"/>
                  </w:pPr>
                  <w:r>
                    <w:t>颗粒物</w:t>
                  </w:r>
                </w:p>
              </w:tc>
              <w:tc>
                <w:tcPr>
                  <w:tcW w:w="1706" w:type="dxa"/>
                  <w:vMerge w:val="continue"/>
                  <w:tcBorders>
                    <w:top w:val="single" w:color="auto" w:sz="4" w:space="0"/>
                    <w:left w:val="single" w:color="auto" w:sz="4" w:space="0"/>
                    <w:bottom w:val="single" w:color="auto" w:sz="4" w:space="0"/>
                    <w:right w:val="single" w:color="auto" w:sz="4" w:space="0"/>
                  </w:tcBorders>
                  <w:vAlign w:val="center"/>
                </w:tcPr>
                <w:p w14:paraId="0D6C8966">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02F73959">
                  <w:pPr>
                    <w:pStyle w:val="20"/>
                  </w:pPr>
                  <w:r>
                    <w:t>0.0047</w:t>
                  </w:r>
                </w:p>
              </w:tc>
              <w:tc>
                <w:tcPr>
                  <w:tcW w:w="1707" w:type="dxa"/>
                  <w:tcBorders>
                    <w:top w:val="single" w:color="auto" w:sz="4" w:space="0"/>
                    <w:left w:val="single" w:color="auto" w:sz="4" w:space="0"/>
                    <w:bottom w:val="single" w:color="auto" w:sz="4" w:space="0"/>
                    <w:right w:val="single" w:color="auto" w:sz="4" w:space="0"/>
                  </w:tcBorders>
                  <w:vAlign w:val="center"/>
                </w:tcPr>
                <w:p w14:paraId="0980C6BD">
                  <w:pPr>
                    <w:pStyle w:val="20"/>
                  </w:pPr>
                  <w:r>
                    <w:t>0.0010</w:t>
                  </w:r>
                </w:p>
              </w:tc>
            </w:tr>
            <w:tr w14:paraId="3707A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vMerge w:val="restart"/>
                  <w:tcBorders>
                    <w:left w:val="single" w:color="auto" w:sz="4" w:space="0"/>
                    <w:right w:val="single" w:color="auto" w:sz="4" w:space="0"/>
                  </w:tcBorders>
                  <w:vAlign w:val="center"/>
                </w:tcPr>
                <w:p w14:paraId="1301060A">
                  <w:pPr>
                    <w:pStyle w:val="20"/>
                  </w:pPr>
                  <w:r>
                    <w:t>2#烘干炉</w:t>
                  </w:r>
                </w:p>
              </w:tc>
              <w:tc>
                <w:tcPr>
                  <w:tcW w:w="1706" w:type="dxa"/>
                  <w:tcBorders>
                    <w:top w:val="single" w:color="auto" w:sz="4" w:space="0"/>
                    <w:left w:val="single" w:color="auto" w:sz="4" w:space="0"/>
                    <w:bottom w:val="single" w:color="auto" w:sz="4" w:space="0"/>
                    <w:right w:val="single" w:color="auto" w:sz="4" w:space="0"/>
                  </w:tcBorders>
                  <w:vAlign w:val="center"/>
                </w:tcPr>
                <w:p w14:paraId="60BBB50F">
                  <w:pPr>
                    <w:pStyle w:val="20"/>
                  </w:pPr>
                  <w:r>
                    <w:t>SO</w:t>
                  </w:r>
                  <w:r>
                    <w:rPr>
                      <w:vertAlign w:val="subscript"/>
                    </w:rPr>
                    <w:t>2</w:t>
                  </w:r>
                </w:p>
              </w:tc>
              <w:tc>
                <w:tcPr>
                  <w:tcW w:w="1706" w:type="dxa"/>
                  <w:vMerge w:val="restart"/>
                  <w:tcBorders>
                    <w:top w:val="single" w:color="auto" w:sz="4" w:space="0"/>
                    <w:left w:val="single" w:color="auto" w:sz="4" w:space="0"/>
                    <w:right w:val="single" w:color="auto" w:sz="4" w:space="0"/>
                  </w:tcBorders>
                  <w:vAlign w:val="center"/>
                </w:tcPr>
                <w:p w14:paraId="5C82887D">
                  <w:pPr>
                    <w:pStyle w:val="20"/>
                  </w:pPr>
                  <w:r>
                    <w:t>39t /a（约16595.74m</w:t>
                  </w:r>
                  <w:r>
                    <w:rPr>
                      <w:vertAlign w:val="superscript"/>
                    </w:rPr>
                    <w:t>3</w:t>
                  </w:r>
                  <w:r>
                    <w:t>/a,按气态密度2.35kg/m</w:t>
                  </w:r>
                  <w:r>
                    <w:rPr>
                      <w:vertAlign w:val="superscript"/>
                    </w:rPr>
                    <w:t>3</w:t>
                  </w:r>
                  <w:r>
                    <w:t>折算）</w:t>
                  </w:r>
                </w:p>
              </w:tc>
              <w:tc>
                <w:tcPr>
                  <w:tcW w:w="1706" w:type="dxa"/>
                  <w:tcBorders>
                    <w:top w:val="single" w:color="auto" w:sz="4" w:space="0"/>
                    <w:left w:val="single" w:color="auto" w:sz="4" w:space="0"/>
                    <w:bottom w:val="single" w:color="auto" w:sz="4" w:space="0"/>
                    <w:right w:val="single" w:color="auto" w:sz="4" w:space="0"/>
                  </w:tcBorders>
                  <w:vAlign w:val="center"/>
                </w:tcPr>
                <w:p w14:paraId="7C5C8414">
                  <w:pPr>
                    <w:pStyle w:val="20"/>
                  </w:pPr>
                  <w:r>
                    <w:t>0.0114</w:t>
                  </w:r>
                </w:p>
              </w:tc>
              <w:tc>
                <w:tcPr>
                  <w:tcW w:w="1707" w:type="dxa"/>
                  <w:tcBorders>
                    <w:top w:val="single" w:color="auto" w:sz="4" w:space="0"/>
                    <w:left w:val="single" w:color="auto" w:sz="4" w:space="0"/>
                    <w:bottom w:val="single" w:color="auto" w:sz="4" w:space="0"/>
                    <w:right w:val="single" w:color="auto" w:sz="4" w:space="0"/>
                  </w:tcBorders>
                  <w:vAlign w:val="center"/>
                </w:tcPr>
                <w:p w14:paraId="6DBAF46B">
                  <w:pPr>
                    <w:pStyle w:val="20"/>
                  </w:pPr>
                  <w:r>
                    <w:t>0.0024</w:t>
                  </w:r>
                </w:p>
              </w:tc>
            </w:tr>
            <w:tr w14:paraId="4E2E7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vMerge w:val="continue"/>
                  <w:tcBorders>
                    <w:left w:val="single" w:color="auto" w:sz="4" w:space="0"/>
                    <w:right w:val="single" w:color="auto" w:sz="4" w:space="0"/>
                  </w:tcBorders>
                  <w:vAlign w:val="center"/>
                </w:tcPr>
                <w:p w14:paraId="7CBAFF9D">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0EF6C973">
                  <w:pPr>
                    <w:pStyle w:val="20"/>
                  </w:pPr>
                  <w:r>
                    <w:t>NO</w:t>
                  </w:r>
                  <w:r>
                    <w:rPr>
                      <w:vertAlign w:val="subscript"/>
                    </w:rPr>
                    <w:t>X</w:t>
                  </w:r>
                </w:p>
              </w:tc>
              <w:tc>
                <w:tcPr>
                  <w:tcW w:w="1706" w:type="dxa"/>
                  <w:vMerge w:val="continue"/>
                  <w:tcBorders>
                    <w:left w:val="single" w:color="auto" w:sz="4" w:space="0"/>
                    <w:right w:val="single" w:color="auto" w:sz="4" w:space="0"/>
                  </w:tcBorders>
                  <w:vAlign w:val="center"/>
                </w:tcPr>
                <w:p w14:paraId="71DF886C">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1C7A75AE">
                  <w:pPr>
                    <w:pStyle w:val="20"/>
                  </w:pPr>
                  <w:r>
                    <w:t>0.0310</w:t>
                  </w:r>
                </w:p>
              </w:tc>
              <w:tc>
                <w:tcPr>
                  <w:tcW w:w="1707" w:type="dxa"/>
                  <w:tcBorders>
                    <w:top w:val="single" w:color="auto" w:sz="4" w:space="0"/>
                    <w:left w:val="single" w:color="auto" w:sz="4" w:space="0"/>
                    <w:bottom w:val="single" w:color="auto" w:sz="4" w:space="0"/>
                    <w:right w:val="single" w:color="auto" w:sz="4" w:space="0"/>
                  </w:tcBorders>
                  <w:vAlign w:val="center"/>
                </w:tcPr>
                <w:p w14:paraId="080B56D2">
                  <w:pPr>
                    <w:pStyle w:val="20"/>
                  </w:pPr>
                  <w:r>
                    <w:t>0.0065</w:t>
                  </w:r>
                </w:p>
              </w:tc>
            </w:tr>
            <w:tr w14:paraId="1D601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06" w:type="dxa"/>
                  <w:vMerge w:val="continue"/>
                  <w:tcBorders>
                    <w:left w:val="single" w:color="auto" w:sz="4" w:space="0"/>
                    <w:right w:val="single" w:color="auto" w:sz="4" w:space="0"/>
                  </w:tcBorders>
                  <w:vAlign w:val="center"/>
                </w:tcPr>
                <w:p w14:paraId="499D26A0">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38407EB9">
                  <w:pPr>
                    <w:pStyle w:val="20"/>
                  </w:pPr>
                  <w:r>
                    <w:t>颗粒物</w:t>
                  </w:r>
                </w:p>
              </w:tc>
              <w:tc>
                <w:tcPr>
                  <w:tcW w:w="1706" w:type="dxa"/>
                  <w:vMerge w:val="continue"/>
                  <w:tcBorders>
                    <w:left w:val="single" w:color="auto" w:sz="4" w:space="0"/>
                    <w:right w:val="single" w:color="auto" w:sz="4" w:space="0"/>
                  </w:tcBorders>
                  <w:vAlign w:val="center"/>
                </w:tcPr>
                <w:p w14:paraId="49C602E1">
                  <w:pPr>
                    <w:pStyle w:val="20"/>
                  </w:pPr>
                </w:p>
              </w:tc>
              <w:tc>
                <w:tcPr>
                  <w:tcW w:w="1706" w:type="dxa"/>
                  <w:tcBorders>
                    <w:top w:val="single" w:color="auto" w:sz="4" w:space="0"/>
                    <w:left w:val="single" w:color="auto" w:sz="4" w:space="0"/>
                    <w:bottom w:val="single" w:color="auto" w:sz="4" w:space="0"/>
                    <w:right w:val="single" w:color="auto" w:sz="4" w:space="0"/>
                  </w:tcBorders>
                  <w:vAlign w:val="center"/>
                </w:tcPr>
                <w:p w14:paraId="2440FBF0">
                  <w:pPr>
                    <w:pStyle w:val="20"/>
                  </w:pPr>
                  <w:r>
                    <w:t>0.0047</w:t>
                  </w:r>
                </w:p>
              </w:tc>
              <w:tc>
                <w:tcPr>
                  <w:tcW w:w="1707" w:type="dxa"/>
                  <w:tcBorders>
                    <w:top w:val="single" w:color="auto" w:sz="4" w:space="0"/>
                    <w:left w:val="single" w:color="auto" w:sz="4" w:space="0"/>
                    <w:bottom w:val="single" w:color="auto" w:sz="4" w:space="0"/>
                    <w:right w:val="single" w:color="auto" w:sz="4" w:space="0"/>
                  </w:tcBorders>
                  <w:vAlign w:val="center"/>
                </w:tcPr>
                <w:p w14:paraId="38A9A9F5">
                  <w:pPr>
                    <w:pStyle w:val="20"/>
                  </w:pPr>
                  <w:r>
                    <w:t>0.0010</w:t>
                  </w:r>
                </w:p>
              </w:tc>
            </w:tr>
          </w:tbl>
          <w:p w14:paraId="11D2DFA4">
            <w:pPr>
              <w:ind w:firstLine="482"/>
              <w:rPr>
                <w:b/>
                <w:bCs/>
                <w:kern w:val="2"/>
              </w:rPr>
            </w:pPr>
            <w:r>
              <w:rPr>
                <w:b/>
                <w:bCs/>
                <w:kern w:val="2"/>
              </w:rPr>
              <w:t>（八）固化废气、电泳烘干废气收集处理方案</w:t>
            </w:r>
          </w:p>
          <w:p w14:paraId="00497FC9">
            <w:pPr>
              <w:ind w:firstLine="480"/>
              <w:rPr>
                <w:kern w:val="2"/>
              </w:rPr>
            </w:pPr>
            <w:r>
              <w:rPr>
                <w:kern w:val="2"/>
              </w:rPr>
              <w:t>为降低本项目固化、电泳烘干工序产生的废气对区域大气环境的</w:t>
            </w:r>
            <w:r>
              <w:rPr>
                <w:kern w:val="2"/>
                <w:lang w:bidi="ar"/>
              </w:rPr>
              <w:t>影响，建设单位对粉末固化、电泳烘干拟采用密闭烘干房，只保留工件进出口，固化、烘干时整体密闭负压抽风方式对烘干房废气进行收集，项目电泳烘干在1#烘干房、粉末固化在2#烘干房。</w:t>
            </w:r>
          </w:p>
          <w:p w14:paraId="130E97F4">
            <w:pPr>
              <w:ind w:firstLine="480"/>
              <w:rPr>
                <w:kern w:val="2"/>
                <w:lang w:bidi="ar"/>
              </w:rPr>
            </w:pPr>
            <w:r>
              <w:rPr>
                <w:kern w:val="2"/>
                <w:lang w:bidi="ar"/>
              </w:rPr>
              <w:t>根据《三废处理工程技术手册废气卷》中的表 17-1，工厂一般作业室每小时</w:t>
            </w:r>
          </w:p>
          <w:p w14:paraId="0AD14C72">
            <w:pPr>
              <w:ind w:firstLine="0" w:firstLineChars="0"/>
              <w:rPr>
                <w:kern w:val="2"/>
              </w:rPr>
            </w:pPr>
            <w:r>
              <w:rPr>
                <w:kern w:val="2"/>
                <w:lang w:bidi="ar"/>
              </w:rPr>
              <w:t>换气次数为6次，故项目烘干房按6次/h 来计算所需理论风量。本项目烘干房所需理论风量见下表。</w:t>
            </w:r>
          </w:p>
          <w:p w14:paraId="2389F645">
            <w:pPr>
              <w:autoSpaceDE w:val="0"/>
              <w:autoSpaceDN w:val="0"/>
              <w:ind w:firstLine="0" w:firstLineChars="0"/>
              <w:jc w:val="center"/>
              <w:rPr>
                <w:b/>
                <w:kern w:val="2"/>
                <w:sz w:val="21"/>
                <w:szCs w:val="21"/>
              </w:rPr>
            </w:pPr>
            <w:r>
              <w:rPr>
                <w:b/>
                <w:kern w:val="2"/>
                <w:sz w:val="21"/>
                <w:szCs w:val="21"/>
                <w:lang w:bidi="ar"/>
              </w:rPr>
              <w:t>表4-5 烘干房废气收集风量计算</w:t>
            </w:r>
          </w:p>
          <w:tbl>
            <w:tblPr>
              <w:tblStyle w:val="23"/>
              <w:tblW w:w="4947"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5"/>
              <w:gridCol w:w="860"/>
              <w:gridCol w:w="1042"/>
              <w:gridCol w:w="1046"/>
              <w:gridCol w:w="1341"/>
              <w:gridCol w:w="1496"/>
              <w:gridCol w:w="1784"/>
            </w:tblGrid>
            <w:tr w14:paraId="0F9AE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560" w:type="pct"/>
                  <w:tcBorders>
                    <w:top w:val="single" w:color="auto" w:sz="4" w:space="0"/>
                    <w:left w:val="single" w:color="auto" w:sz="4" w:space="0"/>
                    <w:bottom w:val="single" w:color="auto" w:sz="4" w:space="0"/>
                    <w:right w:val="single" w:color="auto" w:sz="4" w:space="0"/>
                  </w:tcBorders>
                  <w:vAlign w:val="center"/>
                </w:tcPr>
                <w:p w14:paraId="74AD229A">
                  <w:pPr>
                    <w:widowControl/>
                    <w:spacing w:line="240" w:lineRule="atLeast"/>
                    <w:ind w:firstLine="0" w:firstLineChars="0"/>
                    <w:jc w:val="center"/>
                    <w:rPr>
                      <w:b/>
                      <w:kern w:val="2"/>
                      <w:sz w:val="21"/>
                      <w:szCs w:val="21"/>
                    </w:rPr>
                  </w:pPr>
                  <w:r>
                    <w:rPr>
                      <w:b/>
                      <w:kern w:val="2"/>
                      <w:sz w:val="21"/>
                      <w:szCs w:val="21"/>
                      <w:lang w:bidi="ar"/>
                    </w:rPr>
                    <w:t>项目</w:t>
                  </w:r>
                </w:p>
              </w:tc>
              <w:tc>
                <w:tcPr>
                  <w:tcW w:w="504" w:type="pct"/>
                  <w:tcBorders>
                    <w:top w:val="single" w:color="auto" w:sz="4" w:space="0"/>
                    <w:left w:val="nil"/>
                    <w:bottom w:val="single" w:color="auto" w:sz="4" w:space="0"/>
                    <w:right w:val="single" w:color="auto" w:sz="4" w:space="0"/>
                  </w:tcBorders>
                  <w:vAlign w:val="center"/>
                </w:tcPr>
                <w:p w14:paraId="21C7DFF4">
                  <w:pPr>
                    <w:widowControl/>
                    <w:spacing w:line="240" w:lineRule="atLeast"/>
                    <w:ind w:firstLine="0" w:firstLineChars="0"/>
                    <w:jc w:val="center"/>
                    <w:rPr>
                      <w:b/>
                      <w:kern w:val="2"/>
                      <w:sz w:val="21"/>
                      <w:szCs w:val="21"/>
                    </w:rPr>
                  </w:pPr>
                  <w:r>
                    <w:rPr>
                      <w:b/>
                      <w:kern w:val="2"/>
                      <w:sz w:val="21"/>
                      <w:szCs w:val="21"/>
                      <w:lang w:bidi="ar"/>
                    </w:rPr>
                    <w:t>长</w:t>
                  </w:r>
                </w:p>
                <w:p w14:paraId="78F73B0E">
                  <w:pPr>
                    <w:widowControl/>
                    <w:spacing w:line="240" w:lineRule="atLeast"/>
                    <w:ind w:firstLine="0" w:firstLineChars="0"/>
                    <w:jc w:val="center"/>
                    <w:rPr>
                      <w:b/>
                      <w:kern w:val="2"/>
                      <w:sz w:val="21"/>
                      <w:szCs w:val="21"/>
                    </w:rPr>
                  </w:pPr>
                  <w:r>
                    <w:rPr>
                      <w:b/>
                      <w:kern w:val="2"/>
                      <w:sz w:val="21"/>
                      <w:szCs w:val="21"/>
                      <w:lang w:bidi="ar"/>
                    </w:rPr>
                    <w:t>（m）</w:t>
                  </w:r>
                </w:p>
              </w:tc>
              <w:tc>
                <w:tcPr>
                  <w:tcW w:w="611" w:type="pct"/>
                  <w:tcBorders>
                    <w:top w:val="single" w:color="auto" w:sz="4" w:space="0"/>
                    <w:left w:val="nil"/>
                    <w:bottom w:val="single" w:color="auto" w:sz="4" w:space="0"/>
                    <w:right w:val="single" w:color="auto" w:sz="4" w:space="0"/>
                  </w:tcBorders>
                  <w:vAlign w:val="center"/>
                </w:tcPr>
                <w:p w14:paraId="410E9E9C">
                  <w:pPr>
                    <w:widowControl/>
                    <w:spacing w:line="240" w:lineRule="atLeast"/>
                    <w:ind w:firstLine="0" w:firstLineChars="0"/>
                    <w:jc w:val="center"/>
                    <w:rPr>
                      <w:b/>
                      <w:kern w:val="2"/>
                      <w:sz w:val="21"/>
                      <w:szCs w:val="21"/>
                    </w:rPr>
                  </w:pPr>
                  <w:r>
                    <w:rPr>
                      <w:b/>
                      <w:kern w:val="2"/>
                      <w:sz w:val="21"/>
                      <w:szCs w:val="21"/>
                      <w:lang w:bidi="ar"/>
                    </w:rPr>
                    <w:t>宽</w:t>
                  </w:r>
                </w:p>
                <w:p w14:paraId="034F569B">
                  <w:pPr>
                    <w:widowControl/>
                    <w:spacing w:line="240" w:lineRule="atLeast"/>
                    <w:ind w:firstLine="0" w:firstLineChars="0"/>
                    <w:jc w:val="center"/>
                    <w:rPr>
                      <w:b/>
                      <w:kern w:val="2"/>
                      <w:sz w:val="21"/>
                      <w:szCs w:val="21"/>
                    </w:rPr>
                  </w:pPr>
                  <w:r>
                    <w:rPr>
                      <w:b/>
                      <w:kern w:val="2"/>
                      <w:sz w:val="21"/>
                      <w:szCs w:val="21"/>
                      <w:lang w:bidi="ar"/>
                    </w:rPr>
                    <w:t>（m）</w:t>
                  </w:r>
                </w:p>
              </w:tc>
              <w:tc>
                <w:tcPr>
                  <w:tcW w:w="613" w:type="pct"/>
                  <w:tcBorders>
                    <w:top w:val="single" w:color="auto" w:sz="4" w:space="0"/>
                    <w:left w:val="nil"/>
                    <w:bottom w:val="single" w:color="auto" w:sz="4" w:space="0"/>
                    <w:right w:val="single" w:color="auto" w:sz="4" w:space="0"/>
                  </w:tcBorders>
                  <w:vAlign w:val="center"/>
                </w:tcPr>
                <w:p w14:paraId="2410BAF7">
                  <w:pPr>
                    <w:widowControl/>
                    <w:spacing w:line="240" w:lineRule="atLeast"/>
                    <w:ind w:firstLine="0" w:firstLineChars="0"/>
                    <w:jc w:val="center"/>
                    <w:rPr>
                      <w:b/>
                      <w:kern w:val="2"/>
                      <w:sz w:val="21"/>
                      <w:szCs w:val="21"/>
                    </w:rPr>
                  </w:pPr>
                  <w:r>
                    <w:rPr>
                      <w:b/>
                      <w:kern w:val="2"/>
                      <w:sz w:val="21"/>
                      <w:szCs w:val="21"/>
                      <w:lang w:bidi="ar"/>
                    </w:rPr>
                    <w:t>高</w:t>
                  </w:r>
                </w:p>
                <w:p w14:paraId="1DD9426D">
                  <w:pPr>
                    <w:widowControl/>
                    <w:spacing w:line="240" w:lineRule="atLeast"/>
                    <w:ind w:firstLine="0" w:firstLineChars="0"/>
                    <w:jc w:val="center"/>
                    <w:rPr>
                      <w:b/>
                      <w:kern w:val="2"/>
                      <w:sz w:val="21"/>
                      <w:szCs w:val="21"/>
                    </w:rPr>
                  </w:pPr>
                  <w:r>
                    <w:rPr>
                      <w:b/>
                      <w:kern w:val="2"/>
                      <w:sz w:val="21"/>
                      <w:szCs w:val="21"/>
                      <w:lang w:bidi="ar"/>
                    </w:rPr>
                    <w:t>（m）</w:t>
                  </w:r>
                </w:p>
              </w:tc>
              <w:tc>
                <w:tcPr>
                  <w:tcW w:w="786" w:type="pct"/>
                  <w:tcBorders>
                    <w:top w:val="single" w:color="auto" w:sz="4" w:space="0"/>
                    <w:left w:val="nil"/>
                    <w:bottom w:val="single" w:color="auto" w:sz="4" w:space="0"/>
                    <w:right w:val="single" w:color="auto" w:sz="4" w:space="0"/>
                  </w:tcBorders>
                  <w:vAlign w:val="center"/>
                </w:tcPr>
                <w:p w14:paraId="09ACB9E8">
                  <w:pPr>
                    <w:widowControl/>
                    <w:spacing w:line="240" w:lineRule="atLeast"/>
                    <w:ind w:firstLine="0" w:firstLineChars="0"/>
                    <w:jc w:val="center"/>
                    <w:rPr>
                      <w:b/>
                      <w:kern w:val="2"/>
                      <w:sz w:val="21"/>
                      <w:szCs w:val="21"/>
                    </w:rPr>
                  </w:pPr>
                  <w:r>
                    <w:rPr>
                      <w:b/>
                      <w:kern w:val="2"/>
                      <w:sz w:val="21"/>
                      <w:szCs w:val="21"/>
                      <w:lang w:bidi="ar"/>
                    </w:rPr>
                    <w:t>计算体积</w:t>
                  </w:r>
                </w:p>
                <w:p w14:paraId="386633FE">
                  <w:pPr>
                    <w:widowControl/>
                    <w:spacing w:line="240" w:lineRule="atLeast"/>
                    <w:ind w:firstLine="0" w:firstLineChars="0"/>
                    <w:jc w:val="center"/>
                    <w:rPr>
                      <w:b/>
                      <w:kern w:val="2"/>
                      <w:sz w:val="21"/>
                      <w:szCs w:val="21"/>
                    </w:rPr>
                  </w:pPr>
                  <w:r>
                    <w:rPr>
                      <w:b/>
                      <w:kern w:val="2"/>
                      <w:sz w:val="21"/>
                      <w:szCs w:val="21"/>
                      <w:lang w:bidi="ar"/>
                    </w:rPr>
                    <w:t>（m</w:t>
                  </w:r>
                  <w:r>
                    <w:rPr>
                      <w:b/>
                      <w:kern w:val="2"/>
                      <w:sz w:val="21"/>
                      <w:szCs w:val="21"/>
                      <w:vertAlign w:val="superscript"/>
                      <w:lang w:bidi="ar"/>
                    </w:rPr>
                    <w:t>3</w:t>
                  </w:r>
                  <w:r>
                    <w:rPr>
                      <w:b/>
                      <w:kern w:val="2"/>
                      <w:sz w:val="21"/>
                      <w:szCs w:val="21"/>
                      <w:lang w:bidi="ar"/>
                    </w:rPr>
                    <w:t>）</w:t>
                  </w:r>
                </w:p>
              </w:tc>
              <w:tc>
                <w:tcPr>
                  <w:tcW w:w="877" w:type="pct"/>
                  <w:tcBorders>
                    <w:top w:val="single" w:color="auto" w:sz="4" w:space="0"/>
                    <w:left w:val="nil"/>
                    <w:bottom w:val="single" w:color="auto" w:sz="4" w:space="0"/>
                    <w:right w:val="single" w:color="auto" w:sz="4" w:space="0"/>
                  </w:tcBorders>
                  <w:vAlign w:val="center"/>
                </w:tcPr>
                <w:p w14:paraId="7B5452B5">
                  <w:pPr>
                    <w:widowControl/>
                    <w:spacing w:line="240" w:lineRule="atLeast"/>
                    <w:ind w:firstLine="0" w:firstLineChars="0"/>
                    <w:jc w:val="center"/>
                    <w:rPr>
                      <w:b/>
                      <w:kern w:val="2"/>
                      <w:sz w:val="21"/>
                      <w:szCs w:val="21"/>
                    </w:rPr>
                  </w:pPr>
                  <w:r>
                    <w:rPr>
                      <w:b/>
                      <w:kern w:val="2"/>
                      <w:sz w:val="21"/>
                      <w:szCs w:val="21"/>
                      <w:lang w:bidi="ar"/>
                    </w:rPr>
                    <w:t>换气次数</w:t>
                  </w:r>
                </w:p>
                <w:p w14:paraId="4A0E146A">
                  <w:pPr>
                    <w:widowControl/>
                    <w:spacing w:line="240" w:lineRule="atLeast"/>
                    <w:ind w:firstLine="0" w:firstLineChars="0"/>
                    <w:jc w:val="center"/>
                    <w:rPr>
                      <w:b/>
                      <w:kern w:val="2"/>
                      <w:sz w:val="21"/>
                      <w:szCs w:val="21"/>
                    </w:rPr>
                  </w:pPr>
                  <w:r>
                    <w:rPr>
                      <w:b/>
                      <w:kern w:val="2"/>
                      <w:sz w:val="21"/>
                      <w:szCs w:val="21"/>
                      <w:lang w:bidi="ar"/>
                    </w:rPr>
                    <w:t>（次/h）</w:t>
                  </w:r>
                </w:p>
              </w:tc>
              <w:tc>
                <w:tcPr>
                  <w:tcW w:w="1046" w:type="pct"/>
                  <w:tcBorders>
                    <w:top w:val="single" w:color="auto" w:sz="4" w:space="0"/>
                    <w:left w:val="nil"/>
                    <w:bottom w:val="single" w:color="auto" w:sz="4" w:space="0"/>
                    <w:right w:val="single" w:color="auto" w:sz="4" w:space="0"/>
                  </w:tcBorders>
                  <w:vAlign w:val="center"/>
                </w:tcPr>
                <w:p w14:paraId="7F7055F6">
                  <w:pPr>
                    <w:widowControl/>
                    <w:spacing w:line="240" w:lineRule="atLeast"/>
                    <w:ind w:firstLine="0" w:firstLineChars="0"/>
                    <w:jc w:val="center"/>
                    <w:rPr>
                      <w:b/>
                      <w:kern w:val="2"/>
                      <w:sz w:val="21"/>
                      <w:szCs w:val="21"/>
                    </w:rPr>
                  </w:pPr>
                  <w:r>
                    <w:rPr>
                      <w:b/>
                      <w:kern w:val="2"/>
                      <w:sz w:val="21"/>
                      <w:szCs w:val="21"/>
                      <w:lang w:bidi="ar"/>
                    </w:rPr>
                    <w:t>废气收集风量</w:t>
                  </w:r>
                </w:p>
                <w:p w14:paraId="64AA1997">
                  <w:pPr>
                    <w:widowControl/>
                    <w:spacing w:line="240" w:lineRule="atLeast"/>
                    <w:ind w:firstLine="0" w:firstLineChars="0"/>
                    <w:jc w:val="center"/>
                    <w:rPr>
                      <w:b/>
                      <w:kern w:val="2"/>
                      <w:sz w:val="21"/>
                      <w:szCs w:val="21"/>
                    </w:rPr>
                  </w:pPr>
                  <w:r>
                    <w:rPr>
                      <w:b/>
                      <w:kern w:val="2"/>
                      <w:sz w:val="21"/>
                      <w:szCs w:val="21"/>
                      <w:lang w:bidi="ar"/>
                    </w:rPr>
                    <w:t>m</w:t>
                  </w:r>
                  <w:r>
                    <w:rPr>
                      <w:b/>
                      <w:kern w:val="2"/>
                      <w:sz w:val="21"/>
                      <w:szCs w:val="21"/>
                      <w:vertAlign w:val="superscript"/>
                      <w:lang w:bidi="ar"/>
                    </w:rPr>
                    <w:t>3</w:t>
                  </w:r>
                  <w:r>
                    <w:rPr>
                      <w:b/>
                      <w:kern w:val="2"/>
                      <w:sz w:val="21"/>
                      <w:szCs w:val="21"/>
                      <w:lang w:bidi="ar"/>
                    </w:rPr>
                    <w:t>/h</w:t>
                  </w:r>
                </w:p>
              </w:tc>
            </w:tr>
            <w:tr w14:paraId="5FFB9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560" w:type="pct"/>
                  <w:tcBorders>
                    <w:top w:val="single" w:color="auto" w:sz="4" w:space="0"/>
                    <w:left w:val="single" w:color="auto" w:sz="4" w:space="0"/>
                    <w:bottom w:val="single" w:color="auto" w:sz="4" w:space="0"/>
                    <w:right w:val="single" w:color="auto" w:sz="4" w:space="0"/>
                  </w:tcBorders>
                  <w:vAlign w:val="center"/>
                </w:tcPr>
                <w:p w14:paraId="3FF15807">
                  <w:pPr>
                    <w:widowControl/>
                    <w:spacing w:line="240" w:lineRule="atLeast"/>
                    <w:ind w:firstLine="0" w:firstLineChars="0"/>
                    <w:jc w:val="center"/>
                    <w:rPr>
                      <w:kern w:val="2"/>
                      <w:sz w:val="21"/>
                      <w:szCs w:val="21"/>
                    </w:rPr>
                  </w:pPr>
                  <w:r>
                    <w:rPr>
                      <w:kern w:val="2"/>
                      <w:sz w:val="21"/>
                      <w:szCs w:val="21"/>
                      <w:lang w:bidi="ar"/>
                    </w:rPr>
                    <w:t>1#烘干房</w:t>
                  </w:r>
                </w:p>
              </w:tc>
              <w:tc>
                <w:tcPr>
                  <w:tcW w:w="504" w:type="pct"/>
                  <w:tcBorders>
                    <w:top w:val="single" w:color="auto" w:sz="4" w:space="0"/>
                    <w:left w:val="nil"/>
                    <w:bottom w:val="single" w:color="auto" w:sz="4" w:space="0"/>
                    <w:right w:val="single" w:color="auto" w:sz="4" w:space="0"/>
                  </w:tcBorders>
                  <w:vAlign w:val="center"/>
                </w:tcPr>
                <w:p w14:paraId="39DE5F30">
                  <w:pPr>
                    <w:widowControl/>
                    <w:spacing w:line="240" w:lineRule="atLeast"/>
                    <w:ind w:firstLine="0" w:firstLineChars="0"/>
                    <w:jc w:val="center"/>
                    <w:rPr>
                      <w:kern w:val="2"/>
                      <w:sz w:val="21"/>
                      <w:szCs w:val="21"/>
                    </w:rPr>
                  </w:pPr>
                  <w:r>
                    <w:rPr>
                      <w:kern w:val="2"/>
                      <w:sz w:val="21"/>
                      <w:szCs w:val="21"/>
                    </w:rPr>
                    <w:t>30</w:t>
                  </w:r>
                </w:p>
              </w:tc>
              <w:tc>
                <w:tcPr>
                  <w:tcW w:w="611" w:type="pct"/>
                  <w:tcBorders>
                    <w:top w:val="single" w:color="auto" w:sz="4" w:space="0"/>
                    <w:left w:val="nil"/>
                    <w:bottom w:val="single" w:color="auto" w:sz="4" w:space="0"/>
                    <w:right w:val="single" w:color="auto" w:sz="4" w:space="0"/>
                  </w:tcBorders>
                  <w:vAlign w:val="center"/>
                </w:tcPr>
                <w:p w14:paraId="75E0BE7B">
                  <w:pPr>
                    <w:widowControl/>
                    <w:spacing w:line="240" w:lineRule="atLeast"/>
                    <w:ind w:firstLine="0" w:firstLineChars="0"/>
                    <w:jc w:val="center"/>
                    <w:rPr>
                      <w:kern w:val="2"/>
                      <w:sz w:val="21"/>
                      <w:szCs w:val="21"/>
                    </w:rPr>
                  </w:pPr>
                  <w:r>
                    <w:rPr>
                      <w:kern w:val="2"/>
                      <w:sz w:val="21"/>
                      <w:szCs w:val="21"/>
                    </w:rPr>
                    <w:t>5</w:t>
                  </w:r>
                </w:p>
              </w:tc>
              <w:tc>
                <w:tcPr>
                  <w:tcW w:w="613" w:type="pct"/>
                  <w:tcBorders>
                    <w:top w:val="single" w:color="auto" w:sz="4" w:space="0"/>
                    <w:left w:val="nil"/>
                    <w:bottom w:val="single" w:color="auto" w:sz="4" w:space="0"/>
                    <w:right w:val="single" w:color="auto" w:sz="4" w:space="0"/>
                  </w:tcBorders>
                  <w:vAlign w:val="center"/>
                </w:tcPr>
                <w:p w14:paraId="266244C2">
                  <w:pPr>
                    <w:widowControl/>
                    <w:spacing w:line="240" w:lineRule="atLeast"/>
                    <w:ind w:firstLine="0" w:firstLineChars="0"/>
                    <w:jc w:val="center"/>
                    <w:rPr>
                      <w:kern w:val="2"/>
                      <w:sz w:val="21"/>
                      <w:szCs w:val="21"/>
                    </w:rPr>
                  </w:pPr>
                  <w:r>
                    <w:rPr>
                      <w:kern w:val="2"/>
                      <w:sz w:val="21"/>
                      <w:szCs w:val="21"/>
                    </w:rPr>
                    <w:t>3</w:t>
                  </w:r>
                </w:p>
              </w:tc>
              <w:tc>
                <w:tcPr>
                  <w:tcW w:w="786" w:type="pct"/>
                  <w:tcBorders>
                    <w:top w:val="single" w:color="auto" w:sz="4" w:space="0"/>
                    <w:left w:val="nil"/>
                    <w:bottom w:val="single" w:color="auto" w:sz="4" w:space="0"/>
                    <w:right w:val="single" w:color="auto" w:sz="4" w:space="0"/>
                  </w:tcBorders>
                  <w:vAlign w:val="center"/>
                </w:tcPr>
                <w:p w14:paraId="0215D97B">
                  <w:pPr>
                    <w:widowControl/>
                    <w:spacing w:line="240" w:lineRule="atLeast"/>
                    <w:ind w:firstLine="0" w:firstLineChars="0"/>
                    <w:jc w:val="center"/>
                    <w:rPr>
                      <w:kern w:val="2"/>
                      <w:sz w:val="21"/>
                      <w:szCs w:val="21"/>
                    </w:rPr>
                  </w:pPr>
                  <w:r>
                    <w:rPr>
                      <w:kern w:val="2"/>
                      <w:sz w:val="21"/>
                      <w:szCs w:val="21"/>
                    </w:rPr>
                    <w:t>450</w:t>
                  </w:r>
                </w:p>
              </w:tc>
              <w:tc>
                <w:tcPr>
                  <w:tcW w:w="877" w:type="pct"/>
                  <w:tcBorders>
                    <w:top w:val="single" w:color="auto" w:sz="4" w:space="0"/>
                    <w:left w:val="nil"/>
                    <w:bottom w:val="single" w:color="auto" w:sz="4" w:space="0"/>
                    <w:right w:val="single" w:color="auto" w:sz="4" w:space="0"/>
                  </w:tcBorders>
                  <w:vAlign w:val="center"/>
                </w:tcPr>
                <w:p w14:paraId="23639220">
                  <w:pPr>
                    <w:widowControl/>
                    <w:spacing w:line="240" w:lineRule="atLeast"/>
                    <w:ind w:firstLine="0" w:firstLineChars="0"/>
                    <w:jc w:val="center"/>
                    <w:rPr>
                      <w:kern w:val="2"/>
                      <w:sz w:val="21"/>
                      <w:szCs w:val="21"/>
                    </w:rPr>
                  </w:pPr>
                  <w:r>
                    <w:rPr>
                      <w:kern w:val="2"/>
                      <w:sz w:val="21"/>
                      <w:szCs w:val="21"/>
                      <w:lang w:bidi="ar"/>
                    </w:rPr>
                    <w:t>6</w:t>
                  </w:r>
                </w:p>
              </w:tc>
              <w:tc>
                <w:tcPr>
                  <w:tcW w:w="1046" w:type="pct"/>
                  <w:tcBorders>
                    <w:top w:val="single" w:color="auto" w:sz="4" w:space="0"/>
                    <w:left w:val="nil"/>
                    <w:bottom w:val="single" w:color="auto" w:sz="4" w:space="0"/>
                    <w:right w:val="single" w:color="auto" w:sz="4" w:space="0"/>
                  </w:tcBorders>
                  <w:vAlign w:val="center"/>
                </w:tcPr>
                <w:p w14:paraId="2542A049">
                  <w:pPr>
                    <w:widowControl/>
                    <w:spacing w:line="240" w:lineRule="atLeast"/>
                    <w:ind w:firstLine="0" w:firstLineChars="0"/>
                    <w:jc w:val="center"/>
                    <w:rPr>
                      <w:kern w:val="2"/>
                      <w:sz w:val="21"/>
                      <w:szCs w:val="21"/>
                    </w:rPr>
                  </w:pPr>
                  <w:r>
                    <w:rPr>
                      <w:kern w:val="2"/>
                      <w:sz w:val="21"/>
                      <w:szCs w:val="21"/>
                      <w:lang w:bidi="ar"/>
                    </w:rPr>
                    <w:t>2700</w:t>
                  </w:r>
                </w:p>
              </w:tc>
            </w:tr>
            <w:tr w14:paraId="2A4E9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560" w:type="pct"/>
                  <w:tcBorders>
                    <w:top w:val="single" w:color="auto" w:sz="4" w:space="0"/>
                    <w:left w:val="single" w:color="auto" w:sz="4" w:space="0"/>
                    <w:bottom w:val="single" w:color="auto" w:sz="4" w:space="0"/>
                    <w:right w:val="single" w:color="auto" w:sz="4" w:space="0"/>
                  </w:tcBorders>
                  <w:vAlign w:val="center"/>
                </w:tcPr>
                <w:p w14:paraId="27CA15BE">
                  <w:pPr>
                    <w:widowControl/>
                    <w:spacing w:line="240" w:lineRule="atLeast"/>
                    <w:ind w:firstLine="0" w:firstLineChars="0"/>
                    <w:jc w:val="center"/>
                    <w:rPr>
                      <w:kern w:val="2"/>
                      <w:sz w:val="21"/>
                      <w:szCs w:val="21"/>
                      <w:lang w:bidi="ar"/>
                    </w:rPr>
                  </w:pPr>
                  <w:r>
                    <w:rPr>
                      <w:kern w:val="2"/>
                      <w:sz w:val="21"/>
                      <w:szCs w:val="21"/>
                      <w:lang w:bidi="ar"/>
                    </w:rPr>
                    <w:t>2#烘干房</w:t>
                  </w:r>
                </w:p>
              </w:tc>
              <w:tc>
                <w:tcPr>
                  <w:tcW w:w="504" w:type="pct"/>
                  <w:tcBorders>
                    <w:top w:val="single" w:color="auto" w:sz="4" w:space="0"/>
                    <w:left w:val="nil"/>
                    <w:bottom w:val="single" w:color="auto" w:sz="4" w:space="0"/>
                    <w:right w:val="single" w:color="auto" w:sz="4" w:space="0"/>
                  </w:tcBorders>
                  <w:vAlign w:val="center"/>
                </w:tcPr>
                <w:p w14:paraId="1CE68384">
                  <w:pPr>
                    <w:widowControl/>
                    <w:spacing w:line="240" w:lineRule="atLeast"/>
                    <w:ind w:firstLine="0" w:firstLineChars="0"/>
                    <w:jc w:val="center"/>
                    <w:rPr>
                      <w:kern w:val="2"/>
                      <w:sz w:val="21"/>
                      <w:szCs w:val="21"/>
                    </w:rPr>
                  </w:pPr>
                  <w:r>
                    <w:rPr>
                      <w:kern w:val="2"/>
                      <w:sz w:val="21"/>
                      <w:szCs w:val="21"/>
                    </w:rPr>
                    <w:t>30</w:t>
                  </w:r>
                </w:p>
              </w:tc>
              <w:tc>
                <w:tcPr>
                  <w:tcW w:w="611" w:type="pct"/>
                  <w:tcBorders>
                    <w:top w:val="single" w:color="auto" w:sz="4" w:space="0"/>
                    <w:left w:val="nil"/>
                    <w:bottom w:val="single" w:color="auto" w:sz="4" w:space="0"/>
                    <w:right w:val="single" w:color="auto" w:sz="4" w:space="0"/>
                  </w:tcBorders>
                  <w:vAlign w:val="center"/>
                </w:tcPr>
                <w:p w14:paraId="037A2A0B">
                  <w:pPr>
                    <w:widowControl/>
                    <w:spacing w:line="240" w:lineRule="atLeast"/>
                    <w:ind w:firstLine="0" w:firstLineChars="0"/>
                    <w:jc w:val="center"/>
                    <w:rPr>
                      <w:kern w:val="2"/>
                      <w:sz w:val="21"/>
                      <w:szCs w:val="21"/>
                    </w:rPr>
                  </w:pPr>
                  <w:r>
                    <w:rPr>
                      <w:kern w:val="2"/>
                      <w:sz w:val="21"/>
                      <w:szCs w:val="21"/>
                    </w:rPr>
                    <w:t>5</w:t>
                  </w:r>
                </w:p>
              </w:tc>
              <w:tc>
                <w:tcPr>
                  <w:tcW w:w="613" w:type="pct"/>
                  <w:tcBorders>
                    <w:top w:val="single" w:color="auto" w:sz="4" w:space="0"/>
                    <w:left w:val="nil"/>
                    <w:bottom w:val="single" w:color="auto" w:sz="4" w:space="0"/>
                    <w:right w:val="single" w:color="auto" w:sz="4" w:space="0"/>
                  </w:tcBorders>
                  <w:vAlign w:val="center"/>
                </w:tcPr>
                <w:p w14:paraId="124D5F14">
                  <w:pPr>
                    <w:widowControl/>
                    <w:spacing w:line="240" w:lineRule="atLeast"/>
                    <w:ind w:firstLine="0" w:firstLineChars="0"/>
                    <w:jc w:val="center"/>
                    <w:rPr>
                      <w:kern w:val="2"/>
                      <w:sz w:val="21"/>
                      <w:szCs w:val="21"/>
                    </w:rPr>
                  </w:pPr>
                  <w:r>
                    <w:rPr>
                      <w:kern w:val="2"/>
                      <w:sz w:val="21"/>
                      <w:szCs w:val="21"/>
                    </w:rPr>
                    <w:t>3</w:t>
                  </w:r>
                </w:p>
              </w:tc>
              <w:tc>
                <w:tcPr>
                  <w:tcW w:w="786" w:type="pct"/>
                  <w:tcBorders>
                    <w:top w:val="single" w:color="auto" w:sz="4" w:space="0"/>
                    <w:left w:val="nil"/>
                    <w:bottom w:val="single" w:color="auto" w:sz="4" w:space="0"/>
                    <w:right w:val="single" w:color="auto" w:sz="4" w:space="0"/>
                  </w:tcBorders>
                  <w:vAlign w:val="center"/>
                </w:tcPr>
                <w:p w14:paraId="474477B3">
                  <w:pPr>
                    <w:widowControl/>
                    <w:spacing w:line="240" w:lineRule="atLeast"/>
                    <w:ind w:firstLine="0" w:firstLineChars="0"/>
                    <w:jc w:val="center"/>
                    <w:rPr>
                      <w:kern w:val="2"/>
                      <w:sz w:val="21"/>
                      <w:szCs w:val="21"/>
                    </w:rPr>
                  </w:pPr>
                  <w:r>
                    <w:rPr>
                      <w:kern w:val="2"/>
                      <w:sz w:val="21"/>
                      <w:szCs w:val="21"/>
                    </w:rPr>
                    <w:t>450</w:t>
                  </w:r>
                </w:p>
              </w:tc>
              <w:tc>
                <w:tcPr>
                  <w:tcW w:w="877" w:type="pct"/>
                  <w:tcBorders>
                    <w:top w:val="single" w:color="auto" w:sz="4" w:space="0"/>
                    <w:left w:val="nil"/>
                    <w:bottom w:val="single" w:color="auto" w:sz="4" w:space="0"/>
                    <w:right w:val="single" w:color="auto" w:sz="4" w:space="0"/>
                  </w:tcBorders>
                  <w:vAlign w:val="center"/>
                </w:tcPr>
                <w:p w14:paraId="2C7AF832">
                  <w:pPr>
                    <w:widowControl/>
                    <w:spacing w:line="240" w:lineRule="atLeast"/>
                    <w:ind w:firstLine="0" w:firstLineChars="0"/>
                    <w:jc w:val="center"/>
                    <w:rPr>
                      <w:kern w:val="2"/>
                      <w:sz w:val="21"/>
                      <w:szCs w:val="21"/>
                    </w:rPr>
                  </w:pPr>
                  <w:r>
                    <w:rPr>
                      <w:kern w:val="2"/>
                      <w:sz w:val="21"/>
                      <w:szCs w:val="21"/>
                      <w:lang w:bidi="ar"/>
                    </w:rPr>
                    <w:t>6</w:t>
                  </w:r>
                </w:p>
              </w:tc>
              <w:tc>
                <w:tcPr>
                  <w:tcW w:w="1046" w:type="pct"/>
                  <w:tcBorders>
                    <w:top w:val="single" w:color="auto" w:sz="4" w:space="0"/>
                    <w:left w:val="nil"/>
                    <w:bottom w:val="single" w:color="auto" w:sz="4" w:space="0"/>
                    <w:right w:val="single" w:color="auto" w:sz="4" w:space="0"/>
                  </w:tcBorders>
                  <w:vAlign w:val="center"/>
                </w:tcPr>
                <w:p w14:paraId="75FC2C14">
                  <w:pPr>
                    <w:widowControl/>
                    <w:spacing w:line="240" w:lineRule="atLeast"/>
                    <w:ind w:firstLine="0" w:firstLineChars="0"/>
                    <w:jc w:val="center"/>
                    <w:rPr>
                      <w:kern w:val="2"/>
                      <w:sz w:val="21"/>
                      <w:szCs w:val="21"/>
                    </w:rPr>
                  </w:pPr>
                  <w:r>
                    <w:rPr>
                      <w:kern w:val="2"/>
                      <w:sz w:val="21"/>
                      <w:szCs w:val="21"/>
                      <w:lang w:bidi="ar"/>
                    </w:rPr>
                    <w:t>2700</w:t>
                  </w:r>
                </w:p>
              </w:tc>
            </w:tr>
          </w:tbl>
          <w:p w14:paraId="249D1275">
            <w:pPr>
              <w:ind w:firstLine="480"/>
              <w:rPr>
                <w:kern w:val="2"/>
              </w:rPr>
            </w:pPr>
            <w:r>
              <w:rPr>
                <w:kern w:val="2"/>
                <w:lang w:bidi="ar"/>
              </w:rPr>
              <w:t>经计算，1#烘干房、2#烘干房总需风量均为2700m</w:t>
            </w:r>
            <w:r>
              <w:rPr>
                <w:kern w:val="2"/>
                <w:vertAlign w:val="superscript"/>
                <w:lang w:bidi="ar"/>
              </w:rPr>
              <w:t>3</w:t>
            </w:r>
            <w:r>
              <w:rPr>
                <w:kern w:val="2"/>
                <w:lang w:bidi="ar"/>
              </w:rPr>
              <w:t>/h。</w:t>
            </w:r>
            <w:r>
              <w:rPr>
                <w:kern w:val="2"/>
              </w:rPr>
              <w:t>根据《吸附法工业有机废气治理工程技术规范》（HJ 2026-2013） 要求：设计风量宜按照最大废气排放量的120%进行设计，</w:t>
            </w:r>
            <w:r>
              <w:rPr>
                <w:kern w:val="2"/>
                <w:lang w:bidi="ar"/>
              </w:rPr>
              <w:t>所需新风总量为3240m</w:t>
            </w:r>
            <w:r>
              <w:rPr>
                <w:kern w:val="2"/>
                <w:vertAlign w:val="superscript"/>
                <w:lang w:bidi="ar"/>
              </w:rPr>
              <w:t>3</w:t>
            </w:r>
            <w:r>
              <w:rPr>
                <w:kern w:val="2"/>
                <w:lang w:bidi="ar"/>
              </w:rPr>
              <w:t>/h，则1#烘干房、2#烘干房均选用风量为3300m</w:t>
            </w:r>
            <w:r>
              <w:rPr>
                <w:kern w:val="2"/>
                <w:vertAlign w:val="superscript"/>
                <w:lang w:bidi="ar"/>
              </w:rPr>
              <w:t>3</w:t>
            </w:r>
            <w:r>
              <w:rPr>
                <w:kern w:val="2"/>
                <w:lang w:bidi="ar"/>
              </w:rPr>
              <w:t>/h的风机。</w:t>
            </w:r>
          </w:p>
          <w:p w14:paraId="6F6BAAFC">
            <w:pPr>
              <w:adjustRightInd w:val="0"/>
              <w:snapToGrid w:val="0"/>
              <w:ind w:firstLine="480"/>
              <w:rPr>
                <w:kern w:val="2"/>
              </w:rPr>
            </w:pPr>
            <w:r>
              <w:rPr>
                <w:kern w:val="2"/>
              </w:rPr>
              <w:t>据《广东省生态环境厅关于印发工业源挥发性有机物和氮氧化物减排量核算方法的通知》（粤环函</w:t>
            </w:r>
            <w:r>
              <w:rPr>
                <w:rFonts w:hint="default"/>
                <w:kern w:val="2"/>
                <w:lang w:eastAsia="zh-CN"/>
              </w:rPr>
              <w:t>〔</w:t>
            </w:r>
            <w:r>
              <w:rPr>
                <w:kern w:val="2"/>
              </w:rPr>
              <w:t>2023</w:t>
            </w:r>
            <w:r>
              <w:rPr>
                <w:rFonts w:hint="default"/>
                <w:kern w:val="2"/>
                <w:lang w:eastAsia="zh-CN"/>
              </w:rPr>
              <w:t>〕</w:t>
            </w:r>
            <w:r>
              <w:rPr>
                <w:kern w:val="2"/>
              </w:rPr>
              <w:t>538 号）中《广东省工业源挥发性有机物减排量核算方法（2023 年修订版）》表 3.3-2“VOCs 产生源设置在密闭车间、密闭设备（含反应釜）、密闭管道内，所有开口处，包括人员或物料进出口处呈负压时，集气效率为90%”，则本项目收集效率取90%。</w:t>
            </w:r>
          </w:p>
          <w:p w14:paraId="6B6CC772">
            <w:pPr>
              <w:adjustRightInd w:val="0"/>
              <w:snapToGrid w:val="0"/>
              <w:ind w:firstLine="480"/>
              <w:rPr>
                <w:rFonts w:ascii="Times New Roman" w:hAnsi="Times New Roman" w:cs="Times New Roman"/>
                <w:kern w:val="2"/>
              </w:rPr>
            </w:pPr>
            <w:r>
              <w:rPr>
                <w:rFonts w:hint="default" w:ascii="Times New Roman" w:hAnsi="Times New Roman" w:cs="Times New Roman"/>
                <w:kern w:val="2"/>
                <w:lang w:val="en-US" w:eastAsia="zh-CN"/>
              </w:rPr>
              <w:t>项目采用“</w:t>
            </w:r>
            <w:r>
              <w:rPr>
                <w:rFonts w:hint="eastAsia" w:ascii="Times New Roman" w:hAnsi="Times New Roman" w:cs="Times New Roman"/>
                <w:kern w:val="2"/>
                <w:lang w:val="en-US" w:eastAsia="zh-CN"/>
              </w:rPr>
              <w:t>喷淋塔+干式过滤+二级活性炭</w:t>
            </w:r>
            <w:r>
              <w:rPr>
                <w:rFonts w:hint="default" w:ascii="Times New Roman" w:hAnsi="Times New Roman" w:cs="Times New Roman"/>
                <w:kern w:val="2"/>
                <w:lang w:val="en-US" w:eastAsia="zh-CN"/>
              </w:rPr>
              <w:t>吸附设备”处理1#烘干房、2#烘干房有机废气。</w:t>
            </w:r>
            <w:r>
              <w:rPr>
                <w:rFonts w:hint="default" w:ascii="Times New Roman" w:hAnsi="Times New Roman" w:cs="Times New Roman"/>
                <w:kern w:val="2"/>
              </w:rPr>
              <w:t>根据《广东省生态环境厅关于印发工业源挥发性有机物和氮氧化物减排量核算方法的通知》（粤环函〔2023〕538 号）表3.3-3，建议直接将“活性炭年更换量×活性炭吸附比例”（活性炭年更换量优先以危废转移量为依据，吸附比例建议取 15%）作为废气处理设施 VOCs 削减量。建设单位拟设置1套二级活性炭吸附装置处理挥发性有机物，活性炭用量为</w:t>
            </w:r>
            <w:r>
              <w:rPr>
                <w:rFonts w:hint="default" w:ascii="Times New Roman" w:hAnsi="Times New Roman" w:cs="Times New Roman"/>
                <w:kern w:val="2"/>
                <w:lang w:val="en-US" w:eastAsia="zh-CN"/>
              </w:rPr>
              <w:t>9.5088</w:t>
            </w:r>
            <w:r>
              <w:rPr>
                <w:rFonts w:hint="default" w:ascii="Times New Roman" w:hAnsi="Times New Roman" w:cs="Times New Roman"/>
                <w:kern w:val="2"/>
              </w:rPr>
              <w:t>t/a，有机物的削减量为</w:t>
            </w:r>
            <w:r>
              <w:rPr>
                <w:rFonts w:hint="default" w:ascii="Times New Roman" w:hAnsi="Times New Roman" w:cs="Times New Roman"/>
                <w:kern w:val="2"/>
                <w:lang w:val="en-US" w:eastAsia="zh-CN"/>
              </w:rPr>
              <w:t>1.4263</w:t>
            </w:r>
            <w:r>
              <w:rPr>
                <w:rFonts w:hint="default" w:ascii="Times New Roman" w:hAnsi="Times New Roman" w:cs="Times New Roman"/>
                <w:kern w:val="2"/>
              </w:rPr>
              <w:t>t/a，则二级活性炭装置对有机废气处理效率取</w:t>
            </w:r>
            <w:r>
              <w:rPr>
                <w:rFonts w:hint="default" w:ascii="Times New Roman" w:hAnsi="Times New Roman" w:cs="Times New Roman"/>
                <w:kern w:val="2"/>
                <w:lang w:val="en-US" w:eastAsia="zh-CN"/>
              </w:rPr>
              <w:t>80</w:t>
            </w:r>
            <w:r>
              <w:rPr>
                <w:rFonts w:hint="default" w:ascii="Times New Roman" w:hAnsi="Times New Roman" w:cs="Times New Roman"/>
                <w:kern w:val="2"/>
              </w:rPr>
              <w:t>%。</w:t>
            </w:r>
          </w:p>
          <w:p w14:paraId="6B66C8E5">
            <w:pPr>
              <w:pStyle w:val="41"/>
              <w:rPr>
                <w:rFonts w:ascii="Times New Roman" w:hAnsi="Times New Roman" w:cs="Times New Roman"/>
              </w:rPr>
            </w:pPr>
          </w:p>
          <w:p w14:paraId="01F2BB93">
            <w:pPr>
              <w:ind w:firstLine="480"/>
              <w:rPr>
                <w:rFonts w:ascii="Times New Roman" w:hAnsi="Times New Roman" w:cs="Times New Roman"/>
              </w:rPr>
            </w:pPr>
          </w:p>
        </w:tc>
      </w:tr>
    </w:tbl>
    <w:p w14:paraId="16919215">
      <w:pPr>
        <w:ind w:firstLine="480"/>
        <w:sectPr>
          <w:pgSz w:w="11907" w:h="16840"/>
          <w:pgMar w:top="1701" w:right="1531" w:bottom="2127" w:left="1531" w:header="851" w:footer="851" w:gutter="0"/>
          <w:cols w:space="720" w:num="1"/>
          <w:docGrid w:linePitch="312" w:charSpace="0"/>
        </w:sect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8"/>
        <w:gridCol w:w="12820"/>
      </w:tblGrid>
      <w:tr w14:paraId="6931B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8" w:type="dxa"/>
          </w:tcPr>
          <w:p w14:paraId="04A2099D">
            <w:pPr>
              <w:ind w:firstLine="480"/>
              <w:rPr>
                <w:rFonts w:ascii="Calibri" w:hAnsi="Calibri" w:cs="Calibri"/>
                <w:kern w:val="2"/>
              </w:rPr>
            </w:pPr>
          </w:p>
        </w:tc>
        <w:tc>
          <w:tcPr>
            <w:tcW w:w="12820" w:type="dxa"/>
          </w:tcPr>
          <w:p w14:paraId="3DFD9520">
            <w:pPr>
              <w:pStyle w:val="10"/>
              <w:ind w:firstLine="422"/>
              <w:rPr>
                <w:rFonts w:hint="default" w:ascii="Calibri" w:hAnsi="Calibri" w:cs="Calibri"/>
                <w:kern w:val="2"/>
              </w:rPr>
            </w:pPr>
            <w:r>
              <w:rPr>
                <w:rFonts w:ascii="Calibri" w:hAnsi="Calibri" w:cs="Calibri"/>
                <w:kern w:val="2"/>
              </w:rPr>
              <w:t>表4-6  项目喷砂、粉末固化废气、电泳烘干废气产排情况一览表</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963"/>
              <w:gridCol w:w="1073"/>
              <w:gridCol w:w="1093"/>
              <w:gridCol w:w="1103"/>
              <w:gridCol w:w="1151"/>
              <w:gridCol w:w="1103"/>
              <w:gridCol w:w="1095"/>
              <w:gridCol w:w="1088"/>
              <w:gridCol w:w="1110"/>
              <w:gridCol w:w="1136"/>
            </w:tblGrid>
            <w:tr w14:paraId="2302B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048" w:type="pct"/>
                  <w:gridSpan w:val="2"/>
                  <w:tcBorders>
                    <w:top w:val="single" w:color="auto" w:sz="4" w:space="0"/>
                    <w:left w:val="single" w:color="auto" w:sz="4" w:space="0"/>
                    <w:bottom w:val="single" w:color="auto" w:sz="4" w:space="0"/>
                    <w:right w:val="single" w:color="auto" w:sz="4" w:space="0"/>
                  </w:tcBorders>
                  <w:vAlign w:val="center"/>
                </w:tcPr>
                <w:p w14:paraId="68D7285A">
                  <w:pPr>
                    <w:pStyle w:val="20"/>
                    <w:rPr>
                      <w:b/>
                      <w:bCs/>
                    </w:rPr>
                  </w:pPr>
                  <w:r>
                    <w:rPr>
                      <w:b/>
                      <w:bCs/>
                    </w:rPr>
                    <w:t>排气筒编号</w:t>
                  </w:r>
                </w:p>
              </w:tc>
              <w:tc>
                <w:tcPr>
                  <w:tcW w:w="1755" w:type="pct"/>
                  <w:gridSpan w:val="4"/>
                  <w:tcBorders>
                    <w:top w:val="single" w:color="auto" w:sz="4" w:space="0"/>
                    <w:left w:val="single" w:color="auto" w:sz="4" w:space="0"/>
                    <w:bottom w:val="single" w:color="auto" w:sz="4" w:space="0"/>
                    <w:right w:val="single" w:color="auto" w:sz="4" w:space="0"/>
                  </w:tcBorders>
                  <w:vAlign w:val="center"/>
                </w:tcPr>
                <w:p w14:paraId="5ACE65F3">
                  <w:pPr>
                    <w:pStyle w:val="20"/>
                    <w:rPr>
                      <w:b/>
                      <w:bCs/>
                    </w:rPr>
                  </w:pPr>
                  <w:r>
                    <w:rPr>
                      <w:b/>
                      <w:bCs/>
                    </w:rPr>
                    <w:t>DA004</w:t>
                  </w:r>
                </w:p>
              </w:tc>
              <w:tc>
                <w:tcPr>
                  <w:tcW w:w="438" w:type="pct"/>
                  <w:tcBorders>
                    <w:top w:val="single" w:color="auto" w:sz="4" w:space="0"/>
                    <w:left w:val="single" w:color="auto" w:sz="4" w:space="0"/>
                    <w:bottom w:val="single" w:color="auto" w:sz="4" w:space="0"/>
                    <w:right w:val="single" w:color="auto" w:sz="4" w:space="0"/>
                  </w:tcBorders>
                  <w:vAlign w:val="center"/>
                </w:tcPr>
                <w:p w14:paraId="64D43D46">
                  <w:pPr>
                    <w:pStyle w:val="20"/>
                    <w:rPr>
                      <w:b/>
                      <w:bCs/>
                    </w:rPr>
                  </w:pPr>
                  <w:r>
                    <w:rPr>
                      <w:b/>
                      <w:bCs/>
                    </w:rPr>
                    <w:t>DA002</w:t>
                  </w:r>
                </w:p>
              </w:tc>
              <w:tc>
                <w:tcPr>
                  <w:tcW w:w="1757" w:type="pct"/>
                  <w:gridSpan w:val="4"/>
                  <w:tcBorders>
                    <w:top w:val="single" w:color="auto" w:sz="4" w:space="0"/>
                    <w:left w:val="single" w:color="auto" w:sz="4" w:space="0"/>
                    <w:bottom w:val="single" w:color="auto" w:sz="4" w:space="0"/>
                    <w:right w:val="single" w:color="auto" w:sz="4" w:space="0"/>
                  </w:tcBorders>
                  <w:vAlign w:val="center"/>
                </w:tcPr>
                <w:p w14:paraId="369F8FE0">
                  <w:pPr>
                    <w:pStyle w:val="20"/>
                    <w:rPr>
                      <w:b/>
                      <w:bCs/>
                    </w:rPr>
                  </w:pPr>
                  <w:r>
                    <w:rPr>
                      <w:b/>
                      <w:bCs/>
                    </w:rPr>
                    <w:t>DA003</w:t>
                  </w:r>
                </w:p>
              </w:tc>
            </w:tr>
            <w:tr w14:paraId="64BF9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48" w:type="pct"/>
                  <w:gridSpan w:val="2"/>
                  <w:vMerge w:val="restart"/>
                  <w:tcBorders>
                    <w:top w:val="single" w:color="auto" w:sz="4" w:space="0"/>
                    <w:left w:val="single" w:color="auto" w:sz="4" w:space="0"/>
                    <w:bottom w:val="single" w:color="auto" w:sz="4" w:space="0"/>
                    <w:right w:val="single" w:color="auto" w:sz="4" w:space="0"/>
                  </w:tcBorders>
                  <w:vAlign w:val="center"/>
                </w:tcPr>
                <w:p w14:paraId="7ECCA976">
                  <w:pPr>
                    <w:pStyle w:val="20"/>
                  </w:pPr>
                  <w:r>
                    <w:t>污染物</w:t>
                  </w:r>
                </w:p>
              </w:tc>
              <w:tc>
                <w:tcPr>
                  <w:tcW w:w="1755" w:type="pct"/>
                  <w:gridSpan w:val="4"/>
                  <w:tcBorders>
                    <w:top w:val="single" w:color="auto" w:sz="4" w:space="0"/>
                    <w:left w:val="single" w:color="auto" w:sz="4" w:space="0"/>
                    <w:bottom w:val="single" w:color="auto" w:sz="4" w:space="0"/>
                    <w:right w:val="single" w:color="auto" w:sz="4" w:space="0"/>
                  </w:tcBorders>
                  <w:vAlign w:val="center"/>
                </w:tcPr>
                <w:p w14:paraId="04E7C3C9">
                  <w:pPr>
                    <w:pStyle w:val="20"/>
                  </w:pPr>
                  <w:r>
                    <w:t>粉末固化废气</w:t>
                  </w:r>
                </w:p>
              </w:tc>
              <w:tc>
                <w:tcPr>
                  <w:tcW w:w="438" w:type="pct"/>
                  <w:tcBorders>
                    <w:top w:val="single" w:color="auto" w:sz="4" w:space="0"/>
                    <w:left w:val="single" w:color="auto" w:sz="4" w:space="0"/>
                    <w:bottom w:val="single" w:color="auto" w:sz="4" w:space="0"/>
                    <w:right w:val="single" w:color="auto" w:sz="4" w:space="0"/>
                  </w:tcBorders>
                  <w:vAlign w:val="center"/>
                </w:tcPr>
                <w:p w14:paraId="504C4EF0">
                  <w:pPr>
                    <w:pStyle w:val="20"/>
                  </w:pPr>
                  <w:r>
                    <w:t>喷砂</w:t>
                  </w:r>
                </w:p>
              </w:tc>
              <w:tc>
                <w:tcPr>
                  <w:tcW w:w="1757" w:type="pct"/>
                  <w:gridSpan w:val="4"/>
                  <w:tcBorders>
                    <w:top w:val="single" w:color="auto" w:sz="4" w:space="0"/>
                    <w:left w:val="single" w:color="auto" w:sz="4" w:space="0"/>
                    <w:bottom w:val="single" w:color="auto" w:sz="4" w:space="0"/>
                    <w:right w:val="single" w:color="auto" w:sz="4" w:space="0"/>
                  </w:tcBorders>
                  <w:vAlign w:val="center"/>
                </w:tcPr>
                <w:p w14:paraId="35928DC4">
                  <w:pPr>
                    <w:pStyle w:val="20"/>
                  </w:pPr>
                  <w:r>
                    <w:t>电泳烘干废气</w:t>
                  </w:r>
                </w:p>
              </w:tc>
            </w:tr>
            <w:tr w14:paraId="2967D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48" w:type="pct"/>
                  <w:gridSpan w:val="2"/>
                  <w:vMerge w:val="continue"/>
                  <w:tcBorders>
                    <w:top w:val="single" w:color="auto" w:sz="4" w:space="0"/>
                    <w:left w:val="single" w:color="auto" w:sz="4" w:space="0"/>
                    <w:bottom w:val="single" w:color="auto" w:sz="4" w:space="0"/>
                    <w:right w:val="single" w:color="auto" w:sz="4" w:space="0"/>
                  </w:tcBorders>
                  <w:vAlign w:val="center"/>
                </w:tcPr>
                <w:p w14:paraId="1828DF13">
                  <w:pPr>
                    <w:pStyle w:val="20"/>
                  </w:pPr>
                </w:p>
              </w:tc>
              <w:tc>
                <w:tcPr>
                  <w:tcW w:w="426" w:type="pct"/>
                  <w:tcBorders>
                    <w:top w:val="single" w:color="auto" w:sz="4" w:space="0"/>
                    <w:left w:val="single" w:color="auto" w:sz="4" w:space="0"/>
                    <w:bottom w:val="single" w:color="auto" w:sz="4" w:space="0"/>
                    <w:right w:val="single" w:color="auto" w:sz="4" w:space="0"/>
                  </w:tcBorders>
                  <w:vAlign w:val="center"/>
                </w:tcPr>
                <w:p w14:paraId="30564669">
                  <w:pPr>
                    <w:pStyle w:val="20"/>
                  </w:pPr>
                  <w:r>
                    <w:t>颗粒物</w:t>
                  </w:r>
                </w:p>
              </w:tc>
              <w:tc>
                <w:tcPr>
                  <w:tcW w:w="434" w:type="pct"/>
                  <w:tcBorders>
                    <w:top w:val="single" w:color="auto" w:sz="4" w:space="0"/>
                    <w:left w:val="single" w:color="auto" w:sz="4" w:space="0"/>
                    <w:bottom w:val="single" w:color="auto" w:sz="4" w:space="0"/>
                    <w:right w:val="single" w:color="auto" w:sz="4" w:space="0"/>
                  </w:tcBorders>
                  <w:vAlign w:val="center"/>
                </w:tcPr>
                <w:p w14:paraId="1853050F">
                  <w:pPr>
                    <w:pStyle w:val="20"/>
                  </w:pPr>
                  <w:r>
                    <w:t>二氧化硫</w:t>
                  </w:r>
                </w:p>
              </w:tc>
              <w:tc>
                <w:tcPr>
                  <w:tcW w:w="438" w:type="pct"/>
                  <w:tcBorders>
                    <w:top w:val="single" w:color="auto" w:sz="4" w:space="0"/>
                    <w:left w:val="single" w:color="auto" w:sz="4" w:space="0"/>
                    <w:bottom w:val="single" w:color="auto" w:sz="4" w:space="0"/>
                    <w:right w:val="single" w:color="auto" w:sz="4" w:space="0"/>
                  </w:tcBorders>
                  <w:vAlign w:val="center"/>
                </w:tcPr>
                <w:p w14:paraId="4AB34C13">
                  <w:pPr>
                    <w:pStyle w:val="20"/>
                  </w:pPr>
                  <w:r>
                    <w:t>氮氧化物</w:t>
                  </w:r>
                </w:p>
              </w:tc>
              <w:tc>
                <w:tcPr>
                  <w:tcW w:w="457" w:type="pct"/>
                  <w:tcBorders>
                    <w:top w:val="single" w:color="auto" w:sz="4" w:space="0"/>
                    <w:left w:val="single" w:color="auto" w:sz="4" w:space="0"/>
                    <w:bottom w:val="single" w:color="auto" w:sz="4" w:space="0"/>
                    <w:right w:val="single" w:color="auto" w:sz="4" w:space="0"/>
                  </w:tcBorders>
                  <w:vAlign w:val="center"/>
                </w:tcPr>
                <w:p w14:paraId="00F191A1">
                  <w:pPr>
                    <w:pStyle w:val="20"/>
                    <w:rPr>
                      <w:rFonts w:hint="eastAsia" w:eastAsia="宋体"/>
                      <w:lang w:eastAsia="zh-CN"/>
                    </w:rPr>
                  </w:pPr>
                  <w:r>
                    <w:rPr>
                      <w:rFonts w:hint="eastAsia"/>
                      <w:lang w:eastAsia="zh-CN"/>
                    </w:rPr>
                    <w:t>VOCs</w:t>
                  </w:r>
                </w:p>
              </w:tc>
              <w:tc>
                <w:tcPr>
                  <w:tcW w:w="438" w:type="pct"/>
                  <w:tcBorders>
                    <w:top w:val="single" w:color="auto" w:sz="4" w:space="0"/>
                    <w:left w:val="single" w:color="auto" w:sz="4" w:space="0"/>
                    <w:bottom w:val="single" w:color="auto" w:sz="4" w:space="0"/>
                    <w:right w:val="single" w:color="auto" w:sz="4" w:space="0"/>
                  </w:tcBorders>
                  <w:vAlign w:val="center"/>
                </w:tcPr>
                <w:p w14:paraId="46D43F3D">
                  <w:pPr>
                    <w:pStyle w:val="20"/>
                  </w:pPr>
                  <w:r>
                    <w:t>颗粒物</w:t>
                  </w:r>
                </w:p>
              </w:tc>
              <w:tc>
                <w:tcPr>
                  <w:tcW w:w="435" w:type="pct"/>
                  <w:tcBorders>
                    <w:top w:val="single" w:color="auto" w:sz="4" w:space="0"/>
                    <w:left w:val="single" w:color="auto" w:sz="4" w:space="0"/>
                    <w:bottom w:val="single" w:color="auto" w:sz="4" w:space="0"/>
                    <w:right w:val="single" w:color="auto" w:sz="4" w:space="0"/>
                  </w:tcBorders>
                  <w:vAlign w:val="center"/>
                </w:tcPr>
                <w:p w14:paraId="5D460D02">
                  <w:pPr>
                    <w:pStyle w:val="20"/>
                  </w:pPr>
                  <w:r>
                    <w:t>颗粒物</w:t>
                  </w:r>
                </w:p>
              </w:tc>
              <w:tc>
                <w:tcPr>
                  <w:tcW w:w="432" w:type="pct"/>
                  <w:tcBorders>
                    <w:top w:val="single" w:color="auto" w:sz="4" w:space="0"/>
                    <w:left w:val="single" w:color="auto" w:sz="4" w:space="0"/>
                    <w:bottom w:val="single" w:color="auto" w:sz="4" w:space="0"/>
                    <w:right w:val="single" w:color="auto" w:sz="4" w:space="0"/>
                  </w:tcBorders>
                  <w:vAlign w:val="center"/>
                </w:tcPr>
                <w:p w14:paraId="64C61EB3">
                  <w:pPr>
                    <w:pStyle w:val="20"/>
                  </w:pPr>
                  <w:r>
                    <w:t>二氧化硫</w:t>
                  </w:r>
                </w:p>
              </w:tc>
              <w:tc>
                <w:tcPr>
                  <w:tcW w:w="441" w:type="pct"/>
                  <w:tcBorders>
                    <w:top w:val="single" w:color="auto" w:sz="4" w:space="0"/>
                    <w:left w:val="single" w:color="auto" w:sz="4" w:space="0"/>
                    <w:bottom w:val="single" w:color="auto" w:sz="4" w:space="0"/>
                    <w:right w:val="single" w:color="auto" w:sz="4" w:space="0"/>
                  </w:tcBorders>
                  <w:vAlign w:val="center"/>
                </w:tcPr>
                <w:p w14:paraId="3DDC71F2">
                  <w:pPr>
                    <w:pStyle w:val="20"/>
                  </w:pPr>
                  <w:r>
                    <w:t>氮氧化物</w:t>
                  </w:r>
                </w:p>
              </w:tc>
              <w:tc>
                <w:tcPr>
                  <w:tcW w:w="449" w:type="pct"/>
                  <w:tcBorders>
                    <w:top w:val="single" w:color="auto" w:sz="4" w:space="0"/>
                    <w:left w:val="single" w:color="auto" w:sz="4" w:space="0"/>
                    <w:bottom w:val="single" w:color="auto" w:sz="4" w:space="0"/>
                    <w:right w:val="single" w:color="auto" w:sz="4" w:space="0"/>
                  </w:tcBorders>
                  <w:vAlign w:val="center"/>
                </w:tcPr>
                <w:p w14:paraId="4B5D9B19">
                  <w:pPr>
                    <w:pStyle w:val="20"/>
                    <w:rPr>
                      <w:rFonts w:hint="eastAsia" w:eastAsia="宋体"/>
                      <w:lang w:eastAsia="zh-CN"/>
                    </w:rPr>
                  </w:pPr>
                  <w:r>
                    <w:rPr>
                      <w:rFonts w:hint="eastAsia"/>
                      <w:lang w:eastAsia="zh-CN"/>
                    </w:rPr>
                    <w:t>VOCs</w:t>
                  </w:r>
                </w:p>
              </w:tc>
            </w:tr>
            <w:tr w14:paraId="7EE4F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48" w:type="pct"/>
                  <w:gridSpan w:val="2"/>
                  <w:tcBorders>
                    <w:top w:val="single" w:color="auto" w:sz="4" w:space="0"/>
                    <w:left w:val="single" w:color="auto" w:sz="4" w:space="0"/>
                    <w:bottom w:val="single" w:color="auto" w:sz="4" w:space="0"/>
                    <w:right w:val="single" w:color="auto" w:sz="4" w:space="0"/>
                  </w:tcBorders>
                  <w:vAlign w:val="center"/>
                </w:tcPr>
                <w:p w14:paraId="12AF72EF">
                  <w:pPr>
                    <w:pStyle w:val="20"/>
                  </w:pPr>
                  <w:r>
                    <w:t>产生量（t/a）</w:t>
                  </w:r>
                </w:p>
              </w:tc>
              <w:tc>
                <w:tcPr>
                  <w:tcW w:w="426" w:type="pct"/>
                  <w:tcBorders>
                    <w:top w:val="single" w:color="auto" w:sz="4" w:space="0"/>
                    <w:left w:val="single" w:color="auto" w:sz="4" w:space="0"/>
                    <w:bottom w:val="single" w:color="auto" w:sz="4" w:space="0"/>
                    <w:right w:val="single" w:color="auto" w:sz="4" w:space="0"/>
                  </w:tcBorders>
                  <w:vAlign w:val="center"/>
                </w:tcPr>
                <w:p w14:paraId="16B0BD32">
                  <w:pPr>
                    <w:pStyle w:val="20"/>
                  </w:pPr>
                  <w:r>
                    <w:t>0.0047</w:t>
                  </w:r>
                </w:p>
              </w:tc>
              <w:tc>
                <w:tcPr>
                  <w:tcW w:w="434" w:type="pct"/>
                  <w:tcBorders>
                    <w:top w:val="single" w:color="auto" w:sz="4" w:space="0"/>
                    <w:left w:val="single" w:color="auto" w:sz="4" w:space="0"/>
                    <w:bottom w:val="single" w:color="auto" w:sz="4" w:space="0"/>
                    <w:right w:val="single" w:color="auto" w:sz="4" w:space="0"/>
                  </w:tcBorders>
                  <w:vAlign w:val="center"/>
                </w:tcPr>
                <w:p w14:paraId="1A789455">
                  <w:pPr>
                    <w:pStyle w:val="20"/>
                  </w:pPr>
                  <w:r>
                    <w:t>0.0114</w:t>
                  </w:r>
                </w:p>
              </w:tc>
              <w:tc>
                <w:tcPr>
                  <w:tcW w:w="438" w:type="pct"/>
                  <w:tcBorders>
                    <w:top w:val="single" w:color="auto" w:sz="4" w:space="0"/>
                    <w:left w:val="single" w:color="auto" w:sz="4" w:space="0"/>
                    <w:bottom w:val="single" w:color="auto" w:sz="4" w:space="0"/>
                    <w:right w:val="single" w:color="auto" w:sz="4" w:space="0"/>
                  </w:tcBorders>
                  <w:vAlign w:val="center"/>
                </w:tcPr>
                <w:p w14:paraId="7440772F">
                  <w:pPr>
                    <w:pStyle w:val="20"/>
                  </w:pPr>
                  <w:r>
                    <w:t>0.031</w:t>
                  </w:r>
                </w:p>
              </w:tc>
              <w:tc>
                <w:tcPr>
                  <w:tcW w:w="457" w:type="pct"/>
                  <w:tcBorders>
                    <w:top w:val="single" w:color="auto" w:sz="4" w:space="0"/>
                    <w:left w:val="single" w:color="auto" w:sz="4" w:space="0"/>
                    <w:bottom w:val="single" w:color="auto" w:sz="4" w:space="0"/>
                    <w:right w:val="single" w:color="auto" w:sz="4" w:space="0"/>
                  </w:tcBorders>
                  <w:vAlign w:val="center"/>
                </w:tcPr>
                <w:p w14:paraId="48C48EBB">
                  <w:pPr>
                    <w:pStyle w:val="20"/>
                  </w:pPr>
                  <w:r>
                    <w:t>0.1212</w:t>
                  </w:r>
                </w:p>
              </w:tc>
              <w:tc>
                <w:tcPr>
                  <w:tcW w:w="438" w:type="pct"/>
                  <w:tcBorders>
                    <w:top w:val="single" w:color="auto" w:sz="4" w:space="0"/>
                    <w:left w:val="single" w:color="auto" w:sz="4" w:space="0"/>
                    <w:bottom w:val="single" w:color="auto" w:sz="4" w:space="0"/>
                    <w:right w:val="single" w:color="auto" w:sz="4" w:space="0"/>
                  </w:tcBorders>
                  <w:vAlign w:val="center"/>
                </w:tcPr>
                <w:p w14:paraId="7A1327E7">
                  <w:pPr>
                    <w:pStyle w:val="20"/>
                  </w:pPr>
                  <w:r>
                    <w:t>40.06</w:t>
                  </w:r>
                </w:p>
              </w:tc>
              <w:tc>
                <w:tcPr>
                  <w:tcW w:w="435" w:type="pct"/>
                  <w:tcBorders>
                    <w:top w:val="single" w:color="auto" w:sz="4" w:space="0"/>
                    <w:left w:val="single" w:color="auto" w:sz="4" w:space="0"/>
                    <w:bottom w:val="single" w:color="auto" w:sz="4" w:space="0"/>
                    <w:right w:val="single" w:color="auto" w:sz="4" w:space="0"/>
                  </w:tcBorders>
                  <w:vAlign w:val="center"/>
                </w:tcPr>
                <w:p w14:paraId="218A1808">
                  <w:pPr>
                    <w:pStyle w:val="20"/>
                  </w:pPr>
                  <w:r>
                    <w:t>0.0047</w:t>
                  </w:r>
                </w:p>
              </w:tc>
              <w:tc>
                <w:tcPr>
                  <w:tcW w:w="432" w:type="pct"/>
                  <w:tcBorders>
                    <w:top w:val="single" w:color="auto" w:sz="4" w:space="0"/>
                    <w:left w:val="single" w:color="auto" w:sz="4" w:space="0"/>
                    <w:bottom w:val="single" w:color="auto" w:sz="4" w:space="0"/>
                    <w:right w:val="single" w:color="auto" w:sz="4" w:space="0"/>
                  </w:tcBorders>
                  <w:vAlign w:val="center"/>
                </w:tcPr>
                <w:p w14:paraId="297940CE">
                  <w:pPr>
                    <w:pStyle w:val="20"/>
                  </w:pPr>
                  <w:r>
                    <w:t>0.0114</w:t>
                  </w:r>
                </w:p>
              </w:tc>
              <w:tc>
                <w:tcPr>
                  <w:tcW w:w="441" w:type="pct"/>
                  <w:tcBorders>
                    <w:top w:val="single" w:color="auto" w:sz="4" w:space="0"/>
                    <w:left w:val="single" w:color="auto" w:sz="4" w:space="0"/>
                    <w:bottom w:val="single" w:color="auto" w:sz="4" w:space="0"/>
                    <w:right w:val="single" w:color="auto" w:sz="4" w:space="0"/>
                  </w:tcBorders>
                  <w:vAlign w:val="center"/>
                </w:tcPr>
                <w:p w14:paraId="664FF787">
                  <w:pPr>
                    <w:pStyle w:val="20"/>
                  </w:pPr>
                  <w:r>
                    <w:t>0.031</w:t>
                  </w:r>
                </w:p>
              </w:tc>
              <w:tc>
                <w:tcPr>
                  <w:tcW w:w="449" w:type="pct"/>
                  <w:tcBorders>
                    <w:top w:val="single" w:color="auto" w:sz="4" w:space="0"/>
                    <w:left w:val="single" w:color="auto" w:sz="4" w:space="0"/>
                    <w:bottom w:val="single" w:color="auto" w:sz="4" w:space="0"/>
                    <w:right w:val="single" w:color="auto" w:sz="4" w:space="0"/>
                  </w:tcBorders>
                  <w:vAlign w:val="center"/>
                </w:tcPr>
                <w:p w14:paraId="3D324520">
                  <w:pPr>
                    <w:pStyle w:val="20"/>
                  </w:pPr>
                  <w:r>
                    <w:t>1.8598</w:t>
                  </w:r>
                </w:p>
              </w:tc>
            </w:tr>
            <w:tr w14:paraId="7490D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48" w:type="pct"/>
                  <w:gridSpan w:val="2"/>
                  <w:tcBorders>
                    <w:top w:val="single" w:color="auto" w:sz="4" w:space="0"/>
                    <w:left w:val="single" w:color="auto" w:sz="4" w:space="0"/>
                    <w:bottom w:val="single" w:color="auto" w:sz="4" w:space="0"/>
                    <w:right w:val="single" w:color="auto" w:sz="4" w:space="0"/>
                  </w:tcBorders>
                  <w:vAlign w:val="center"/>
                </w:tcPr>
                <w:p w14:paraId="52DAC454">
                  <w:pPr>
                    <w:pStyle w:val="20"/>
                  </w:pPr>
                  <w:r>
                    <w:t>收集效率（%）</w:t>
                  </w:r>
                </w:p>
              </w:tc>
              <w:tc>
                <w:tcPr>
                  <w:tcW w:w="426" w:type="pct"/>
                  <w:tcBorders>
                    <w:top w:val="single" w:color="auto" w:sz="4" w:space="0"/>
                    <w:left w:val="single" w:color="auto" w:sz="4" w:space="0"/>
                    <w:bottom w:val="single" w:color="auto" w:sz="4" w:space="0"/>
                    <w:right w:val="single" w:color="auto" w:sz="4" w:space="0"/>
                  </w:tcBorders>
                  <w:vAlign w:val="center"/>
                </w:tcPr>
                <w:p w14:paraId="3B884BCC">
                  <w:pPr>
                    <w:pStyle w:val="20"/>
                    <w:rPr>
                      <w:rFonts w:hint="default" w:eastAsia="宋体"/>
                      <w:lang w:val="en-US" w:eastAsia="zh-CN"/>
                    </w:rPr>
                  </w:pPr>
                  <w:r>
                    <w:rPr>
                      <w:rFonts w:hint="eastAsia"/>
                      <w:lang w:val="en-US" w:eastAsia="zh-CN"/>
                    </w:rPr>
                    <w:t>100</w:t>
                  </w:r>
                </w:p>
              </w:tc>
              <w:tc>
                <w:tcPr>
                  <w:tcW w:w="434" w:type="pct"/>
                  <w:tcBorders>
                    <w:top w:val="single" w:color="auto" w:sz="4" w:space="0"/>
                    <w:left w:val="single" w:color="auto" w:sz="4" w:space="0"/>
                    <w:bottom w:val="single" w:color="auto" w:sz="4" w:space="0"/>
                    <w:right w:val="single" w:color="auto" w:sz="4" w:space="0"/>
                  </w:tcBorders>
                  <w:vAlign w:val="center"/>
                </w:tcPr>
                <w:p w14:paraId="7DCA782F">
                  <w:pPr>
                    <w:pStyle w:val="20"/>
                  </w:pPr>
                  <w:r>
                    <w:rPr>
                      <w:rFonts w:hint="eastAsia"/>
                    </w:rPr>
                    <w:t>100</w:t>
                  </w:r>
                </w:p>
              </w:tc>
              <w:tc>
                <w:tcPr>
                  <w:tcW w:w="438" w:type="pct"/>
                  <w:tcBorders>
                    <w:top w:val="single" w:color="auto" w:sz="4" w:space="0"/>
                    <w:left w:val="single" w:color="auto" w:sz="4" w:space="0"/>
                    <w:bottom w:val="single" w:color="auto" w:sz="4" w:space="0"/>
                    <w:right w:val="single" w:color="auto" w:sz="4" w:space="0"/>
                  </w:tcBorders>
                  <w:vAlign w:val="center"/>
                </w:tcPr>
                <w:p w14:paraId="76E6BA87">
                  <w:pPr>
                    <w:pStyle w:val="20"/>
                  </w:pPr>
                  <w:r>
                    <w:rPr>
                      <w:rFonts w:hint="eastAsia"/>
                    </w:rPr>
                    <w:t>100</w:t>
                  </w:r>
                </w:p>
              </w:tc>
              <w:tc>
                <w:tcPr>
                  <w:tcW w:w="457" w:type="pct"/>
                  <w:tcBorders>
                    <w:top w:val="single" w:color="auto" w:sz="4" w:space="0"/>
                    <w:left w:val="single" w:color="auto" w:sz="4" w:space="0"/>
                    <w:bottom w:val="single" w:color="auto" w:sz="4" w:space="0"/>
                    <w:right w:val="single" w:color="auto" w:sz="4" w:space="0"/>
                  </w:tcBorders>
                  <w:vAlign w:val="center"/>
                </w:tcPr>
                <w:p w14:paraId="3F145EF4">
                  <w:pPr>
                    <w:pStyle w:val="20"/>
                  </w:pPr>
                  <w:r>
                    <w:t>90%</w:t>
                  </w:r>
                </w:p>
              </w:tc>
              <w:tc>
                <w:tcPr>
                  <w:tcW w:w="438" w:type="pct"/>
                  <w:tcBorders>
                    <w:top w:val="single" w:color="auto" w:sz="4" w:space="0"/>
                    <w:left w:val="single" w:color="auto" w:sz="4" w:space="0"/>
                    <w:bottom w:val="single" w:color="auto" w:sz="4" w:space="0"/>
                    <w:right w:val="single" w:color="auto" w:sz="4" w:space="0"/>
                  </w:tcBorders>
                  <w:vAlign w:val="center"/>
                </w:tcPr>
                <w:p w14:paraId="3D021DA5">
                  <w:pPr>
                    <w:pStyle w:val="20"/>
                  </w:pPr>
                  <w:r>
                    <w:t>95%</w:t>
                  </w:r>
                </w:p>
              </w:tc>
              <w:tc>
                <w:tcPr>
                  <w:tcW w:w="435" w:type="pct"/>
                  <w:tcBorders>
                    <w:top w:val="single" w:color="auto" w:sz="4" w:space="0"/>
                    <w:left w:val="single" w:color="auto" w:sz="4" w:space="0"/>
                    <w:bottom w:val="single" w:color="auto" w:sz="4" w:space="0"/>
                    <w:right w:val="single" w:color="auto" w:sz="4" w:space="0"/>
                  </w:tcBorders>
                  <w:vAlign w:val="center"/>
                </w:tcPr>
                <w:p w14:paraId="06766C51">
                  <w:pPr>
                    <w:pStyle w:val="20"/>
                  </w:pPr>
                  <w:r>
                    <w:rPr>
                      <w:rFonts w:hint="eastAsia"/>
                    </w:rPr>
                    <w:t>100</w:t>
                  </w:r>
                </w:p>
              </w:tc>
              <w:tc>
                <w:tcPr>
                  <w:tcW w:w="432" w:type="pct"/>
                  <w:tcBorders>
                    <w:top w:val="single" w:color="auto" w:sz="4" w:space="0"/>
                    <w:left w:val="single" w:color="auto" w:sz="4" w:space="0"/>
                    <w:bottom w:val="single" w:color="auto" w:sz="4" w:space="0"/>
                    <w:right w:val="single" w:color="auto" w:sz="4" w:space="0"/>
                  </w:tcBorders>
                  <w:vAlign w:val="center"/>
                </w:tcPr>
                <w:p w14:paraId="683ADFD4">
                  <w:pPr>
                    <w:pStyle w:val="20"/>
                  </w:pPr>
                  <w:r>
                    <w:rPr>
                      <w:rFonts w:hint="eastAsia"/>
                    </w:rPr>
                    <w:t>100</w:t>
                  </w:r>
                </w:p>
              </w:tc>
              <w:tc>
                <w:tcPr>
                  <w:tcW w:w="441" w:type="pct"/>
                  <w:tcBorders>
                    <w:top w:val="single" w:color="auto" w:sz="4" w:space="0"/>
                    <w:left w:val="single" w:color="auto" w:sz="4" w:space="0"/>
                    <w:bottom w:val="single" w:color="auto" w:sz="4" w:space="0"/>
                    <w:right w:val="single" w:color="auto" w:sz="4" w:space="0"/>
                  </w:tcBorders>
                  <w:vAlign w:val="center"/>
                </w:tcPr>
                <w:p w14:paraId="41BC41B3">
                  <w:pPr>
                    <w:pStyle w:val="20"/>
                  </w:pPr>
                  <w:r>
                    <w:rPr>
                      <w:rFonts w:hint="eastAsia"/>
                    </w:rPr>
                    <w:t>100</w:t>
                  </w:r>
                </w:p>
              </w:tc>
              <w:tc>
                <w:tcPr>
                  <w:tcW w:w="449" w:type="pct"/>
                  <w:tcBorders>
                    <w:top w:val="single" w:color="auto" w:sz="4" w:space="0"/>
                    <w:left w:val="single" w:color="auto" w:sz="4" w:space="0"/>
                    <w:bottom w:val="single" w:color="auto" w:sz="4" w:space="0"/>
                    <w:right w:val="single" w:color="auto" w:sz="4" w:space="0"/>
                  </w:tcBorders>
                  <w:vAlign w:val="center"/>
                </w:tcPr>
                <w:p w14:paraId="1B770F96">
                  <w:pPr>
                    <w:pStyle w:val="20"/>
                  </w:pPr>
                  <w:r>
                    <w:t>90%</w:t>
                  </w:r>
                </w:p>
              </w:tc>
            </w:tr>
            <w:tr w14:paraId="3D506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restart"/>
                  <w:tcBorders>
                    <w:top w:val="single" w:color="auto" w:sz="4" w:space="0"/>
                    <w:left w:val="single" w:color="auto" w:sz="4" w:space="0"/>
                    <w:bottom w:val="single" w:color="auto" w:sz="4" w:space="0"/>
                    <w:right w:val="single" w:color="auto" w:sz="4" w:space="0"/>
                  </w:tcBorders>
                  <w:vAlign w:val="center"/>
                </w:tcPr>
                <w:p w14:paraId="52489894">
                  <w:pPr>
                    <w:pStyle w:val="20"/>
                  </w:pPr>
                  <w:r>
                    <w:t>有组织</w:t>
                  </w:r>
                </w:p>
              </w:tc>
              <w:tc>
                <w:tcPr>
                  <w:tcW w:w="780" w:type="pct"/>
                  <w:tcBorders>
                    <w:top w:val="single" w:color="auto" w:sz="4" w:space="0"/>
                    <w:left w:val="single" w:color="auto" w:sz="4" w:space="0"/>
                    <w:bottom w:val="single" w:color="auto" w:sz="4" w:space="0"/>
                    <w:right w:val="single" w:color="auto" w:sz="4" w:space="0"/>
                  </w:tcBorders>
                  <w:vAlign w:val="center"/>
                </w:tcPr>
                <w:p w14:paraId="5C8633A3">
                  <w:pPr>
                    <w:pStyle w:val="20"/>
                  </w:pPr>
                  <w:r>
                    <w:t>总产生量（t/a）</w:t>
                  </w:r>
                </w:p>
              </w:tc>
              <w:tc>
                <w:tcPr>
                  <w:tcW w:w="426" w:type="pct"/>
                  <w:tcBorders>
                    <w:top w:val="single" w:color="auto" w:sz="4" w:space="0"/>
                    <w:left w:val="single" w:color="auto" w:sz="4" w:space="0"/>
                    <w:bottom w:val="single" w:color="auto" w:sz="4" w:space="0"/>
                    <w:right w:val="single" w:color="auto" w:sz="4" w:space="0"/>
                  </w:tcBorders>
                  <w:vAlign w:val="center"/>
                </w:tcPr>
                <w:p w14:paraId="6CA939A7">
                  <w:pPr>
                    <w:pStyle w:val="20"/>
                  </w:pPr>
                  <w:r>
                    <w:t>0.0047</w:t>
                  </w:r>
                </w:p>
              </w:tc>
              <w:tc>
                <w:tcPr>
                  <w:tcW w:w="434" w:type="pct"/>
                  <w:tcBorders>
                    <w:top w:val="single" w:color="auto" w:sz="4" w:space="0"/>
                    <w:left w:val="single" w:color="auto" w:sz="4" w:space="0"/>
                    <w:bottom w:val="single" w:color="auto" w:sz="4" w:space="0"/>
                    <w:right w:val="single" w:color="auto" w:sz="4" w:space="0"/>
                  </w:tcBorders>
                  <w:vAlign w:val="center"/>
                </w:tcPr>
                <w:p w14:paraId="03147EA6">
                  <w:pPr>
                    <w:pStyle w:val="20"/>
                  </w:pPr>
                  <w:r>
                    <w:t>0.0114</w:t>
                  </w:r>
                </w:p>
              </w:tc>
              <w:tc>
                <w:tcPr>
                  <w:tcW w:w="438" w:type="pct"/>
                  <w:tcBorders>
                    <w:top w:val="single" w:color="auto" w:sz="4" w:space="0"/>
                    <w:left w:val="single" w:color="auto" w:sz="4" w:space="0"/>
                    <w:bottom w:val="single" w:color="auto" w:sz="4" w:space="0"/>
                    <w:right w:val="single" w:color="auto" w:sz="4" w:space="0"/>
                  </w:tcBorders>
                  <w:vAlign w:val="center"/>
                </w:tcPr>
                <w:p w14:paraId="4D398D32">
                  <w:pPr>
                    <w:pStyle w:val="20"/>
                  </w:pPr>
                  <w:r>
                    <w:t>0.031</w:t>
                  </w:r>
                </w:p>
              </w:tc>
              <w:tc>
                <w:tcPr>
                  <w:tcW w:w="457" w:type="pct"/>
                  <w:tcBorders>
                    <w:top w:val="single" w:color="auto" w:sz="4" w:space="0"/>
                    <w:left w:val="single" w:color="auto" w:sz="4" w:space="0"/>
                    <w:bottom w:val="single" w:color="auto" w:sz="4" w:space="0"/>
                    <w:right w:val="single" w:color="auto" w:sz="4" w:space="0"/>
                  </w:tcBorders>
                  <w:vAlign w:val="center"/>
                </w:tcPr>
                <w:p w14:paraId="0664C0AA">
                  <w:pPr>
                    <w:pStyle w:val="20"/>
                  </w:pPr>
                  <w:r>
                    <w:t>0.1091</w:t>
                  </w:r>
                </w:p>
              </w:tc>
              <w:tc>
                <w:tcPr>
                  <w:tcW w:w="438" w:type="pct"/>
                  <w:tcBorders>
                    <w:top w:val="single" w:color="auto" w:sz="4" w:space="0"/>
                    <w:left w:val="single" w:color="auto" w:sz="4" w:space="0"/>
                    <w:bottom w:val="single" w:color="auto" w:sz="4" w:space="0"/>
                    <w:right w:val="single" w:color="auto" w:sz="4" w:space="0"/>
                  </w:tcBorders>
                  <w:vAlign w:val="center"/>
                </w:tcPr>
                <w:p w14:paraId="3562FAE6">
                  <w:pPr>
                    <w:pStyle w:val="20"/>
                  </w:pPr>
                  <w:r>
                    <w:t>38.06</w:t>
                  </w:r>
                </w:p>
              </w:tc>
              <w:tc>
                <w:tcPr>
                  <w:tcW w:w="435" w:type="pct"/>
                  <w:tcBorders>
                    <w:top w:val="single" w:color="auto" w:sz="4" w:space="0"/>
                    <w:left w:val="single" w:color="auto" w:sz="4" w:space="0"/>
                    <w:bottom w:val="single" w:color="auto" w:sz="4" w:space="0"/>
                    <w:right w:val="single" w:color="auto" w:sz="4" w:space="0"/>
                  </w:tcBorders>
                  <w:vAlign w:val="center"/>
                </w:tcPr>
                <w:p w14:paraId="6656A8D7">
                  <w:pPr>
                    <w:pStyle w:val="20"/>
                  </w:pPr>
                  <w:r>
                    <w:t>0.0047</w:t>
                  </w:r>
                </w:p>
              </w:tc>
              <w:tc>
                <w:tcPr>
                  <w:tcW w:w="432" w:type="pct"/>
                  <w:tcBorders>
                    <w:top w:val="single" w:color="auto" w:sz="4" w:space="0"/>
                    <w:left w:val="single" w:color="auto" w:sz="4" w:space="0"/>
                    <w:bottom w:val="single" w:color="auto" w:sz="4" w:space="0"/>
                    <w:right w:val="single" w:color="auto" w:sz="4" w:space="0"/>
                  </w:tcBorders>
                  <w:vAlign w:val="center"/>
                </w:tcPr>
                <w:p w14:paraId="05946240">
                  <w:pPr>
                    <w:pStyle w:val="20"/>
                  </w:pPr>
                  <w:r>
                    <w:t>0.0114</w:t>
                  </w:r>
                </w:p>
              </w:tc>
              <w:tc>
                <w:tcPr>
                  <w:tcW w:w="441" w:type="pct"/>
                  <w:tcBorders>
                    <w:top w:val="single" w:color="auto" w:sz="4" w:space="0"/>
                    <w:left w:val="single" w:color="auto" w:sz="4" w:space="0"/>
                    <w:bottom w:val="single" w:color="auto" w:sz="4" w:space="0"/>
                    <w:right w:val="single" w:color="auto" w:sz="4" w:space="0"/>
                  </w:tcBorders>
                  <w:vAlign w:val="center"/>
                </w:tcPr>
                <w:p w14:paraId="68851AFB">
                  <w:pPr>
                    <w:pStyle w:val="20"/>
                  </w:pPr>
                  <w:r>
                    <w:t>0.031</w:t>
                  </w:r>
                </w:p>
              </w:tc>
              <w:tc>
                <w:tcPr>
                  <w:tcW w:w="449" w:type="pct"/>
                  <w:tcBorders>
                    <w:top w:val="single" w:color="auto" w:sz="4" w:space="0"/>
                    <w:left w:val="single" w:color="auto" w:sz="4" w:space="0"/>
                    <w:bottom w:val="single" w:color="auto" w:sz="4" w:space="0"/>
                    <w:right w:val="single" w:color="auto" w:sz="4" w:space="0"/>
                  </w:tcBorders>
                  <w:vAlign w:val="center"/>
                </w:tcPr>
                <w:p w14:paraId="0103CD6F">
                  <w:pPr>
                    <w:pStyle w:val="20"/>
                  </w:pPr>
                  <w:r>
                    <w:t>1.6738</w:t>
                  </w:r>
                </w:p>
              </w:tc>
            </w:tr>
            <w:tr w14:paraId="7DEE3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2455CE03">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313494F8">
                  <w:pPr>
                    <w:pStyle w:val="20"/>
                  </w:pPr>
                  <w:r>
                    <w:t>废气量m</w:t>
                  </w:r>
                  <w:r>
                    <w:rPr>
                      <w:vertAlign w:val="superscript"/>
                    </w:rPr>
                    <w:t>3</w:t>
                  </w:r>
                  <w:r>
                    <w:t>/h</w:t>
                  </w:r>
                </w:p>
              </w:tc>
              <w:tc>
                <w:tcPr>
                  <w:tcW w:w="426" w:type="pct"/>
                  <w:tcBorders>
                    <w:top w:val="single" w:color="auto" w:sz="4" w:space="0"/>
                    <w:left w:val="single" w:color="auto" w:sz="4" w:space="0"/>
                    <w:bottom w:val="single" w:color="auto" w:sz="4" w:space="0"/>
                    <w:right w:val="single" w:color="auto" w:sz="4" w:space="0"/>
                  </w:tcBorders>
                  <w:vAlign w:val="center"/>
                </w:tcPr>
                <w:p w14:paraId="5E270839">
                  <w:pPr>
                    <w:pStyle w:val="20"/>
                  </w:pPr>
                  <w:r>
                    <w:t>3300</w:t>
                  </w:r>
                </w:p>
              </w:tc>
              <w:tc>
                <w:tcPr>
                  <w:tcW w:w="434" w:type="pct"/>
                  <w:tcBorders>
                    <w:top w:val="single" w:color="auto" w:sz="4" w:space="0"/>
                    <w:left w:val="single" w:color="auto" w:sz="4" w:space="0"/>
                    <w:bottom w:val="single" w:color="auto" w:sz="4" w:space="0"/>
                    <w:right w:val="single" w:color="auto" w:sz="4" w:space="0"/>
                  </w:tcBorders>
                  <w:vAlign w:val="center"/>
                </w:tcPr>
                <w:p w14:paraId="51FCAB17">
                  <w:pPr>
                    <w:pStyle w:val="20"/>
                  </w:pPr>
                  <w:r>
                    <w:t>3300</w:t>
                  </w:r>
                </w:p>
              </w:tc>
              <w:tc>
                <w:tcPr>
                  <w:tcW w:w="438" w:type="pct"/>
                  <w:tcBorders>
                    <w:top w:val="single" w:color="auto" w:sz="4" w:space="0"/>
                    <w:left w:val="single" w:color="auto" w:sz="4" w:space="0"/>
                    <w:bottom w:val="single" w:color="auto" w:sz="4" w:space="0"/>
                    <w:right w:val="single" w:color="auto" w:sz="4" w:space="0"/>
                  </w:tcBorders>
                  <w:vAlign w:val="center"/>
                </w:tcPr>
                <w:p w14:paraId="488A2341">
                  <w:pPr>
                    <w:pStyle w:val="20"/>
                  </w:pPr>
                  <w:r>
                    <w:t>3300</w:t>
                  </w:r>
                </w:p>
              </w:tc>
              <w:tc>
                <w:tcPr>
                  <w:tcW w:w="457" w:type="pct"/>
                  <w:tcBorders>
                    <w:top w:val="single" w:color="auto" w:sz="4" w:space="0"/>
                    <w:left w:val="single" w:color="auto" w:sz="4" w:space="0"/>
                    <w:bottom w:val="single" w:color="auto" w:sz="4" w:space="0"/>
                    <w:right w:val="single" w:color="auto" w:sz="4" w:space="0"/>
                  </w:tcBorders>
                  <w:vAlign w:val="center"/>
                </w:tcPr>
                <w:p w14:paraId="57D4C1DE">
                  <w:pPr>
                    <w:pStyle w:val="20"/>
                  </w:pPr>
                  <w:r>
                    <w:t>3300</w:t>
                  </w:r>
                </w:p>
              </w:tc>
              <w:tc>
                <w:tcPr>
                  <w:tcW w:w="438" w:type="pct"/>
                  <w:tcBorders>
                    <w:top w:val="single" w:color="auto" w:sz="4" w:space="0"/>
                    <w:left w:val="single" w:color="auto" w:sz="4" w:space="0"/>
                    <w:bottom w:val="single" w:color="auto" w:sz="4" w:space="0"/>
                    <w:right w:val="single" w:color="auto" w:sz="4" w:space="0"/>
                  </w:tcBorders>
                  <w:vAlign w:val="center"/>
                </w:tcPr>
                <w:p w14:paraId="77C0D546">
                  <w:pPr>
                    <w:pStyle w:val="20"/>
                  </w:pPr>
                  <w:r>
                    <w:t>20000</w:t>
                  </w:r>
                </w:p>
              </w:tc>
              <w:tc>
                <w:tcPr>
                  <w:tcW w:w="435" w:type="pct"/>
                  <w:tcBorders>
                    <w:top w:val="single" w:color="auto" w:sz="4" w:space="0"/>
                    <w:left w:val="single" w:color="auto" w:sz="4" w:space="0"/>
                    <w:bottom w:val="single" w:color="auto" w:sz="4" w:space="0"/>
                    <w:right w:val="single" w:color="auto" w:sz="4" w:space="0"/>
                  </w:tcBorders>
                  <w:vAlign w:val="center"/>
                </w:tcPr>
                <w:p w14:paraId="40208A0E">
                  <w:pPr>
                    <w:pStyle w:val="20"/>
                  </w:pPr>
                  <w:r>
                    <w:t>3300</w:t>
                  </w:r>
                </w:p>
              </w:tc>
              <w:tc>
                <w:tcPr>
                  <w:tcW w:w="432" w:type="pct"/>
                  <w:tcBorders>
                    <w:top w:val="single" w:color="auto" w:sz="4" w:space="0"/>
                    <w:left w:val="single" w:color="auto" w:sz="4" w:space="0"/>
                    <w:bottom w:val="single" w:color="auto" w:sz="4" w:space="0"/>
                    <w:right w:val="single" w:color="auto" w:sz="4" w:space="0"/>
                  </w:tcBorders>
                  <w:vAlign w:val="center"/>
                </w:tcPr>
                <w:p w14:paraId="4A6FFFDB">
                  <w:pPr>
                    <w:pStyle w:val="20"/>
                  </w:pPr>
                  <w:r>
                    <w:t>3300</w:t>
                  </w:r>
                </w:p>
              </w:tc>
              <w:tc>
                <w:tcPr>
                  <w:tcW w:w="441" w:type="pct"/>
                  <w:tcBorders>
                    <w:top w:val="single" w:color="auto" w:sz="4" w:space="0"/>
                    <w:left w:val="single" w:color="auto" w:sz="4" w:space="0"/>
                    <w:bottom w:val="single" w:color="auto" w:sz="4" w:space="0"/>
                    <w:right w:val="single" w:color="auto" w:sz="4" w:space="0"/>
                  </w:tcBorders>
                  <w:vAlign w:val="center"/>
                </w:tcPr>
                <w:p w14:paraId="613249F5">
                  <w:pPr>
                    <w:pStyle w:val="20"/>
                  </w:pPr>
                  <w:r>
                    <w:t>3300</w:t>
                  </w:r>
                </w:p>
              </w:tc>
              <w:tc>
                <w:tcPr>
                  <w:tcW w:w="449" w:type="pct"/>
                  <w:tcBorders>
                    <w:top w:val="single" w:color="auto" w:sz="4" w:space="0"/>
                    <w:left w:val="single" w:color="auto" w:sz="4" w:space="0"/>
                    <w:bottom w:val="single" w:color="auto" w:sz="4" w:space="0"/>
                    <w:right w:val="single" w:color="auto" w:sz="4" w:space="0"/>
                  </w:tcBorders>
                  <w:vAlign w:val="center"/>
                </w:tcPr>
                <w:p w14:paraId="6BAF033D">
                  <w:pPr>
                    <w:pStyle w:val="20"/>
                  </w:pPr>
                  <w:r>
                    <w:t>3300</w:t>
                  </w:r>
                </w:p>
              </w:tc>
            </w:tr>
            <w:tr w14:paraId="54AF3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683F22A1">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1F740AA2">
                  <w:pPr>
                    <w:pStyle w:val="20"/>
                  </w:pPr>
                  <w:r>
                    <w:t>产生速率（kg/h）</w:t>
                  </w:r>
                </w:p>
              </w:tc>
              <w:tc>
                <w:tcPr>
                  <w:tcW w:w="426" w:type="pct"/>
                  <w:tcBorders>
                    <w:top w:val="single" w:color="auto" w:sz="4" w:space="0"/>
                    <w:left w:val="single" w:color="auto" w:sz="4" w:space="0"/>
                    <w:bottom w:val="single" w:color="auto" w:sz="4" w:space="0"/>
                    <w:right w:val="single" w:color="auto" w:sz="4" w:space="0"/>
                  </w:tcBorders>
                  <w:vAlign w:val="center"/>
                </w:tcPr>
                <w:p w14:paraId="0816EBDC">
                  <w:pPr>
                    <w:pStyle w:val="20"/>
                  </w:pPr>
                  <w:r>
                    <w:t>0.001</w:t>
                  </w:r>
                </w:p>
              </w:tc>
              <w:tc>
                <w:tcPr>
                  <w:tcW w:w="434" w:type="pct"/>
                  <w:tcBorders>
                    <w:top w:val="single" w:color="auto" w:sz="4" w:space="0"/>
                    <w:left w:val="single" w:color="auto" w:sz="4" w:space="0"/>
                    <w:bottom w:val="single" w:color="auto" w:sz="4" w:space="0"/>
                    <w:right w:val="single" w:color="auto" w:sz="4" w:space="0"/>
                  </w:tcBorders>
                  <w:vAlign w:val="center"/>
                </w:tcPr>
                <w:p w14:paraId="1F788D9D">
                  <w:pPr>
                    <w:pStyle w:val="20"/>
                  </w:pPr>
                  <w:r>
                    <w:t>0.0024</w:t>
                  </w:r>
                </w:p>
              </w:tc>
              <w:tc>
                <w:tcPr>
                  <w:tcW w:w="438" w:type="pct"/>
                  <w:tcBorders>
                    <w:top w:val="single" w:color="auto" w:sz="4" w:space="0"/>
                    <w:left w:val="single" w:color="auto" w:sz="4" w:space="0"/>
                    <w:bottom w:val="single" w:color="auto" w:sz="4" w:space="0"/>
                    <w:right w:val="single" w:color="auto" w:sz="4" w:space="0"/>
                  </w:tcBorders>
                  <w:vAlign w:val="center"/>
                </w:tcPr>
                <w:p w14:paraId="2494CBC4">
                  <w:pPr>
                    <w:pStyle w:val="20"/>
                  </w:pPr>
                  <w:r>
                    <w:t>0.0065</w:t>
                  </w:r>
                </w:p>
              </w:tc>
              <w:tc>
                <w:tcPr>
                  <w:tcW w:w="457" w:type="pct"/>
                  <w:tcBorders>
                    <w:top w:val="single" w:color="auto" w:sz="4" w:space="0"/>
                    <w:left w:val="single" w:color="auto" w:sz="4" w:space="0"/>
                    <w:bottom w:val="single" w:color="auto" w:sz="4" w:space="0"/>
                    <w:right w:val="single" w:color="auto" w:sz="4" w:space="0"/>
                  </w:tcBorders>
                  <w:vAlign w:val="center"/>
                </w:tcPr>
                <w:p w14:paraId="64B6E653">
                  <w:pPr>
                    <w:pStyle w:val="20"/>
                  </w:pPr>
                  <w:r>
                    <w:t>0.0253</w:t>
                  </w:r>
                </w:p>
              </w:tc>
              <w:tc>
                <w:tcPr>
                  <w:tcW w:w="438" w:type="pct"/>
                  <w:tcBorders>
                    <w:top w:val="single" w:color="auto" w:sz="4" w:space="0"/>
                    <w:left w:val="single" w:color="auto" w:sz="4" w:space="0"/>
                    <w:bottom w:val="single" w:color="auto" w:sz="4" w:space="0"/>
                    <w:right w:val="single" w:color="auto" w:sz="4" w:space="0"/>
                  </w:tcBorders>
                  <w:vAlign w:val="center"/>
                </w:tcPr>
                <w:p w14:paraId="405A2F40">
                  <w:pPr>
                    <w:pStyle w:val="20"/>
                  </w:pPr>
                  <w:r>
                    <w:t>8.346</w:t>
                  </w:r>
                </w:p>
              </w:tc>
              <w:tc>
                <w:tcPr>
                  <w:tcW w:w="435" w:type="pct"/>
                  <w:tcBorders>
                    <w:top w:val="single" w:color="auto" w:sz="4" w:space="0"/>
                    <w:left w:val="single" w:color="auto" w:sz="4" w:space="0"/>
                    <w:bottom w:val="single" w:color="auto" w:sz="4" w:space="0"/>
                    <w:right w:val="single" w:color="auto" w:sz="4" w:space="0"/>
                  </w:tcBorders>
                  <w:vAlign w:val="center"/>
                </w:tcPr>
                <w:p w14:paraId="7B5DCDBE">
                  <w:pPr>
                    <w:pStyle w:val="20"/>
                  </w:pPr>
                  <w:r>
                    <w:t>0.001</w:t>
                  </w:r>
                </w:p>
              </w:tc>
              <w:tc>
                <w:tcPr>
                  <w:tcW w:w="432" w:type="pct"/>
                  <w:tcBorders>
                    <w:top w:val="single" w:color="auto" w:sz="4" w:space="0"/>
                    <w:left w:val="single" w:color="auto" w:sz="4" w:space="0"/>
                    <w:bottom w:val="single" w:color="auto" w:sz="4" w:space="0"/>
                    <w:right w:val="single" w:color="auto" w:sz="4" w:space="0"/>
                  </w:tcBorders>
                  <w:vAlign w:val="center"/>
                </w:tcPr>
                <w:p w14:paraId="1010979D">
                  <w:pPr>
                    <w:pStyle w:val="20"/>
                  </w:pPr>
                  <w:r>
                    <w:t>0.0024</w:t>
                  </w:r>
                </w:p>
              </w:tc>
              <w:tc>
                <w:tcPr>
                  <w:tcW w:w="441" w:type="pct"/>
                  <w:tcBorders>
                    <w:top w:val="single" w:color="auto" w:sz="4" w:space="0"/>
                    <w:left w:val="single" w:color="auto" w:sz="4" w:space="0"/>
                    <w:bottom w:val="single" w:color="auto" w:sz="4" w:space="0"/>
                    <w:right w:val="single" w:color="auto" w:sz="4" w:space="0"/>
                  </w:tcBorders>
                  <w:vAlign w:val="center"/>
                </w:tcPr>
                <w:p w14:paraId="1E2FED62">
                  <w:pPr>
                    <w:pStyle w:val="20"/>
                  </w:pPr>
                  <w:r>
                    <w:t>0.0065</w:t>
                  </w:r>
                </w:p>
              </w:tc>
              <w:tc>
                <w:tcPr>
                  <w:tcW w:w="449" w:type="pct"/>
                  <w:tcBorders>
                    <w:top w:val="single" w:color="auto" w:sz="4" w:space="0"/>
                    <w:left w:val="single" w:color="auto" w:sz="4" w:space="0"/>
                    <w:bottom w:val="single" w:color="auto" w:sz="4" w:space="0"/>
                    <w:right w:val="single" w:color="auto" w:sz="4" w:space="0"/>
                  </w:tcBorders>
                  <w:vAlign w:val="center"/>
                </w:tcPr>
                <w:p w14:paraId="451E59E7">
                  <w:pPr>
                    <w:pStyle w:val="20"/>
                  </w:pPr>
                  <w:r>
                    <w:t>0.3875</w:t>
                  </w:r>
                </w:p>
              </w:tc>
            </w:tr>
            <w:tr w14:paraId="406CC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5B23013B">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074E09A7">
                  <w:pPr>
                    <w:pStyle w:val="20"/>
                  </w:pPr>
                  <w:r>
                    <w:t>产生浓度（mg/m</w:t>
                  </w:r>
                  <w:r>
                    <w:rPr>
                      <w:vertAlign w:val="superscript"/>
                    </w:rPr>
                    <w:t>3</w:t>
                  </w:r>
                  <w:r>
                    <w:t>）</w:t>
                  </w:r>
                </w:p>
              </w:tc>
              <w:tc>
                <w:tcPr>
                  <w:tcW w:w="426" w:type="pct"/>
                  <w:tcBorders>
                    <w:top w:val="single" w:color="auto" w:sz="4" w:space="0"/>
                    <w:left w:val="single" w:color="auto" w:sz="4" w:space="0"/>
                    <w:bottom w:val="single" w:color="auto" w:sz="4" w:space="0"/>
                    <w:right w:val="single" w:color="auto" w:sz="4" w:space="0"/>
                  </w:tcBorders>
                  <w:vAlign w:val="center"/>
                </w:tcPr>
                <w:p w14:paraId="0D31554F">
                  <w:pPr>
                    <w:pStyle w:val="20"/>
                  </w:pPr>
                  <w:r>
                    <w:t>0.303</w:t>
                  </w:r>
                </w:p>
              </w:tc>
              <w:tc>
                <w:tcPr>
                  <w:tcW w:w="434" w:type="pct"/>
                  <w:tcBorders>
                    <w:top w:val="single" w:color="auto" w:sz="4" w:space="0"/>
                    <w:left w:val="single" w:color="auto" w:sz="4" w:space="0"/>
                    <w:bottom w:val="single" w:color="auto" w:sz="4" w:space="0"/>
                    <w:right w:val="single" w:color="auto" w:sz="4" w:space="0"/>
                  </w:tcBorders>
                  <w:vAlign w:val="center"/>
                </w:tcPr>
                <w:p w14:paraId="63EE9660">
                  <w:pPr>
                    <w:pStyle w:val="20"/>
                  </w:pPr>
                  <w:r>
                    <w:t>0.7273</w:t>
                  </w:r>
                </w:p>
              </w:tc>
              <w:tc>
                <w:tcPr>
                  <w:tcW w:w="438" w:type="pct"/>
                  <w:tcBorders>
                    <w:top w:val="single" w:color="auto" w:sz="4" w:space="0"/>
                    <w:left w:val="single" w:color="auto" w:sz="4" w:space="0"/>
                    <w:bottom w:val="single" w:color="auto" w:sz="4" w:space="0"/>
                    <w:right w:val="single" w:color="auto" w:sz="4" w:space="0"/>
                  </w:tcBorders>
                  <w:vAlign w:val="center"/>
                </w:tcPr>
                <w:p w14:paraId="046DCFE2">
                  <w:pPr>
                    <w:pStyle w:val="20"/>
                  </w:pPr>
                  <w:r>
                    <w:t>1.9697</w:t>
                  </w:r>
                </w:p>
              </w:tc>
              <w:tc>
                <w:tcPr>
                  <w:tcW w:w="457" w:type="pct"/>
                  <w:tcBorders>
                    <w:top w:val="single" w:color="auto" w:sz="4" w:space="0"/>
                    <w:left w:val="single" w:color="auto" w:sz="4" w:space="0"/>
                    <w:bottom w:val="single" w:color="auto" w:sz="4" w:space="0"/>
                    <w:right w:val="single" w:color="auto" w:sz="4" w:space="0"/>
                  </w:tcBorders>
                  <w:vAlign w:val="center"/>
                </w:tcPr>
                <w:p w14:paraId="1A779D48">
                  <w:pPr>
                    <w:pStyle w:val="20"/>
                  </w:pPr>
                  <w:r>
                    <w:t>7.6667</w:t>
                  </w:r>
                </w:p>
              </w:tc>
              <w:tc>
                <w:tcPr>
                  <w:tcW w:w="438" w:type="pct"/>
                  <w:tcBorders>
                    <w:top w:val="single" w:color="auto" w:sz="4" w:space="0"/>
                    <w:left w:val="single" w:color="auto" w:sz="4" w:space="0"/>
                    <w:bottom w:val="single" w:color="auto" w:sz="4" w:space="0"/>
                    <w:right w:val="single" w:color="auto" w:sz="4" w:space="0"/>
                  </w:tcBorders>
                  <w:vAlign w:val="center"/>
                </w:tcPr>
                <w:p w14:paraId="32195673">
                  <w:pPr>
                    <w:pStyle w:val="20"/>
                  </w:pPr>
                  <w:r>
                    <w:t>417.29</w:t>
                  </w:r>
                </w:p>
              </w:tc>
              <w:tc>
                <w:tcPr>
                  <w:tcW w:w="435" w:type="pct"/>
                  <w:tcBorders>
                    <w:top w:val="single" w:color="auto" w:sz="4" w:space="0"/>
                    <w:left w:val="single" w:color="auto" w:sz="4" w:space="0"/>
                    <w:bottom w:val="single" w:color="auto" w:sz="4" w:space="0"/>
                    <w:right w:val="single" w:color="auto" w:sz="4" w:space="0"/>
                  </w:tcBorders>
                  <w:vAlign w:val="center"/>
                </w:tcPr>
                <w:p w14:paraId="40112D28">
                  <w:pPr>
                    <w:pStyle w:val="20"/>
                  </w:pPr>
                  <w:r>
                    <w:t>0.303</w:t>
                  </w:r>
                </w:p>
              </w:tc>
              <w:tc>
                <w:tcPr>
                  <w:tcW w:w="432" w:type="pct"/>
                  <w:tcBorders>
                    <w:top w:val="single" w:color="auto" w:sz="4" w:space="0"/>
                    <w:left w:val="single" w:color="auto" w:sz="4" w:space="0"/>
                    <w:bottom w:val="single" w:color="auto" w:sz="4" w:space="0"/>
                    <w:right w:val="single" w:color="auto" w:sz="4" w:space="0"/>
                  </w:tcBorders>
                  <w:vAlign w:val="center"/>
                </w:tcPr>
                <w:p w14:paraId="52FCBC2F">
                  <w:pPr>
                    <w:pStyle w:val="20"/>
                  </w:pPr>
                  <w:r>
                    <w:t>0.7273</w:t>
                  </w:r>
                </w:p>
              </w:tc>
              <w:tc>
                <w:tcPr>
                  <w:tcW w:w="441" w:type="pct"/>
                  <w:tcBorders>
                    <w:top w:val="single" w:color="auto" w:sz="4" w:space="0"/>
                    <w:left w:val="single" w:color="auto" w:sz="4" w:space="0"/>
                    <w:bottom w:val="single" w:color="auto" w:sz="4" w:space="0"/>
                    <w:right w:val="single" w:color="auto" w:sz="4" w:space="0"/>
                  </w:tcBorders>
                  <w:vAlign w:val="center"/>
                </w:tcPr>
                <w:p w14:paraId="7F10318C">
                  <w:pPr>
                    <w:pStyle w:val="20"/>
                  </w:pPr>
                  <w:r>
                    <w:t>1.9697</w:t>
                  </w:r>
                </w:p>
              </w:tc>
              <w:tc>
                <w:tcPr>
                  <w:tcW w:w="449" w:type="pct"/>
                  <w:tcBorders>
                    <w:top w:val="single" w:color="auto" w:sz="4" w:space="0"/>
                    <w:left w:val="single" w:color="auto" w:sz="4" w:space="0"/>
                    <w:bottom w:val="single" w:color="auto" w:sz="4" w:space="0"/>
                    <w:right w:val="single" w:color="auto" w:sz="4" w:space="0"/>
                  </w:tcBorders>
                  <w:vAlign w:val="center"/>
                </w:tcPr>
                <w:p w14:paraId="3E5BB592">
                  <w:pPr>
                    <w:pStyle w:val="20"/>
                  </w:pPr>
                  <w:r>
                    <w:t>117</w:t>
                  </w:r>
                </w:p>
              </w:tc>
            </w:tr>
            <w:tr w14:paraId="57A4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6AB4BD67">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546ACAEF">
                  <w:pPr>
                    <w:pStyle w:val="20"/>
                  </w:pPr>
                  <w:r>
                    <w:t>处理工艺</w:t>
                  </w:r>
                </w:p>
              </w:tc>
              <w:tc>
                <w:tcPr>
                  <w:tcW w:w="1298" w:type="pct"/>
                  <w:gridSpan w:val="3"/>
                  <w:tcBorders>
                    <w:top w:val="single" w:color="auto" w:sz="4" w:space="0"/>
                    <w:left w:val="single" w:color="auto" w:sz="4" w:space="0"/>
                    <w:bottom w:val="single" w:color="auto" w:sz="4" w:space="0"/>
                    <w:right w:val="single" w:color="auto" w:sz="4" w:space="0"/>
                  </w:tcBorders>
                  <w:vAlign w:val="center"/>
                </w:tcPr>
                <w:p w14:paraId="2F54D20B">
                  <w:pPr>
                    <w:pStyle w:val="20"/>
                  </w:pPr>
                  <w:r>
                    <w:t>/</w:t>
                  </w:r>
                </w:p>
              </w:tc>
              <w:tc>
                <w:tcPr>
                  <w:tcW w:w="457" w:type="pct"/>
                  <w:tcBorders>
                    <w:top w:val="single" w:color="auto" w:sz="4" w:space="0"/>
                    <w:left w:val="single" w:color="auto" w:sz="4" w:space="0"/>
                    <w:bottom w:val="single" w:color="auto" w:sz="4" w:space="0"/>
                    <w:right w:val="single" w:color="auto" w:sz="4" w:space="0"/>
                  </w:tcBorders>
                  <w:vAlign w:val="center"/>
                </w:tcPr>
                <w:p w14:paraId="56898C9A">
                  <w:pPr>
                    <w:pStyle w:val="20"/>
                  </w:pPr>
                  <w:r>
                    <w:t>“水喷淋+二级活性炭吸附”</w:t>
                  </w:r>
                </w:p>
              </w:tc>
              <w:tc>
                <w:tcPr>
                  <w:tcW w:w="438" w:type="pct"/>
                  <w:tcBorders>
                    <w:top w:val="single" w:color="auto" w:sz="4" w:space="0"/>
                    <w:left w:val="single" w:color="auto" w:sz="4" w:space="0"/>
                    <w:bottom w:val="single" w:color="auto" w:sz="4" w:space="0"/>
                    <w:right w:val="single" w:color="auto" w:sz="4" w:space="0"/>
                  </w:tcBorders>
                  <w:vAlign w:val="center"/>
                </w:tcPr>
                <w:p w14:paraId="07D779FF">
                  <w:pPr>
                    <w:pStyle w:val="20"/>
                  </w:pPr>
                  <w:r>
                    <w:t>滤筒式除尘器</w:t>
                  </w:r>
                </w:p>
              </w:tc>
              <w:tc>
                <w:tcPr>
                  <w:tcW w:w="1308" w:type="pct"/>
                  <w:gridSpan w:val="3"/>
                  <w:tcBorders>
                    <w:top w:val="single" w:color="auto" w:sz="4" w:space="0"/>
                    <w:left w:val="single" w:color="auto" w:sz="4" w:space="0"/>
                    <w:bottom w:val="single" w:color="auto" w:sz="4" w:space="0"/>
                    <w:right w:val="single" w:color="auto" w:sz="4" w:space="0"/>
                  </w:tcBorders>
                  <w:vAlign w:val="center"/>
                </w:tcPr>
                <w:p w14:paraId="73848762">
                  <w:pPr>
                    <w:pStyle w:val="20"/>
                  </w:pPr>
                  <w:r>
                    <w:t>/</w:t>
                  </w:r>
                </w:p>
              </w:tc>
              <w:tc>
                <w:tcPr>
                  <w:tcW w:w="449" w:type="pct"/>
                  <w:tcBorders>
                    <w:top w:val="single" w:color="auto" w:sz="4" w:space="0"/>
                    <w:left w:val="single" w:color="auto" w:sz="4" w:space="0"/>
                    <w:bottom w:val="single" w:color="auto" w:sz="4" w:space="0"/>
                    <w:right w:val="single" w:color="auto" w:sz="4" w:space="0"/>
                  </w:tcBorders>
                  <w:vAlign w:val="center"/>
                </w:tcPr>
                <w:p w14:paraId="3091937C">
                  <w:pPr>
                    <w:pStyle w:val="20"/>
                  </w:pPr>
                  <w:r>
                    <w:t>“水喷淋+二级活性炭吸附”</w:t>
                  </w:r>
                </w:p>
              </w:tc>
            </w:tr>
            <w:tr w14:paraId="26554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04390272">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6E1A1BE1">
                  <w:pPr>
                    <w:pStyle w:val="20"/>
                  </w:pPr>
                  <w:r>
                    <w:t>有组织排放高度/m</w:t>
                  </w:r>
                </w:p>
              </w:tc>
              <w:tc>
                <w:tcPr>
                  <w:tcW w:w="1755" w:type="pct"/>
                  <w:gridSpan w:val="4"/>
                  <w:tcBorders>
                    <w:top w:val="single" w:color="auto" w:sz="4" w:space="0"/>
                    <w:left w:val="single" w:color="auto" w:sz="4" w:space="0"/>
                    <w:bottom w:val="single" w:color="auto" w:sz="4" w:space="0"/>
                    <w:right w:val="single" w:color="auto" w:sz="4" w:space="0"/>
                  </w:tcBorders>
                  <w:vAlign w:val="center"/>
                </w:tcPr>
                <w:p w14:paraId="1F6597F1">
                  <w:pPr>
                    <w:pStyle w:val="20"/>
                  </w:pPr>
                  <w:r>
                    <w:t>15</w:t>
                  </w:r>
                </w:p>
              </w:tc>
              <w:tc>
                <w:tcPr>
                  <w:tcW w:w="438" w:type="pct"/>
                  <w:tcBorders>
                    <w:top w:val="single" w:color="auto" w:sz="4" w:space="0"/>
                    <w:left w:val="single" w:color="auto" w:sz="4" w:space="0"/>
                    <w:bottom w:val="single" w:color="auto" w:sz="4" w:space="0"/>
                    <w:right w:val="single" w:color="auto" w:sz="4" w:space="0"/>
                  </w:tcBorders>
                  <w:vAlign w:val="center"/>
                </w:tcPr>
                <w:p w14:paraId="70233795">
                  <w:pPr>
                    <w:pStyle w:val="20"/>
                  </w:pPr>
                  <w:r>
                    <w:t>15</w:t>
                  </w:r>
                </w:p>
              </w:tc>
              <w:tc>
                <w:tcPr>
                  <w:tcW w:w="1757" w:type="pct"/>
                  <w:gridSpan w:val="4"/>
                  <w:tcBorders>
                    <w:top w:val="single" w:color="auto" w:sz="4" w:space="0"/>
                    <w:left w:val="single" w:color="auto" w:sz="4" w:space="0"/>
                    <w:bottom w:val="single" w:color="auto" w:sz="4" w:space="0"/>
                    <w:right w:val="single" w:color="auto" w:sz="4" w:space="0"/>
                  </w:tcBorders>
                  <w:vAlign w:val="center"/>
                </w:tcPr>
                <w:p w14:paraId="7FD14F46">
                  <w:pPr>
                    <w:pStyle w:val="20"/>
                  </w:pPr>
                  <w:r>
                    <w:t>15</w:t>
                  </w:r>
                </w:p>
              </w:tc>
            </w:tr>
            <w:tr w14:paraId="3ACDA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74FA8FA9">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646AA29A">
                  <w:pPr>
                    <w:pStyle w:val="20"/>
                  </w:pPr>
                  <w:r>
                    <w:t>处理效率（%）</w:t>
                  </w:r>
                </w:p>
              </w:tc>
              <w:tc>
                <w:tcPr>
                  <w:tcW w:w="426" w:type="pct"/>
                  <w:tcBorders>
                    <w:top w:val="single" w:color="auto" w:sz="4" w:space="0"/>
                    <w:left w:val="single" w:color="auto" w:sz="4" w:space="0"/>
                    <w:bottom w:val="single" w:color="auto" w:sz="4" w:space="0"/>
                    <w:right w:val="single" w:color="auto" w:sz="4" w:space="0"/>
                  </w:tcBorders>
                  <w:vAlign w:val="center"/>
                </w:tcPr>
                <w:p w14:paraId="2F042FE2">
                  <w:pPr>
                    <w:pStyle w:val="20"/>
                  </w:pPr>
                  <w:r>
                    <w:t>/</w:t>
                  </w:r>
                </w:p>
              </w:tc>
              <w:tc>
                <w:tcPr>
                  <w:tcW w:w="434" w:type="pct"/>
                  <w:tcBorders>
                    <w:top w:val="single" w:color="auto" w:sz="4" w:space="0"/>
                    <w:left w:val="single" w:color="auto" w:sz="4" w:space="0"/>
                    <w:bottom w:val="single" w:color="auto" w:sz="4" w:space="0"/>
                    <w:right w:val="single" w:color="auto" w:sz="4" w:space="0"/>
                  </w:tcBorders>
                  <w:vAlign w:val="center"/>
                </w:tcPr>
                <w:p w14:paraId="56451224">
                  <w:pPr>
                    <w:pStyle w:val="20"/>
                  </w:pPr>
                  <w:r>
                    <w:t>/</w:t>
                  </w:r>
                </w:p>
              </w:tc>
              <w:tc>
                <w:tcPr>
                  <w:tcW w:w="438" w:type="pct"/>
                  <w:tcBorders>
                    <w:top w:val="single" w:color="auto" w:sz="4" w:space="0"/>
                    <w:left w:val="single" w:color="auto" w:sz="4" w:space="0"/>
                    <w:bottom w:val="single" w:color="auto" w:sz="4" w:space="0"/>
                    <w:right w:val="single" w:color="auto" w:sz="4" w:space="0"/>
                  </w:tcBorders>
                  <w:vAlign w:val="center"/>
                </w:tcPr>
                <w:p w14:paraId="4A540E3D">
                  <w:pPr>
                    <w:pStyle w:val="20"/>
                  </w:pPr>
                  <w:r>
                    <w:t>/</w:t>
                  </w:r>
                </w:p>
              </w:tc>
              <w:tc>
                <w:tcPr>
                  <w:tcW w:w="457" w:type="pct"/>
                  <w:tcBorders>
                    <w:top w:val="single" w:color="auto" w:sz="4" w:space="0"/>
                    <w:left w:val="single" w:color="auto" w:sz="4" w:space="0"/>
                    <w:bottom w:val="single" w:color="auto" w:sz="4" w:space="0"/>
                    <w:right w:val="single" w:color="auto" w:sz="4" w:space="0"/>
                  </w:tcBorders>
                  <w:vAlign w:val="center"/>
                </w:tcPr>
                <w:p w14:paraId="3A1B7E6D">
                  <w:pPr>
                    <w:pStyle w:val="20"/>
                  </w:pPr>
                  <w:r>
                    <w:t>80</w:t>
                  </w:r>
                </w:p>
              </w:tc>
              <w:tc>
                <w:tcPr>
                  <w:tcW w:w="438" w:type="pct"/>
                  <w:tcBorders>
                    <w:top w:val="single" w:color="auto" w:sz="4" w:space="0"/>
                    <w:left w:val="single" w:color="auto" w:sz="4" w:space="0"/>
                    <w:bottom w:val="single" w:color="auto" w:sz="4" w:space="0"/>
                    <w:right w:val="single" w:color="auto" w:sz="4" w:space="0"/>
                  </w:tcBorders>
                  <w:vAlign w:val="center"/>
                </w:tcPr>
                <w:p w14:paraId="2CE0C5CF">
                  <w:pPr>
                    <w:pStyle w:val="20"/>
                  </w:pPr>
                  <w:r>
                    <w:t>95</w:t>
                  </w:r>
                </w:p>
              </w:tc>
              <w:tc>
                <w:tcPr>
                  <w:tcW w:w="435" w:type="pct"/>
                  <w:tcBorders>
                    <w:top w:val="single" w:color="auto" w:sz="4" w:space="0"/>
                    <w:left w:val="single" w:color="auto" w:sz="4" w:space="0"/>
                    <w:bottom w:val="single" w:color="auto" w:sz="4" w:space="0"/>
                    <w:right w:val="single" w:color="auto" w:sz="4" w:space="0"/>
                  </w:tcBorders>
                  <w:vAlign w:val="center"/>
                </w:tcPr>
                <w:p w14:paraId="661A4885">
                  <w:pPr>
                    <w:pStyle w:val="20"/>
                  </w:pPr>
                  <w:r>
                    <w:t>/</w:t>
                  </w:r>
                </w:p>
              </w:tc>
              <w:tc>
                <w:tcPr>
                  <w:tcW w:w="432" w:type="pct"/>
                  <w:tcBorders>
                    <w:top w:val="single" w:color="auto" w:sz="4" w:space="0"/>
                    <w:left w:val="single" w:color="auto" w:sz="4" w:space="0"/>
                    <w:bottom w:val="single" w:color="auto" w:sz="4" w:space="0"/>
                    <w:right w:val="single" w:color="auto" w:sz="4" w:space="0"/>
                  </w:tcBorders>
                  <w:vAlign w:val="center"/>
                </w:tcPr>
                <w:p w14:paraId="226178DA">
                  <w:pPr>
                    <w:pStyle w:val="20"/>
                  </w:pPr>
                  <w:r>
                    <w:t>/</w:t>
                  </w:r>
                </w:p>
              </w:tc>
              <w:tc>
                <w:tcPr>
                  <w:tcW w:w="441" w:type="pct"/>
                  <w:tcBorders>
                    <w:top w:val="single" w:color="auto" w:sz="4" w:space="0"/>
                    <w:left w:val="single" w:color="auto" w:sz="4" w:space="0"/>
                    <w:bottom w:val="single" w:color="auto" w:sz="4" w:space="0"/>
                    <w:right w:val="single" w:color="auto" w:sz="4" w:space="0"/>
                  </w:tcBorders>
                  <w:vAlign w:val="center"/>
                </w:tcPr>
                <w:p w14:paraId="559E2C96">
                  <w:pPr>
                    <w:pStyle w:val="20"/>
                  </w:pPr>
                  <w:r>
                    <w:t>/</w:t>
                  </w:r>
                </w:p>
              </w:tc>
              <w:tc>
                <w:tcPr>
                  <w:tcW w:w="449" w:type="pct"/>
                  <w:tcBorders>
                    <w:top w:val="single" w:color="auto" w:sz="4" w:space="0"/>
                    <w:left w:val="single" w:color="auto" w:sz="4" w:space="0"/>
                    <w:bottom w:val="single" w:color="auto" w:sz="4" w:space="0"/>
                    <w:right w:val="single" w:color="auto" w:sz="4" w:space="0"/>
                  </w:tcBorders>
                  <w:vAlign w:val="center"/>
                </w:tcPr>
                <w:p w14:paraId="1A3D3EC4">
                  <w:pPr>
                    <w:pStyle w:val="20"/>
                  </w:pPr>
                  <w:r>
                    <w:t>80</w:t>
                  </w:r>
                </w:p>
              </w:tc>
            </w:tr>
            <w:tr w14:paraId="24EEF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4D3945FE">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5E3C82D8">
                  <w:pPr>
                    <w:pStyle w:val="20"/>
                  </w:pPr>
                  <w:r>
                    <w:t>排放量（t/a）</w:t>
                  </w:r>
                </w:p>
              </w:tc>
              <w:tc>
                <w:tcPr>
                  <w:tcW w:w="426" w:type="pct"/>
                  <w:tcBorders>
                    <w:top w:val="single" w:color="auto" w:sz="4" w:space="0"/>
                    <w:left w:val="single" w:color="auto" w:sz="4" w:space="0"/>
                    <w:bottom w:val="single" w:color="auto" w:sz="4" w:space="0"/>
                    <w:right w:val="single" w:color="auto" w:sz="4" w:space="0"/>
                  </w:tcBorders>
                  <w:vAlign w:val="center"/>
                </w:tcPr>
                <w:p w14:paraId="0634E624">
                  <w:pPr>
                    <w:pStyle w:val="20"/>
                  </w:pPr>
                  <w:r>
                    <w:t>0.0047</w:t>
                  </w:r>
                </w:p>
              </w:tc>
              <w:tc>
                <w:tcPr>
                  <w:tcW w:w="434" w:type="pct"/>
                  <w:tcBorders>
                    <w:top w:val="single" w:color="auto" w:sz="4" w:space="0"/>
                    <w:left w:val="single" w:color="auto" w:sz="4" w:space="0"/>
                    <w:bottom w:val="single" w:color="auto" w:sz="4" w:space="0"/>
                    <w:right w:val="single" w:color="auto" w:sz="4" w:space="0"/>
                  </w:tcBorders>
                  <w:vAlign w:val="center"/>
                </w:tcPr>
                <w:p w14:paraId="0BD5A8A5">
                  <w:pPr>
                    <w:pStyle w:val="20"/>
                  </w:pPr>
                  <w:r>
                    <w:t>0.0114</w:t>
                  </w:r>
                </w:p>
              </w:tc>
              <w:tc>
                <w:tcPr>
                  <w:tcW w:w="438" w:type="pct"/>
                  <w:tcBorders>
                    <w:top w:val="single" w:color="auto" w:sz="4" w:space="0"/>
                    <w:left w:val="single" w:color="auto" w:sz="4" w:space="0"/>
                    <w:bottom w:val="single" w:color="auto" w:sz="4" w:space="0"/>
                    <w:right w:val="single" w:color="auto" w:sz="4" w:space="0"/>
                  </w:tcBorders>
                  <w:vAlign w:val="center"/>
                </w:tcPr>
                <w:p w14:paraId="360CFC27">
                  <w:pPr>
                    <w:pStyle w:val="20"/>
                  </w:pPr>
                  <w:r>
                    <w:t>0.031</w:t>
                  </w:r>
                </w:p>
              </w:tc>
              <w:tc>
                <w:tcPr>
                  <w:tcW w:w="457" w:type="pct"/>
                  <w:tcBorders>
                    <w:top w:val="single" w:color="auto" w:sz="4" w:space="0"/>
                    <w:left w:val="single" w:color="auto" w:sz="4" w:space="0"/>
                    <w:bottom w:val="single" w:color="auto" w:sz="4" w:space="0"/>
                    <w:right w:val="single" w:color="auto" w:sz="4" w:space="0"/>
                  </w:tcBorders>
                  <w:vAlign w:val="center"/>
                </w:tcPr>
                <w:p w14:paraId="61105AC8">
                  <w:pPr>
                    <w:pStyle w:val="20"/>
                  </w:pPr>
                  <w:r>
                    <w:t>0.0218</w:t>
                  </w:r>
                </w:p>
              </w:tc>
              <w:tc>
                <w:tcPr>
                  <w:tcW w:w="438" w:type="pct"/>
                  <w:tcBorders>
                    <w:top w:val="single" w:color="auto" w:sz="4" w:space="0"/>
                    <w:left w:val="single" w:color="auto" w:sz="4" w:space="0"/>
                    <w:bottom w:val="single" w:color="auto" w:sz="4" w:space="0"/>
                    <w:right w:val="single" w:color="auto" w:sz="4" w:space="0"/>
                  </w:tcBorders>
                  <w:vAlign w:val="center"/>
                </w:tcPr>
                <w:p w14:paraId="3CE13399">
                  <w:pPr>
                    <w:pStyle w:val="20"/>
                  </w:pPr>
                  <w:r>
                    <w:t>1.903</w:t>
                  </w:r>
                </w:p>
              </w:tc>
              <w:tc>
                <w:tcPr>
                  <w:tcW w:w="435" w:type="pct"/>
                  <w:tcBorders>
                    <w:top w:val="single" w:color="auto" w:sz="4" w:space="0"/>
                    <w:left w:val="single" w:color="auto" w:sz="4" w:space="0"/>
                    <w:bottom w:val="single" w:color="auto" w:sz="4" w:space="0"/>
                    <w:right w:val="single" w:color="auto" w:sz="4" w:space="0"/>
                  </w:tcBorders>
                  <w:vAlign w:val="center"/>
                </w:tcPr>
                <w:p w14:paraId="520CBD82">
                  <w:pPr>
                    <w:pStyle w:val="20"/>
                  </w:pPr>
                  <w:r>
                    <w:t>0.0047</w:t>
                  </w:r>
                </w:p>
              </w:tc>
              <w:tc>
                <w:tcPr>
                  <w:tcW w:w="432" w:type="pct"/>
                  <w:tcBorders>
                    <w:top w:val="single" w:color="auto" w:sz="4" w:space="0"/>
                    <w:left w:val="single" w:color="auto" w:sz="4" w:space="0"/>
                    <w:bottom w:val="single" w:color="auto" w:sz="4" w:space="0"/>
                    <w:right w:val="single" w:color="auto" w:sz="4" w:space="0"/>
                  </w:tcBorders>
                  <w:vAlign w:val="center"/>
                </w:tcPr>
                <w:p w14:paraId="3CCFAB78">
                  <w:pPr>
                    <w:pStyle w:val="20"/>
                  </w:pPr>
                  <w:r>
                    <w:t>0.0114</w:t>
                  </w:r>
                </w:p>
              </w:tc>
              <w:tc>
                <w:tcPr>
                  <w:tcW w:w="441" w:type="pct"/>
                  <w:tcBorders>
                    <w:top w:val="single" w:color="auto" w:sz="4" w:space="0"/>
                    <w:left w:val="single" w:color="auto" w:sz="4" w:space="0"/>
                    <w:bottom w:val="single" w:color="auto" w:sz="4" w:space="0"/>
                    <w:right w:val="single" w:color="auto" w:sz="4" w:space="0"/>
                  </w:tcBorders>
                  <w:vAlign w:val="center"/>
                </w:tcPr>
                <w:p w14:paraId="6A648228">
                  <w:pPr>
                    <w:pStyle w:val="20"/>
                  </w:pPr>
                  <w:r>
                    <w:t>0.031</w:t>
                  </w:r>
                </w:p>
              </w:tc>
              <w:tc>
                <w:tcPr>
                  <w:tcW w:w="449" w:type="pct"/>
                  <w:tcBorders>
                    <w:top w:val="single" w:color="auto" w:sz="4" w:space="0"/>
                    <w:left w:val="single" w:color="auto" w:sz="4" w:space="0"/>
                    <w:bottom w:val="single" w:color="auto" w:sz="4" w:space="0"/>
                    <w:right w:val="single" w:color="auto" w:sz="4" w:space="0"/>
                  </w:tcBorders>
                  <w:vAlign w:val="center"/>
                </w:tcPr>
                <w:p w14:paraId="6C8C333E">
                  <w:pPr>
                    <w:pStyle w:val="20"/>
                  </w:pPr>
                  <w:r>
                    <w:t>0.3348</w:t>
                  </w:r>
                </w:p>
              </w:tc>
            </w:tr>
            <w:tr w14:paraId="501CC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61277C25">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398ADB43">
                  <w:pPr>
                    <w:pStyle w:val="20"/>
                  </w:pPr>
                  <w:r>
                    <w:t>排放速率（kg/h）</w:t>
                  </w:r>
                </w:p>
              </w:tc>
              <w:tc>
                <w:tcPr>
                  <w:tcW w:w="426" w:type="pct"/>
                  <w:tcBorders>
                    <w:top w:val="single" w:color="auto" w:sz="4" w:space="0"/>
                    <w:left w:val="single" w:color="auto" w:sz="4" w:space="0"/>
                    <w:bottom w:val="single" w:color="auto" w:sz="4" w:space="0"/>
                    <w:right w:val="single" w:color="auto" w:sz="4" w:space="0"/>
                  </w:tcBorders>
                  <w:vAlign w:val="center"/>
                </w:tcPr>
                <w:p w14:paraId="2FC8C81F">
                  <w:pPr>
                    <w:pStyle w:val="20"/>
                  </w:pPr>
                  <w:r>
                    <w:t>0.001</w:t>
                  </w:r>
                </w:p>
              </w:tc>
              <w:tc>
                <w:tcPr>
                  <w:tcW w:w="434" w:type="pct"/>
                  <w:tcBorders>
                    <w:top w:val="single" w:color="auto" w:sz="4" w:space="0"/>
                    <w:left w:val="single" w:color="auto" w:sz="4" w:space="0"/>
                    <w:bottom w:val="single" w:color="auto" w:sz="4" w:space="0"/>
                    <w:right w:val="single" w:color="auto" w:sz="4" w:space="0"/>
                  </w:tcBorders>
                  <w:vAlign w:val="center"/>
                </w:tcPr>
                <w:p w14:paraId="61F4B3BA">
                  <w:pPr>
                    <w:pStyle w:val="20"/>
                  </w:pPr>
                  <w:r>
                    <w:t>0.0024</w:t>
                  </w:r>
                </w:p>
              </w:tc>
              <w:tc>
                <w:tcPr>
                  <w:tcW w:w="438" w:type="pct"/>
                  <w:tcBorders>
                    <w:top w:val="single" w:color="auto" w:sz="4" w:space="0"/>
                    <w:left w:val="single" w:color="auto" w:sz="4" w:space="0"/>
                    <w:bottom w:val="single" w:color="auto" w:sz="4" w:space="0"/>
                    <w:right w:val="single" w:color="auto" w:sz="4" w:space="0"/>
                  </w:tcBorders>
                  <w:vAlign w:val="center"/>
                </w:tcPr>
                <w:p w14:paraId="173CB002">
                  <w:pPr>
                    <w:pStyle w:val="20"/>
                  </w:pPr>
                  <w:r>
                    <w:t>0.0065</w:t>
                  </w:r>
                </w:p>
              </w:tc>
              <w:tc>
                <w:tcPr>
                  <w:tcW w:w="457" w:type="pct"/>
                  <w:tcBorders>
                    <w:top w:val="single" w:color="auto" w:sz="4" w:space="0"/>
                    <w:left w:val="single" w:color="auto" w:sz="4" w:space="0"/>
                    <w:bottom w:val="single" w:color="auto" w:sz="4" w:space="0"/>
                    <w:right w:val="single" w:color="auto" w:sz="4" w:space="0"/>
                  </w:tcBorders>
                  <w:vAlign w:val="center"/>
                </w:tcPr>
                <w:p w14:paraId="054A7DB3">
                  <w:pPr>
                    <w:pStyle w:val="20"/>
                  </w:pPr>
                  <w:r>
                    <w:t>0.0045</w:t>
                  </w:r>
                </w:p>
              </w:tc>
              <w:tc>
                <w:tcPr>
                  <w:tcW w:w="438" w:type="pct"/>
                  <w:tcBorders>
                    <w:top w:val="single" w:color="auto" w:sz="4" w:space="0"/>
                    <w:left w:val="single" w:color="auto" w:sz="4" w:space="0"/>
                    <w:bottom w:val="single" w:color="auto" w:sz="4" w:space="0"/>
                    <w:right w:val="single" w:color="auto" w:sz="4" w:space="0"/>
                  </w:tcBorders>
                  <w:vAlign w:val="center"/>
                </w:tcPr>
                <w:p w14:paraId="47991159">
                  <w:pPr>
                    <w:pStyle w:val="20"/>
                  </w:pPr>
                  <w:r>
                    <w:t>0.3964</w:t>
                  </w:r>
                </w:p>
              </w:tc>
              <w:tc>
                <w:tcPr>
                  <w:tcW w:w="435" w:type="pct"/>
                  <w:tcBorders>
                    <w:top w:val="single" w:color="auto" w:sz="4" w:space="0"/>
                    <w:left w:val="single" w:color="auto" w:sz="4" w:space="0"/>
                    <w:bottom w:val="single" w:color="auto" w:sz="4" w:space="0"/>
                    <w:right w:val="single" w:color="auto" w:sz="4" w:space="0"/>
                  </w:tcBorders>
                  <w:vAlign w:val="center"/>
                </w:tcPr>
                <w:p w14:paraId="00D9ACA7">
                  <w:pPr>
                    <w:pStyle w:val="20"/>
                  </w:pPr>
                  <w:r>
                    <w:t>0.001</w:t>
                  </w:r>
                </w:p>
              </w:tc>
              <w:tc>
                <w:tcPr>
                  <w:tcW w:w="432" w:type="pct"/>
                  <w:tcBorders>
                    <w:top w:val="single" w:color="auto" w:sz="4" w:space="0"/>
                    <w:left w:val="single" w:color="auto" w:sz="4" w:space="0"/>
                    <w:bottom w:val="single" w:color="auto" w:sz="4" w:space="0"/>
                    <w:right w:val="single" w:color="auto" w:sz="4" w:space="0"/>
                  </w:tcBorders>
                  <w:vAlign w:val="center"/>
                </w:tcPr>
                <w:p w14:paraId="24670FB0">
                  <w:pPr>
                    <w:pStyle w:val="20"/>
                  </w:pPr>
                  <w:r>
                    <w:t>0.0024</w:t>
                  </w:r>
                </w:p>
              </w:tc>
              <w:tc>
                <w:tcPr>
                  <w:tcW w:w="441" w:type="pct"/>
                  <w:tcBorders>
                    <w:top w:val="single" w:color="auto" w:sz="4" w:space="0"/>
                    <w:left w:val="single" w:color="auto" w:sz="4" w:space="0"/>
                    <w:bottom w:val="single" w:color="auto" w:sz="4" w:space="0"/>
                    <w:right w:val="single" w:color="auto" w:sz="4" w:space="0"/>
                  </w:tcBorders>
                  <w:vAlign w:val="center"/>
                </w:tcPr>
                <w:p w14:paraId="066A7CF6">
                  <w:pPr>
                    <w:pStyle w:val="20"/>
                  </w:pPr>
                  <w:r>
                    <w:t>0.0065</w:t>
                  </w:r>
                </w:p>
              </w:tc>
              <w:tc>
                <w:tcPr>
                  <w:tcW w:w="449" w:type="pct"/>
                  <w:tcBorders>
                    <w:top w:val="single" w:color="auto" w:sz="4" w:space="0"/>
                    <w:left w:val="single" w:color="auto" w:sz="4" w:space="0"/>
                    <w:bottom w:val="single" w:color="auto" w:sz="4" w:space="0"/>
                    <w:right w:val="single" w:color="auto" w:sz="4" w:space="0"/>
                  </w:tcBorders>
                  <w:vAlign w:val="center"/>
                </w:tcPr>
                <w:p w14:paraId="58A61D4F">
                  <w:pPr>
                    <w:pStyle w:val="20"/>
                  </w:pPr>
                  <w:r>
                    <w:t>0.0697</w:t>
                  </w:r>
                </w:p>
              </w:tc>
            </w:tr>
            <w:tr w14:paraId="627A1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531ED3C7">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5D436E81">
                  <w:pPr>
                    <w:pStyle w:val="20"/>
                  </w:pPr>
                  <w:r>
                    <w:t>排放浓度（mg/m</w:t>
                  </w:r>
                  <w:r>
                    <w:rPr>
                      <w:vertAlign w:val="superscript"/>
                    </w:rPr>
                    <w:t>3</w:t>
                  </w:r>
                  <w:r>
                    <w:t>）</w:t>
                  </w:r>
                </w:p>
              </w:tc>
              <w:tc>
                <w:tcPr>
                  <w:tcW w:w="426" w:type="pct"/>
                  <w:tcBorders>
                    <w:top w:val="single" w:color="auto" w:sz="4" w:space="0"/>
                    <w:left w:val="single" w:color="auto" w:sz="4" w:space="0"/>
                    <w:bottom w:val="single" w:color="auto" w:sz="4" w:space="0"/>
                    <w:right w:val="single" w:color="auto" w:sz="4" w:space="0"/>
                  </w:tcBorders>
                  <w:vAlign w:val="center"/>
                </w:tcPr>
                <w:p w14:paraId="292101EC">
                  <w:pPr>
                    <w:pStyle w:val="20"/>
                  </w:pPr>
                  <w:r>
                    <w:t>0.303</w:t>
                  </w:r>
                </w:p>
              </w:tc>
              <w:tc>
                <w:tcPr>
                  <w:tcW w:w="434" w:type="pct"/>
                  <w:tcBorders>
                    <w:top w:val="single" w:color="auto" w:sz="4" w:space="0"/>
                    <w:left w:val="single" w:color="auto" w:sz="4" w:space="0"/>
                    <w:bottom w:val="single" w:color="auto" w:sz="4" w:space="0"/>
                    <w:right w:val="single" w:color="auto" w:sz="4" w:space="0"/>
                  </w:tcBorders>
                  <w:vAlign w:val="center"/>
                </w:tcPr>
                <w:p w14:paraId="75D18D2C">
                  <w:pPr>
                    <w:pStyle w:val="20"/>
                  </w:pPr>
                  <w:r>
                    <w:t>0.7273</w:t>
                  </w:r>
                </w:p>
              </w:tc>
              <w:tc>
                <w:tcPr>
                  <w:tcW w:w="438" w:type="pct"/>
                  <w:tcBorders>
                    <w:top w:val="single" w:color="auto" w:sz="4" w:space="0"/>
                    <w:left w:val="single" w:color="auto" w:sz="4" w:space="0"/>
                    <w:bottom w:val="single" w:color="auto" w:sz="4" w:space="0"/>
                    <w:right w:val="single" w:color="auto" w:sz="4" w:space="0"/>
                  </w:tcBorders>
                  <w:vAlign w:val="center"/>
                </w:tcPr>
                <w:p w14:paraId="687DEEED">
                  <w:pPr>
                    <w:pStyle w:val="20"/>
                  </w:pPr>
                  <w:r>
                    <w:t>1.9697</w:t>
                  </w:r>
                </w:p>
              </w:tc>
              <w:tc>
                <w:tcPr>
                  <w:tcW w:w="457" w:type="pct"/>
                  <w:tcBorders>
                    <w:top w:val="single" w:color="auto" w:sz="4" w:space="0"/>
                    <w:left w:val="single" w:color="auto" w:sz="4" w:space="0"/>
                    <w:bottom w:val="single" w:color="auto" w:sz="4" w:space="0"/>
                    <w:right w:val="single" w:color="auto" w:sz="4" w:space="0"/>
                  </w:tcBorders>
                  <w:vAlign w:val="center"/>
                </w:tcPr>
                <w:p w14:paraId="69D108C7">
                  <w:pPr>
                    <w:pStyle w:val="20"/>
                  </w:pPr>
                  <w:r>
                    <w:t>1.3636</w:t>
                  </w:r>
                </w:p>
              </w:tc>
              <w:tc>
                <w:tcPr>
                  <w:tcW w:w="438" w:type="pct"/>
                  <w:tcBorders>
                    <w:top w:val="single" w:color="auto" w:sz="4" w:space="0"/>
                    <w:left w:val="single" w:color="auto" w:sz="4" w:space="0"/>
                    <w:bottom w:val="single" w:color="auto" w:sz="4" w:space="0"/>
                    <w:right w:val="single" w:color="auto" w:sz="4" w:space="0"/>
                  </w:tcBorders>
                  <w:vAlign w:val="center"/>
                </w:tcPr>
                <w:p w14:paraId="7DDA1440">
                  <w:pPr>
                    <w:pStyle w:val="20"/>
                  </w:pPr>
                  <w:r>
                    <w:t>19.82</w:t>
                  </w:r>
                </w:p>
              </w:tc>
              <w:tc>
                <w:tcPr>
                  <w:tcW w:w="435" w:type="pct"/>
                  <w:tcBorders>
                    <w:top w:val="single" w:color="auto" w:sz="4" w:space="0"/>
                    <w:left w:val="single" w:color="auto" w:sz="4" w:space="0"/>
                    <w:bottom w:val="single" w:color="auto" w:sz="4" w:space="0"/>
                    <w:right w:val="single" w:color="auto" w:sz="4" w:space="0"/>
                  </w:tcBorders>
                  <w:vAlign w:val="center"/>
                </w:tcPr>
                <w:p w14:paraId="5709C029">
                  <w:pPr>
                    <w:pStyle w:val="20"/>
                  </w:pPr>
                  <w:r>
                    <w:t>0.303</w:t>
                  </w:r>
                </w:p>
              </w:tc>
              <w:tc>
                <w:tcPr>
                  <w:tcW w:w="432" w:type="pct"/>
                  <w:tcBorders>
                    <w:top w:val="single" w:color="auto" w:sz="4" w:space="0"/>
                    <w:left w:val="single" w:color="auto" w:sz="4" w:space="0"/>
                    <w:bottom w:val="single" w:color="auto" w:sz="4" w:space="0"/>
                    <w:right w:val="single" w:color="auto" w:sz="4" w:space="0"/>
                  </w:tcBorders>
                  <w:vAlign w:val="center"/>
                </w:tcPr>
                <w:p w14:paraId="67F1ECCF">
                  <w:pPr>
                    <w:pStyle w:val="20"/>
                  </w:pPr>
                  <w:r>
                    <w:t>0.7273</w:t>
                  </w:r>
                </w:p>
              </w:tc>
              <w:tc>
                <w:tcPr>
                  <w:tcW w:w="441" w:type="pct"/>
                  <w:tcBorders>
                    <w:top w:val="single" w:color="auto" w:sz="4" w:space="0"/>
                    <w:left w:val="single" w:color="auto" w:sz="4" w:space="0"/>
                    <w:bottom w:val="single" w:color="auto" w:sz="4" w:space="0"/>
                    <w:right w:val="single" w:color="auto" w:sz="4" w:space="0"/>
                  </w:tcBorders>
                  <w:vAlign w:val="center"/>
                </w:tcPr>
                <w:p w14:paraId="4D8868B4">
                  <w:pPr>
                    <w:pStyle w:val="20"/>
                  </w:pPr>
                  <w:r>
                    <w:t>1.9697</w:t>
                  </w:r>
                </w:p>
              </w:tc>
              <w:tc>
                <w:tcPr>
                  <w:tcW w:w="449" w:type="pct"/>
                  <w:tcBorders>
                    <w:top w:val="single" w:color="auto" w:sz="4" w:space="0"/>
                    <w:left w:val="single" w:color="auto" w:sz="4" w:space="0"/>
                    <w:bottom w:val="single" w:color="auto" w:sz="4" w:space="0"/>
                    <w:right w:val="single" w:color="auto" w:sz="4" w:space="0"/>
                  </w:tcBorders>
                  <w:vAlign w:val="center"/>
                </w:tcPr>
                <w:p w14:paraId="5D2CAA5E">
                  <w:pPr>
                    <w:pStyle w:val="20"/>
                  </w:pPr>
                  <w:r>
                    <w:t>21.12</w:t>
                  </w:r>
                </w:p>
              </w:tc>
            </w:tr>
            <w:tr w14:paraId="03385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restart"/>
                  <w:tcBorders>
                    <w:top w:val="single" w:color="auto" w:sz="4" w:space="0"/>
                    <w:left w:val="single" w:color="auto" w:sz="4" w:space="0"/>
                    <w:bottom w:val="single" w:color="auto" w:sz="4" w:space="0"/>
                    <w:right w:val="single" w:color="auto" w:sz="4" w:space="0"/>
                  </w:tcBorders>
                  <w:vAlign w:val="center"/>
                </w:tcPr>
                <w:p w14:paraId="7C35475F">
                  <w:pPr>
                    <w:pStyle w:val="20"/>
                  </w:pPr>
                  <w:r>
                    <w:t>无组织</w:t>
                  </w:r>
                </w:p>
              </w:tc>
              <w:tc>
                <w:tcPr>
                  <w:tcW w:w="780" w:type="pct"/>
                  <w:tcBorders>
                    <w:top w:val="single" w:color="auto" w:sz="4" w:space="0"/>
                    <w:left w:val="single" w:color="auto" w:sz="4" w:space="0"/>
                    <w:bottom w:val="single" w:color="auto" w:sz="4" w:space="0"/>
                    <w:right w:val="single" w:color="auto" w:sz="4" w:space="0"/>
                  </w:tcBorders>
                  <w:vAlign w:val="center"/>
                </w:tcPr>
                <w:p w14:paraId="44E28CED">
                  <w:pPr>
                    <w:pStyle w:val="20"/>
                  </w:pPr>
                  <w:r>
                    <w:t>排放量（t/a）</w:t>
                  </w:r>
                </w:p>
              </w:tc>
              <w:tc>
                <w:tcPr>
                  <w:tcW w:w="426" w:type="pct"/>
                  <w:tcBorders>
                    <w:top w:val="single" w:color="auto" w:sz="4" w:space="0"/>
                    <w:left w:val="single" w:color="auto" w:sz="4" w:space="0"/>
                    <w:bottom w:val="single" w:color="auto" w:sz="4" w:space="0"/>
                    <w:right w:val="single" w:color="auto" w:sz="4" w:space="0"/>
                  </w:tcBorders>
                  <w:vAlign w:val="center"/>
                </w:tcPr>
                <w:p w14:paraId="0587BD5A">
                  <w:pPr>
                    <w:pStyle w:val="20"/>
                  </w:pPr>
                  <w:r>
                    <w:t>/</w:t>
                  </w:r>
                </w:p>
              </w:tc>
              <w:tc>
                <w:tcPr>
                  <w:tcW w:w="434" w:type="pct"/>
                  <w:tcBorders>
                    <w:top w:val="single" w:color="auto" w:sz="4" w:space="0"/>
                    <w:left w:val="single" w:color="auto" w:sz="4" w:space="0"/>
                    <w:bottom w:val="single" w:color="auto" w:sz="4" w:space="0"/>
                    <w:right w:val="single" w:color="auto" w:sz="4" w:space="0"/>
                  </w:tcBorders>
                  <w:vAlign w:val="center"/>
                </w:tcPr>
                <w:p w14:paraId="30076EE9">
                  <w:pPr>
                    <w:pStyle w:val="20"/>
                  </w:pPr>
                  <w:r>
                    <w:t>/</w:t>
                  </w:r>
                </w:p>
              </w:tc>
              <w:tc>
                <w:tcPr>
                  <w:tcW w:w="438" w:type="pct"/>
                  <w:tcBorders>
                    <w:top w:val="single" w:color="auto" w:sz="4" w:space="0"/>
                    <w:left w:val="single" w:color="auto" w:sz="4" w:space="0"/>
                    <w:bottom w:val="single" w:color="auto" w:sz="4" w:space="0"/>
                    <w:right w:val="single" w:color="auto" w:sz="4" w:space="0"/>
                  </w:tcBorders>
                  <w:vAlign w:val="center"/>
                </w:tcPr>
                <w:p w14:paraId="7693CB40">
                  <w:pPr>
                    <w:pStyle w:val="20"/>
                  </w:pPr>
                  <w:r>
                    <w:t>/</w:t>
                  </w:r>
                </w:p>
              </w:tc>
              <w:tc>
                <w:tcPr>
                  <w:tcW w:w="457" w:type="pct"/>
                  <w:tcBorders>
                    <w:top w:val="single" w:color="auto" w:sz="4" w:space="0"/>
                    <w:left w:val="single" w:color="auto" w:sz="4" w:space="0"/>
                    <w:bottom w:val="single" w:color="auto" w:sz="4" w:space="0"/>
                    <w:right w:val="single" w:color="auto" w:sz="4" w:space="0"/>
                  </w:tcBorders>
                  <w:vAlign w:val="center"/>
                </w:tcPr>
                <w:p w14:paraId="1C9F1712">
                  <w:pPr>
                    <w:pStyle w:val="20"/>
                  </w:pPr>
                  <w:r>
                    <w:t>0.0121</w:t>
                  </w:r>
                </w:p>
              </w:tc>
              <w:tc>
                <w:tcPr>
                  <w:tcW w:w="438" w:type="pct"/>
                  <w:tcBorders>
                    <w:top w:val="single" w:color="auto" w:sz="4" w:space="0"/>
                    <w:left w:val="single" w:color="auto" w:sz="4" w:space="0"/>
                    <w:bottom w:val="single" w:color="auto" w:sz="4" w:space="0"/>
                    <w:right w:val="single" w:color="auto" w:sz="4" w:space="0"/>
                  </w:tcBorders>
                  <w:vAlign w:val="center"/>
                </w:tcPr>
                <w:p w14:paraId="27A25044">
                  <w:pPr>
                    <w:pStyle w:val="20"/>
                  </w:pPr>
                  <w:r>
                    <w:t>2.003</w:t>
                  </w:r>
                </w:p>
              </w:tc>
              <w:tc>
                <w:tcPr>
                  <w:tcW w:w="435" w:type="pct"/>
                  <w:tcBorders>
                    <w:top w:val="single" w:color="auto" w:sz="4" w:space="0"/>
                    <w:left w:val="single" w:color="auto" w:sz="4" w:space="0"/>
                    <w:bottom w:val="single" w:color="auto" w:sz="4" w:space="0"/>
                    <w:right w:val="single" w:color="auto" w:sz="4" w:space="0"/>
                  </w:tcBorders>
                  <w:vAlign w:val="center"/>
                </w:tcPr>
                <w:p w14:paraId="70DAA5AC">
                  <w:pPr>
                    <w:pStyle w:val="20"/>
                  </w:pPr>
                  <w:r>
                    <w:t>/</w:t>
                  </w:r>
                </w:p>
              </w:tc>
              <w:tc>
                <w:tcPr>
                  <w:tcW w:w="432" w:type="pct"/>
                  <w:tcBorders>
                    <w:top w:val="single" w:color="auto" w:sz="4" w:space="0"/>
                    <w:left w:val="single" w:color="auto" w:sz="4" w:space="0"/>
                    <w:bottom w:val="single" w:color="auto" w:sz="4" w:space="0"/>
                    <w:right w:val="single" w:color="auto" w:sz="4" w:space="0"/>
                  </w:tcBorders>
                  <w:vAlign w:val="center"/>
                </w:tcPr>
                <w:p w14:paraId="05EE0262">
                  <w:pPr>
                    <w:pStyle w:val="20"/>
                  </w:pPr>
                  <w:r>
                    <w:t>/</w:t>
                  </w:r>
                </w:p>
              </w:tc>
              <w:tc>
                <w:tcPr>
                  <w:tcW w:w="441" w:type="pct"/>
                  <w:tcBorders>
                    <w:top w:val="single" w:color="auto" w:sz="4" w:space="0"/>
                    <w:left w:val="single" w:color="auto" w:sz="4" w:space="0"/>
                    <w:bottom w:val="single" w:color="auto" w:sz="4" w:space="0"/>
                    <w:right w:val="single" w:color="auto" w:sz="4" w:space="0"/>
                  </w:tcBorders>
                  <w:vAlign w:val="center"/>
                </w:tcPr>
                <w:p w14:paraId="376153C3">
                  <w:pPr>
                    <w:pStyle w:val="20"/>
                  </w:pPr>
                  <w:r>
                    <w:t>/</w:t>
                  </w:r>
                </w:p>
              </w:tc>
              <w:tc>
                <w:tcPr>
                  <w:tcW w:w="449" w:type="pct"/>
                  <w:tcBorders>
                    <w:top w:val="single" w:color="auto" w:sz="4" w:space="0"/>
                    <w:left w:val="single" w:color="auto" w:sz="4" w:space="0"/>
                    <w:bottom w:val="single" w:color="auto" w:sz="4" w:space="0"/>
                    <w:right w:val="single" w:color="auto" w:sz="4" w:space="0"/>
                  </w:tcBorders>
                  <w:vAlign w:val="center"/>
                </w:tcPr>
                <w:p w14:paraId="4DD71BF3">
                  <w:pPr>
                    <w:pStyle w:val="20"/>
                  </w:pPr>
                  <w:r>
                    <w:t>0.1860</w:t>
                  </w:r>
                </w:p>
              </w:tc>
            </w:tr>
            <w:tr w14:paraId="7A9A2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8" w:type="pct"/>
                  <w:vMerge w:val="continue"/>
                  <w:tcBorders>
                    <w:top w:val="single" w:color="auto" w:sz="4" w:space="0"/>
                    <w:left w:val="single" w:color="auto" w:sz="4" w:space="0"/>
                    <w:bottom w:val="single" w:color="auto" w:sz="4" w:space="0"/>
                    <w:right w:val="single" w:color="auto" w:sz="4" w:space="0"/>
                  </w:tcBorders>
                  <w:vAlign w:val="center"/>
                </w:tcPr>
                <w:p w14:paraId="6CD98DEF">
                  <w:pPr>
                    <w:pStyle w:val="20"/>
                  </w:pPr>
                </w:p>
              </w:tc>
              <w:tc>
                <w:tcPr>
                  <w:tcW w:w="780" w:type="pct"/>
                  <w:tcBorders>
                    <w:top w:val="single" w:color="auto" w:sz="4" w:space="0"/>
                    <w:left w:val="single" w:color="auto" w:sz="4" w:space="0"/>
                    <w:bottom w:val="single" w:color="auto" w:sz="4" w:space="0"/>
                    <w:right w:val="single" w:color="auto" w:sz="4" w:space="0"/>
                  </w:tcBorders>
                  <w:vAlign w:val="center"/>
                </w:tcPr>
                <w:p w14:paraId="37993903">
                  <w:pPr>
                    <w:pStyle w:val="20"/>
                  </w:pPr>
                  <w:r>
                    <w:t>排放速率（kg/h）</w:t>
                  </w:r>
                </w:p>
              </w:tc>
              <w:tc>
                <w:tcPr>
                  <w:tcW w:w="426" w:type="pct"/>
                  <w:tcBorders>
                    <w:top w:val="single" w:color="auto" w:sz="4" w:space="0"/>
                    <w:left w:val="single" w:color="auto" w:sz="4" w:space="0"/>
                    <w:bottom w:val="single" w:color="auto" w:sz="4" w:space="0"/>
                    <w:right w:val="single" w:color="auto" w:sz="4" w:space="0"/>
                  </w:tcBorders>
                  <w:vAlign w:val="center"/>
                </w:tcPr>
                <w:p w14:paraId="5EF125CC">
                  <w:pPr>
                    <w:pStyle w:val="20"/>
                  </w:pPr>
                  <w:r>
                    <w:t>/</w:t>
                  </w:r>
                </w:p>
              </w:tc>
              <w:tc>
                <w:tcPr>
                  <w:tcW w:w="434" w:type="pct"/>
                  <w:tcBorders>
                    <w:top w:val="single" w:color="auto" w:sz="4" w:space="0"/>
                    <w:left w:val="single" w:color="auto" w:sz="4" w:space="0"/>
                    <w:bottom w:val="single" w:color="auto" w:sz="4" w:space="0"/>
                    <w:right w:val="single" w:color="auto" w:sz="4" w:space="0"/>
                  </w:tcBorders>
                  <w:vAlign w:val="center"/>
                </w:tcPr>
                <w:p w14:paraId="6F1186F9">
                  <w:pPr>
                    <w:pStyle w:val="20"/>
                  </w:pPr>
                  <w:r>
                    <w:t>/</w:t>
                  </w:r>
                </w:p>
              </w:tc>
              <w:tc>
                <w:tcPr>
                  <w:tcW w:w="438" w:type="pct"/>
                  <w:tcBorders>
                    <w:top w:val="single" w:color="auto" w:sz="4" w:space="0"/>
                    <w:left w:val="single" w:color="auto" w:sz="4" w:space="0"/>
                    <w:bottom w:val="single" w:color="auto" w:sz="4" w:space="0"/>
                    <w:right w:val="single" w:color="auto" w:sz="4" w:space="0"/>
                  </w:tcBorders>
                  <w:vAlign w:val="center"/>
                </w:tcPr>
                <w:p w14:paraId="615AF7FE">
                  <w:pPr>
                    <w:pStyle w:val="20"/>
                  </w:pPr>
                  <w:r>
                    <w:t>/</w:t>
                  </w:r>
                </w:p>
              </w:tc>
              <w:tc>
                <w:tcPr>
                  <w:tcW w:w="457" w:type="pct"/>
                  <w:tcBorders>
                    <w:top w:val="single" w:color="auto" w:sz="4" w:space="0"/>
                    <w:left w:val="single" w:color="auto" w:sz="4" w:space="0"/>
                    <w:bottom w:val="single" w:color="auto" w:sz="4" w:space="0"/>
                    <w:right w:val="single" w:color="auto" w:sz="4" w:space="0"/>
                  </w:tcBorders>
                  <w:vAlign w:val="center"/>
                </w:tcPr>
                <w:p w14:paraId="79470760">
                  <w:pPr>
                    <w:pStyle w:val="20"/>
                  </w:pPr>
                  <w:r>
                    <w:t>0.0025</w:t>
                  </w:r>
                </w:p>
              </w:tc>
              <w:tc>
                <w:tcPr>
                  <w:tcW w:w="438" w:type="pct"/>
                  <w:tcBorders>
                    <w:top w:val="single" w:color="auto" w:sz="4" w:space="0"/>
                    <w:left w:val="single" w:color="auto" w:sz="4" w:space="0"/>
                    <w:bottom w:val="single" w:color="auto" w:sz="4" w:space="0"/>
                    <w:right w:val="single" w:color="auto" w:sz="4" w:space="0"/>
                  </w:tcBorders>
                  <w:vAlign w:val="center"/>
                </w:tcPr>
                <w:p w14:paraId="37189E4D">
                  <w:pPr>
                    <w:pStyle w:val="20"/>
                  </w:pPr>
                  <w:r>
                    <w:t>0.4173</w:t>
                  </w:r>
                </w:p>
              </w:tc>
              <w:tc>
                <w:tcPr>
                  <w:tcW w:w="435" w:type="pct"/>
                  <w:tcBorders>
                    <w:top w:val="single" w:color="auto" w:sz="4" w:space="0"/>
                    <w:left w:val="single" w:color="auto" w:sz="4" w:space="0"/>
                    <w:bottom w:val="single" w:color="auto" w:sz="4" w:space="0"/>
                    <w:right w:val="single" w:color="auto" w:sz="4" w:space="0"/>
                  </w:tcBorders>
                  <w:vAlign w:val="center"/>
                </w:tcPr>
                <w:p w14:paraId="0AD74ADD">
                  <w:pPr>
                    <w:pStyle w:val="20"/>
                  </w:pPr>
                  <w:r>
                    <w:t>/</w:t>
                  </w:r>
                </w:p>
              </w:tc>
              <w:tc>
                <w:tcPr>
                  <w:tcW w:w="432" w:type="pct"/>
                  <w:tcBorders>
                    <w:top w:val="single" w:color="auto" w:sz="4" w:space="0"/>
                    <w:left w:val="single" w:color="auto" w:sz="4" w:space="0"/>
                    <w:bottom w:val="single" w:color="auto" w:sz="4" w:space="0"/>
                    <w:right w:val="single" w:color="auto" w:sz="4" w:space="0"/>
                  </w:tcBorders>
                  <w:vAlign w:val="center"/>
                </w:tcPr>
                <w:p w14:paraId="692FBCFD">
                  <w:pPr>
                    <w:pStyle w:val="20"/>
                  </w:pPr>
                  <w:r>
                    <w:t>/</w:t>
                  </w:r>
                </w:p>
              </w:tc>
              <w:tc>
                <w:tcPr>
                  <w:tcW w:w="441" w:type="pct"/>
                  <w:tcBorders>
                    <w:top w:val="single" w:color="auto" w:sz="4" w:space="0"/>
                    <w:left w:val="single" w:color="auto" w:sz="4" w:space="0"/>
                    <w:bottom w:val="single" w:color="auto" w:sz="4" w:space="0"/>
                    <w:right w:val="single" w:color="auto" w:sz="4" w:space="0"/>
                  </w:tcBorders>
                  <w:vAlign w:val="center"/>
                </w:tcPr>
                <w:p w14:paraId="06F7A8EE">
                  <w:pPr>
                    <w:pStyle w:val="20"/>
                  </w:pPr>
                  <w:r>
                    <w:t>/</w:t>
                  </w:r>
                </w:p>
              </w:tc>
              <w:tc>
                <w:tcPr>
                  <w:tcW w:w="449" w:type="pct"/>
                  <w:tcBorders>
                    <w:top w:val="single" w:color="auto" w:sz="4" w:space="0"/>
                    <w:left w:val="single" w:color="auto" w:sz="4" w:space="0"/>
                    <w:bottom w:val="single" w:color="auto" w:sz="4" w:space="0"/>
                    <w:right w:val="single" w:color="auto" w:sz="4" w:space="0"/>
                  </w:tcBorders>
                  <w:vAlign w:val="center"/>
                </w:tcPr>
                <w:p w14:paraId="7E512FAA">
                  <w:pPr>
                    <w:pStyle w:val="20"/>
                  </w:pPr>
                  <w:r>
                    <w:t>0.0387</w:t>
                  </w:r>
                </w:p>
              </w:tc>
            </w:tr>
            <w:tr w14:paraId="70D53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11"/>
                  <w:tcBorders>
                    <w:top w:val="single" w:color="auto" w:sz="4" w:space="0"/>
                    <w:left w:val="single" w:color="auto" w:sz="4" w:space="0"/>
                    <w:bottom w:val="single" w:color="auto" w:sz="4" w:space="0"/>
                    <w:right w:val="single" w:color="auto" w:sz="4" w:space="0"/>
                  </w:tcBorders>
                  <w:vAlign w:val="center"/>
                </w:tcPr>
                <w:p w14:paraId="055EEA55">
                  <w:pPr>
                    <w:pStyle w:val="20"/>
                  </w:pPr>
                  <w:r>
                    <w:t>注：项目工作时长为300天，每天工作16h</w:t>
                  </w:r>
                </w:p>
              </w:tc>
            </w:tr>
          </w:tbl>
          <w:p w14:paraId="70BF982C">
            <w:pPr>
              <w:ind w:firstLine="480"/>
              <w:rPr>
                <w:rFonts w:ascii="Calibri" w:hAnsi="Calibri" w:cs="Calibri"/>
                <w:kern w:val="2"/>
              </w:rPr>
            </w:pPr>
          </w:p>
        </w:tc>
      </w:tr>
    </w:tbl>
    <w:p w14:paraId="5140B698">
      <w:pPr>
        <w:ind w:firstLine="480"/>
        <w:sectPr>
          <w:pgSz w:w="16840" w:h="11907" w:orient="landscape"/>
          <w:pgMar w:top="1531" w:right="1701" w:bottom="1531" w:left="2127" w:header="851" w:footer="851" w:gutter="0"/>
          <w:cols w:space="720" w:num="1"/>
          <w:docGrid w:linePitch="312" w:charSpace="0"/>
        </w:sectPr>
      </w:pPr>
    </w:p>
    <w:tbl>
      <w:tblPr>
        <w:tblStyle w:val="23"/>
        <w:tblW w:w="4999"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222"/>
        <w:gridCol w:w="13003"/>
      </w:tblGrid>
      <w:tr w14:paraId="703B0F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93" w:hRule="atLeast"/>
          <w:jc w:val="center"/>
        </w:trPr>
        <w:tc>
          <w:tcPr>
            <w:tcW w:w="83" w:type="pct"/>
            <w:vAlign w:val="center"/>
          </w:tcPr>
          <w:p w14:paraId="7BD4507A">
            <w:pPr>
              <w:adjustRightInd w:val="0"/>
              <w:snapToGrid w:val="0"/>
              <w:ind w:firstLine="480"/>
              <w:jc w:val="center"/>
            </w:pPr>
          </w:p>
        </w:tc>
        <w:tc>
          <w:tcPr>
            <w:tcW w:w="4916" w:type="pct"/>
            <w:vAlign w:val="center"/>
          </w:tcPr>
          <w:p w14:paraId="3A578331">
            <w:pPr>
              <w:pStyle w:val="22"/>
              <w:rPr>
                <w:szCs w:val="21"/>
              </w:rPr>
            </w:pPr>
            <w:r>
              <w:rPr>
                <w:szCs w:val="21"/>
              </w:rPr>
              <w:t>表4-7 本项目大气污染物产排情况汇总表</w:t>
            </w:r>
          </w:p>
          <w:tbl>
            <w:tblPr>
              <w:tblStyle w:val="2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813"/>
              <w:gridCol w:w="1219"/>
              <w:gridCol w:w="897"/>
              <w:gridCol w:w="427"/>
              <w:gridCol w:w="636"/>
              <w:gridCol w:w="1056"/>
              <w:gridCol w:w="848"/>
              <w:gridCol w:w="848"/>
              <w:gridCol w:w="427"/>
              <w:gridCol w:w="1219"/>
              <w:gridCol w:w="1035"/>
              <w:gridCol w:w="871"/>
              <w:gridCol w:w="835"/>
              <w:gridCol w:w="1219"/>
            </w:tblGrid>
            <w:tr w14:paraId="46EDC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restart"/>
                  <w:vAlign w:val="center"/>
                </w:tcPr>
                <w:p w14:paraId="722CB21F">
                  <w:pPr>
                    <w:pStyle w:val="41"/>
                    <w:rPr>
                      <w:b/>
                      <w:bCs/>
                    </w:rPr>
                  </w:pPr>
                  <w:r>
                    <w:rPr>
                      <w:b/>
                      <w:bCs/>
                    </w:rPr>
                    <w:t>排放源</w:t>
                  </w:r>
                </w:p>
              </w:tc>
              <w:tc>
                <w:tcPr>
                  <w:tcW w:w="351" w:type="pct"/>
                  <w:vMerge w:val="restart"/>
                  <w:vAlign w:val="center"/>
                </w:tcPr>
                <w:p w14:paraId="3B3E9430">
                  <w:pPr>
                    <w:pStyle w:val="41"/>
                    <w:rPr>
                      <w:b/>
                      <w:bCs/>
                    </w:rPr>
                  </w:pPr>
                  <w:r>
                    <w:rPr>
                      <w:b/>
                      <w:bCs/>
                    </w:rPr>
                    <w:t>污染物种类</w:t>
                  </w:r>
                </w:p>
              </w:tc>
              <w:tc>
                <w:tcPr>
                  <w:tcW w:w="804" w:type="pct"/>
                  <w:gridSpan w:val="2"/>
                  <w:vAlign w:val="center"/>
                </w:tcPr>
                <w:p w14:paraId="6DA9C3A9">
                  <w:pPr>
                    <w:pStyle w:val="41"/>
                    <w:rPr>
                      <w:b/>
                      <w:bCs/>
                    </w:rPr>
                  </w:pPr>
                  <w:r>
                    <w:rPr>
                      <w:b/>
                      <w:bCs/>
                    </w:rPr>
                    <w:t>污染物产生情况</w:t>
                  </w:r>
                </w:p>
              </w:tc>
              <w:tc>
                <w:tcPr>
                  <w:tcW w:w="165" w:type="pct"/>
                  <w:vMerge w:val="restart"/>
                  <w:vAlign w:val="center"/>
                </w:tcPr>
                <w:p w14:paraId="799612CE">
                  <w:pPr>
                    <w:pStyle w:val="41"/>
                    <w:rPr>
                      <w:b/>
                      <w:bCs/>
                    </w:rPr>
                  </w:pPr>
                  <w:r>
                    <w:rPr>
                      <w:b/>
                      <w:bCs/>
                    </w:rPr>
                    <w:t>排放</w:t>
                  </w:r>
                </w:p>
                <w:p w14:paraId="4AB5314E">
                  <w:pPr>
                    <w:pStyle w:val="41"/>
                    <w:rPr>
                      <w:b/>
                      <w:bCs/>
                    </w:rPr>
                  </w:pPr>
                  <w:r>
                    <w:rPr>
                      <w:b/>
                      <w:bCs/>
                    </w:rPr>
                    <w:t>形式</w:t>
                  </w:r>
                </w:p>
              </w:tc>
              <w:tc>
                <w:tcPr>
                  <w:tcW w:w="1488" w:type="pct"/>
                  <w:gridSpan w:val="5"/>
                  <w:vAlign w:val="center"/>
                </w:tcPr>
                <w:p w14:paraId="7B7A54CC">
                  <w:pPr>
                    <w:pStyle w:val="41"/>
                    <w:rPr>
                      <w:b/>
                      <w:bCs/>
                    </w:rPr>
                  </w:pPr>
                  <w:r>
                    <w:rPr>
                      <w:b/>
                      <w:bCs/>
                    </w:rPr>
                    <w:t>主要污染治理设施</w:t>
                  </w:r>
                </w:p>
              </w:tc>
              <w:tc>
                <w:tcPr>
                  <w:tcW w:w="1218" w:type="pct"/>
                  <w:gridSpan w:val="3"/>
                  <w:vAlign w:val="center"/>
                </w:tcPr>
                <w:p w14:paraId="606A3DD3">
                  <w:pPr>
                    <w:pStyle w:val="41"/>
                    <w:rPr>
                      <w:b/>
                      <w:bCs/>
                    </w:rPr>
                  </w:pPr>
                  <w:r>
                    <w:rPr>
                      <w:b/>
                      <w:bCs/>
                    </w:rPr>
                    <w:t>污染物排放情况</w:t>
                  </w:r>
                </w:p>
              </w:tc>
              <w:tc>
                <w:tcPr>
                  <w:tcW w:w="351" w:type="pct"/>
                  <w:vMerge w:val="restart"/>
                  <w:vAlign w:val="center"/>
                </w:tcPr>
                <w:p w14:paraId="69A50FA0">
                  <w:pPr>
                    <w:pStyle w:val="41"/>
                    <w:rPr>
                      <w:b/>
                      <w:bCs/>
                    </w:rPr>
                  </w:pPr>
                  <w:r>
                    <w:rPr>
                      <w:b/>
                      <w:bCs/>
                    </w:rPr>
                    <w:t>排放口编号</w:t>
                  </w:r>
                </w:p>
              </w:tc>
              <w:tc>
                <w:tcPr>
                  <w:tcW w:w="453" w:type="pct"/>
                  <w:vAlign w:val="center"/>
                </w:tcPr>
                <w:p w14:paraId="7F3B9FB4">
                  <w:pPr>
                    <w:pStyle w:val="41"/>
                    <w:rPr>
                      <w:b/>
                      <w:bCs/>
                    </w:rPr>
                  </w:pPr>
                  <w:r>
                    <w:rPr>
                      <w:b/>
                      <w:bCs/>
                    </w:rPr>
                    <w:t>排放</w:t>
                  </w:r>
                </w:p>
                <w:p w14:paraId="62FE8C18">
                  <w:pPr>
                    <w:pStyle w:val="41"/>
                    <w:rPr>
                      <w:b/>
                      <w:bCs/>
                    </w:rPr>
                  </w:pPr>
                  <w:r>
                    <w:rPr>
                      <w:b/>
                      <w:bCs/>
                    </w:rPr>
                    <w:t>标准</w:t>
                  </w:r>
                </w:p>
              </w:tc>
            </w:tr>
            <w:tr w14:paraId="34F59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15C8DB12">
                  <w:pPr>
                    <w:pStyle w:val="41"/>
                    <w:rPr>
                      <w:b/>
                      <w:bCs/>
                    </w:rPr>
                  </w:pPr>
                </w:p>
              </w:tc>
              <w:tc>
                <w:tcPr>
                  <w:tcW w:w="351" w:type="pct"/>
                  <w:vMerge w:val="continue"/>
                  <w:vAlign w:val="center"/>
                </w:tcPr>
                <w:p w14:paraId="2F6456D8">
                  <w:pPr>
                    <w:pStyle w:val="41"/>
                    <w:rPr>
                      <w:b/>
                      <w:bCs/>
                    </w:rPr>
                  </w:pPr>
                </w:p>
              </w:tc>
              <w:tc>
                <w:tcPr>
                  <w:tcW w:w="420" w:type="pct"/>
                  <w:vAlign w:val="center"/>
                </w:tcPr>
                <w:p w14:paraId="2699C295">
                  <w:pPr>
                    <w:pStyle w:val="41"/>
                    <w:rPr>
                      <w:b/>
                      <w:bCs/>
                    </w:rPr>
                  </w:pPr>
                  <w:r>
                    <w:rPr>
                      <w:b/>
                      <w:bCs/>
                    </w:rPr>
                    <w:t>产生浓度</w:t>
                  </w:r>
                </w:p>
                <w:p w14:paraId="09935080">
                  <w:pPr>
                    <w:pStyle w:val="41"/>
                    <w:rPr>
                      <w:b/>
                      <w:bCs/>
                    </w:rPr>
                  </w:pPr>
                  <w:r>
                    <w:rPr>
                      <w:b/>
                      <w:bCs/>
                    </w:rPr>
                    <w:t>（mg/m</w:t>
                  </w:r>
                  <w:r>
                    <w:rPr>
                      <w:b/>
                      <w:bCs/>
                      <w:vertAlign w:val="superscript"/>
                    </w:rPr>
                    <w:t>3</w:t>
                  </w:r>
                  <w:r>
                    <w:rPr>
                      <w:b/>
                      <w:bCs/>
                    </w:rPr>
                    <w:t>）</w:t>
                  </w:r>
                </w:p>
              </w:tc>
              <w:tc>
                <w:tcPr>
                  <w:tcW w:w="383" w:type="pct"/>
                  <w:vAlign w:val="center"/>
                </w:tcPr>
                <w:p w14:paraId="2A07D6A0">
                  <w:pPr>
                    <w:pStyle w:val="41"/>
                    <w:rPr>
                      <w:b/>
                      <w:bCs/>
                    </w:rPr>
                  </w:pPr>
                  <w:r>
                    <w:rPr>
                      <w:b/>
                      <w:bCs/>
                    </w:rPr>
                    <w:t>产生量（t/a）</w:t>
                  </w:r>
                </w:p>
              </w:tc>
              <w:tc>
                <w:tcPr>
                  <w:tcW w:w="165" w:type="pct"/>
                  <w:vMerge w:val="continue"/>
                  <w:vAlign w:val="center"/>
                </w:tcPr>
                <w:p w14:paraId="6F1B18A2">
                  <w:pPr>
                    <w:pStyle w:val="41"/>
                    <w:rPr>
                      <w:b/>
                      <w:bCs/>
                    </w:rPr>
                  </w:pPr>
                </w:p>
              </w:tc>
              <w:tc>
                <w:tcPr>
                  <w:tcW w:w="248" w:type="pct"/>
                  <w:vAlign w:val="center"/>
                </w:tcPr>
                <w:p w14:paraId="08EC1009">
                  <w:pPr>
                    <w:pStyle w:val="41"/>
                    <w:rPr>
                      <w:b/>
                      <w:bCs/>
                    </w:rPr>
                  </w:pPr>
                  <w:r>
                    <w:rPr>
                      <w:b/>
                      <w:bCs/>
                    </w:rPr>
                    <w:t>治理</w:t>
                  </w:r>
                </w:p>
                <w:p w14:paraId="010B6E9C">
                  <w:pPr>
                    <w:pStyle w:val="41"/>
                    <w:rPr>
                      <w:b/>
                      <w:bCs/>
                    </w:rPr>
                  </w:pPr>
                  <w:r>
                    <w:rPr>
                      <w:b/>
                      <w:bCs/>
                    </w:rPr>
                    <w:t>措施</w:t>
                  </w:r>
                </w:p>
              </w:tc>
              <w:tc>
                <w:tcPr>
                  <w:tcW w:w="410" w:type="pct"/>
                  <w:vAlign w:val="center"/>
                </w:tcPr>
                <w:p w14:paraId="15C76BF6">
                  <w:pPr>
                    <w:pStyle w:val="41"/>
                    <w:rPr>
                      <w:b/>
                      <w:bCs/>
                    </w:rPr>
                  </w:pPr>
                  <w:r>
                    <w:rPr>
                      <w:b/>
                      <w:bCs/>
                    </w:rPr>
                    <w:t>处理</w:t>
                  </w:r>
                </w:p>
                <w:p w14:paraId="3ECC3911">
                  <w:pPr>
                    <w:pStyle w:val="41"/>
                    <w:rPr>
                      <w:b/>
                      <w:bCs/>
                    </w:rPr>
                  </w:pPr>
                  <w:r>
                    <w:rPr>
                      <w:b/>
                      <w:bCs/>
                    </w:rPr>
                    <w:t>能力（m</w:t>
                  </w:r>
                  <w:r>
                    <w:rPr>
                      <w:b/>
                      <w:bCs/>
                      <w:vertAlign w:val="superscript"/>
                    </w:rPr>
                    <w:t>3</w:t>
                  </w:r>
                  <w:r>
                    <w:rPr>
                      <w:b/>
                      <w:bCs/>
                    </w:rPr>
                    <w:t>/h）</w:t>
                  </w:r>
                </w:p>
              </w:tc>
              <w:tc>
                <w:tcPr>
                  <w:tcW w:w="329" w:type="pct"/>
                  <w:vAlign w:val="center"/>
                </w:tcPr>
                <w:p w14:paraId="4A2880F3">
                  <w:pPr>
                    <w:pStyle w:val="41"/>
                    <w:rPr>
                      <w:b/>
                      <w:bCs/>
                    </w:rPr>
                  </w:pPr>
                  <w:r>
                    <w:rPr>
                      <w:b/>
                      <w:bCs/>
                    </w:rPr>
                    <w:t>收集效率（%）</w:t>
                  </w:r>
                </w:p>
              </w:tc>
              <w:tc>
                <w:tcPr>
                  <w:tcW w:w="329" w:type="pct"/>
                  <w:vAlign w:val="center"/>
                </w:tcPr>
                <w:p w14:paraId="421D38CF">
                  <w:pPr>
                    <w:pStyle w:val="41"/>
                    <w:rPr>
                      <w:b/>
                      <w:bCs/>
                    </w:rPr>
                  </w:pPr>
                  <w:r>
                    <w:rPr>
                      <w:b/>
                      <w:bCs/>
                    </w:rPr>
                    <w:t>去除</w:t>
                  </w:r>
                </w:p>
                <w:p w14:paraId="54C1E3DA">
                  <w:pPr>
                    <w:pStyle w:val="41"/>
                    <w:rPr>
                      <w:b/>
                      <w:bCs/>
                    </w:rPr>
                  </w:pPr>
                  <w:r>
                    <w:rPr>
                      <w:b/>
                      <w:bCs/>
                    </w:rPr>
                    <w:t>效率（%）</w:t>
                  </w:r>
                </w:p>
              </w:tc>
              <w:tc>
                <w:tcPr>
                  <w:tcW w:w="169" w:type="pct"/>
                  <w:vAlign w:val="center"/>
                </w:tcPr>
                <w:p w14:paraId="68AF7E65">
                  <w:pPr>
                    <w:pStyle w:val="41"/>
                    <w:rPr>
                      <w:b/>
                      <w:bCs/>
                    </w:rPr>
                  </w:pPr>
                  <w:r>
                    <w:rPr>
                      <w:b/>
                      <w:bCs/>
                    </w:rPr>
                    <w:t>是否为可行技术</w:t>
                  </w:r>
                </w:p>
              </w:tc>
              <w:tc>
                <w:tcPr>
                  <w:tcW w:w="443" w:type="pct"/>
                  <w:vAlign w:val="center"/>
                </w:tcPr>
                <w:p w14:paraId="23A21A31">
                  <w:pPr>
                    <w:pStyle w:val="41"/>
                    <w:rPr>
                      <w:b/>
                      <w:bCs/>
                    </w:rPr>
                  </w:pPr>
                  <w:r>
                    <w:rPr>
                      <w:b/>
                      <w:bCs/>
                    </w:rPr>
                    <w:t>排放</w:t>
                  </w:r>
                </w:p>
                <w:p w14:paraId="7F8AD2B2">
                  <w:pPr>
                    <w:pStyle w:val="41"/>
                    <w:rPr>
                      <w:b/>
                      <w:bCs/>
                    </w:rPr>
                  </w:pPr>
                  <w:r>
                    <w:rPr>
                      <w:b/>
                      <w:bCs/>
                    </w:rPr>
                    <w:t>浓度（mg/m</w:t>
                  </w:r>
                  <w:r>
                    <w:rPr>
                      <w:b/>
                      <w:bCs/>
                      <w:vertAlign w:val="superscript"/>
                    </w:rPr>
                    <w:t>3</w:t>
                  </w:r>
                  <w:r>
                    <w:rPr>
                      <w:b/>
                      <w:bCs/>
                    </w:rPr>
                    <w:t>）</w:t>
                  </w:r>
                </w:p>
              </w:tc>
              <w:tc>
                <w:tcPr>
                  <w:tcW w:w="400" w:type="pct"/>
                  <w:vAlign w:val="center"/>
                </w:tcPr>
                <w:p w14:paraId="2240D02F">
                  <w:pPr>
                    <w:pStyle w:val="41"/>
                    <w:rPr>
                      <w:b/>
                      <w:bCs/>
                    </w:rPr>
                  </w:pPr>
                  <w:r>
                    <w:rPr>
                      <w:b/>
                      <w:bCs/>
                    </w:rPr>
                    <w:t>排放</w:t>
                  </w:r>
                </w:p>
                <w:p w14:paraId="795DBEF0">
                  <w:pPr>
                    <w:pStyle w:val="41"/>
                    <w:rPr>
                      <w:b/>
                      <w:bCs/>
                    </w:rPr>
                  </w:pPr>
                  <w:r>
                    <w:rPr>
                      <w:b/>
                      <w:bCs/>
                    </w:rPr>
                    <w:t>速率（kg/h）</w:t>
                  </w:r>
                </w:p>
              </w:tc>
              <w:tc>
                <w:tcPr>
                  <w:tcW w:w="374" w:type="pct"/>
                  <w:vAlign w:val="center"/>
                </w:tcPr>
                <w:p w14:paraId="745CB77F">
                  <w:pPr>
                    <w:pStyle w:val="41"/>
                    <w:rPr>
                      <w:b/>
                      <w:bCs/>
                    </w:rPr>
                  </w:pPr>
                  <w:r>
                    <w:rPr>
                      <w:b/>
                      <w:bCs/>
                    </w:rPr>
                    <w:t>排放量（t/a）</w:t>
                  </w:r>
                </w:p>
              </w:tc>
              <w:tc>
                <w:tcPr>
                  <w:tcW w:w="351" w:type="pct"/>
                  <w:vMerge w:val="continue"/>
                  <w:vAlign w:val="center"/>
                </w:tcPr>
                <w:p w14:paraId="1A18A629">
                  <w:pPr>
                    <w:pStyle w:val="41"/>
                    <w:rPr>
                      <w:b/>
                      <w:bCs/>
                    </w:rPr>
                  </w:pPr>
                </w:p>
              </w:tc>
              <w:tc>
                <w:tcPr>
                  <w:tcW w:w="453" w:type="pct"/>
                  <w:vAlign w:val="center"/>
                </w:tcPr>
                <w:p w14:paraId="58F5E0D0">
                  <w:pPr>
                    <w:pStyle w:val="41"/>
                    <w:rPr>
                      <w:b/>
                      <w:bCs/>
                    </w:rPr>
                  </w:pPr>
                  <w:r>
                    <w:rPr>
                      <w:b/>
                      <w:bCs/>
                    </w:rPr>
                    <w:t>浓度</w:t>
                  </w:r>
                </w:p>
                <w:p w14:paraId="6433297D">
                  <w:pPr>
                    <w:pStyle w:val="41"/>
                    <w:rPr>
                      <w:b/>
                      <w:bCs/>
                    </w:rPr>
                  </w:pPr>
                  <w:r>
                    <w:rPr>
                      <w:b/>
                      <w:bCs/>
                    </w:rPr>
                    <w:t>限值</w:t>
                  </w:r>
                </w:p>
                <w:p w14:paraId="530D4A2F">
                  <w:pPr>
                    <w:pStyle w:val="41"/>
                    <w:rPr>
                      <w:b/>
                      <w:bCs/>
                    </w:rPr>
                  </w:pPr>
                  <w:r>
                    <w:rPr>
                      <w:b/>
                      <w:bCs/>
                    </w:rPr>
                    <w:t>（mg/m</w:t>
                  </w:r>
                  <w:r>
                    <w:rPr>
                      <w:b/>
                      <w:bCs/>
                      <w:vertAlign w:val="superscript"/>
                    </w:rPr>
                    <w:t>3</w:t>
                  </w:r>
                  <w:r>
                    <w:rPr>
                      <w:b/>
                      <w:bCs/>
                    </w:rPr>
                    <w:t>）</w:t>
                  </w:r>
                </w:p>
              </w:tc>
            </w:tr>
            <w:tr w14:paraId="3FCF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restart"/>
                  <w:vAlign w:val="center"/>
                </w:tcPr>
                <w:p w14:paraId="0D303B92">
                  <w:pPr>
                    <w:pStyle w:val="41"/>
                  </w:pPr>
                  <w:r>
                    <w:t>粉末固化废气</w:t>
                  </w:r>
                </w:p>
              </w:tc>
              <w:tc>
                <w:tcPr>
                  <w:tcW w:w="351" w:type="pct"/>
                  <w:vAlign w:val="center"/>
                </w:tcPr>
                <w:p w14:paraId="7CEC46D1">
                  <w:pPr>
                    <w:pStyle w:val="41"/>
                  </w:pPr>
                  <w:r>
                    <w:t>颗粒物</w:t>
                  </w:r>
                </w:p>
              </w:tc>
              <w:tc>
                <w:tcPr>
                  <w:tcW w:w="420" w:type="pct"/>
                  <w:vAlign w:val="center"/>
                </w:tcPr>
                <w:p w14:paraId="3D36B3D6">
                  <w:pPr>
                    <w:pStyle w:val="41"/>
                  </w:pPr>
                  <w:r>
                    <w:t>0.303</w:t>
                  </w:r>
                </w:p>
              </w:tc>
              <w:tc>
                <w:tcPr>
                  <w:tcW w:w="383" w:type="pct"/>
                  <w:vAlign w:val="center"/>
                </w:tcPr>
                <w:p w14:paraId="01C8D4C6">
                  <w:pPr>
                    <w:pStyle w:val="20"/>
                  </w:pPr>
                  <w:r>
                    <w:t>0.0047</w:t>
                  </w:r>
                </w:p>
              </w:tc>
              <w:tc>
                <w:tcPr>
                  <w:tcW w:w="165" w:type="pct"/>
                  <w:vMerge w:val="restart"/>
                  <w:vAlign w:val="center"/>
                </w:tcPr>
                <w:p w14:paraId="21D743EC">
                  <w:pPr>
                    <w:pStyle w:val="41"/>
                  </w:pPr>
                  <w:r>
                    <w:t>有组织</w:t>
                  </w:r>
                </w:p>
              </w:tc>
              <w:tc>
                <w:tcPr>
                  <w:tcW w:w="248" w:type="pct"/>
                  <w:vMerge w:val="restart"/>
                  <w:vAlign w:val="center"/>
                </w:tcPr>
                <w:p w14:paraId="3ACD543A">
                  <w:pPr>
                    <w:pStyle w:val="41"/>
                  </w:pPr>
                  <w:r>
                    <w:t>/</w:t>
                  </w:r>
                </w:p>
              </w:tc>
              <w:tc>
                <w:tcPr>
                  <w:tcW w:w="410" w:type="pct"/>
                  <w:vMerge w:val="restart"/>
                  <w:vAlign w:val="center"/>
                </w:tcPr>
                <w:p w14:paraId="6907B8B1">
                  <w:pPr>
                    <w:pStyle w:val="41"/>
                  </w:pPr>
                  <w:r>
                    <w:t>3300</w:t>
                  </w:r>
                </w:p>
              </w:tc>
              <w:tc>
                <w:tcPr>
                  <w:tcW w:w="329" w:type="pct"/>
                  <w:vAlign w:val="center"/>
                </w:tcPr>
                <w:p w14:paraId="485680C6">
                  <w:pPr>
                    <w:pStyle w:val="41"/>
                    <w:rPr>
                      <w:rFonts w:hint="default" w:eastAsia="宋体"/>
                      <w:lang w:val="en-US" w:eastAsia="zh-CN"/>
                    </w:rPr>
                  </w:pPr>
                  <w:r>
                    <w:rPr>
                      <w:rFonts w:hint="eastAsia"/>
                      <w:lang w:val="en-US" w:eastAsia="zh-CN"/>
                    </w:rPr>
                    <w:t>100</w:t>
                  </w:r>
                </w:p>
              </w:tc>
              <w:tc>
                <w:tcPr>
                  <w:tcW w:w="329" w:type="pct"/>
                  <w:vAlign w:val="center"/>
                </w:tcPr>
                <w:p w14:paraId="015F251E">
                  <w:pPr>
                    <w:pStyle w:val="41"/>
                  </w:pPr>
                  <w:r>
                    <w:t>/</w:t>
                  </w:r>
                </w:p>
              </w:tc>
              <w:tc>
                <w:tcPr>
                  <w:tcW w:w="169" w:type="pct"/>
                  <w:vAlign w:val="center"/>
                </w:tcPr>
                <w:p w14:paraId="5C335F47">
                  <w:pPr>
                    <w:pStyle w:val="41"/>
                  </w:pPr>
                  <w:r>
                    <w:t>是</w:t>
                  </w:r>
                </w:p>
              </w:tc>
              <w:tc>
                <w:tcPr>
                  <w:tcW w:w="443" w:type="pct"/>
                  <w:vAlign w:val="center"/>
                </w:tcPr>
                <w:p w14:paraId="29FBCE7F">
                  <w:pPr>
                    <w:pStyle w:val="41"/>
                  </w:pPr>
                  <w:r>
                    <w:t>0.303</w:t>
                  </w:r>
                </w:p>
              </w:tc>
              <w:tc>
                <w:tcPr>
                  <w:tcW w:w="400" w:type="pct"/>
                  <w:vAlign w:val="center"/>
                </w:tcPr>
                <w:p w14:paraId="7B74A168">
                  <w:pPr>
                    <w:pStyle w:val="20"/>
                  </w:pPr>
                  <w:r>
                    <w:t>0.001</w:t>
                  </w:r>
                </w:p>
              </w:tc>
              <w:tc>
                <w:tcPr>
                  <w:tcW w:w="374" w:type="pct"/>
                  <w:vAlign w:val="center"/>
                </w:tcPr>
                <w:p w14:paraId="0CD79F5B">
                  <w:pPr>
                    <w:pStyle w:val="20"/>
                  </w:pPr>
                  <w:r>
                    <w:t>0.0047</w:t>
                  </w:r>
                </w:p>
              </w:tc>
              <w:tc>
                <w:tcPr>
                  <w:tcW w:w="351" w:type="pct"/>
                  <w:vMerge w:val="restart"/>
                  <w:vAlign w:val="center"/>
                </w:tcPr>
                <w:p w14:paraId="04CC9598">
                  <w:pPr>
                    <w:pStyle w:val="41"/>
                  </w:pPr>
                  <w:r>
                    <w:t>DA004</w:t>
                  </w:r>
                </w:p>
              </w:tc>
              <w:tc>
                <w:tcPr>
                  <w:tcW w:w="453" w:type="pct"/>
                  <w:vAlign w:val="center"/>
                </w:tcPr>
                <w:p w14:paraId="00D4760D">
                  <w:pPr>
                    <w:pStyle w:val="20"/>
                  </w:pPr>
                  <w:r>
                    <w:t>30</w:t>
                  </w:r>
                </w:p>
              </w:tc>
            </w:tr>
            <w:tr w14:paraId="6325E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54C79714">
                  <w:pPr>
                    <w:pStyle w:val="41"/>
                  </w:pPr>
                </w:p>
              </w:tc>
              <w:tc>
                <w:tcPr>
                  <w:tcW w:w="351" w:type="pct"/>
                  <w:vAlign w:val="center"/>
                </w:tcPr>
                <w:p w14:paraId="0BFC10DA">
                  <w:pPr>
                    <w:pStyle w:val="41"/>
                  </w:pPr>
                  <w:r>
                    <w:t>SO</w:t>
                  </w:r>
                  <w:r>
                    <w:rPr>
                      <w:vertAlign w:val="subscript"/>
                    </w:rPr>
                    <w:t>2</w:t>
                  </w:r>
                </w:p>
              </w:tc>
              <w:tc>
                <w:tcPr>
                  <w:tcW w:w="420" w:type="pct"/>
                  <w:vAlign w:val="center"/>
                </w:tcPr>
                <w:p w14:paraId="148DC54F">
                  <w:pPr>
                    <w:pStyle w:val="41"/>
                  </w:pPr>
                  <w:r>
                    <w:t>0.7273</w:t>
                  </w:r>
                </w:p>
              </w:tc>
              <w:tc>
                <w:tcPr>
                  <w:tcW w:w="383" w:type="pct"/>
                  <w:vAlign w:val="center"/>
                </w:tcPr>
                <w:p w14:paraId="3DA9E250">
                  <w:pPr>
                    <w:pStyle w:val="20"/>
                  </w:pPr>
                  <w:r>
                    <w:t>0.0114</w:t>
                  </w:r>
                </w:p>
              </w:tc>
              <w:tc>
                <w:tcPr>
                  <w:tcW w:w="165" w:type="pct"/>
                  <w:vMerge w:val="continue"/>
                  <w:vAlign w:val="center"/>
                </w:tcPr>
                <w:p w14:paraId="4B695EDD">
                  <w:pPr>
                    <w:pStyle w:val="41"/>
                  </w:pPr>
                </w:p>
              </w:tc>
              <w:tc>
                <w:tcPr>
                  <w:tcW w:w="248" w:type="pct"/>
                  <w:vMerge w:val="continue"/>
                  <w:vAlign w:val="center"/>
                </w:tcPr>
                <w:p w14:paraId="4D1370B1">
                  <w:pPr>
                    <w:pStyle w:val="41"/>
                  </w:pPr>
                </w:p>
              </w:tc>
              <w:tc>
                <w:tcPr>
                  <w:tcW w:w="410" w:type="pct"/>
                  <w:vMerge w:val="continue"/>
                  <w:vAlign w:val="center"/>
                </w:tcPr>
                <w:p w14:paraId="4E8FC230">
                  <w:pPr>
                    <w:pStyle w:val="41"/>
                  </w:pPr>
                </w:p>
              </w:tc>
              <w:tc>
                <w:tcPr>
                  <w:tcW w:w="329" w:type="pct"/>
                  <w:vAlign w:val="center"/>
                </w:tcPr>
                <w:p w14:paraId="46314502">
                  <w:pPr>
                    <w:pStyle w:val="41"/>
                    <w:rPr>
                      <w:rFonts w:hint="default" w:eastAsia="宋体"/>
                      <w:lang w:val="en-US" w:eastAsia="zh-CN"/>
                    </w:rPr>
                  </w:pPr>
                  <w:r>
                    <w:rPr>
                      <w:rFonts w:hint="eastAsia"/>
                      <w:lang w:val="en-US" w:eastAsia="zh-CN"/>
                    </w:rPr>
                    <w:t>100</w:t>
                  </w:r>
                </w:p>
              </w:tc>
              <w:tc>
                <w:tcPr>
                  <w:tcW w:w="329" w:type="pct"/>
                  <w:vAlign w:val="center"/>
                </w:tcPr>
                <w:p w14:paraId="74897434">
                  <w:pPr>
                    <w:pStyle w:val="41"/>
                  </w:pPr>
                  <w:r>
                    <w:t>/</w:t>
                  </w:r>
                </w:p>
              </w:tc>
              <w:tc>
                <w:tcPr>
                  <w:tcW w:w="169" w:type="pct"/>
                  <w:vAlign w:val="center"/>
                </w:tcPr>
                <w:p w14:paraId="7F573EB5">
                  <w:pPr>
                    <w:pStyle w:val="41"/>
                  </w:pPr>
                  <w:r>
                    <w:t>是</w:t>
                  </w:r>
                </w:p>
              </w:tc>
              <w:tc>
                <w:tcPr>
                  <w:tcW w:w="443" w:type="pct"/>
                  <w:vAlign w:val="center"/>
                </w:tcPr>
                <w:p w14:paraId="7840622A">
                  <w:pPr>
                    <w:pStyle w:val="41"/>
                  </w:pPr>
                  <w:r>
                    <w:t>0.7273</w:t>
                  </w:r>
                </w:p>
              </w:tc>
              <w:tc>
                <w:tcPr>
                  <w:tcW w:w="400" w:type="pct"/>
                  <w:vAlign w:val="center"/>
                </w:tcPr>
                <w:p w14:paraId="305FE054">
                  <w:pPr>
                    <w:pStyle w:val="20"/>
                  </w:pPr>
                  <w:r>
                    <w:t>0.0024</w:t>
                  </w:r>
                </w:p>
              </w:tc>
              <w:tc>
                <w:tcPr>
                  <w:tcW w:w="374" w:type="pct"/>
                  <w:vAlign w:val="center"/>
                </w:tcPr>
                <w:p w14:paraId="2F19ADDE">
                  <w:pPr>
                    <w:pStyle w:val="20"/>
                  </w:pPr>
                  <w:r>
                    <w:t>0.0114</w:t>
                  </w:r>
                </w:p>
              </w:tc>
              <w:tc>
                <w:tcPr>
                  <w:tcW w:w="351" w:type="pct"/>
                  <w:vMerge w:val="continue"/>
                  <w:vAlign w:val="center"/>
                </w:tcPr>
                <w:p w14:paraId="5BD57254">
                  <w:pPr>
                    <w:pStyle w:val="41"/>
                  </w:pPr>
                </w:p>
              </w:tc>
              <w:tc>
                <w:tcPr>
                  <w:tcW w:w="453" w:type="pct"/>
                  <w:vAlign w:val="center"/>
                </w:tcPr>
                <w:p w14:paraId="69998BA8">
                  <w:pPr>
                    <w:pStyle w:val="20"/>
                  </w:pPr>
                  <w:r>
                    <w:t>200</w:t>
                  </w:r>
                </w:p>
              </w:tc>
            </w:tr>
            <w:tr w14:paraId="5C1D7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367A7E06">
                  <w:pPr>
                    <w:pStyle w:val="41"/>
                  </w:pPr>
                </w:p>
              </w:tc>
              <w:tc>
                <w:tcPr>
                  <w:tcW w:w="351" w:type="pct"/>
                  <w:vAlign w:val="center"/>
                </w:tcPr>
                <w:p w14:paraId="6C10423E">
                  <w:pPr>
                    <w:pStyle w:val="41"/>
                  </w:pPr>
                  <w:r>
                    <w:t>NO</w:t>
                  </w:r>
                  <w:r>
                    <w:rPr>
                      <w:vertAlign w:val="subscript"/>
                    </w:rPr>
                    <w:t>X</w:t>
                  </w:r>
                </w:p>
              </w:tc>
              <w:tc>
                <w:tcPr>
                  <w:tcW w:w="420" w:type="pct"/>
                  <w:vAlign w:val="center"/>
                </w:tcPr>
                <w:p w14:paraId="15358693">
                  <w:pPr>
                    <w:pStyle w:val="41"/>
                  </w:pPr>
                  <w:r>
                    <w:t>1.9697</w:t>
                  </w:r>
                </w:p>
              </w:tc>
              <w:tc>
                <w:tcPr>
                  <w:tcW w:w="383" w:type="pct"/>
                  <w:vAlign w:val="center"/>
                </w:tcPr>
                <w:p w14:paraId="77D93D53">
                  <w:pPr>
                    <w:pStyle w:val="20"/>
                  </w:pPr>
                  <w:r>
                    <w:t>0.031</w:t>
                  </w:r>
                </w:p>
              </w:tc>
              <w:tc>
                <w:tcPr>
                  <w:tcW w:w="165" w:type="pct"/>
                  <w:vMerge w:val="continue"/>
                  <w:vAlign w:val="center"/>
                </w:tcPr>
                <w:p w14:paraId="3FEB70D6">
                  <w:pPr>
                    <w:pStyle w:val="41"/>
                  </w:pPr>
                </w:p>
              </w:tc>
              <w:tc>
                <w:tcPr>
                  <w:tcW w:w="248" w:type="pct"/>
                  <w:vMerge w:val="continue"/>
                  <w:vAlign w:val="center"/>
                </w:tcPr>
                <w:p w14:paraId="7FFE022F">
                  <w:pPr>
                    <w:pStyle w:val="41"/>
                  </w:pPr>
                </w:p>
              </w:tc>
              <w:tc>
                <w:tcPr>
                  <w:tcW w:w="410" w:type="pct"/>
                  <w:vMerge w:val="continue"/>
                  <w:vAlign w:val="center"/>
                </w:tcPr>
                <w:p w14:paraId="3711FF9A">
                  <w:pPr>
                    <w:pStyle w:val="41"/>
                  </w:pPr>
                </w:p>
              </w:tc>
              <w:tc>
                <w:tcPr>
                  <w:tcW w:w="329" w:type="pct"/>
                  <w:vAlign w:val="center"/>
                </w:tcPr>
                <w:p w14:paraId="777F01D7">
                  <w:pPr>
                    <w:pStyle w:val="41"/>
                    <w:rPr>
                      <w:rFonts w:hint="default" w:eastAsia="宋体"/>
                      <w:lang w:val="en-US" w:eastAsia="zh-CN"/>
                    </w:rPr>
                  </w:pPr>
                  <w:r>
                    <w:rPr>
                      <w:rFonts w:hint="eastAsia"/>
                      <w:lang w:val="en-US" w:eastAsia="zh-CN"/>
                    </w:rPr>
                    <w:t>100</w:t>
                  </w:r>
                </w:p>
              </w:tc>
              <w:tc>
                <w:tcPr>
                  <w:tcW w:w="329" w:type="pct"/>
                  <w:vAlign w:val="center"/>
                </w:tcPr>
                <w:p w14:paraId="74C3721C">
                  <w:pPr>
                    <w:pStyle w:val="41"/>
                  </w:pPr>
                  <w:r>
                    <w:t>/</w:t>
                  </w:r>
                </w:p>
              </w:tc>
              <w:tc>
                <w:tcPr>
                  <w:tcW w:w="169" w:type="pct"/>
                  <w:vAlign w:val="center"/>
                </w:tcPr>
                <w:p w14:paraId="3CA8284B">
                  <w:pPr>
                    <w:pStyle w:val="41"/>
                  </w:pPr>
                  <w:r>
                    <w:t>是</w:t>
                  </w:r>
                </w:p>
              </w:tc>
              <w:tc>
                <w:tcPr>
                  <w:tcW w:w="443" w:type="pct"/>
                  <w:vAlign w:val="center"/>
                </w:tcPr>
                <w:p w14:paraId="410B5E68">
                  <w:pPr>
                    <w:pStyle w:val="41"/>
                  </w:pPr>
                  <w:r>
                    <w:t>1.9697</w:t>
                  </w:r>
                </w:p>
              </w:tc>
              <w:tc>
                <w:tcPr>
                  <w:tcW w:w="400" w:type="pct"/>
                  <w:vAlign w:val="center"/>
                </w:tcPr>
                <w:p w14:paraId="35C7BC66">
                  <w:pPr>
                    <w:pStyle w:val="20"/>
                  </w:pPr>
                  <w:r>
                    <w:t>0.0065</w:t>
                  </w:r>
                </w:p>
              </w:tc>
              <w:tc>
                <w:tcPr>
                  <w:tcW w:w="374" w:type="pct"/>
                  <w:vAlign w:val="center"/>
                </w:tcPr>
                <w:p w14:paraId="1DD6BBC5">
                  <w:pPr>
                    <w:pStyle w:val="20"/>
                  </w:pPr>
                  <w:r>
                    <w:t>0.031</w:t>
                  </w:r>
                </w:p>
              </w:tc>
              <w:tc>
                <w:tcPr>
                  <w:tcW w:w="351" w:type="pct"/>
                  <w:vMerge w:val="continue"/>
                  <w:vAlign w:val="center"/>
                </w:tcPr>
                <w:p w14:paraId="714FF502">
                  <w:pPr>
                    <w:pStyle w:val="41"/>
                  </w:pPr>
                </w:p>
              </w:tc>
              <w:tc>
                <w:tcPr>
                  <w:tcW w:w="453" w:type="pct"/>
                  <w:vAlign w:val="center"/>
                </w:tcPr>
                <w:p w14:paraId="72250546">
                  <w:pPr>
                    <w:pStyle w:val="20"/>
                  </w:pPr>
                  <w:r>
                    <w:t>300</w:t>
                  </w:r>
                </w:p>
              </w:tc>
            </w:tr>
            <w:tr w14:paraId="12D0E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77D7888D">
                  <w:pPr>
                    <w:pStyle w:val="41"/>
                  </w:pPr>
                </w:p>
              </w:tc>
              <w:tc>
                <w:tcPr>
                  <w:tcW w:w="351" w:type="pct"/>
                  <w:vAlign w:val="center"/>
                </w:tcPr>
                <w:p w14:paraId="7D21C6F1">
                  <w:pPr>
                    <w:pStyle w:val="41"/>
                    <w:rPr>
                      <w:rFonts w:hint="eastAsia" w:eastAsia="宋体"/>
                      <w:lang w:eastAsia="zh-CN"/>
                    </w:rPr>
                  </w:pPr>
                  <w:r>
                    <w:rPr>
                      <w:rFonts w:hint="eastAsia"/>
                      <w:lang w:eastAsia="zh-CN"/>
                    </w:rPr>
                    <w:t>VOCs</w:t>
                  </w:r>
                </w:p>
              </w:tc>
              <w:tc>
                <w:tcPr>
                  <w:tcW w:w="420" w:type="pct"/>
                  <w:vAlign w:val="center"/>
                </w:tcPr>
                <w:p w14:paraId="18041707">
                  <w:pPr>
                    <w:pStyle w:val="41"/>
                  </w:pPr>
                  <w:r>
                    <w:t>7.6667</w:t>
                  </w:r>
                </w:p>
              </w:tc>
              <w:tc>
                <w:tcPr>
                  <w:tcW w:w="383" w:type="pct"/>
                  <w:vAlign w:val="center"/>
                </w:tcPr>
                <w:p w14:paraId="6FDFC307">
                  <w:pPr>
                    <w:pStyle w:val="41"/>
                  </w:pPr>
                  <w:r>
                    <w:t>01091</w:t>
                  </w:r>
                </w:p>
              </w:tc>
              <w:tc>
                <w:tcPr>
                  <w:tcW w:w="165" w:type="pct"/>
                  <w:vMerge w:val="continue"/>
                  <w:vAlign w:val="center"/>
                </w:tcPr>
                <w:p w14:paraId="08A91B1A">
                  <w:pPr>
                    <w:pStyle w:val="41"/>
                  </w:pPr>
                </w:p>
              </w:tc>
              <w:tc>
                <w:tcPr>
                  <w:tcW w:w="248" w:type="pct"/>
                  <w:vAlign w:val="center"/>
                </w:tcPr>
                <w:p w14:paraId="0A201D5E">
                  <w:pPr>
                    <w:pStyle w:val="41"/>
                    <w:rPr>
                      <w:rFonts w:hint="eastAsia" w:eastAsia="宋体"/>
                      <w:lang w:eastAsia="zh-CN"/>
                    </w:rPr>
                  </w:pPr>
                  <w:r>
                    <w:rPr>
                      <w:rFonts w:hint="eastAsia"/>
                      <w:lang w:eastAsia="zh-CN"/>
                    </w:rPr>
                    <w:t>喷淋塔+干式过滤+二级活性炭吸附装置</w:t>
                  </w:r>
                </w:p>
              </w:tc>
              <w:tc>
                <w:tcPr>
                  <w:tcW w:w="410" w:type="pct"/>
                  <w:vMerge w:val="continue"/>
                  <w:vAlign w:val="center"/>
                </w:tcPr>
                <w:p w14:paraId="1D91C2DD">
                  <w:pPr>
                    <w:pStyle w:val="41"/>
                  </w:pPr>
                </w:p>
              </w:tc>
              <w:tc>
                <w:tcPr>
                  <w:tcW w:w="329" w:type="pct"/>
                  <w:vAlign w:val="center"/>
                </w:tcPr>
                <w:p w14:paraId="5F756816">
                  <w:pPr>
                    <w:pStyle w:val="41"/>
                  </w:pPr>
                  <w:r>
                    <w:t>90</w:t>
                  </w:r>
                </w:p>
              </w:tc>
              <w:tc>
                <w:tcPr>
                  <w:tcW w:w="329" w:type="pct"/>
                  <w:vAlign w:val="center"/>
                </w:tcPr>
                <w:p w14:paraId="17A49A4C">
                  <w:pPr>
                    <w:pStyle w:val="41"/>
                  </w:pPr>
                  <w:r>
                    <w:t>80</w:t>
                  </w:r>
                </w:p>
              </w:tc>
              <w:tc>
                <w:tcPr>
                  <w:tcW w:w="169" w:type="pct"/>
                  <w:vAlign w:val="center"/>
                </w:tcPr>
                <w:p w14:paraId="6BD5E102">
                  <w:pPr>
                    <w:pStyle w:val="41"/>
                  </w:pPr>
                  <w:r>
                    <w:t>是</w:t>
                  </w:r>
                </w:p>
              </w:tc>
              <w:tc>
                <w:tcPr>
                  <w:tcW w:w="443" w:type="pct"/>
                  <w:vAlign w:val="center"/>
                </w:tcPr>
                <w:p w14:paraId="5907A4D1">
                  <w:pPr>
                    <w:pStyle w:val="41"/>
                  </w:pPr>
                  <w:r>
                    <w:t>1.3636</w:t>
                  </w:r>
                </w:p>
              </w:tc>
              <w:tc>
                <w:tcPr>
                  <w:tcW w:w="400" w:type="pct"/>
                  <w:vAlign w:val="center"/>
                </w:tcPr>
                <w:p w14:paraId="06950CE8">
                  <w:pPr>
                    <w:pStyle w:val="41"/>
                  </w:pPr>
                  <w:r>
                    <w:t>0.0045</w:t>
                  </w:r>
                </w:p>
              </w:tc>
              <w:tc>
                <w:tcPr>
                  <w:tcW w:w="374" w:type="pct"/>
                  <w:vAlign w:val="center"/>
                </w:tcPr>
                <w:p w14:paraId="7DBF2E8E">
                  <w:pPr>
                    <w:pStyle w:val="41"/>
                  </w:pPr>
                  <w:r>
                    <w:t>0.0218</w:t>
                  </w:r>
                </w:p>
              </w:tc>
              <w:tc>
                <w:tcPr>
                  <w:tcW w:w="351" w:type="pct"/>
                  <w:vMerge w:val="continue"/>
                  <w:vAlign w:val="center"/>
                </w:tcPr>
                <w:p w14:paraId="5DB6501A">
                  <w:pPr>
                    <w:pStyle w:val="41"/>
                  </w:pPr>
                </w:p>
              </w:tc>
              <w:tc>
                <w:tcPr>
                  <w:tcW w:w="453" w:type="pct"/>
                  <w:vAlign w:val="center"/>
                </w:tcPr>
                <w:p w14:paraId="4B7B6A2A">
                  <w:pPr>
                    <w:pStyle w:val="41"/>
                    <w:rPr>
                      <w:b/>
                      <w:bCs/>
                    </w:rPr>
                  </w:pPr>
                  <w:r>
                    <w:t>80</w:t>
                  </w:r>
                </w:p>
              </w:tc>
            </w:tr>
            <w:tr w14:paraId="6F62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14420D25">
                  <w:pPr>
                    <w:pStyle w:val="41"/>
                  </w:pPr>
                </w:p>
              </w:tc>
              <w:tc>
                <w:tcPr>
                  <w:tcW w:w="351" w:type="pct"/>
                  <w:vAlign w:val="center"/>
                </w:tcPr>
                <w:p w14:paraId="59C3AD97">
                  <w:pPr>
                    <w:pStyle w:val="41"/>
                    <w:rPr>
                      <w:rFonts w:hint="eastAsia" w:eastAsia="宋体"/>
                      <w:lang w:eastAsia="zh-CN"/>
                    </w:rPr>
                  </w:pPr>
                  <w:r>
                    <w:rPr>
                      <w:rFonts w:hint="eastAsia"/>
                      <w:lang w:eastAsia="zh-CN"/>
                    </w:rPr>
                    <w:t>VOCs</w:t>
                  </w:r>
                </w:p>
              </w:tc>
              <w:tc>
                <w:tcPr>
                  <w:tcW w:w="420" w:type="pct"/>
                  <w:vAlign w:val="center"/>
                </w:tcPr>
                <w:p w14:paraId="430E1D65">
                  <w:pPr>
                    <w:pStyle w:val="41"/>
                  </w:pPr>
                  <w:r>
                    <w:t>/</w:t>
                  </w:r>
                </w:p>
              </w:tc>
              <w:tc>
                <w:tcPr>
                  <w:tcW w:w="383" w:type="pct"/>
                  <w:vAlign w:val="center"/>
                </w:tcPr>
                <w:p w14:paraId="6EAE85C3">
                  <w:pPr>
                    <w:pStyle w:val="41"/>
                  </w:pPr>
                  <w:r>
                    <w:t>0.0121</w:t>
                  </w:r>
                </w:p>
              </w:tc>
              <w:tc>
                <w:tcPr>
                  <w:tcW w:w="165" w:type="pct"/>
                  <w:vAlign w:val="center"/>
                </w:tcPr>
                <w:p w14:paraId="0D996F31">
                  <w:pPr>
                    <w:pStyle w:val="41"/>
                  </w:pPr>
                  <w:r>
                    <w:t>无组织</w:t>
                  </w:r>
                </w:p>
              </w:tc>
              <w:tc>
                <w:tcPr>
                  <w:tcW w:w="248" w:type="pct"/>
                  <w:vAlign w:val="center"/>
                </w:tcPr>
                <w:p w14:paraId="04420BFD">
                  <w:pPr>
                    <w:pStyle w:val="41"/>
                  </w:pPr>
                  <w:r>
                    <w:t>加强收集</w:t>
                  </w:r>
                </w:p>
              </w:tc>
              <w:tc>
                <w:tcPr>
                  <w:tcW w:w="410" w:type="pct"/>
                  <w:vAlign w:val="center"/>
                </w:tcPr>
                <w:p w14:paraId="0038C0A4">
                  <w:pPr>
                    <w:pStyle w:val="41"/>
                  </w:pPr>
                  <w:r>
                    <w:t>/</w:t>
                  </w:r>
                </w:p>
              </w:tc>
              <w:tc>
                <w:tcPr>
                  <w:tcW w:w="329" w:type="pct"/>
                  <w:vAlign w:val="center"/>
                </w:tcPr>
                <w:p w14:paraId="6ACF4F89">
                  <w:pPr>
                    <w:pStyle w:val="41"/>
                  </w:pPr>
                  <w:r>
                    <w:t>/</w:t>
                  </w:r>
                </w:p>
              </w:tc>
              <w:tc>
                <w:tcPr>
                  <w:tcW w:w="329" w:type="pct"/>
                  <w:vAlign w:val="center"/>
                </w:tcPr>
                <w:p w14:paraId="3DA77C0B">
                  <w:pPr>
                    <w:pStyle w:val="41"/>
                  </w:pPr>
                  <w:r>
                    <w:t>/</w:t>
                  </w:r>
                </w:p>
              </w:tc>
              <w:tc>
                <w:tcPr>
                  <w:tcW w:w="169" w:type="pct"/>
                  <w:vAlign w:val="center"/>
                </w:tcPr>
                <w:p w14:paraId="28F7E496">
                  <w:pPr>
                    <w:pStyle w:val="41"/>
                  </w:pPr>
                  <w:r>
                    <w:t>/</w:t>
                  </w:r>
                </w:p>
              </w:tc>
              <w:tc>
                <w:tcPr>
                  <w:tcW w:w="443" w:type="pct"/>
                  <w:vAlign w:val="center"/>
                </w:tcPr>
                <w:p w14:paraId="3F2C5BCC">
                  <w:pPr>
                    <w:pStyle w:val="41"/>
                  </w:pPr>
                  <w:r>
                    <w:t>/</w:t>
                  </w:r>
                </w:p>
              </w:tc>
              <w:tc>
                <w:tcPr>
                  <w:tcW w:w="400" w:type="pct"/>
                  <w:vAlign w:val="center"/>
                </w:tcPr>
                <w:p w14:paraId="2414F14D">
                  <w:pPr>
                    <w:pStyle w:val="41"/>
                  </w:pPr>
                  <w:r>
                    <w:t>0.0025</w:t>
                  </w:r>
                </w:p>
              </w:tc>
              <w:tc>
                <w:tcPr>
                  <w:tcW w:w="374" w:type="pct"/>
                  <w:vAlign w:val="center"/>
                </w:tcPr>
                <w:p w14:paraId="3C6784DD">
                  <w:pPr>
                    <w:pStyle w:val="41"/>
                  </w:pPr>
                  <w:r>
                    <w:t>0.0121</w:t>
                  </w:r>
                </w:p>
              </w:tc>
              <w:tc>
                <w:tcPr>
                  <w:tcW w:w="351" w:type="pct"/>
                  <w:vAlign w:val="center"/>
                </w:tcPr>
                <w:p w14:paraId="2FB20CB7">
                  <w:pPr>
                    <w:pStyle w:val="41"/>
                  </w:pPr>
                  <w:r>
                    <w:t>/</w:t>
                  </w:r>
                </w:p>
              </w:tc>
              <w:tc>
                <w:tcPr>
                  <w:tcW w:w="453" w:type="pct"/>
                  <w:vAlign w:val="center"/>
                </w:tcPr>
                <w:p w14:paraId="5B60A219">
                  <w:pPr>
                    <w:pStyle w:val="41"/>
                  </w:pPr>
                  <w:r>
                    <w:t>/</w:t>
                  </w:r>
                </w:p>
              </w:tc>
            </w:tr>
            <w:tr w14:paraId="72BA1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restart"/>
                  <w:vAlign w:val="center"/>
                </w:tcPr>
                <w:p w14:paraId="5599CDE2">
                  <w:pPr>
                    <w:pStyle w:val="41"/>
                  </w:pPr>
                  <w:r>
                    <w:t>电泳烘干废气</w:t>
                  </w:r>
                </w:p>
              </w:tc>
              <w:tc>
                <w:tcPr>
                  <w:tcW w:w="351" w:type="pct"/>
                  <w:vAlign w:val="center"/>
                </w:tcPr>
                <w:p w14:paraId="2F6A63D4">
                  <w:pPr>
                    <w:pStyle w:val="41"/>
                  </w:pPr>
                  <w:r>
                    <w:t>颗粒物</w:t>
                  </w:r>
                </w:p>
              </w:tc>
              <w:tc>
                <w:tcPr>
                  <w:tcW w:w="420" w:type="pct"/>
                  <w:vAlign w:val="center"/>
                </w:tcPr>
                <w:p w14:paraId="24716C6C">
                  <w:pPr>
                    <w:pStyle w:val="41"/>
                  </w:pPr>
                  <w:r>
                    <w:t>0.303</w:t>
                  </w:r>
                </w:p>
              </w:tc>
              <w:tc>
                <w:tcPr>
                  <w:tcW w:w="383" w:type="pct"/>
                  <w:vAlign w:val="center"/>
                </w:tcPr>
                <w:p w14:paraId="428E035D">
                  <w:pPr>
                    <w:pStyle w:val="20"/>
                  </w:pPr>
                  <w:r>
                    <w:t>0.0047</w:t>
                  </w:r>
                </w:p>
              </w:tc>
              <w:tc>
                <w:tcPr>
                  <w:tcW w:w="165" w:type="pct"/>
                  <w:vMerge w:val="restart"/>
                  <w:vAlign w:val="center"/>
                </w:tcPr>
                <w:p w14:paraId="2E9D50D2">
                  <w:pPr>
                    <w:pStyle w:val="41"/>
                  </w:pPr>
                  <w:r>
                    <w:t>有组织</w:t>
                  </w:r>
                </w:p>
              </w:tc>
              <w:tc>
                <w:tcPr>
                  <w:tcW w:w="248" w:type="pct"/>
                  <w:vMerge w:val="restart"/>
                  <w:vAlign w:val="center"/>
                </w:tcPr>
                <w:p w14:paraId="1C85FF77">
                  <w:pPr>
                    <w:pStyle w:val="41"/>
                  </w:pPr>
                  <w:r>
                    <w:t>/</w:t>
                  </w:r>
                </w:p>
              </w:tc>
              <w:tc>
                <w:tcPr>
                  <w:tcW w:w="410" w:type="pct"/>
                  <w:vMerge w:val="restart"/>
                  <w:vAlign w:val="center"/>
                </w:tcPr>
                <w:p w14:paraId="491A4BCF">
                  <w:pPr>
                    <w:pStyle w:val="41"/>
                  </w:pPr>
                  <w:r>
                    <w:t>3300</w:t>
                  </w:r>
                </w:p>
              </w:tc>
              <w:tc>
                <w:tcPr>
                  <w:tcW w:w="329" w:type="pct"/>
                  <w:vAlign w:val="center"/>
                </w:tcPr>
                <w:p w14:paraId="1BCD81DE">
                  <w:pPr>
                    <w:pStyle w:val="41"/>
                    <w:rPr>
                      <w:rFonts w:hint="default" w:eastAsia="宋体"/>
                      <w:lang w:val="en-US" w:eastAsia="zh-CN"/>
                    </w:rPr>
                  </w:pPr>
                  <w:r>
                    <w:rPr>
                      <w:rFonts w:hint="eastAsia"/>
                      <w:lang w:val="en-US" w:eastAsia="zh-CN"/>
                    </w:rPr>
                    <w:t>100</w:t>
                  </w:r>
                </w:p>
              </w:tc>
              <w:tc>
                <w:tcPr>
                  <w:tcW w:w="329" w:type="pct"/>
                  <w:vAlign w:val="center"/>
                </w:tcPr>
                <w:p w14:paraId="1159F226">
                  <w:pPr>
                    <w:pStyle w:val="41"/>
                  </w:pPr>
                  <w:r>
                    <w:t>/</w:t>
                  </w:r>
                </w:p>
              </w:tc>
              <w:tc>
                <w:tcPr>
                  <w:tcW w:w="169" w:type="pct"/>
                  <w:vAlign w:val="center"/>
                </w:tcPr>
                <w:p w14:paraId="6A29B394">
                  <w:pPr>
                    <w:pStyle w:val="41"/>
                  </w:pPr>
                  <w:r>
                    <w:t>是</w:t>
                  </w:r>
                </w:p>
              </w:tc>
              <w:tc>
                <w:tcPr>
                  <w:tcW w:w="443" w:type="pct"/>
                  <w:vAlign w:val="center"/>
                </w:tcPr>
                <w:p w14:paraId="70BF1E4F">
                  <w:pPr>
                    <w:pStyle w:val="41"/>
                  </w:pPr>
                  <w:r>
                    <w:t>0.303</w:t>
                  </w:r>
                </w:p>
              </w:tc>
              <w:tc>
                <w:tcPr>
                  <w:tcW w:w="400" w:type="pct"/>
                  <w:vAlign w:val="center"/>
                </w:tcPr>
                <w:p w14:paraId="64CE6EBC">
                  <w:pPr>
                    <w:pStyle w:val="20"/>
                  </w:pPr>
                  <w:r>
                    <w:t>0.001</w:t>
                  </w:r>
                </w:p>
              </w:tc>
              <w:tc>
                <w:tcPr>
                  <w:tcW w:w="374" w:type="pct"/>
                  <w:vAlign w:val="center"/>
                </w:tcPr>
                <w:p w14:paraId="6B82E55B">
                  <w:pPr>
                    <w:pStyle w:val="20"/>
                  </w:pPr>
                  <w:r>
                    <w:t>0.0047</w:t>
                  </w:r>
                </w:p>
              </w:tc>
              <w:tc>
                <w:tcPr>
                  <w:tcW w:w="351" w:type="pct"/>
                  <w:vMerge w:val="restart"/>
                  <w:vAlign w:val="center"/>
                </w:tcPr>
                <w:p w14:paraId="225ABF90">
                  <w:pPr>
                    <w:pStyle w:val="41"/>
                  </w:pPr>
                  <w:r>
                    <w:t>DA003</w:t>
                  </w:r>
                </w:p>
              </w:tc>
              <w:tc>
                <w:tcPr>
                  <w:tcW w:w="453" w:type="pct"/>
                  <w:vAlign w:val="center"/>
                </w:tcPr>
                <w:p w14:paraId="095FFB44">
                  <w:pPr>
                    <w:pStyle w:val="20"/>
                  </w:pPr>
                  <w:r>
                    <w:t>30</w:t>
                  </w:r>
                </w:p>
              </w:tc>
            </w:tr>
            <w:tr w14:paraId="78AF7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59458C51">
                  <w:pPr>
                    <w:pStyle w:val="41"/>
                  </w:pPr>
                </w:p>
              </w:tc>
              <w:tc>
                <w:tcPr>
                  <w:tcW w:w="351" w:type="pct"/>
                  <w:vAlign w:val="center"/>
                </w:tcPr>
                <w:p w14:paraId="7B4E2C06">
                  <w:pPr>
                    <w:pStyle w:val="41"/>
                  </w:pPr>
                  <w:r>
                    <w:t>SO</w:t>
                  </w:r>
                  <w:r>
                    <w:rPr>
                      <w:vertAlign w:val="subscript"/>
                    </w:rPr>
                    <w:t>2</w:t>
                  </w:r>
                </w:p>
              </w:tc>
              <w:tc>
                <w:tcPr>
                  <w:tcW w:w="420" w:type="pct"/>
                  <w:vAlign w:val="center"/>
                </w:tcPr>
                <w:p w14:paraId="4C02ED27">
                  <w:pPr>
                    <w:pStyle w:val="41"/>
                  </w:pPr>
                  <w:r>
                    <w:t>0.7273</w:t>
                  </w:r>
                </w:p>
              </w:tc>
              <w:tc>
                <w:tcPr>
                  <w:tcW w:w="383" w:type="pct"/>
                  <w:vAlign w:val="center"/>
                </w:tcPr>
                <w:p w14:paraId="5CE5EAEA">
                  <w:pPr>
                    <w:pStyle w:val="20"/>
                  </w:pPr>
                  <w:r>
                    <w:t>0.0114</w:t>
                  </w:r>
                </w:p>
              </w:tc>
              <w:tc>
                <w:tcPr>
                  <w:tcW w:w="165" w:type="pct"/>
                  <w:vMerge w:val="continue"/>
                  <w:vAlign w:val="center"/>
                </w:tcPr>
                <w:p w14:paraId="22485D66">
                  <w:pPr>
                    <w:pStyle w:val="41"/>
                  </w:pPr>
                </w:p>
              </w:tc>
              <w:tc>
                <w:tcPr>
                  <w:tcW w:w="248" w:type="pct"/>
                  <w:vMerge w:val="continue"/>
                  <w:vAlign w:val="center"/>
                </w:tcPr>
                <w:p w14:paraId="41BA8C95">
                  <w:pPr>
                    <w:pStyle w:val="41"/>
                  </w:pPr>
                </w:p>
              </w:tc>
              <w:tc>
                <w:tcPr>
                  <w:tcW w:w="410" w:type="pct"/>
                  <w:vMerge w:val="continue"/>
                  <w:vAlign w:val="center"/>
                </w:tcPr>
                <w:p w14:paraId="2A55E9C4">
                  <w:pPr>
                    <w:pStyle w:val="41"/>
                  </w:pPr>
                </w:p>
              </w:tc>
              <w:tc>
                <w:tcPr>
                  <w:tcW w:w="329" w:type="pct"/>
                  <w:vAlign w:val="center"/>
                </w:tcPr>
                <w:p w14:paraId="01295D55">
                  <w:pPr>
                    <w:pStyle w:val="41"/>
                    <w:rPr>
                      <w:rFonts w:hint="default" w:eastAsia="宋体"/>
                      <w:lang w:val="en-US" w:eastAsia="zh-CN"/>
                    </w:rPr>
                  </w:pPr>
                  <w:r>
                    <w:rPr>
                      <w:rFonts w:hint="eastAsia"/>
                      <w:lang w:val="en-US" w:eastAsia="zh-CN"/>
                    </w:rPr>
                    <w:t>100</w:t>
                  </w:r>
                </w:p>
              </w:tc>
              <w:tc>
                <w:tcPr>
                  <w:tcW w:w="329" w:type="pct"/>
                  <w:vAlign w:val="center"/>
                </w:tcPr>
                <w:p w14:paraId="265C7D12">
                  <w:pPr>
                    <w:pStyle w:val="41"/>
                  </w:pPr>
                  <w:r>
                    <w:t>/</w:t>
                  </w:r>
                </w:p>
              </w:tc>
              <w:tc>
                <w:tcPr>
                  <w:tcW w:w="169" w:type="pct"/>
                  <w:vAlign w:val="center"/>
                </w:tcPr>
                <w:p w14:paraId="38915B64">
                  <w:pPr>
                    <w:pStyle w:val="41"/>
                  </w:pPr>
                  <w:r>
                    <w:t>是</w:t>
                  </w:r>
                </w:p>
              </w:tc>
              <w:tc>
                <w:tcPr>
                  <w:tcW w:w="443" w:type="pct"/>
                  <w:vAlign w:val="center"/>
                </w:tcPr>
                <w:p w14:paraId="0A531F73">
                  <w:pPr>
                    <w:pStyle w:val="41"/>
                  </w:pPr>
                  <w:r>
                    <w:t>0.7273</w:t>
                  </w:r>
                </w:p>
              </w:tc>
              <w:tc>
                <w:tcPr>
                  <w:tcW w:w="400" w:type="pct"/>
                  <w:vAlign w:val="center"/>
                </w:tcPr>
                <w:p w14:paraId="6814FF69">
                  <w:pPr>
                    <w:pStyle w:val="20"/>
                  </w:pPr>
                  <w:r>
                    <w:t>0.0024</w:t>
                  </w:r>
                </w:p>
              </w:tc>
              <w:tc>
                <w:tcPr>
                  <w:tcW w:w="374" w:type="pct"/>
                  <w:vAlign w:val="center"/>
                </w:tcPr>
                <w:p w14:paraId="1F6E7A30">
                  <w:pPr>
                    <w:pStyle w:val="20"/>
                  </w:pPr>
                  <w:r>
                    <w:t>0.0114</w:t>
                  </w:r>
                </w:p>
              </w:tc>
              <w:tc>
                <w:tcPr>
                  <w:tcW w:w="351" w:type="pct"/>
                  <w:vMerge w:val="continue"/>
                  <w:vAlign w:val="center"/>
                </w:tcPr>
                <w:p w14:paraId="5CD63070">
                  <w:pPr>
                    <w:pStyle w:val="41"/>
                  </w:pPr>
                </w:p>
              </w:tc>
              <w:tc>
                <w:tcPr>
                  <w:tcW w:w="453" w:type="pct"/>
                  <w:vAlign w:val="center"/>
                </w:tcPr>
                <w:p w14:paraId="66B47C09">
                  <w:pPr>
                    <w:pStyle w:val="20"/>
                  </w:pPr>
                  <w:r>
                    <w:t>200</w:t>
                  </w:r>
                </w:p>
              </w:tc>
            </w:tr>
            <w:tr w14:paraId="25BED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1B22A576">
                  <w:pPr>
                    <w:pStyle w:val="41"/>
                  </w:pPr>
                </w:p>
              </w:tc>
              <w:tc>
                <w:tcPr>
                  <w:tcW w:w="351" w:type="pct"/>
                  <w:vAlign w:val="center"/>
                </w:tcPr>
                <w:p w14:paraId="04037133">
                  <w:pPr>
                    <w:pStyle w:val="41"/>
                  </w:pPr>
                  <w:r>
                    <w:t>NO</w:t>
                  </w:r>
                  <w:r>
                    <w:rPr>
                      <w:vertAlign w:val="subscript"/>
                    </w:rPr>
                    <w:t>X</w:t>
                  </w:r>
                </w:p>
              </w:tc>
              <w:tc>
                <w:tcPr>
                  <w:tcW w:w="420" w:type="pct"/>
                  <w:vAlign w:val="center"/>
                </w:tcPr>
                <w:p w14:paraId="5D67D17B">
                  <w:pPr>
                    <w:pStyle w:val="41"/>
                  </w:pPr>
                  <w:r>
                    <w:t>1.9697</w:t>
                  </w:r>
                </w:p>
              </w:tc>
              <w:tc>
                <w:tcPr>
                  <w:tcW w:w="383" w:type="pct"/>
                  <w:vAlign w:val="center"/>
                </w:tcPr>
                <w:p w14:paraId="610855ED">
                  <w:pPr>
                    <w:pStyle w:val="20"/>
                  </w:pPr>
                  <w:r>
                    <w:t>0.031</w:t>
                  </w:r>
                </w:p>
              </w:tc>
              <w:tc>
                <w:tcPr>
                  <w:tcW w:w="165" w:type="pct"/>
                  <w:vMerge w:val="continue"/>
                  <w:vAlign w:val="center"/>
                </w:tcPr>
                <w:p w14:paraId="6955B55E">
                  <w:pPr>
                    <w:pStyle w:val="41"/>
                  </w:pPr>
                </w:p>
              </w:tc>
              <w:tc>
                <w:tcPr>
                  <w:tcW w:w="248" w:type="pct"/>
                  <w:vMerge w:val="continue"/>
                  <w:vAlign w:val="center"/>
                </w:tcPr>
                <w:p w14:paraId="2FD3D92B">
                  <w:pPr>
                    <w:pStyle w:val="41"/>
                  </w:pPr>
                </w:p>
              </w:tc>
              <w:tc>
                <w:tcPr>
                  <w:tcW w:w="410" w:type="pct"/>
                  <w:vMerge w:val="continue"/>
                  <w:vAlign w:val="center"/>
                </w:tcPr>
                <w:p w14:paraId="25A193F9">
                  <w:pPr>
                    <w:pStyle w:val="41"/>
                  </w:pPr>
                </w:p>
              </w:tc>
              <w:tc>
                <w:tcPr>
                  <w:tcW w:w="329" w:type="pct"/>
                  <w:vAlign w:val="center"/>
                </w:tcPr>
                <w:p w14:paraId="199F65DD">
                  <w:pPr>
                    <w:pStyle w:val="41"/>
                    <w:rPr>
                      <w:rFonts w:hint="default" w:eastAsia="宋体"/>
                      <w:lang w:val="en-US" w:eastAsia="zh-CN"/>
                    </w:rPr>
                  </w:pPr>
                  <w:r>
                    <w:rPr>
                      <w:rFonts w:hint="eastAsia"/>
                      <w:lang w:val="en-US" w:eastAsia="zh-CN"/>
                    </w:rPr>
                    <w:t>100</w:t>
                  </w:r>
                </w:p>
              </w:tc>
              <w:tc>
                <w:tcPr>
                  <w:tcW w:w="329" w:type="pct"/>
                  <w:vAlign w:val="center"/>
                </w:tcPr>
                <w:p w14:paraId="71A5BB5A">
                  <w:pPr>
                    <w:pStyle w:val="41"/>
                  </w:pPr>
                  <w:r>
                    <w:t>/</w:t>
                  </w:r>
                </w:p>
              </w:tc>
              <w:tc>
                <w:tcPr>
                  <w:tcW w:w="169" w:type="pct"/>
                  <w:vAlign w:val="center"/>
                </w:tcPr>
                <w:p w14:paraId="04C9D450">
                  <w:pPr>
                    <w:pStyle w:val="41"/>
                  </w:pPr>
                  <w:r>
                    <w:t>是</w:t>
                  </w:r>
                </w:p>
              </w:tc>
              <w:tc>
                <w:tcPr>
                  <w:tcW w:w="443" w:type="pct"/>
                  <w:vAlign w:val="center"/>
                </w:tcPr>
                <w:p w14:paraId="1E4B8EFE">
                  <w:pPr>
                    <w:pStyle w:val="41"/>
                  </w:pPr>
                  <w:r>
                    <w:t>1.9697</w:t>
                  </w:r>
                </w:p>
              </w:tc>
              <w:tc>
                <w:tcPr>
                  <w:tcW w:w="400" w:type="pct"/>
                  <w:vAlign w:val="center"/>
                </w:tcPr>
                <w:p w14:paraId="237F9D4F">
                  <w:pPr>
                    <w:pStyle w:val="20"/>
                  </w:pPr>
                  <w:r>
                    <w:t>0.0065</w:t>
                  </w:r>
                </w:p>
              </w:tc>
              <w:tc>
                <w:tcPr>
                  <w:tcW w:w="374" w:type="pct"/>
                  <w:vAlign w:val="center"/>
                </w:tcPr>
                <w:p w14:paraId="2D9C6D2E">
                  <w:pPr>
                    <w:pStyle w:val="20"/>
                  </w:pPr>
                  <w:r>
                    <w:t>0.031</w:t>
                  </w:r>
                </w:p>
              </w:tc>
              <w:tc>
                <w:tcPr>
                  <w:tcW w:w="351" w:type="pct"/>
                  <w:vMerge w:val="continue"/>
                  <w:vAlign w:val="center"/>
                </w:tcPr>
                <w:p w14:paraId="1A835C5E">
                  <w:pPr>
                    <w:pStyle w:val="41"/>
                  </w:pPr>
                </w:p>
              </w:tc>
              <w:tc>
                <w:tcPr>
                  <w:tcW w:w="453" w:type="pct"/>
                  <w:vAlign w:val="center"/>
                </w:tcPr>
                <w:p w14:paraId="5EFEE8E3">
                  <w:pPr>
                    <w:pStyle w:val="20"/>
                  </w:pPr>
                  <w:r>
                    <w:t>300</w:t>
                  </w:r>
                </w:p>
              </w:tc>
            </w:tr>
            <w:tr w14:paraId="5A06D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4DD6CBA9">
                  <w:pPr>
                    <w:pStyle w:val="41"/>
                  </w:pPr>
                </w:p>
              </w:tc>
              <w:tc>
                <w:tcPr>
                  <w:tcW w:w="351" w:type="pct"/>
                  <w:vAlign w:val="center"/>
                </w:tcPr>
                <w:p w14:paraId="521F882E">
                  <w:pPr>
                    <w:pStyle w:val="41"/>
                    <w:rPr>
                      <w:rFonts w:hint="eastAsia" w:eastAsia="宋体"/>
                      <w:lang w:eastAsia="zh-CN"/>
                    </w:rPr>
                  </w:pPr>
                  <w:r>
                    <w:rPr>
                      <w:rFonts w:hint="eastAsia"/>
                      <w:lang w:eastAsia="zh-CN"/>
                    </w:rPr>
                    <w:t>VOCs</w:t>
                  </w:r>
                </w:p>
              </w:tc>
              <w:tc>
                <w:tcPr>
                  <w:tcW w:w="420" w:type="pct"/>
                  <w:vAlign w:val="center"/>
                </w:tcPr>
                <w:p w14:paraId="62062DFF">
                  <w:pPr>
                    <w:pStyle w:val="41"/>
                  </w:pPr>
                  <w:r>
                    <w:t>117</w:t>
                  </w:r>
                </w:p>
              </w:tc>
              <w:tc>
                <w:tcPr>
                  <w:tcW w:w="383" w:type="pct"/>
                  <w:vAlign w:val="center"/>
                </w:tcPr>
                <w:p w14:paraId="1CFB5BDE">
                  <w:pPr>
                    <w:pStyle w:val="41"/>
                  </w:pPr>
                  <w:r>
                    <w:t>1.6738</w:t>
                  </w:r>
                </w:p>
              </w:tc>
              <w:tc>
                <w:tcPr>
                  <w:tcW w:w="165" w:type="pct"/>
                  <w:vMerge w:val="continue"/>
                  <w:vAlign w:val="center"/>
                </w:tcPr>
                <w:p w14:paraId="72629FB9">
                  <w:pPr>
                    <w:pStyle w:val="41"/>
                  </w:pPr>
                </w:p>
              </w:tc>
              <w:tc>
                <w:tcPr>
                  <w:tcW w:w="248" w:type="pct"/>
                  <w:vAlign w:val="center"/>
                </w:tcPr>
                <w:p w14:paraId="566DB5E1">
                  <w:pPr>
                    <w:pStyle w:val="41"/>
                    <w:rPr>
                      <w:rFonts w:hint="eastAsia" w:eastAsia="宋体"/>
                      <w:lang w:eastAsia="zh-CN"/>
                    </w:rPr>
                  </w:pPr>
                  <w:r>
                    <w:rPr>
                      <w:rFonts w:hint="eastAsia"/>
                      <w:lang w:eastAsia="zh-CN"/>
                    </w:rPr>
                    <w:t>喷淋塔+干式过滤+二级活性炭吸附装置</w:t>
                  </w:r>
                </w:p>
              </w:tc>
              <w:tc>
                <w:tcPr>
                  <w:tcW w:w="410" w:type="pct"/>
                  <w:vMerge w:val="continue"/>
                  <w:vAlign w:val="center"/>
                </w:tcPr>
                <w:p w14:paraId="67737A9A">
                  <w:pPr>
                    <w:pStyle w:val="41"/>
                  </w:pPr>
                </w:p>
              </w:tc>
              <w:tc>
                <w:tcPr>
                  <w:tcW w:w="329" w:type="pct"/>
                  <w:vAlign w:val="center"/>
                </w:tcPr>
                <w:p w14:paraId="70738C90">
                  <w:pPr>
                    <w:pStyle w:val="41"/>
                  </w:pPr>
                  <w:r>
                    <w:t>90</w:t>
                  </w:r>
                </w:p>
              </w:tc>
              <w:tc>
                <w:tcPr>
                  <w:tcW w:w="329" w:type="pct"/>
                  <w:vAlign w:val="center"/>
                </w:tcPr>
                <w:p w14:paraId="6CC2F0A5">
                  <w:pPr>
                    <w:pStyle w:val="41"/>
                  </w:pPr>
                  <w:r>
                    <w:t>80</w:t>
                  </w:r>
                </w:p>
              </w:tc>
              <w:tc>
                <w:tcPr>
                  <w:tcW w:w="169" w:type="pct"/>
                  <w:vAlign w:val="center"/>
                </w:tcPr>
                <w:p w14:paraId="32912265">
                  <w:pPr>
                    <w:pStyle w:val="41"/>
                  </w:pPr>
                  <w:r>
                    <w:t>是</w:t>
                  </w:r>
                </w:p>
              </w:tc>
              <w:tc>
                <w:tcPr>
                  <w:tcW w:w="443" w:type="pct"/>
                  <w:vAlign w:val="center"/>
                </w:tcPr>
                <w:p w14:paraId="34589131">
                  <w:pPr>
                    <w:pStyle w:val="41"/>
                  </w:pPr>
                  <w:r>
                    <w:t>21.12</w:t>
                  </w:r>
                </w:p>
              </w:tc>
              <w:tc>
                <w:tcPr>
                  <w:tcW w:w="400" w:type="pct"/>
                  <w:vAlign w:val="center"/>
                </w:tcPr>
                <w:p w14:paraId="05ED2F0B">
                  <w:pPr>
                    <w:pStyle w:val="41"/>
                  </w:pPr>
                  <w:r>
                    <w:t>0.0697</w:t>
                  </w:r>
                </w:p>
              </w:tc>
              <w:tc>
                <w:tcPr>
                  <w:tcW w:w="374" w:type="pct"/>
                  <w:vAlign w:val="center"/>
                </w:tcPr>
                <w:p w14:paraId="4255309A">
                  <w:pPr>
                    <w:pStyle w:val="41"/>
                  </w:pPr>
                  <w:r>
                    <w:t>0.3348</w:t>
                  </w:r>
                </w:p>
              </w:tc>
              <w:tc>
                <w:tcPr>
                  <w:tcW w:w="351" w:type="pct"/>
                  <w:vMerge w:val="continue"/>
                  <w:vAlign w:val="center"/>
                </w:tcPr>
                <w:p w14:paraId="22FB9E17">
                  <w:pPr>
                    <w:pStyle w:val="41"/>
                  </w:pPr>
                </w:p>
              </w:tc>
              <w:tc>
                <w:tcPr>
                  <w:tcW w:w="453" w:type="pct"/>
                  <w:vAlign w:val="center"/>
                </w:tcPr>
                <w:p w14:paraId="706C3013">
                  <w:pPr>
                    <w:pStyle w:val="41"/>
                    <w:rPr>
                      <w:b/>
                    </w:rPr>
                  </w:pPr>
                  <w:r>
                    <w:t>80</w:t>
                  </w:r>
                </w:p>
              </w:tc>
            </w:tr>
            <w:tr w14:paraId="1102E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1B411FDF">
                  <w:pPr>
                    <w:pStyle w:val="41"/>
                  </w:pPr>
                </w:p>
              </w:tc>
              <w:tc>
                <w:tcPr>
                  <w:tcW w:w="351" w:type="pct"/>
                  <w:vAlign w:val="center"/>
                </w:tcPr>
                <w:p w14:paraId="569ACA56">
                  <w:pPr>
                    <w:pStyle w:val="41"/>
                    <w:rPr>
                      <w:rFonts w:hint="eastAsia" w:eastAsia="宋体"/>
                      <w:lang w:eastAsia="zh-CN"/>
                    </w:rPr>
                  </w:pPr>
                  <w:r>
                    <w:rPr>
                      <w:rFonts w:hint="eastAsia"/>
                      <w:lang w:eastAsia="zh-CN"/>
                    </w:rPr>
                    <w:t>VOCs</w:t>
                  </w:r>
                </w:p>
              </w:tc>
              <w:tc>
                <w:tcPr>
                  <w:tcW w:w="420" w:type="pct"/>
                  <w:vAlign w:val="center"/>
                </w:tcPr>
                <w:p w14:paraId="1DAFB977">
                  <w:pPr>
                    <w:pStyle w:val="41"/>
                  </w:pPr>
                  <w:r>
                    <w:t>/</w:t>
                  </w:r>
                </w:p>
              </w:tc>
              <w:tc>
                <w:tcPr>
                  <w:tcW w:w="383" w:type="pct"/>
                  <w:vAlign w:val="center"/>
                </w:tcPr>
                <w:p w14:paraId="0651B019">
                  <w:pPr>
                    <w:pStyle w:val="41"/>
                  </w:pPr>
                  <w:r>
                    <w:t>0.1860</w:t>
                  </w:r>
                </w:p>
              </w:tc>
              <w:tc>
                <w:tcPr>
                  <w:tcW w:w="165" w:type="pct"/>
                  <w:vAlign w:val="center"/>
                </w:tcPr>
                <w:p w14:paraId="673CECFF">
                  <w:pPr>
                    <w:pStyle w:val="41"/>
                  </w:pPr>
                  <w:r>
                    <w:t>无组织</w:t>
                  </w:r>
                </w:p>
              </w:tc>
              <w:tc>
                <w:tcPr>
                  <w:tcW w:w="248" w:type="pct"/>
                  <w:vAlign w:val="center"/>
                </w:tcPr>
                <w:p w14:paraId="62C32788">
                  <w:pPr>
                    <w:pStyle w:val="41"/>
                  </w:pPr>
                  <w:r>
                    <w:t>加强收集</w:t>
                  </w:r>
                </w:p>
              </w:tc>
              <w:tc>
                <w:tcPr>
                  <w:tcW w:w="410" w:type="pct"/>
                  <w:vAlign w:val="center"/>
                </w:tcPr>
                <w:p w14:paraId="226BFAD4">
                  <w:pPr>
                    <w:pStyle w:val="41"/>
                  </w:pPr>
                  <w:r>
                    <w:t>/</w:t>
                  </w:r>
                </w:p>
              </w:tc>
              <w:tc>
                <w:tcPr>
                  <w:tcW w:w="329" w:type="pct"/>
                  <w:vAlign w:val="center"/>
                </w:tcPr>
                <w:p w14:paraId="61FC6789">
                  <w:pPr>
                    <w:pStyle w:val="41"/>
                  </w:pPr>
                  <w:r>
                    <w:t>/</w:t>
                  </w:r>
                </w:p>
              </w:tc>
              <w:tc>
                <w:tcPr>
                  <w:tcW w:w="329" w:type="pct"/>
                  <w:vAlign w:val="center"/>
                </w:tcPr>
                <w:p w14:paraId="0501D16E">
                  <w:pPr>
                    <w:pStyle w:val="41"/>
                  </w:pPr>
                  <w:r>
                    <w:t>/</w:t>
                  </w:r>
                </w:p>
              </w:tc>
              <w:tc>
                <w:tcPr>
                  <w:tcW w:w="169" w:type="pct"/>
                  <w:vAlign w:val="center"/>
                </w:tcPr>
                <w:p w14:paraId="6FD776CC">
                  <w:pPr>
                    <w:pStyle w:val="41"/>
                  </w:pPr>
                  <w:r>
                    <w:t>/</w:t>
                  </w:r>
                </w:p>
              </w:tc>
              <w:tc>
                <w:tcPr>
                  <w:tcW w:w="443" w:type="pct"/>
                  <w:vAlign w:val="center"/>
                </w:tcPr>
                <w:p w14:paraId="286EAFEE">
                  <w:pPr>
                    <w:pStyle w:val="41"/>
                  </w:pPr>
                  <w:r>
                    <w:t>/</w:t>
                  </w:r>
                </w:p>
              </w:tc>
              <w:tc>
                <w:tcPr>
                  <w:tcW w:w="400" w:type="pct"/>
                  <w:vAlign w:val="center"/>
                </w:tcPr>
                <w:p w14:paraId="275F8510">
                  <w:pPr>
                    <w:pStyle w:val="41"/>
                  </w:pPr>
                  <w:r>
                    <w:t>0.0387</w:t>
                  </w:r>
                </w:p>
              </w:tc>
              <w:tc>
                <w:tcPr>
                  <w:tcW w:w="374" w:type="pct"/>
                  <w:vAlign w:val="center"/>
                </w:tcPr>
                <w:p w14:paraId="30AFFE51">
                  <w:pPr>
                    <w:pStyle w:val="41"/>
                  </w:pPr>
                  <w:r>
                    <w:t>0.1860</w:t>
                  </w:r>
                </w:p>
              </w:tc>
              <w:tc>
                <w:tcPr>
                  <w:tcW w:w="351" w:type="pct"/>
                  <w:vAlign w:val="center"/>
                </w:tcPr>
                <w:p w14:paraId="04014265">
                  <w:pPr>
                    <w:pStyle w:val="41"/>
                  </w:pPr>
                  <w:r>
                    <w:t>/</w:t>
                  </w:r>
                </w:p>
              </w:tc>
              <w:tc>
                <w:tcPr>
                  <w:tcW w:w="453" w:type="pct"/>
                  <w:vAlign w:val="center"/>
                </w:tcPr>
                <w:p w14:paraId="46055FCF">
                  <w:pPr>
                    <w:pStyle w:val="41"/>
                  </w:pPr>
                  <w:r>
                    <w:t>/</w:t>
                  </w:r>
                </w:p>
              </w:tc>
            </w:tr>
            <w:tr w14:paraId="6C04A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restart"/>
                  <w:vAlign w:val="center"/>
                </w:tcPr>
                <w:p w14:paraId="51C00671">
                  <w:pPr>
                    <w:pStyle w:val="41"/>
                  </w:pPr>
                  <w:r>
                    <w:t>喷砂废气</w:t>
                  </w:r>
                </w:p>
              </w:tc>
              <w:tc>
                <w:tcPr>
                  <w:tcW w:w="351" w:type="pct"/>
                  <w:vAlign w:val="center"/>
                </w:tcPr>
                <w:p w14:paraId="7FDE33E9">
                  <w:pPr>
                    <w:pStyle w:val="41"/>
                  </w:pPr>
                  <w:r>
                    <w:t>颗粒物</w:t>
                  </w:r>
                </w:p>
              </w:tc>
              <w:tc>
                <w:tcPr>
                  <w:tcW w:w="420" w:type="pct"/>
                  <w:vAlign w:val="center"/>
                </w:tcPr>
                <w:p w14:paraId="66865B69">
                  <w:pPr>
                    <w:pStyle w:val="41"/>
                  </w:pPr>
                  <w:r>
                    <w:t>417.29</w:t>
                  </w:r>
                </w:p>
              </w:tc>
              <w:tc>
                <w:tcPr>
                  <w:tcW w:w="383" w:type="pct"/>
                  <w:vAlign w:val="center"/>
                </w:tcPr>
                <w:p w14:paraId="2CC89C20">
                  <w:pPr>
                    <w:pStyle w:val="41"/>
                  </w:pPr>
                  <w:r>
                    <w:t>38.06</w:t>
                  </w:r>
                </w:p>
              </w:tc>
              <w:tc>
                <w:tcPr>
                  <w:tcW w:w="165" w:type="pct"/>
                  <w:vAlign w:val="center"/>
                </w:tcPr>
                <w:p w14:paraId="574DEB05">
                  <w:pPr>
                    <w:pStyle w:val="41"/>
                  </w:pPr>
                  <w:r>
                    <w:t>有组织</w:t>
                  </w:r>
                </w:p>
              </w:tc>
              <w:tc>
                <w:tcPr>
                  <w:tcW w:w="248" w:type="pct"/>
                  <w:vAlign w:val="center"/>
                </w:tcPr>
                <w:p w14:paraId="2928DD54">
                  <w:pPr>
                    <w:pStyle w:val="41"/>
                  </w:pPr>
                  <w:r>
                    <w:t>滤筒式除尘器</w:t>
                  </w:r>
                </w:p>
              </w:tc>
              <w:tc>
                <w:tcPr>
                  <w:tcW w:w="410" w:type="pct"/>
                  <w:vAlign w:val="center"/>
                </w:tcPr>
                <w:p w14:paraId="6CCC9045">
                  <w:pPr>
                    <w:pStyle w:val="41"/>
                  </w:pPr>
                  <w:r>
                    <w:t>20000</w:t>
                  </w:r>
                </w:p>
              </w:tc>
              <w:tc>
                <w:tcPr>
                  <w:tcW w:w="329" w:type="pct"/>
                  <w:vAlign w:val="center"/>
                </w:tcPr>
                <w:p w14:paraId="77286D9E">
                  <w:pPr>
                    <w:pStyle w:val="41"/>
                  </w:pPr>
                  <w:r>
                    <w:t>95</w:t>
                  </w:r>
                </w:p>
              </w:tc>
              <w:tc>
                <w:tcPr>
                  <w:tcW w:w="329" w:type="pct"/>
                  <w:vAlign w:val="center"/>
                </w:tcPr>
                <w:p w14:paraId="68170859">
                  <w:pPr>
                    <w:pStyle w:val="41"/>
                  </w:pPr>
                  <w:r>
                    <w:t>95</w:t>
                  </w:r>
                </w:p>
              </w:tc>
              <w:tc>
                <w:tcPr>
                  <w:tcW w:w="169" w:type="pct"/>
                  <w:vAlign w:val="center"/>
                </w:tcPr>
                <w:p w14:paraId="62A12C7F">
                  <w:pPr>
                    <w:pStyle w:val="41"/>
                  </w:pPr>
                  <w:r>
                    <w:t>是</w:t>
                  </w:r>
                </w:p>
              </w:tc>
              <w:tc>
                <w:tcPr>
                  <w:tcW w:w="443" w:type="pct"/>
                  <w:vAlign w:val="center"/>
                </w:tcPr>
                <w:p w14:paraId="648732FC">
                  <w:pPr>
                    <w:pStyle w:val="41"/>
                  </w:pPr>
                  <w:r>
                    <w:t>19.82</w:t>
                  </w:r>
                </w:p>
              </w:tc>
              <w:tc>
                <w:tcPr>
                  <w:tcW w:w="400" w:type="pct"/>
                  <w:vAlign w:val="center"/>
                </w:tcPr>
                <w:p w14:paraId="338CB234">
                  <w:pPr>
                    <w:pStyle w:val="41"/>
                  </w:pPr>
                  <w:r>
                    <w:t>0.3964</w:t>
                  </w:r>
                </w:p>
              </w:tc>
              <w:tc>
                <w:tcPr>
                  <w:tcW w:w="374" w:type="pct"/>
                  <w:vAlign w:val="center"/>
                </w:tcPr>
                <w:p w14:paraId="7B122531">
                  <w:pPr>
                    <w:pStyle w:val="41"/>
                  </w:pPr>
                  <w:r>
                    <w:t>1.903</w:t>
                  </w:r>
                </w:p>
              </w:tc>
              <w:tc>
                <w:tcPr>
                  <w:tcW w:w="351" w:type="pct"/>
                  <w:vAlign w:val="center"/>
                </w:tcPr>
                <w:p w14:paraId="35508ADF">
                  <w:pPr>
                    <w:pStyle w:val="41"/>
                  </w:pPr>
                  <w:r>
                    <w:t>DA002</w:t>
                  </w:r>
                </w:p>
              </w:tc>
              <w:tc>
                <w:tcPr>
                  <w:tcW w:w="453" w:type="pct"/>
                  <w:vAlign w:val="center"/>
                </w:tcPr>
                <w:p w14:paraId="14E1F4AA">
                  <w:pPr>
                    <w:pStyle w:val="41"/>
                  </w:pPr>
                  <w:r>
                    <w:t>120</w:t>
                  </w:r>
                </w:p>
              </w:tc>
            </w:tr>
            <w:tr w14:paraId="17026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Merge w:val="continue"/>
                  <w:vAlign w:val="center"/>
                </w:tcPr>
                <w:p w14:paraId="297B8D34">
                  <w:pPr>
                    <w:pStyle w:val="41"/>
                  </w:pPr>
                </w:p>
              </w:tc>
              <w:tc>
                <w:tcPr>
                  <w:tcW w:w="351" w:type="pct"/>
                  <w:vAlign w:val="center"/>
                </w:tcPr>
                <w:p w14:paraId="6B0BE725">
                  <w:pPr>
                    <w:pStyle w:val="41"/>
                  </w:pPr>
                  <w:r>
                    <w:t>颗粒物</w:t>
                  </w:r>
                </w:p>
              </w:tc>
              <w:tc>
                <w:tcPr>
                  <w:tcW w:w="420" w:type="pct"/>
                  <w:vAlign w:val="center"/>
                </w:tcPr>
                <w:p w14:paraId="11993CB3">
                  <w:pPr>
                    <w:pStyle w:val="41"/>
                  </w:pPr>
                  <w:r>
                    <w:t>/</w:t>
                  </w:r>
                </w:p>
              </w:tc>
              <w:tc>
                <w:tcPr>
                  <w:tcW w:w="383" w:type="pct"/>
                  <w:vAlign w:val="center"/>
                </w:tcPr>
                <w:p w14:paraId="7A6DE8BB">
                  <w:pPr>
                    <w:pStyle w:val="41"/>
                  </w:pPr>
                  <w:r>
                    <w:t>2.003</w:t>
                  </w:r>
                </w:p>
              </w:tc>
              <w:tc>
                <w:tcPr>
                  <w:tcW w:w="165" w:type="pct"/>
                  <w:vAlign w:val="center"/>
                </w:tcPr>
                <w:p w14:paraId="4E995C78">
                  <w:pPr>
                    <w:pStyle w:val="41"/>
                  </w:pPr>
                  <w:r>
                    <w:t>无组织</w:t>
                  </w:r>
                </w:p>
              </w:tc>
              <w:tc>
                <w:tcPr>
                  <w:tcW w:w="248" w:type="pct"/>
                  <w:vAlign w:val="center"/>
                </w:tcPr>
                <w:p w14:paraId="05BB0CD8">
                  <w:pPr>
                    <w:pStyle w:val="41"/>
                  </w:pPr>
                  <w:r>
                    <w:t>加强收集</w:t>
                  </w:r>
                </w:p>
              </w:tc>
              <w:tc>
                <w:tcPr>
                  <w:tcW w:w="410" w:type="pct"/>
                  <w:vAlign w:val="center"/>
                </w:tcPr>
                <w:p w14:paraId="4DFCC4D8">
                  <w:pPr>
                    <w:pStyle w:val="41"/>
                  </w:pPr>
                  <w:r>
                    <w:t>/</w:t>
                  </w:r>
                </w:p>
              </w:tc>
              <w:tc>
                <w:tcPr>
                  <w:tcW w:w="329" w:type="pct"/>
                  <w:vAlign w:val="center"/>
                </w:tcPr>
                <w:p w14:paraId="67622BD2">
                  <w:pPr>
                    <w:pStyle w:val="41"/>
                  </w:pPr>
                  <w:r>
                    <w:t>/</w:t>
                  </w:r>
                </w:p>
              </w:tc>
              <w:tc>
                <w:tcPr>
                  <w:tcW w:w="329" w:type="pct"/>
                  <w:vAlign w:val="center"/>
                </w:tcPr>
                <w:p w14:paraId="1A76B094">
                  <w:pPr>
                    <w:pStyle w:val="41"/>
                  </w:pPr>
                  <w:r>
                    <w:t>/</w:t>
                  </w:r>
                </w:p>
              </w:tc>
              <w:tc>
                <w:tcPr>
                  <w:tcW w:w="169" w:type="pct"/>
                  <w:vAlign w:val="center"/>
                </w:tcPr>
                <w:p w14:paraId="71B4D38C">
                  <w:pPr>
                    <w:pStyle w:val="41"/>
                  </w:pPr>
                  <w:r>
                    <w:t>/</w:t>
                  </w:r>
                </w:p>
              </w:tc>
              <w:tc>
                <w:tcPr>
                  <w:tcW w:w="443" w:type="pct"/>
                  <w:vAlign w:val="center"/>
                </w:tcPr>
                <w:p w14:paraId="2C9DDF51">
                  <w:pPr>
                    <w:pStyle w:val="41"/>
                  </w:pPr>
                  <w:r>
                    <w:t>/</w:t>
                  </w:r>
                </w:p>
              </w:tc>
              <w:tc>
                <w:tcPr>
                  <w:tcW w:w="400" w:type="pct"/>
                  <w:vAlign w:val="center"/>
                </w:tcPr>
                <w:p w14:paraId="6341936A">
                  <w:pPr>
                    <w:pStyle w:val="41"/>
                  </w:pPr>
                  <w:r>
                    <w:t>0.4173</w:t>
                  </w:r>
                </w:p>
              </w:tc>
              <w:tc>
                <w:tcPr>
                  <w:tcW w:w="374" w:type="pct"/>
                  <w:vAlign w:val="center"/>
                </w:tcPr>
                <w:p w14:paraId="257CD256">
                  <w:pPr>
                    <w:pStyle w:val="41"/>
                  </w:pPr>
                  <w:r>
                    <w:t>2.003</w:t>
                  </w:r>
                </w:p>
              </w:tc>
              <w:tc>
                <w:tcPr>
                  <w:tcW w:w="351" w:type="pct"/>
                  <w:vAlign w:val="center"/>
                </w:tcPr>
                <w:p w14:paraId="0F5241DD">
                  <w:pPr>
                    <w:pStyle w:val="41"/>
                  </w:pPr>
                  <w:r>
                    <w:t>/</w:t>
                  </w:r>
                </w:p>
              </w:tc>
              <w:tc>
                <w:tcPr>
                  <w:tcW w:w="453" w:type="pct"/>
                  <w:vAlign w:val="center"/>
                </w:tcPr>
                <w:p w14:paraId="73DC8CBC">
                  <w:pPr>
                    <w:pStyle w:val="41"/>
                  </w:pPr>
                  <w:r>
                    <w:t>/</w:t>
                  </w:r>
                </w:p>
              </w:tc>
            </w:tr>
            <w:tr w14:paraId="1F828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Align w:val="center"/>
                </w:tcPr>
                <w:p w14:paraId="56D42425">
                  <w:pPr>
                    <w:pStyle w:val="41"/>
                  </w:pPr>
                  <w:r>
                    <w:t>开料</w:t>
                  </w:r>
                </w:p>
              </w:tc>
              <w:tc>
                <w:tcPr>
                  <w:tcW w:w="351" w:type="pct"/>
                  <w:vAlign w:val="center"/>
                </w:tcPr>
                <w:p w14:paraId="72EBBD7F">
                  <w:pPr>
                    <w:pStyle w:val="41"/>
                  </w:pPr>
                  <w:r>
                    <w:t>颗粒物</w:t>
                  </w:r>
                </w:p>
              </w:tc>
              <w:tc>
                <w:tcPr>
                  <w:tcW w:w="420" w:type="pct"/>
                  <w:vAlign w:val="center"/>
                </w:tcPr>
                <w:p w14:paraId="2FF9667D">
                  <w:pPr>
                    <w:pStyle w:val="41"/>
                  </w:pPr>
                  <w:r>
                    <w:t>/</w:t>
                  </w:r>
                </w:p>
              </w:tc>
              <w:tc>
                <w:tcPr>
                  <w:tcW w:w="383" w:type="pct"/>
                  <w:vAlign w:val="center"/>
                </w:tcPr>
                <w:p w14:paraId="33D661B9">
                  <w:pPr>
                    <w:pStyle w:val="41"/>
                  </w:pPr>
                  <w:r>
                    <w:t>20.11</w:t>
                  </w:r>
                </w:p>
              </w:tc>
              <w:tc>
                <w:tcPr>
                  <w:tcW w:w="165" w:type="pct"/>
                  <w:vAlign w:val="center"/>
                </w:tcPr>
                <w:p w14:paraId="10A14289">
                  <w:pPr>
                    <w:pStyle w:val="41"/>
                  </w:pPr>
                  <w:r>
                    <w:t>无组织</w:t>
                  </w:r>
                </w:p>
              </w:tc>
              <w:tc>
                <w:tcPr>
                  <w:tcW w:w="248" w:type="pct"/>
                  <w:vAlign w:val="center"/>
                </w:tcPr>
                <w:p w14:paraId="549E5691">
                  <w:pPr>
                    <w:pStyle w:val="41"/>
                  </w:pPr>
                  <w:r>
                    <w:t>重力沉降、厂房阻隔</w:t>
                  </w:r>
                </w:p>
              </w:tc>
              <w:tc>
                <w:tcPr>
                  <w:tcW w:w="410" w:type="pct"/>
                  <w:vAlign w:val="center"/>
                </w:tcPr>
                <w:p w14:paraId="09E7CF86">
                  <w:pPr>
                    <w:pStyle w:val="41"/>
                  </w:pPr>
                  <w:r>
                    <w:t>8000</w:t>
                  </w:r>
                </w:p>
              </w:tc>
              <w:tc>
                <w:tcPr>
                  <w:tcW w:w="329" w:type="pct"/>
                  <w:vAlign w:val="center"/>
                </w:tcPr>
                <w:p w14:paraId="1E4A1B5B">
                  <w:pPr>
                    <w:pStyle w:val="41"/>
                  </w:pPr>
                  <w:r>
                    <w:t>90</w:t>
                  </w:r>
                  <w:r>
                    <w:rPr>
                      <w:vertAlign w:val="superscript"/>
                    </w:rPr>
                    <w:t>①</w:t>
                  </w:r>
                </w:p>
              </w:tc>
              <w:tc>
                <w:tcPr>
                  <w:tcW w:w="329" w:type="pct"/>
                  <w:vAlign w:val="center"/>
                </w:tcPr>
                <w:p w14:paraId="1919F340">
                  <w:pPr>
                    <w:pStyle w:val="41"/>
                    <w:rPr>
                      <w:rFonts w:hint="eastAsia" w:eastAsia="宋体"/>
                      <w:lang w:eastAsia="zh-CN"/>
                    </w:rPr>
                  </w:pPr>
                  <w:r>
                    <w:rPr>
                      <w:rFonts w:hint="eastAsia"/>
                      <w:lang w:val="en-US" w:eastAsia="zh-CN"/>
                    </w:rPr>
                    <w:t>/</w:t>
                  </w:r>
                </w:p>
              </w:tc>
              <w:tc>
                <w:tcPr>
                  <w:tcW w:w="169" w:type="pct"/>
                  <w:vAlign w:val="center"/>
                </w:tcPr>
                <w:p w14:paraId="35A0083F">
                  <w:pPr>
                    <w:pStyle w:val="41"/>
                  </w:pPr>
                  <w:r>
                    <w:t>是</w:t>
                  </w:r>
                </w:p>
              </w:tc>
              <w:tc>
                <w:tcPr>
                  <w:tcW w:w="443" w:type="pct"/>
                  <w:vAlign w:val="center"/>
                </w:tcPr>
                <w:p w14:paraId="5FE9426C">
                  <w:pPr>
                    <w:pStyle w:val="41"/>
                  </w:pPr>
                  <w:r>
                    <w:t>/</w:t>
                  </w:r>
                </w:p>
              </w:tc>
              <w:tc>
                <w:tcPr>
                  <w:tcW w:w="400" w:type="pct"/>
                  <w:vAlign w:val="center"/>
                </w:tcPr>
                <w:p w14:paraId="7FCAD63F">
                  <w:pPr>
                    <w:pStyle w:val="41"/>
                    <w:rPr>
                      <w:rFonts w:hint="default" w:eastAsia="宋体"/>
                      <w:lang w:val="en-US" w:eastAsia="zh-CN"/>
                    </w:rPr>
                  </w:pPr>
                  <w:r>
                    <w:rPr>
                      <w:rFonts w:hint="eastAsia"/>
                      <w:lang w:val="en-US" w:eastAsia="zh-CN"/>
                    </w:rPr>
                    <w:t>0.4190</w:t>
                  </w:r>
                </w:p>
              </w:tc>
              <w:tc>
                <w:tcPr>
                  <w:tcW w:w="374" w:type="pct"/>
                  <w:vAlign w:val="center"/>
                </w:tcPr>
                <w:p w14:paraId="43D3948E">
                  <w:pPr>
                    <w:pStyle w:val="41"/>
                    <w:rPr>
                      <w:rFonts w:hint="default" w:eastAsia="宋体"/>
                      <w:lang w:val="en-US" w:eastAsia="zh-CN"/>
                    </w:rPr>
                  </w:pPr>
                  <w:r>
                    <w:rPr>
                      <w:rFonts w:hint="eastAsia"/>
                      <w:lang w:val="en-US" w:eastAsia="zh-CN"/>
                    </w:rPr>
                    <w:t>2.011</w:t>
                  </w:r>
                </w:p>
              </w:tc>
              <w:tc>
                <w:tcPr>
                  <w:tcW w:w="351" w:type="pct"/>
                  <w:vAlign w:val="center"/>
                </w:tcPr>
                <w:p w14:paraId="36ECA176">
                  <w:pPr>
                    <w:pStyle w:val="41"/>
                  </w:pPr>
                  <w:r>
                    <w:t>/</w:t>
                  </w:r>
                </w:p>
              </w:tc>
              <w:tc>
                <w:tcPr>
                  <w:tcW w:w="453" w:type="pct"/>
                  <w:vAlign w:val="center"/>
                </w:tcPr>
                <w:p w14:paraId="31F17066">
                  <w:pPr>
                    <w:pStyle w:val="41"/>
                  </w:pPr>
                  <w:r>
                    <w:t>1.0</w:t>
                  </w:r>
                </w:p>
              </w:tc>
            </w:tr>
            <w:tr w14:paraId="088F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Align w:val="center"/>
                </w:tcPr>
                <w:p w14:paraId="02F12414">
                  <w:pPr>
                    <w:pStyle w:val="41"/>
                  </w:pPr>
                  <w:r>
                    <w:t>机加工</w:t>
                  </w:r>
                </w:p>
              </w:tc>
              <w:tc>
                <w:tcPr>
                  <w:tcW w:w="351" w:type="pct"/>
                  <w:vAlign w:val="center"/>
                </w:tcPr>
                <w:p w14:paraId="37282290">
                  <w:pPr>
                    <w:pStyle w:val="41"/>
                  </w:pPr>
                  <w:r>
                    <w:t>颗粒物</w:t>
                  </w:r>
                </w:p>
              </w:tc>
              <w:tc>
                <w:tcPr>
                  <w:tcW w:w="420" w:type="pct"/>
                  <w:vAlign w:val="center"/>
                </w:tcPr>
                <w:p w14:paraId="4AF329A2">
                  <w:pPr>
                    <w:pStyle w:val="41"/>
                  </w:pPr>
                  <w:r>
                    <w:t>/</w:t>
                  </w:r>
                </w:p>
              </w:tc>
              <w:tc>
                <w:tcPr>
                  <w:tcW w:w="383" w:type="pct"/>
                  <w:vAlign w:val="center"/>
                </w:tcPr>
                <w:p w14:paraId="56FCB58D">
                  <w:pPr>
                    <w:pStyle w:val="41"/>
                  </w:pPr>
                  <w:r>
                    <w:t>0.8055</w:t>
                  </w:r>
                </w:p>
              </w:tc>
              <w:tc>
                <w:tcPr>
                  <w:tcW w:w="165" w:type="pct"/>
                  <w:vAlign w:val="center"/>
                </w:tcPr>
                <w:p w14:paraId="2D965F40">
                  <w:pPr>
                    <w:pStyle w:val="41"/>
                  </w:pPr>
                  <w:r>
                    <w:t>无组织</w:t>
                  </w:r>
                </w:p>
              </w:tc>
              <w:tc>
                <w:tcPr>
                  <w:tcW w:w="248" w:type="pct"/>
                  <w:vAlign w:val="center"/>
                </w:tcPr>
                <w:p w14:paraId="4FF8052F">
                  <w:pPr>
                    <w:pStyle w:val="41"/>
                  </w:pPr>
                  <w:r>
                    <w:t>移动式布袋除尘器</w:t>
                  </w:r>
                </w:p>
              </w:tc>
              <w:tc>
                <w:tcPr>
                  <w:tcW w:w="410" w:type="pct"/>
                  <w:vAlign w:val="center"/>
                </w:tcPr>
                <w:p w14:paraId="73824AD8">
                  <w:pPr>
                    <w:pStyle w:val="41"/>
                  </w:pPr>
                  <w:r>
                    <w:t>2000</w:t>
                  </w:r>
                </w:p>
              </w:tc>
              <w:tc>
                <w:tcPr>
                  <w:tcW w:w="329" w:type="pct"/>
                  <w:vAlign w:val="center"/>
                </w:tcPr>
                <w:p w14:paraId="67577B9A">
                  <w:pPr>
                    <w:pStyle w:val="41"/>
                  </w:pPr>
                  <w:r>
                    <w:t>30</w:t>
                  </w:r>
                </w:p>
              </w:tc>
              <w:tc>
                <w:tcPr>
                  <w:tcW w:w="329" w:type="pct"/>
                  <w:vAlign w:val="center"/>
                </w:tcPr>
                <w:p w14:paraId="5C069BB5">
                  <w:pPr>
                    <w:pStyle w:val="41"/>
                  </w:pPr>
                  <w:r>
                    <w:t>95</w:t>
                  </w:r>
                </w:p>
              </w:tc>
              <w:tc>
                <w:tcPr>
                  <w:tcW w:w="169" w:type="pct"/>
                  <w:vAlign w:val="center"/>
                </w:tcPr>
                <w:p w14:paraId="0839F9CA">
                  <w:pPr>
                    <w:pStyle w:val="41"/>
                  </w:pPr>
                  <w:r>
                    <w:t>是</w:t>
                  </w:r>
                </w:p>
              </w:tc>
              <w:tc>
                <w:tcPr>
                  <w:tcW w:w="443" w:type="pct"/>
                  <w:vAlign w:val="center"/>
                </w:tcPr>
                <w:p w14:paraId="21D3790F">
                  <w:pPr>
                    <w:pStyle w:val="41"/>
                  </w:pPr>
                  <w:r>
                    <w:t>/</w:t>
                  </w:r>
                </w:p>
              </w:tc>
              <w:tc>
                <w:tcPr>
                  <w:tcW w:w="400" w:type="pct"/>
                  <w:vAlign w:val="center"/>
                </w:tcPr>
                <w:p w14:paraId="3FC286A3">
                  <w:pPr>
                    <w:pStyle w:val="41"/>
                  </w:pPr>
                  <w:r>
                    <w:t>0.12</w:t>
                  </w:r>
                </w:p>
              </w:tc>
              <w:tc>
                <w:tcPr>
                  <w:tcW w:w="374" w:type="pct"/>
                  <w:vAlign w:val="center"/>
                </w:tcPr>
                <w:p w14:paraId="37AD1F3E">
                  <w:pPr>
                    <w:pStyle w:val="41"/>
                  </w:pPr>
                  <w:r>
                    <w:t>0.5759</w:t>
                  </w:r>
                </w:p>
              </w:tc>
              <w:tc>
                <w:tcPr>
                  <w:tcW w:w="351" w:type="pct"/>
                  <w:vAlign w:val="center"/>
                </w:tcPr>
                <w:p w14:paraId="4DB2EE3D">
                  <w:pPr>
                    <w:pStyle w:val="41"/>
                  </w:pPr>
                  <w:r>
                    <w:t>/</w:t>
                  </w:r>
                </w:p>
              </w:tc>
              <w:tc>
                <w:tcPr>
                  <w:tcW w:w="453" w:type="pct"/>
                  <w:vAlign w:val="center"/>
                </w:tcPr>
                <w:p w14:paraId="467CDC8A">
                  <w:pPr>
                    <w:pStyle w:val="41"/>
                  </w:pPr>
                  <w:r>
                    <w:t>1.0</w:t>
                  </w:r>
                </w:p>
              </w:tc>
            </w:tr>
            <w:tr w14:paraId="6F8D2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Align w:val="center"/>
                </w:tcPr>
                <w:p w14:paraId="0D0FA2E8">
                  <w:pPr>
                    <w:pStyle w:val="41"/>
                  </w:pPr>
                  <w:r>
                    <w:t>焊接</w:t>
                  </w:r>
                </w:p>
              </w:tc>
              <w:tc>
                <w:tcPr>
                  <w:tcW w:w="351" w:type="pct"/>
                  <w:vAlign w:val="center"/>
                </w:tcPr>
                <w:p w14:paraId="03C66EA6">
                  <w:pPr>
                    <w:pStyle w:val="41"/>
                  </w:pPr>
                  <w:r>
                    <w:t>颗粒物</w:t>
                  </w:r>
                </w:p>
              </w:tc>
              <w:tc>
                <w:tcPr>
                  <w:tcW w:w="420" w:type="pct"/>
                  <w:vAlign w:val="center"/>
                </w:tcPr>
                <w:p w14:paraId="7967E46B">
                  <w:pPr>
                    <w:pStyle w:val="41"/>
                  </w:pPr>
                  <w:r>
                    <w:t>/</w:t>
                  </w:r>
                </w:p>
              </w:tc>
              <w:tc>
                <w:tcPr>
                  <w:tcW w:w="383" w:type="pct"/>
                  <w:vAlign w:val="center"/>
                </w:tcPr>
                <w:p w14:paraId="2DE4DF7A">
                  <w:pPr>
                    <w:pStyle w:val="41"/>
                  </w:pPr>
                  <w:r>
                    <w:t>0.0276</w:t>
                  </w:r>
                </w:p>
              </w:tc>
              <w:tc>
                <w:tcPr>
                  <w:tcW w:w="165" w:type="pct"/>
                  <w:vAlign w:val="center"/>
                </w:tcPr>
                <w:p w14:paraId="26EFBC4D">
                  <w:pPr>
                    <w:pStyle w:val="41"/>
                  </w:pPr>
                  <w:r>
                    <w:t>无组织</w:t>
                  </w:r>
                </w:p>
              </w:tc>
              <w:tc>
                <w:tcPr>
                  <w:tcW w:w="248" w:type="pct"/>
                  <w:vAlign w:val="center"/>
                </w:tcPr>
                <w:p w14:paraId="1153FAB7">
                  <w:pPr>
                    <w:pStyle w:val="41"/>
                  </w:pPr>
                  <w:r>
                    <w:t>移动式烟尘净化器</w:t>
                  </w:r>
                </w:p>
              </w:tc>
              <w:tc>
                <w:tcPr>
                  <w:tcW w:w="410" w:type="pct"/>
                  <w:vAlign w:val="center"/>
                </w:tcPr>
                <w:p w14:paraId="44AD974F">
                  <w:pPr>
                    <w:pStyle w:val="41"/>
                  </w:pPr>
                  <w:r>
                    <w:t>2000</w:t>
                  </w:r>
                </w:p>
              </w:tc>
              <w:tc>
                <w:tcPr>
                  <w:tcW w:w="329" w:type="pct"/>
                  <w:vAlign w:val="center"/>
                </w:tcPr>
                <w:p w14:paraId="389046AC">
                  <w:pPr>
                    <w:pStyle w:val="41"/>
                  </w:pPr>
                  <w:r>
                    <w:t>30</w:t>
                  </w:r>
                </w:p>
              </w:tc>
              <w:tc>
                <w:tcPr>
                  <w:tcW w:w="329" w:type="pct"/>
                  <w:vAlign w:val="center"/>
                </w:tcPr>
                <w:p w14:paraId="1AFF7305">
                  <w:pPr>
                    <w:pStyle w:val="41"/>
                  </w:pPr>
                  <w:r>
                    <w:t>95</w:t>
                  </w:r>
                </w:p>
              </w:tc>
              <w:tc>
                <w:tcPr>
                  <w:tcW w:w="169" w:type="pct"/>
                  <w:vAlign w:val="center"/>
                </w:tcPr>
                <w:p w14:paraId="4C1876A1">
                  <w:pPr>
                    <w:pStyle w:val="41"/>
                  </w:pPr>
                  <w:r>
                    <w:t>是</w:t>
                  </w:r>
                </w:p>
              </w:tc>
              <w:tc>
                <w:tcPr>
                  <w:tcW w:w="443" w:type="pct"/>
                  <w:vAlign w:val="center"/>
                </w:tcPr>
                <w:p w14:paraId="417235F1">
                  <w:pPr>
                    <w:pStyle w:val="41"/>
                  </w:pPr>
                  <w:r>
                    <w:t>/</w:t>
                  </w:r>
                </w:p>
              </w:tc>
              <w:tc>
                <w:tcPr>
                  <w:tcW w:w="400" w:type="pct"/>
                  <w:vAlign w:val="center"/>
                </w:tcPr>
                <w:p w14:paraId="2E721739">
                  <w:pPr>
                    <w:pStyle w:val="41"/>
                  </w:pPr>
                  <w:r>
                    <w:t>0.0041</w:t>
                  </w:r>
                </w:p>
              </w:tc>
              <w:tc>
                <w:tcPr>
                  <w:tcW w:w="374" w:type="pct"/>
                  <w:vAlign w:val="center"/>
                </w:tcPr>
                <w:p w14:paraId="7997B69B">
                  <w:pPr>
                    <w:pStyle w:val="41"/>
                  </w:pPr>
                  <w:r>
                    <w:t>0.0197</w:t>
                  </w:r>
                </w:p>
              </w:tc>
              <w:tc>
                <w:tcPr>
                  <w:tcW w:w="351" w:type="pct"/>
                  <w:vAlign w:val="center"/>
                </w:tcPr>
                <w:p w14:paraId="3A1F52D3">
                  <w:pPr>
                    <w:pStyle w:val="41"/>
                  </w:pPr>
                  <w:r>
                    <w:t>/</w:t>
                  </w:r>
                </w:p>
              </w:tc>
              <w:tc>
                <w:tcPr>
                  <w:tcW w:w="453" w:type="pct"/>
                  <w:vAlign w:val="center"/>
                </w:tcPr>
                <w:p w14:paraId="60052C65">
                  <w:pPr>
                    <w:pStyle w:val="41"/>
                  </w:pPr>
                  <w:r>
                    <w:t>1.0</w:t>
                  </w:r>
                </w:p>
              </w:tc>
            </w:tr>
            <w:tr w14:paraId="49BBA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 w:type="pct"/>
                  <w:vAlign w:val="center"/>
                </w:tcPr>
                <w:p w14:paraId="58DC84F6">
                  <w:pPr>
                    <w:pStyle w:val="41"/>
                  </w:pPr>
                  <w:r>
                    <w:t>喷粉</w:t>
                  </w:r>
                </w:p>
              </w:tc>
              <w:tc>
                <w:tcPr>
                  <w:tcW w:w="351" w:type="pct"/>
                  <w:vAlign w:val="center"/>
                </w:tcPr>
                <w:p w14:paraId="62CBFB57">
                  <w:pPr>
                    <w:pStyle w:val="41"/>
                  </w:pPr>
                  <w:r>
                    <w:t>颗粒物</w:t>
                  </w:r>
                </w:p>
              </w:tc>
              <w:tc>
                <w:tcPr>
                  <w:tcW w:w="420" w:type="pct"/>
                  <w:vAlign w:val="center"/>
                </w:tcPr>
                <w:p w14:paraId="1D9921B7">
                  <w:pPr>
                    <w:pStyle w:val="41"/>
                  </w:pPr>
                  <w:r>
                    <w:t>/</w:t>
                  </w:r>
                </w:p>
              </w:tc>
              <w:tc>
                <w:tcPr>
                  <w:tcW w:w="383" w:type="pct"/>
                  <w:vAlign w:val="center"/>
                </w:tcPr>
                <w:p w14:paraId="3FAC30E0">
                  <w:pPr>
                    <w:pStyle w:val="41"/>
                  </w:pPr>
                  <w:r>
                    <w:t>30.3</w:t>
                  </w:r>
                </w:p>
              </w:tc>
              <w:tc>
                <w:tcPr>
                  <w:tcW w:w="165" w:type="pct"/>
                  <w:vAlign w:val="center"/>
                </w:tcPr>
                <w:p w14:paraId="1F978960">
                  <w:pPr>
                    <w:pStyle w:val="41"/>
                  </w:pPr>
                  <w:r>
                    <w:t>无组织</w:t>
                  </w:r>
                </w:p>
              </w:tc>
              <w:tc>
                <w:tcPr>
                  <w:tcW w:w="248" w:type="pct"/>
                  <w:vAlign w:val="center"/>
                </w:tcPr>
                <w:p w14:paraId="1AC71A27">
                  <w:pPr>
                    <w:pStyle w:val="41"/>
                  </w:pPr>
                  <w:r>
                    <w:t>高效大旋风回收系统+滤筒式除尘器</w:t>
                  </w:r>
                </w:p>
              </w:tc>
              <w:tc>
                <w:tcPr>
                  <w:tcW w:w="410" w:type="pct"/>
                  <w:vAlign w:val="center"/>
                </w:tcPr>
                <w:p w14:paraId="3C851843">
                  <w:pPr>
                    <w:pStyle w:val="41"/>
                  </w:pPr>
                  <w:r>
                    <w:t>20000</w:t>
                  </w:r>
                </w:p>
              </w:tc>
              <w:tc>
                <w:tcPr>
                  <w:tcW w:w="329" w:type="pct"/>
                  <w:vAlign w:val="center"/>
                </w:tcPr>
                <w:p w14:paraId="48506036">
                  <w:pPr>
                    <w:pStyle w:val="41"/>
                  </w:pPr>
                  <w:r>
                    <w:t>95</w:t>
                  </w:r>
                </w:p>
              </w:tc>
              <w:tc>
                <w:tcPr>
                  <w:tcW w:w="329" w:type="pct"/>
                  <w:vAlign w:val="center"/>
                </w:tcPr>
                <w:p w14:paraId="3F531650">
                  <w:pPr>
                    <w:pStyle w:val="41"/>
                  </w:pPr>
                  <w:r>
                    <w:t>98</w:t>
                  </w:r>
                </w:p>
              </w:tc>
              <w:tc>
                <w:tcPr>
                  <w:tcW w:w="169" w:type="pct"/>
                  <w:vAlign w:val="center"/>
                </w:tcPr>
                <w:p w14:paraId="06A4C1CA">
                  <w:pPr>
                    <w:pStyle w:val="41"/>
                  </w:pPr>
                  <w:r>
                    <w:t>是</w:t>
                  </w:r>
                </w:p>
              </w:tc>
              <w:tc>
                <w:tcPr>
                  <w:tcW w:w="443" w:type="pct"/>
                  <w:vAlign w:val="center"/>
                </w:tcPr>
                <w:p w14:paraId="3EFDEE30">
                  <w:pPr>
                    <w:pStyle w:val="41"/>
                  </w:pPr>
                  <w:r>
                    <w:t>/</w:t>
                  </w:r>
                </w:p>
              </w:tc>
              <w:tc>
                <w:tcPr>
                  <w:tcW w:w="400" w:type="pct"/>
                  <w:vAlign w:val="center"/>
                </w:tcPr>
                <w:p w14:paraId="69B4EAE1">
                  <w:pPr>
                    <w:pStyle w:val="41"/>
                  </w:pPr>
                  <w:r>
                    <w:t>0.4356</w:t>
                  </w:r>
                </w:p>
              </w:tc>
              <w:tc>
                <w:tcPr>
                  <w:tcW w:w="374" w:type="pct"/>
                  <w:vAlign w:val="center"/>
                </w:tcPr>
                <w:p w14:paraId="7C8318EB">
                  <w:pPr>
                    <w:pStyle w:val="41"/>
                  </w:pPr>
                  <w:r>
                    <w:t>2.0907</w:t>
                  </w:r>
                </w:p>
              </w:tc>
              <w:tc>
                <w:tcPr>
                  <w:tcW w:w="351" w:type="pct"/>
                  <w:vAlign w:val="center"/>
                </w:tcPr>
                <w:p w14:paraId="00398F3D">
                  <w:pPr>
                    <w:pStyle w:val="41"/>
                  </w:pPr>
                  <w:r>
                    <w:t>/</w:t>
                  </w:r>
                </w:p>
              </w:tc>
              <w:tc>
                <w:tcPr>
                  <w:tcW w:w="453" w:type="pct"/>
                  <w:vAlign w:val="center"/>
                </w:tcPr>
                <w:p w14:paraId="4A20B10B">
                  <w:pPr>
                    <w:pStyle w:val="41"/>
                  </w:pPr>
                  <w:r>
                    <w:t>1.0</w:t>
                  </w:r>
                </w:p>
              </w:tc>
            </w:tr>
            <w:tr w14:paraId="706F5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15"/>
                  <w:vAlign w:val="center"/>
                </w:tcPr>
                <w:p w14:paraId="656110B7">
                  <w:pPr>
                    <w:pStyle w:val="41"/>
                    <w:jc w:val="both"/>
                  </w:pPr>
                  <w:r>
                    <w:rPr>
                      <w:vertAlign w:val="superscript"/>
                    </w:rPr>
                    <w:t>①</w:t>
                  </w:r>
                  <w:r>
                    <w:t>下料工序废气沉降效率为90%。</w:t>
                  </w:r>
                </w:p>
              </w:tc>
            </w:tr>
          </w:tbl>
          <w:p w14:paraId="7B41368B">
            <w:pPr>
              <w:pStyle w:val="22"/>
              <w:rPr>
                <w:szCs w:val="21"/>
              </w:rPr>
            </w:pPr>
          </w:p>
          <w:p w14:paraId="604CCF55">
            <w:pPr>
              <w:pStyle w:val="22"/>
              <w:rPr>
                <w:szCs w:val="21"/>
              </w:rPr>
            </w:pPr>
            <w:r>
              <w:rPr>
                <w:szCs w:val="21"/>
              </w:rPr>
              <w:t>表4-8 项目大气污染物年排放量核算表</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75"/>
              <w:gridCol w:w="1076"/>
              <w:gridCol w:w="925"/>
              <w:gridCol w:w="897"/>
              <w:gridCol w:w="800"/>
              <w:gridCol w:w="1076"/>
              <w:gridCol w:w="1076"/>
              <w:gridCol w:w="749"/>
              <w:gridCol w:w="797"/>
              <w:gridCol w:w="1076"/>
              <w:gridCol w:w="974"/>
              <w:gridCol w:w="851"/>
              <w:gridCol w:w="800"/>
            </w:tblGrid>
            <w:tr w14:paraId="2C4F4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656" w:type="pct"/>
                  <w:tcBorders>
                    <w:top w:val="single" w:color="auto" w:sz="4" w:space="0"/>
                    <w:left w:val="single" w:color="auto" w:sz="4" w:space="0"/>
                    <w:bottom w:val="single" w:color="auto" w:sz="4" w:space="0"/>
                    <w:right w:val="single" w:color="auto" w:sz="4" w:space="0"/>
                  </w:tcBorders>
                  <w:vAlign w:val="center"/>
                </w:tcPr>
                <w:p w14:paraId="34791093">
                  <w:pPr>
                    <w:pStyle w:val="29"/>
                    <w:rPr>
                      <w:rFonts w:hint="default"/>
                      <w:b/>
                      <w:bCs/>
                    </w:rPr>
                  </w:pPr>
                  <w:r>
                    <w:rPr>
                      <w:rFonts w:hint="default"/>
                      <w:b/>
                      <w:bCs/>
                    </w:rPr>
                    <w:t>项目</w:t>
                  </w:r>
                </w:p>
              </w:tc>
              <w:tc>
                <w:tcPr>
                  <w:tcW w:w="1447" w:type="pct"/>
                  <w:gridSpan w:val="4"/>
                  <w:tcBorders>
                    <w:top w:val="single" w:color="auto" w:sz="4" w:space="0"/>
                    <w:left w:val="single" w:color="auto" w:sz="4" w:space="0"/>
                    <w:bottom w:val="single" w:color="auto" w:sz="4" w:space="0"/>
                    <w:right w:val="single" w:color="auto" w:sz="4" w:space="0"/>
                  </w:tcBorders>
                  <w:vAlign w:val="center"/>
                </w:tcPr>
                <w:p w14:paraId="22E60C0D">
                  <w:pPr>
                    <w:pStyle w:val="29"/>
                    <w:rPr>
                      <w:rFonts w:hint="default"/>
                      <w:b/>
                      <w:bCs/>
                    </w:rPr>
                  </w:pPr>
                  <w:r>
                    <w:rPr>
                      <w:rFonts w:hint="default"/>
                      <w:b/>
                      <w:bCs/>
                    </w:rPr>
                    <w:t>有组织</w:t>
                  </w:r>
                </w:p>
              </w:tc>
              <w:tc>
                <w:tcPr>
                  <w:tcW w:w="1447" w:type="pct"/>
                  <w:gridSpan w:val="4"/>
                  <w:tcBorders>
                    <w:top w:val="single" w:color="auto" w:sz="4" w:space="0"/>
                    <w:left w:val="single" w:color="auto" w:sz="4" w:space="0"/>
                    <w:bottom w:val="single" w:color="auto" w:sz="4" w:space="0"/>
                    <w:right w:val="single" w:color="auto" w:sz="4" w:space="0"/>
                  </w:tcBorders>
                  <w:vAlign w:val="center"/>
                </w:tcPr>
                <w:p w14:paraId="12661397">
                  <w:pPr>
                    <w:pStyle w:val="29"/>
                    <w:rPr>
                      <w:rFonts w:hint="default"/>
                      <w:b/>
                      <w:bCs/>
                    </w:rPr>
                  </w:pPr>
                  <w:r>
                    <w:rPr>
                      <w:rFonts w:hint="default"/>
                      <w:b/>
                      <w:bCs/>
                    </w:rPr>
                    <w:t>无组织</w:t>
                  </w:r>
                </w:p>
              </w:tc>
              <w:tc>
                <w:tcPr>
                  <w:tcW w:w="1448" w:type="pct"/>
                  <w:gridSpan w:val="4"/>
                  <w:tcBorders>
                    <w:top w:val="single" w:color="auto" w:sz="4" w:space="0"/>
                    <w:left w:val="single" w:color="auto" w:sz="4" w:space="0"/>
                    <w:bottom w:val="single" w:color="auto" w:sz="4" w:space="0"/>
                    <w:right w:val="single" w:color="auto" w:sz="4" w:space="0"/>
                  </w:tcBorders>
                  <w:vAlign w:val="center"/>
                </w:tcPr>
                <w:p w14:paraId="573194EB">
                  <w:pPr>
                    <w:pStyle w:val="29"/>
                    <w:rPr>
                      <w:rFonts w:hint="default"/>
                      <w:b/>
                      <w:bCs/>
                    </w:rPr>
                  </w:pPr>
                  <w:r>
                    <w:rPr>
                      <w:rFonts w:hint="default"/>
                      <w:b/>
                      <w:bCs/>
                    </w:rPr>
                    <w:t>合计</w:t>
                  </w:r>
                </w:p>
              </w:tc>
            </w:tr>
            <w:tr w14:paraId="68B5B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656" w:type="pct"/>
                  <w:tcBorders>
                    <w:top w:val="single" w:color="auto" w:sz="4" w:space="0"/>
                    <w:left w:val="single" w:color="auto" w:sz="4" w:space="0"/>
                    <w:bottom w:val="single" w:color="auto" w:sz="4" w:space="0"/>
                    <w:right w:val="single" w:color="auto" w:sz="4" w:space="0"/>
                  </w:tcBorders>
                  <w:vAlign w:val="center"/>
                </w:tcPr>
                <w:p w14:paraId="37CA5909">
                  <w:pPr>
                    <w:pStyle w:val="29"/>
                    <w:rPr>
                      <w:rFonts w:hint="default"/>
                    </w:rPr>
                  </w:pPr>
                  <w:r>
                    <w:rPr>
                      <w:rFonts w:hint="default"/>
                    </w:rPr>
                    <w:t>污染物</w:t>
                  </w:r>
                </w:p>
              </w:tc>
              <w:tc>
                <w:tcPr>
                  <w:tcW w:w="421" w:type="pct"/>
                  <w:tcBorders>
                    <w:top w:val="single" w:color="auto" w:sz="4" w:space="0"/>
                    <w:left w:val="single" w:color="auto" w:sz="4" w:space="0"/>
                    <w:bottom w:val="single" w:color="auto" w:sz="4" w:space="0"/>
                    <w:right w:val="single" w:color="auto" w:sz="4" w:space="0"/>
                  </w:tcBorders>
                  <w:vAlign w:val="center"/>
                </w:tcPr>
                <w:p w14:paraId="59B4FCF9">
                  <w:pPr>
                    <w:pStyle w:val="29"/>
                    <w:rPr>
                      <w:rFonts w:hint="eastAsia" w:eastAsia="宋体"/>
                      <w:lang w:eastAsia="zh-CN"/>
                    </w:rPr>
                  </w:pPr>
                  <w:r>
                    <w:rPr>
                      <w:rFonts w:hint="eastAsia"/>
                      <w:lang w:eastAsia="zh-CN"/>
                    </w:rPr>
                    <w:t>VOCs</w:t>
                  </w:r>
                </w:p>
              </w:tc>
              <w:tc>
                <w:tcPr>
                  <w:tcW w:w="362" w:type="pct"/>
                  <w:tcBorders>
                    <w:top w:val="single" w:color="auto" w:sz="4" w:space="0"/>
                    <w:left w:val="single" w:color="auto" w:sz="4" w:space="0"/>
                    <w:bottom w:val="single" w:color="auto" w:sz="4" w:space="0"/>
                    <w:right w:val="single" w:color="auto" w:sz="4" w:space="0"/>
                  </w:tcBorders>
                  <w:vAlign w:val="center"/>
                </w:tcPr>
                <w:p w14:paraId="7CC7BC12">
                  <w:pPr>
                    <w:pStyle w:val="29"/>
                    <w:rPr>
                      <w:rFonts w:hint="default"/>
                    </w:rPr>
                  </w:pPr>
                  <w:r>
                    <w:rPr>
                      <w:rFonts w:hint="default"/>
                    </w:rPr>
                    <w:t>颗粒物</w:t>
                  </w:r>
                </w:p>
              </w:tc>
              <w:tc>
                <w:tcPr>
                  <w:tcW w:w="351" w:type="pct"/>
                  <w:tcBorders>
                    <w:top w:val="single" w:color="auto" w:sz="4" w:space="0"/>
                    <w:left w:val="single" w:color="auto" w:sz="4" w:space="0"/>
                    <w:bottom w:val="single" w:color="auto" w:sz="4" w:space="0"/>
                    <w:right w:val="single" w:color="auto" w:sz="4" w:space="0"/>
                  </w:tcBorders>
                  <w:vAlign w:val="center"/>
                </w:tcPr>
                <w:p w14:paraId="0AE429EB">
                  <w:pPr>
                    <w:pStyle w:val="29"/>
                    <w:rPr>
                      <w:rFonts w:hint="default"/>
                    </w:rPr>
                  </w:pPr>
                  <w:r>
                    <w:rPr>
                      <w:rFonts w:hint="default"/>
                    </w:rPr>
                    <w:t>SO</w:t>
                  </w:r>
                  <w:r>
                    <w:rPr>
                      <w:rFonts w:hint="default"/>
                      <w:vertAlign w:val="subscript"/>
                    </w:rPr>
                    <w:t>2</w:t>
                  </w:r>
                </w:p>
              </w:tc>
              <w:tc>
                <w:tcPr>
                  <w:tcW w:w="313" w:type="pct"/>
                  <w:tcBorders>
                    <w:top w:val="single" w:color="auto" w:sz="4" w:space="0"/>
                    <w:left w:val="single" w:color="auto" w:sz="4" w:space="0"/>
                    <w:bottom w:val="single" w:color="auto" w:sz="4" w:space="0"/>
                    <w:right w:val="single" w:color="auto" w:sz="4" w:space="0"/>
                  </w:tcBorders>
                  <w:vAlign w:val="center"/>
                </w:tcPr>
                <w:p w14:paraId="53E6354D">
                  <w:pPr>
                    <w:pStyle w:val="29"/>
                    <w:rPr>
                      <w:rFonts w:hint="default"/>
                    </w:rPr>
                  </w:pPr>
                  <w:r>
                    <w:rPr>
                      <w:rFonts w:hint="default"/>
                    </w:rPr>
                    <w:t>NOx</w:t>
                  </w:r>
                </w:p>
              </w:tc>
              <w:tc>
                <w:tcPr>
                  <w:tcW w:w="421" w:type="pct"/>
                  <w:tcBorders>
                    <w:top w:val="single" w:color="auto" w:sz="4" w:space="0"/>
                    <w:left w:val="single" w:color="auto" w:sz="4" w:space="0"/>
                    <w:bottom w:val="single" w:color="auto" w:sz="4" w:space="0"/>
                    <w:right w:val="single" w:color="auto" w:sz="4" w:space="0"/>
                  </w:tcBorders>
                  <w:vAlign w:val="center"/>
                </w:tcPr>
                <w:p w14:paraId="7281E71A">
                  <w:pPr>
                    <w:pStyle w:val="29"/>
                    <w:rPr>
                      <w:rFonts w:hint="eastAsia" w:eastAsia="宋体"/>
                      <w:lang w:eastAsia="zh-CN"/>
                    </w:rPr>
                  </w:pPr>
                  <w:r>
                    <w:rPr>
                      <w:rFonts w:hint="eastAsia"/>
                      <w:lang w:eastAsia="zh-CN"/>
                    </w:rPr>
                    <w:t>VOCs</w:t>
                  </w:r>
                </w:p>
              </w:tc>
              <w:tc>
                <w:tcPr>
                  <w:tcW w:w="421" w:type="pct"/>
                  <w:tcBorders>
                    <w:top w:val="single" w:color="auto" w:sz="4" w:space="0"/>
                    <w:left w:val="single" w:color="auto" w:sz="4" w:space="0"/>
                    <w:bottom w:val="single" w:color="auto" w:sz="4" w:space="0"/>
                    <w:right w:val="single" w:color="auto" w:sz="4" w:space="0"/>
                  </w:tcBorders>
                  <w:vAlign w:val="center"/>
                </w:tcPr>
                <w:p w14:paraId="62C7429C">
                  <w:pPr>
                    <w:pStyle w:val="29"/>
                    <w:rPr>
                      <w:rFonts w:hint="default"/>
                    </w:rPr>
                  </w:pPr>
                  <w:r>
                    <w:rPr>
                      <w:rFonts w:hint="default"/>
                    </w:rPr>
                    <w:t>颗粒物</w:t>
                  </w:r>
                </w:p>
              </w:tc>
              <w:tc>
                <w:tcPr>
                  <w:tcW w:w="293" w:type="pct"/>
                  <w:tcBorders>
                    <w:top w:val="single" w:color="auto" w:sz="4" w:space="0"/>
                    <w:left w:val="single" w:color="auto" w:sz="4" w:space="0"/>
                    <w:bottom w:val="single" w:color="auto" w:sz="4" w:space="0"/>
                    <w:right w:val="single" w:color="auto" w:sz="4" w:space="0"/>
                  </w:tcBorders>
                  <w:vAlign w:val="center"/>
                </w:tcPr>
                <w:p w14:paraId="1152E835">
                  <w:pPr>
                    <w:pStyle w:val="29"/>
                    <w:rPr>
                      <w:rFonts w:hint="default"/>
                    </w:rPr>
                  </w:pPr>
                  <w:r>
                    <w:rPr>
                      <w:rFonts w:hint="default"/>
                    </w:rPr>
                    <w:t>SO</w:t>
                  </w:r>
                  <w:r>
                    <w:rPr>
                      <w:rFonts w:hint="default"/>
                      <w:vertAlign w:val="subscript"/>
                    </w:rPr>
                    <w:t>2</w:t>
                  </w:r>
                </w:p>
              </w:tc>
              <w:tc>
                <w:tcPr>
                  <w:tcW w:w="312" w:type="pct"/>
                  <w:tcBorders>
                    <w:top w:val="single" w:color="auto" w:sz="4" w:space="0"/>
                    <w:left w:val="single" w:color="auto" w:sz="4" w:space="0"/>
                    <w:bottom w:val="single" w:color="auto" w:sz="4" w:space="0"/>
                    <w:right w:val="single" w:color="auto" w:sz="4" w:space="0"/>
                  </w:tcBorders>
                  <w:vAlign w:val="center"/>
                </w:tcPr>
                <w:p w14:paraId="74651F26">
                  <w:pPr>
                    <w:pStyle w:val="29"/>
                    <w:rPr>
                      <w:rFonts w:hint="default"/>
                    </w:rPr>
                  </w:pPr>
                  <w:r>
                    <w:rPr>
                      <w:rFonts w:hint="default"/>
                    </w:rPr>
                    <w:t>NOx</w:t>
                  </w:r>
                </w:p>
              </w:tc>
              <w:tc>
                <w:tcPr>
                  <w:tcW w:w="421" w:type="pct"/>
                  <w:tcBorders>
                    <w:top w:val="single" w:color="auto" w:sz="4" w:space="0"/>
                    <w:left w:val="single" w:color="auto" w:sz="4" w:space="0"/>
                    <w:bottom w:val="single" w:color="auto" w:sz="4" w:space="0"/>
                    <w:right w:val="single" w:color="auto" w:sz="4" w:space="0"/>
                  </w:tcBorders>
                  <w:vAlign w:val="center"/>
                </w:tcPr>
                <w:p w14:paraId="1B147186">
                  <w:pPr>
                    <w:pStyle w:val="29"/>
                    <w:rPr>
                      <w:rFonts w:hint="eastAsia" w:eastAsia="宋体"/>
                      <w:lang w:eastAsia="zh-CN"/>
                    </w:rPr>
                  </w:pPr>
                  <w:r>
                    <w:rPr>
                      <w:rFonts w:hint="eastAsia"/>
                      <w:lang w:eastAsia="zh-CN"/>
                    </w:rPr>
                    <w:t>VOCs</w:t>
                  </w:r>
                </w:p>
              </w:tc>
              <w:tc>
                <w:tcPr>
                  <w:tcW w:w="381" w:type="pct"/>
                  <w:tcBorders>
                    <w:top w:val="single" w:color="auto" w:sz="4" w:space="0"/>
                    <w:left w:val="single" w:color="auto" w:sz="4" w:space="0"/>
                    <w:bottom w:val="single" w:color="auto" w:sz="4" w:space="0"/>
                    <w:right w:val="single" w:color="auto" w:sz="4" w:space="0"/>
                  </w:tcBorders>
                  <w:vAlign w:val="center"/>
                </w:tcPr>
                <w:p w14:paraId="02769786">
                  <w:pPr>
                    <w:pStyle w:val="29"/>
                    <w:rPr>
                      <w:rFonts w:hint="default"/>
                    </w:rPr>
                  </w:pPr>
                  <w:r>
                    <w:rPr>
                      <w:rFonts w:hint="default"/>
                    </w:rPr>
                    <w:t>颗粒物</w:t>
                  </w:r>
                </w:p>
              </w:tc>
              <w:tc>
                <w:tcPr>
                  <w:tcW w:w="333" w:type="pct"/>
                  <w:tcBorders>
                    <w:top w:val="single" w:color="auto" w:sz="4" w:space="0"/>
                    <w:left w:val="single" w:color="auto" w:sz="4" w:space="0"/>
                    <w:bottom w:val="single" w:color="auto" w:sz="4" w:space="0"/>
                    <w:right w:val="single" w:color="auto" w:sz="4" w:space="0"/>
                  </w:tcBorders>
                  <w:vAlign w:val="center"/>
                </w:tcPr>
                <w:p w14:paraId="28775856">
                  <w:pPr>
                    <w:pStyle w:val="29"/>
                    <w:rPr>
                      <w:rFonts w:hint="default"/>
                    </w:rPr>
                  </w:pPr>
                  <w:r>
                    <w:rPr>
                      <w:rFonts w:hint="default"/>
                    </w:rPr>
                    <w:t>SO</w:t>
                  </w:r>
                  <w:r>
                    <w:rPr>
                      <w:rFonts w:hint="default"/>
                      <w:vertAlign w:val="subscript"/>
                    </w:rPr>
                    <w:t>2</w:t>
                  </w:r>
                </w:p>
              </w:tc>
              <w:tc>
                <w:tcPr>
                  <w:tcW w:w="312" w:type="pct"/>
                  <w:tcBorders>
                    <w:top w:val="single" w:color="auto" w:sz="4" w:space="0"/>
                    <w:left w:val="single" w:color="auto" w:sz="4" w:space="0"/>
                    <w:bottom w:val="single" w:color="auto" w:sz="4" w:space="0"/>
                    <w:right w:val="single" w:color="auto" w:sz="4" w:space="0"/>
                  </w:tcBorders>
                  <w:vAlign w:val="center"/>
                </w:tcPr>
                <w:p w14:paraId="400DDA45">
                  <w:pPr>
                    <w:pStyle w:val="29"/>
                    <w:rPr>
                      <w:rFonts w:hint="default"/>
                    </w:rPr>
                  </w:pPr>
                  <w:r>
                    <w:rPr>
                      <w:rFonts w:hint="default"/>
                    </w:rPr>
                    <w:t>NOx</w:t>
                  </w:r>
                </w:p>
              </w:tc>
            </w:tr>
            <w:tr w14:paraId="0A6F1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656" w:type="pct"/>
                  <w:tcBorders>
                    <w:top w:val="single" w:color="auto" w:sz="4" w:space="0"/>
                    <w:left w:val="single" w:color="auto" w:sz="4" w:space="0"/>
                    <w:bottom w:val="single" w:color="auto" w:sz="4" w:space="0"/>
                    <w:right w:val="single" w:color="auto" w:sz="4" w:space="0"/>
                  </w:tcBorders>
                  <w:vAlign w:val="center"/>
                </w:tcPr>
                <w:p w14:paraId="29C14CD9">
                  <w:pPr>
                    <w:pStyle w:val="29"/>
                    <w:rPr>
                      <w:rFonts w:hint="default"/>
                    </w:rPr>
                  </w:pPr>
                  <w:r>
                    <w:rPr>
                      <w:rFonts w:hint="default"/>
                    </w:rPr>
                    <w:t>年排放量t/a</w:t>
                  </w:r>
                </w:p>
              </w:tc>
              <w:tc>
                <w:tcPr>
                  <w:tcW w:w="1076" w:type="dxa"/>
                  <w:tcBorders>
                    <w:top w:val="single" w:color="auto" w:sz="4" w:space="0"/>
                    <w:left w:val="single" w:color="auto" w:sz="4" w:space="0"/>
                    <w:bottom w:val="single" w:color="auto" w:sz="4" w:space="0"/>
                    <w:right w:val="single" w:color="auto" w:sz="4" w:space="0"/>
                  </w:tcBorders>
                  <w:vAlign w:val="center"/>
                </w:tcPr>
                <w:p w14:paraId="10D7AD7F">
                  <w:pPr>
                    <w:pStyle w:val="20"/>
                  </w:pPr>
                  <w:r>
                    <w:t>0.3566</w:t>
                  </w:r>
                </w:p>
              </w:tc>
              <w:tc>
                <w:tcPr>
                  <w:tcW w:w="925" w:type="dxa"/>
                  <w:tcBorders>
                    <w:top w:val="single" w:color="auto" w:sz="4" w:space="0"/>
                    <w:left w:val="single" w:color="auto" w:sz="4" w:space="0"/>
                    <w:bottom w:val="single" w:color="auto" w:sz="4" w:space="0"/>
                    <w:right w:val="single" w:color="auto" w:sz="4" w:space="0"/>
                  </w:tcBorders>
                  <w:vAlign w:val="center"/>
                </w:tcPr>
                <w:p w14:paraId="2D4BD0CD">
                  <w:pPr>
                    <w:pStyle w:val="20"/>
                  </w:pPr>
                  <w:r>
                    <w:t>1.9124</w:t>
                  </w:r>
                </w:p>
              </w:tc>
              <w:tc>
                <w:tcPr>
                  <w:tcW w:w="897" w:type="dxa"/>
                  <w:tcBorders>
                    <w:top w:val="single" w:color="auto" w:sz="4" w:space="0"/>
                    <w:left w:val="single" w:color="auto" w:sz="4" w:space="0"/>
                    <w:bottom w:val="single" w:color="auto" w:sz="4" w:space="0"/>
                    <w:right w:val="single" w:color="auto" w:sz="4" w:space="0"/>
                  </w:tcBorders>
                  <w:vAlign w:val="center"/>
                </w:tcPr>
                <w:p w14:paraId="48DF655E">
                  <w:pPr>
                    <w:pStyle w:val="20"/>
                  </w:pPr>
                  <w:r>
                    <w:t>0.0228</w:t>
                  </w:r>
                </w:p>
              </w:tc>
              <w:tc>
                <w:tcPr>
                  <w:tcW w:w="800" w:type="dxa"/>
                  <w:tcBorders>
                    <w:top w:val="single" w:color="auto" w:sz="4" w:space="0"/>
                    <w:left w:val="single" w:color="auto" w:sz="4" w:space="0"/>
                    <w:bottom w:val="single" w:color="auto" w:sz="4" w:space="0"/>
                    <w:right w:val="single" w:color="auto" w:sz="4" w:space="0"/>
                  </w:tcBorders>
                  <w:vAlign w:val="center"/>
                </w:tcPr>
                <w:p w14:paraId="242E19D3">
                  <w:pPr>
                    <w:pStyle w:val="20"/>
                  </w:pPr>
                  <w:r>
                    <w:t>0.062</w:t>
                  </w:r>
                </w:p>
              </w:tc>
              <w:tc>
                <w:tcPr>
                  <w:tcW w:w="1076" w:type="dxa"/>
                  <w:tcBorders>
                    <w:top w:val="single" w:color="auto" w:sz="4" w:space="0"/>
                    <w:left w:val="single" w:color="auto" w:sz="4" w:space="0"/>
                    <w:bottom w:val="single" w:color="auto" w:sz="4" w:space="0"/>
                    <w:right w:val="single" w:color="auto" w:sz="4" w:space="0"/>
                  </w:tcBorders>
                  <w:vAlign w:val="center"/>
                </w:tcPr>
                <w:p w14:paraId="6C2787DA">
                  <w:pPr>
                    <w:pStyle w:val="20"/>
                  </w:pPr>
                  <w:r>
                    <w:t>0.1981</w:t>
                  </w:r>
                </w:p>
              </w:tc>
              <w:tc>
                <w:tcPr>
                  <w:tcW w:w="1076" w:type="dxa"/>
                  <w:tcBorders>
                    <w:top w:val="single" w:color="auto" w:sz="4" w:space="0"/>
                    <w:left w:val="single" w:color="auto" w:sz="4" w:space="0"/>
                    <w:bottom w:val="single" w:color="auto" w:sz="4" w:space="0"/>
                    <w:right w:val="single" w:color="auto" w:sz="4" w:space="0"/>
                  </w:tcBorders>
                  <w:vAlign w:val="center"/>
                </w:tcPr>
                <w:p w14:paraId="797DC804">
                  <w:pPr>
                    <w:pStyle w:val="20"/>
                    <w:rPr>
                      <w:rFonts w:hint="default" w:eastAsia="宋体"/>
                      <w:lang w:val="en-US" w:eastAsia="zh-CN"/>
                    </w:rPr>
                  </w:pPr>
                  <w:r>
                    <w:rPr>
                      <w:rFonts w:hint="eastAsia"/>
                      <w:lang w:val="en-US" w:eastAsia="zh-CN"/>
                    </w:rPr>
                    <w:t>6.7003</w:t>
                  </w:r>
                </w:p>
              </w:tc>
              <w:tc>
                <w:tcPr>
                  <w:tcW w:w="749" w:type="dxa"/>
                  <w:tcBorders>
                    <w:top w:val="single" w:color="auto" w:sz="4" w:space="0"/>
                    <w:left w:val="single" w:color="auto" w:sz="4" w:space="0"/>
                    <w:bottom w:val="single" w:color="auto" w:sz="4" w:space="0"/>
                    <w:right w:val="single" w:color="auto" w:sz="4" w:space="0"/>
                  </w:tcBorders>
                  <w:vAlign w:val="center"/>
                </w:tcPr>
                <w:p w14:paraId="12E4164D">
                  <w:pPr>
                    <w:pStyle w:val="20"/>
                  </w:pPr>
                  <w:r>
                    <w:t>0</w:t>
                  </w:r>
                </w:p>
              </w:tc>
              <w:tc>
                <w:tcPr>
                  <w:tcW w:w="797" w:type="dxa"/>
                  <w:tcBorders>
                    <w:top w:val="single" w:color="auto" w:sz="4" w:space="0"/>
                    <w:left w:val="single" w:color="auto" w:sz="4" w:space="0"/>
                    <w:bottom w:val="single" w:color="auto" w:sz="4" w:space="0"/>
                    <w:right w:val="single" w:color="auto" w:sz="4" w:space="0"/>
                  </w:tcBorders>
                  <w:vAlign w:val="center"/>
                </w:tcPr>
                <w:p w14:paraId="7C9CF7F6">
                  <w:pPr>
                    <w:pStyle w:val="20"/>
                  </w:pPr>
                  <w:r>
                    <w:t>0</w:t>
                  </w:r>
                </w:p>
              </w:tc>
              <w:tc>
                <w:tcPr>
                  <w:tcW w:w="1076" w:type="dxa"/>
                  <w:tcBorders>
                    <w:top w:val="single" w:color="auto" w:sz="4" w:space="0"/>
                    <w:left w:val="single" w:color="auto" w:sz="4" w:space="0"/>
                    <w:bottom w:val="single" w:color="auto" w:sz="4" w:space="0"/>
                    <w:right w:val="single" w:color="auto" w:sz="4" w:space="0"/>
                  </w:tcBorders>
                  <w:vAlign w:val="center"/>
                </w:tcPr>
                <w:p w14:paraId="73FB53A0">
                  <w:pPr>
                    <w:pStyle w:val="20"/>
                  </w:pPr>
                  <w:r>
                    <w:t>0.5547</w:t>
                  </w:r>
                </w:p>
              </w:tc>
              <w:tc>
                <w:tcPr>
                  <w:tcW w:w="974" w:type="dxa"/>
                  <w:tcBorders>
                    <w:top w:val="single" w:color="auto" w:sz="4" w:space="0"/>
                    <w:left w:val="single" w:color="auto" w:sz="4" w:space="0"/>
                    <w:bottom w:val="single" w:color="auto" w:sz="4" w:space="0"/>
                    <w:right w:val="single" w:color="auto" w:sz="4" w:space="0"/>
                  </w:tcBorders>
                  <w:vAlign w:val="center"/>
                </w:tcPr>
                <w:p w14:paraId="61FD5E24">
                  <w:pPr>
                    <w:pStyle w:val="20"/>
                    <w:rPr>
                      <w:rFonts w:hint="default" w:eastAsia="宋体"/>
                      <w:lang w:val="en-US" w:eastAsia="zh-CN"/>
                    </w:rPr>
                  </w:pPr>
                  <w:r>
                    <w:rPr>
                      <w:rFonts w:hint="eastAsia"/>
                      <w:lang w:val="en-US" w:eastAsia="zh-CN"/>
                    </w:rPr>
                    <w:t>8.6127</w:t>
                  </w:r>
                </w:p>
              </w:tc>
              <w:tc>
                <w:tcPr>
                  <w:tcW w:w="851" w:type="dxa"/>
                  <w:tcBorders>
                    <w:top w:val="single" w:color="auto" w:sz="4" w:space="0"/>
                    <w:left w:val="single" w:color="auto" w:sz="4" w:space="0"/>
                    <w:bottom w:val="single" w:color="auto" w:sz="4" w:space="0"/>
                    <w:right w:val="single" w:color="auto" w:sz="4" w:space="0"/>
                  </w:tcBorders>
                  <w:vAlign w:val="center"/>
                </w:tcPr>
                <w:p w14:paraId="7C2E46E9">
                  <w:pPr>
                    <w:pStyle w:val="20"/>
                  </w:pPr>
                  <w:r>
                    <w:t>0.0228</w:t>
                  </w:r>
                </w:p>
              </w:tc>
              <w:tc>
                <w:tcPr>
                  <w:tcW w:w="801" w:type="dxa"/>
                  <w:tcBorders>
                    <w:top w:val="single" w:color="auto" w:sz="4" w:space="0"/>
                    <w:left w:val="single" w:color="auto" w:sz="4" w:space="0"/>
                    <w:bottom w:val="single" w:color="auto" w:sz="4" w:space="0"/>
                    <w:right w:val="single" w:color="auto" w:sz="4" w:space="0"/>
                  </w:tcBorders>
                  <w:vAlign w:val="center"/>
                </w:tcPr>
                <w:p w14:paraId="2BD2C4A1">
                  <w:pPr>
                    <w:pStyle w:val="20"/>
                  </w:pPr>
                  <w:r>
                    <w:t>0.062</w:t>
                  </w:r>
                </w:p>
              </w:tc>
            </w:tr>
          </w:tbl>
          <w:p w14:paraId="3823A8D5">
            <w:pPr>
              <w:adjustRightInd w:val="0"/>
              <w:snapToGrid w:val="0"/>
              <w:spacing w:before="240" w:beforeLines="100"/>
              <w:ind w:firstLine="442"/>
              <w:rPr>
                <w:b/>
                <w:bCs/>
                <w:spacing w:val="-10"/>
              </w:rPr>
            </w:pPr>
            <w:r>
              <w:rPr>
                <w:b/>
                <w:bCs/>
                <w:spacing w:val="-10"/>
              </w:rPr>
              <w:t>2、排污口设置情况及监测计划</w:t>
            </w:r>
          </w:p>
          <w:p w14:paraId="138A6C8E">
            <w:pPr>
              <w:adjustRightInd w:val="0"/>
              <w:snapToGrid w:val="0"/>
              <w:spacing w:before="120" w:beforeLines="50"/>
              <w:ind w:firstLine="440"/>
              <w:rPr>
                <w:bCs/>
                <w:spacing w:val="-10"/>
              </w:rPr>
            </w:pPr>
            <w:r>
              <w:rPr>
                <w:bCs/>
                <w:spacing w:val="-10"/>
              </w:rPr>
              <w:t>根据《排污单位自行监测技术指南 总则》（HJ 819-2017）、《排污许可证申请与核发技术规范 汽车制造业》（HJ 971-2018）、《排污单位自行监测技术指南 涂装》（HJ 1086-2020），制定本项目大气环境监测计划如下：</w:t>
            </w:r>
          </w:p>
          <w:p w14:paraId="352293F5">
            <w:pPr>
              <w:pStyle w:val="22"/>
              <w:rPr>
                <w:szCs w:val="21"/>
              </w:rPr>
            </w:pPr>
          </w:p>
          <w:p w14:paraId="6FA6F2D0">
            <w:pPr>
              <w:pStyle w:val="22"/>
              <w:rPr>
                <w:szCs w:val="21"/>
              </w:rPr>
            </w:pPr>
          </w:p>
          <w:p w14:paraId="7BD517E4">
            <w:pPr>
              <w:pStyle w:val="22"/>
              <w:rPr>
                <w:szCs w:val="21"/>
              </w:rPr>
            </w:pPr>
          </w:p>
          <w:p w14:paraId="5B0025ED">
            <w:pPr>
              <w:pStyle w:val="22"/>
              <w:rPr>
                <w:szCs w:val="21"/>
              </w:rPr>
            </w:pPr>
          </w:p>
          <w:p w14:paraId="5387A58F">
            <w:pPr>
              <w:pStyle w:val="22"/>
              <w:rPr>
                <w:szCs w:val="21"/>
              </w:rPr>
            </w:pPr>
            <w:r>
              <w:rPr>
                <w:szCs w:val="21"/>
              </w:rPr>
              <w:t>表4-9 排污口设置情况及监测计划一览表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2"/>
              <w:gridCol w:w="1952"/>
              <w:gridCol w:w="1056"/>
              <w:gridCol w:w="813"/>
              <w:gridCol w:w="865"/>
              <w:gridCol w:w="1529"/>
              <w:gridCol w:w="910"/>
              <w:gridCol w:w="1227"/>
              <w:gridCol w:w="847"/>
              <w:gridCol w:w="1964"/>
              <w:gridCol w:w="702"/>
            </w:tblGrid>
            <w:tr w14:paraId="16AF3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0" w:type="auto"/>
                  <w:vMerge w:val="restart"/>
                  <w:vAlign w:val="center"/>
                </w:tcPr>
                <w:p w14:paraId="6D72122A">
                  <w:pPr>
                    <w:pStyle w:val="41"/>
                    <w:rPr>
                      <w:b/>
                      <w:bCs/>
                    </w:rPr>
                  </w:pPr>
                  <w:r>
                    <w:rPr>
                      <w:b/>
                      <w:bCs/>
                    </w:rPr>
                    <w:t>污染物类别</w:t>
                  </w:r>
                </w:p>
              </w:tc>
              <w:tc>
                <w:tcPr>
                  <w:tcW w:w="0" w:type="auto"/>
                  <w:vMerge w:val="restart"/>
                  <w:vAlign w:val="center"/>
                </w:tcPr>
                <w:p w14:paraId="5E158733">
                  <w:pPr>
                    <w:pStyle w:val="41"/>
                    <w:rPr>
                      <w:b/>
                      <w:bCs/>
                    </w:rPr>
                  </w:pPr>
                  <w:r>
                    <w:rPr>
                      <w:b/>
                      <w:bCs/>
                    </w:rPr>
                    <w:t>排放口编号及名称</w:t>
                  </w:r>
                </w:p>
              </w:tc>
              <w:tc>
                <w:tcPr>
                  <w:tcW w:w="0" w:type="auto"/>
                  <w:gridSpan w:val="5"/>
                  <w:vAlign w:val="center"/>
                </w:tcPr>
                <w:p w14:paraId="377CEBDA">
                  <w:pPr>
                    <w:pStyle w:val="41"/>
                    <w:rPr>
                      <w:b/>
                      <w:bCs/>
                    </w:rPr>
                  </w:pPr>
                  <w:r>
                    <w:rPr>
                      <w:b/>
                      <w:bCs/>
                    </w:rPr>
                    <w:t>排放口基本情况</w:t>
                  </w:r>
                </w:p>
              </w:tc>
              <w:tc>
                <w:tcPr>
                  <w:tcW w:w="0" w:type="auto"/>
                  <w:gridSpan w:val="4"/>
                  <w:vAlign w:val="center"/>
                </w:tcPr>
                <w:p w14:paraId="4F985EE9">
                  <w:pPr>
                    <w:pStyle w:val="41"/>
                    <w:rPr>
                      <w:b/>
                      <w:bCs/>
                    </w:rPr>
                  </w:pPr>
                  <w:r>
                    <w:rPr>
                      <w:b/>
                      <w:bCs/>
                    </w:rPr>
                    <w:t>监测要求</w:t>
                  </w:r>
                </w:p>
              </w:tc>
            </w:tr>
            <w:tr w14:paraId="30D84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0" w:type="auto"/>
                  <w:vMerge w:val="continue"/>
                  <w:vAlign w:val="center"/>
                </w:tcPr>
                <w:p w14:paraId="180EC7BF">
                  <w:pPr>
                    <w:pStyle w:val="41"/>
                    <w:rPr>
                      <w:b/>
                      <w:bCs/>
                    </w:rPr>
                  </w:pPr>
                </w:p>
              </w:tc>
              <w:tc>
                <w:tcPr>
                  <w:tcW w:w="0" w:type="auto"/>
                  <w:vMerge w:val="continue"/>
                  <w:vAlign w:val="center"/>
                </w:tcPr>
                <w:p w14:paraId="5AC8C06F">
                  <w:pPr>
                    <w:pStyle w:val="41"/>
                    <w:rPr>
                      <w:b/>
                      <w:bCs/>
                    </w:rPr>
                  </w:pPr>
                </w:p>
              </w:tc>
              <w:tc>
                <w:tcPr>
                  <w:tcW w:w="0" w:type="auto"/>
                  <w:vAlign w:val="center"/>
                </w:tcPr>
                <w:p w14:paraId="361BE4E3">
                  <w:pPr>
                    <w:pStyle w:val="41"/>
                    <w:rPr>
                      <w:b/>
                      <w:bCs/>
                    </w:rPr>
                  </w:pPr>
                  <w:r>
                    <w:rPr>
                      <w:b/>
                      <w:bCs/>
                    </w:rPr>
                    <w:t>高度（m）</w:t>
                  </w:r>
                </w:p>
              </w:tc>
              <w:tc>
                <w:tcPr>
                  <w:tcW w:w="0" w:type="auto"/>
                  <w:vAlign w:val="center"/>
                </w:tcPr>
                <w:p w14:paraId="3A97FE11">
                  <w:pPr>
                    <w:pStyle w:val="41"/>
                    <w:rPr>
                      <w:b/>
                      <w:bCs/>
                    </w:rPr>
                  </w:pPr>
                  <w:r>
                    <w:rPr>
                      <w:b/>
                      <w:bCs/>
                    </w:rPr>
                    <w:t>内径</w:t>
                  </w:r>
                </w:p>
                <w:p w14:paraId="3326E5AF">
                  <w:pPr>
                    <w:pStyle w:val="41"/>
                    <w:rPr>
                      <w:b/>
                      <w:bCs/>
                    </w:rPr>
                  </w:pPr>
                  <w:r>
                    <w:rPr>
                      <w:b/>
                      <w:bCs/>
                    </w:rPr>
                    <w:t>（m）</w:t>
                  </w:r>
                </w:p>
              </w:tc>
              <w:tc>
                <w:tcPr>
                  <w:tcW w:w="0" w:type="auto"/>
                  <w:vAlign w:val="center"/>
                </w:tcPr>
                <w:p w14:paraId="6B92A641">
                  <w:pPr>
                    <w:pStyle w:val="41"/>
                    <w:rPr>
                      <w:b/>
                      <w:bCs/>
                    </w:rPr>
                  </w:pPr>
                  <w:r>
                    <w:rPr>
                      <w:b/>
                      <w:bCs/>
                    </w:rPr>
                    <w:t>温度</w:t>
                  </w:r>
                </w:p>
                <w:p w14:paraId="736FB00F">
                  <w:pPr>
                    <w:pStyle w:val="41"/>
                    <w:rPr>
                      <w:b/>
                      <w:bCs/>
                    </w:rPr>
                  </w:pPr>
                  <w:r>
                    <w:rPr>
                      <w:b/>
                      <w:bCs/>
                    </w:rPr>
                    <w:t>（℃）</w:t>
                  </w:r>
                </w:p>
              </w:tc>
              <w:tc>
                <w:tcPr>
                  <w:tcW w:w="0" w:type="auto"/>
                  <w:vAlign w:val="center"/>
                </w:tcPr>
                <w:p w14:paraId="4D11E46D">
                  <w:pPr>
                    <w:pStyle w:val="41"/>
                    <w:rPr>
                      <w:b/>
                      <w:bCs/>
                    </w:rPr>
                  </w:pPr>
                  <w:r>
                    <w:rPr>
                      <w:b/>
                      <w:bCs/>
                    </w:rPr>
                    <w:t>坐标</w:t>
                  </w:r>
                </w:p>
              </w:tc>
              <w:tc>
                <w:tcPr>
                  <w:tcW w:w="0" w:type="auto"/>
                  <w:vAlign w:val="center"/>
                </w:tcPr>
                <w:p w14:paraId="6B2F4B5B">
                  <w:pPr>
                    <w:pStyle w:val="41"/>
                    <w:rPr>
                      <w:b/>
                      <w:bCs/>
                    </w:rPr>
                  </w:pPr>
                  <w:r>
                    <w:rPr>
                      <w:b/>
                      <w:bCs/>
                    </w:rPr>
                    <w:t>类型</w:t>
                  </w:r>
                </w:p>
              </w:tc>
              <w:tc>
                <w:tcPr>
                  <w:tcW w:w="0" w:type="auto"/>
                  <w:vAlign w:val="center"/>
                </w:tcPr>
                <w:p w14:paraId="2FE36565">
                  <w:pPr>
                    <w:pStyle w:val="41"/>
                    <w:rPr>
                      <w:b/>
                      <w:bCs/>
                    </w:rPr>
                  </w:pPr>
                  <w:r>
                    <w:rPr>
                      <w:b/>
                      <w:bCs/>
                    </w:rPr>
                    <w:t>监测</w:t>
                  </w:r>
                </w:p>
                <w:p w14:paraId="0358BC14">
                  <w:pPr>
                    <w:pStyle w:val="41"/>
                    <w:rPr>
                      <w:b/>
                      <w:bCs/>
                    </w:rPr>
                  </w:pPr>
                  <w:r>
                    <w:rPr>
                      <w:b/>
                      <w:bCs/>
                    </w:rPr>
                    <w:t>点位</w:t>
                  </w:r>
                </w:p>
              </w:tc>
              <w:tc>
                <w:tcPr>
                  <w:tcW w:w="0" w:type="auto"/>
                  <w:gridSpan w:val="2"/>
                  <w:vAlign w:val="center"/>
                </w:tcPr>
                <w:p w14:paraId="5F632F6E">
                  <w:pPr>
                    <w:pStyle w:val="41"/>
                    <w:rPr>
                      <w:b/>
                      <w:bCs/>
                    </w:rPr>
                  </w:pPr>
                  <w:r>
                    <w:rPr>
                      <w:b/>
                      <w:bCs/>
                    </w:rPr>
                    <w:t>监测因子</w:t>
                  </w:r>
                </w:p>
              </w:tc>
              <w:tc>
                <w:tcPr>
                  <w:tcW w:w="0" w:type="auto"/>
                  <w:vAlign w:val="center"/>
                </w:tcPr>
                <w:p w14:paraId="55A32095">
                  <w:pPr>
                    <w:pStyle w:val="41"/>
                    <w:rPr>
                      <w:b/>
                      <w:bCs/>
                    </w:rPr>
                  </w:pPr>
                  <w:r>
                    <w:rPr>
                      <w:b/>
                      <w:bCs/>
                    </w:rPr>
                    <w:t>监测</w:t>
                  </w:r>
                </w:p>
                <w:p w14:paraId="775CA582">
                  <w:pPr>
                    <w:pStyle w:val="41"/>
                    <w:rPr>
                      <w:b/>
                      <w:bCs/>
                    </w:rPr>
                  </w:pPr>
                  <w:r>
                    <w:rPr>
                      <w:b/>
                      <w:bCs/>
                    </w:rPr>
                    <w:t>频次</w:t>
                  </w:r>
                </w:p>
              </w:tc>
            </w:tr>
            <w:tr w14:paraId="0CF0D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jc w:val="center"/>
              </w:trPr>
              <w:tc>
                <w:tcPr>
                  <w:tcW w:w="0" w:type="auto"/>
                  <w:vAlign w:val="center"/>
                </w:tcPr>
                <w:p w14:paraId="5A93AF3F">
                  <w:pPr>
                    <w:pStyle w:val="41"/>
                  </w:pPr>
                  <w:r>
                    <w:t>有组织</w:t>
                  </w:r>
                </w:p>
              </w:tc>
              <w:tc>
                <w:tcPr>
                  <w:tcW w:w="0" w:type="auto"/>
                  <w:vAlign w:val="center"/>
                </w:tcPr>
                <w:p w14:paraId="3C7F6744">
                  <w:pPr>
                    <w:pStyle w:val="41"/>
                  </w:pPr>
                  <w:r>
                    <w:t>电泳烘干废气排放口DA003</w:t>
                  </w:r>
                </w:p>
              </w:tc>
              <w:tc>
                <w:tcPr>
                  <w:tcW w:w="0" w:type="auto"/>
                  <w:vAlign w:val="center"/>
                </w:tcPr>
                <w:p w14:paraId="32FA1BE6">
                  <w:pPr>
                    <w:pStyle w:val="41"/>
                  </w:pPr>
                  <w:r>
                    <w:t>15</w:t>
                  </w:r>
                </w:p>
              </w:tc>
              <w:tc>
                <w:tcPr>
                  <w:tcW w:w="0" w:type="auto"/>
                  <w:vAlign w:val="center"/>
                </w:tcPr>
                <w:p w14:paraId="57F9B30F">
                  <w:pPr>
                    <w:pStyle w:val="41"/>
                  </w:pPr>
                  <w:r>
                    <w:t>0.25</w:t>
                  </w:r>
                </w:p>
              </w:tc>
              <w:tc>
                <w:tcPr>
                  <w:tcW w:w="0" w:type="auto"/>
                  <w:vAlign w:val="center"/>
                </w:tcPr>
                <w:p w14:paraId="203114AC">
                  <w:pPr>
                    <w:pStyle w:val="41"/>
                  </w:pPr>
                  <w:r>
                    <w:t>25</w:t>
                  </w:r>
                </w:p>
              </w:tc>
              <w:tc>
                <w:tcPr>
                  <w:tcW w:w="0" w:type="auto"/>
                  <w:vAlign w:val="center"/>
                </w:tcPr>
                <w:p w14:paraId="179509AC">
                  <w:pPr>
                    <w:pStyle w:val="41"/>
                  </w:pPr>
                  <w:r>
                    <w:t>113°24′56.984″</w:t>
                  </w:r>
                </w:p>
                <w:p w14:paraId="1C3B8462">
                  <w:pPr>
                    <w:pStyle w:val="41"/>
                  </w:pPr>
                  <w:r>
                    <w:t>25°7′47.190″</w:t>
                  </w:r>
                </w:p>
              </w:tc>
              <w:tc>
                <w:tcPr>
                  <w:tcW w:w="0" w:type="auto"/>
                  <w:vAlign w:val="center"/>
                </w:tcPr>
                <w:p w14:paraId="03280003">
                  <w:pPr>
                    <w:pStyle w:val="41"/>
                  </w:pPr>
                  <w:r>
                    <w:t>一般排放口</w:t>
                  </w:r>
                </w:p>
              </w:tc>
              <w:tc>
                <w:tcPr>
                  <w:tcW w:w="0" w:type="auto"/>
                  <w:vAlign w:val="center"/>
                </w:tcPr>
                <w:p w14:paraId="0BB9607C">
                  <w:pPr>
                    <w:pStyle w:val="41"/>
                  </w:pPr>
                  <w:r>
                    <w:t>排气筒DA003</w:t>
                  </w:r>
                </w:p>
              </w:tc>
              <w:tc>
                <w:tcPr>
                  <w:tcW w:w="0" w:type="auto"/>
                  <w:gridSpan w:val="2"/>
                  <w:vAlign w:val="center"/>
                </w:tcPr>
                <w:p w14:paraId="19234231">
                  <w:pPr>
                    <w:pStyle w:val="41"/>
                  </w:pPr>
                  <w:r>
                    <w:rPr>
                      <w:rFonts w:hint="eastAsia"/>
                      <w:lang w:eastAsia="zh-CN"/>
                    </w:rPr>
                    <w:t>VOCs</w:t>
                  </w:r>
                  <w:r>
                    <w:t>、颗粒物、SO</w:t>
                  </w:r>
                  <w:r>
                    <w:rPr>
                      <w:vertAlign w:val="subscript"/>
                    </w:rPr>
                    <w:t>2</w:t>
                  </w:r>
                  <w:r>
                    <w:t>、NOx</w:t>
                  </w:r>
                </w:p>
              </w:tc>
              <w:tc>
                <w:tcPr>
                  <w:tcW w:w="0" w:type="auto"/>
                  <w:vAlign w:val="center"/>
                </w:tcPr>
                <w:p w14:paraId="3B92C910">
                  <w:pPr>
                    <w:pStyle w:val="41"/>
                  </w:pPr>
                  <w:r>
                    <w:t>年/次</w:t>
                  </w:r>
                </w:p>
              </w:tc>
            </w:tr>
            <w:tr w14:paraId="12901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0" w:type="auto"/>
                  <w:vMerge w:val="restart"/>
                  <w:vAlign w:val="center"/>
                </w:tcPr>
                <w:p w14:paraId="0DA840E5">
                  <w:pPr>
                    <w:pStyle w:val="41"/>
                  </w:pPr>
                  <w:r>
                    <w:t>有组织</w:t>
                  </w:r>
                </w:p>
              </w:tc>
              <w:tc>
                <w:tcPr>
                  <w:tcW w:w="0" w:type="auto"/>
                  <w:vMerge w:val="restart"/>
                  <w:vAlign w:val="center"/>
                </w:tcPr>
                <w:p w14:paraId="6067D90C">
                  <w:pPr>
                    <w:pStyle w:val="41"/>
                  </w:pPr>
                  <w:r>
                    <w:t>粉末固化废气排放口DA004</w:t>
                  </w:r>
                </w:p>
              </w:tc>
              <w:tc>
                <w:tcPr>
                  <w:tcW w:w="0" w:type="auto"/>
                  <w:vMerge w:val="restart"/>
                  <w:vAlign w:val="center"/>
                </w:tcPr>
                <w:p w14:paraId="76368E08">
                  <w:pPr>
                    <w:pStyle w:val="41"/>
                  </w:pPr>
                  <w:r>
                    <w:t>15</w:t>
                  </w:r>
                </w:p>
              </w:tc>
              <w:tc>
                <w:tcPr>
                  <w:tcW w:w="0" w:type="auto"/>
                  <w:vMerge w:val="restart"/>
                  <w:vAlign w:val="center"/>
                </w:tcPr>
                <w:p w14:paraId="790A11C9">
                  <w:pPr>
                    <w:pStyle w:val="41"/>
                  </w:pPr>
                  <w:r>
                    <w:t>0.25</w:t>
                  </w:r>
                </w:p>
              </w:tc>
              <w:tc>
                <w:tcPr>
                  <w:tcW w:w="0" w:type="auto"/>
                  <w:vMerge w:val="restart"/>
                  <w:vAlign w:val="center"/>
                </w:tcPr>
                <w:p w14:paraId="3587DEC1">
                  <w:pPr>
                    <w:pStyle w:val="41"/>
                  </w:pPr>
                  <w:r>
                    <w:t>25</w:t>
                  </w:r>
                </w:p>
              </w:tc>
              <w:tc>
                <w:tcPr>
                  <w:tcW w:w="0" w:type="auto"/>
                  <w:vMerge w:val="restart"/>
                  <w:vAlign w:val="center"/>
                </w:tcPr>
                <w:p w14:paraId="5AAD5BAE">
                  <w:pPr>
                    <w:pStyle w:val="41"/>
                  </w:pPr>
                  <w:r>
                    <w:t>113°24′57.158″</w:t>
                  </w:r>
                </w:p>
                <w:p w14:paraId="2C54A80B">
                  <w:pPr>
                    <w:pStyle w:val="41"/>
                  </w:pPr>
                  <w:r>
                    <w:t>25°7′44.273″</w:t>
                  </w:r>
                </w:p>
              </w:tc>
              <w:tc>
                <w:tcPr>
                  <w:tcW w:w="0" w:type="auto"/>
                  <w:vMerge w:val="restart"/>
                  <w:vAlign w:val="center"/>
                </w:tcPr>
                <w:p w14:paraId="4DB8FDDC">
                  <w:pPr>
                    <w:pStyle w:val="41"/>
                  </w:pPr>
                  <w:r>
                    <w:t>一般排放口</w:t>
                  </w:r>
                </w:p>
              </w:tc>
              <w:tc>
                <w:tcPr>
                  <w:tcW w:w="0" w:type="auto"/>
                  <w:vMerge w:val="restart"/>
                  <w:vAlign w:val="center"/>
                </w:tcPr>
                <w:p w14:paraId="2CE0B4B9">
                  <w:pPr>
                    <w:pStyle w:val="41"/>
                  </w:pPr>
                  <w:r>
                    <w:t>排气筒DA004</w:t>
                  </w:r>
                </w:p>
              </w:tc>
              <w:tc>
                <w:tcPr>
                  <w:tcW w:w="0" w:type="auto"/>
                  <w:gridSpan w:val="2"/>
                  <w:vMerge w:val="restart"/>
                  <w:vAlign w:val="center"/>
                </w:tcPr>
                <w:p w14:paraId="2AA4F02D">
                  <w:pPr>
                    <w:pStyle w:val="41"/>
                  </w:pPr>
                  <w:r>
                    <w:rPr>
                      <w:rFonts w:hint="eastAsia"/>
                      <w:lang w:eastAsia="zh-CN"/>
                    </w:rPr>
                    <w:t>VOCs</w:t>
                  </w:r>
                  <w:r>
                    <w:t>、颗粒物、SO</w:t>
                  </w:r>
                  <w:r>
                    <w:rPr>
                      <w:vertAlign w:val="subscript"/>
                    </w:rPr>
                    <w:t>2</w:t>
                  </w:r>
                  <w:r>
                    <w:t>、NOx</w:t>
                  </w:r>
                </w:p>
              </w:tc>
              <w:tc>
                <w:tcPr>
                  <w:tcW w:w="0" w:type="auto"/>
                  <w:vAlign w:val="center"/>
                </w:tcPr>
                <w:p w14:paraId="7E5E3EF9">
                  <w:pPr>
                    <w:pStyle w:val="41"/>
                  </w:pPr>
                  <w:r>
                    <w:t>年/次</w:t>
                  </w:r>
                </w:p>
              </w:tc>
            </w:tr>
            <w:tr w14:paraId="424AA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0" w:type="auto"/>
                  <w:vMerge w:val="continue"/>
                  <w:vAlign w:val="center"/>
                </w:tcPr>
                <w:p w14:paraId="3212A030">
                  <w:pPr>
                    <w:pStyle w:val="41"/>
                  </w:pPr>
                </w:p>
              </w:tc>
              <w:tc>
                <w:tcPr>
                  <w:tcW w:w="0" w:type="auto"/>
                  <w:vMerge w:val="continue"/>
                  <w:vAlign w:val="center"/>
                </w:tcPr>
                <w:p w14:paraId="15F0D779">
                  <w:pPr>
                    <w:pStyle w:val="41"/>
                  </w:pPr>
                </w:p>
              </w:tc>
              <w:tc>
                <w:tcPr>
                  <w:tcW w:w="0" w:type="auto"/>
                  <w:vMerge w:val="continue"/>
                  <w:vAlign w:val="center"/>
                </w:tcPr>
                <w:p w14:paraId="3B6EF58B">
                  <w:pPr>
                    <w:pStyle w:val="41"/>
                  </w:pPr>
                </w:p>
              </w:tc>
              <w:tc>
                <w:tcPr>
                  <w:tcW w:w="0" w:type="auto"/>
                  <w:vMerge w:val="continue"/>
                  <w:vAlign w:val="center"/>
                </w:tcPr>
                <w:p w14:paraId="06CD1C29">
                  <w:pPr>
                    <w:pStyle w:val="41"/>
                  </w:pPr>
                </w:p>
              </w:tc>
              <w:tc>
                <w:tcPr>
                  <w:tcW w:w="0" w:type="auto"/>
                  <w:vMerge w:val="continue"/>
                  <w:vAlign w:val="center"/>
                </w:tcPr>
                <w:p w14:paraId="38EF07EC">
                  <w:pPr>
                    <w:pStyle w:val="41"/>
                  </w:pPr>
                </w:p>
              </w:tc>
              <w:tc>
                <w:tcPr>
                  <w:tcW w:w="0" w:type="auto"/>
                  <w:vMerge w:val="continue"/>
                  <w:vAlign w:val="center"/>
                </w:tcPr>
                <w:p w14:paraId="79102B3B">
                  <w:pPr>
                    <w:pStyle w:val="41"/>
                  </w:pPr>
                </w:p>
              </w:tc>
              <w:tc>
                <w:tcPr>
                  <w:tcW w:w="0" w:type="auto"/>
                  <w:vMerge w:val="continue"/>
                  <w:vAlign w:val="center"/>
                </w:tcPr>
                <w:p w14:paraId="6584C913">
                  <w:pPr>
                    <w:pStyle w:val="41"/>
                  </w:pPr>
                </w:p>
              </w:tc>
              <w:tc>
                <w:tcPr>
                  <w:tcW w:w="0" w:type="auto"/>
                  <w:vMerge w:val="continue"/>
                  <w:vAlign w:val="center"/>
                </w:tcPr>
                <w:p w14:paraId="181BB4A3">
                  <w:pPr>
                    <w:pStyle w:val="41"/>
                  </w:pPr>
                </w:p>
              </w:tc>
              <w:tc>
                <w:tcPr>
                  <w:tcW w:w="0" w:type="auto"/>
                  <w:gridSpan w:val="2"/>
                  <w:vMerge w:val="continue"/>
                  <w:vAlign w:val="center"/>
                </w:tcPr>
                <w:p w14:paraId="54C04AE7">
                  <w:pPr>
                    <w:pStyle w:val="41"/>
                  </w:pPr>
                </w:p>
              </w:tc>
              <w:tc>
                <w:tcPr>
                  <w:tcW w:w="0" w:type="auto"/>
                  <w:vAlign w:val="center"/>
                </w:tcPr>
                <w:p w14:paraId="56B11FA9">
                  <w:pPr>
                    <w:pStyle w:val="41"/>
                  </w:pPr>
                  <w:r>
                    <w:t>年/次</w:t>
                  </w:r>
                </w:p>
              </w:tc>
            </w:tr>
            <w:tr w14:paraId="51097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0" w:type="auto"/>
                  <w:vAlign w:val="center"/>
                </w:tcPr>
                <w:p w14:paraId="41A8D1B0">
                  <w:pPr>
                    <w:pStyle w:val="41"/>
                  </w:pPr>
                  <w:r>
                    <w:t>有组织</w:t>
                  </w:r>
                </w:p>
              </w:tc>
              <w:tc>
                <w:tcPr>
                  <w:tcW w:w="0" w:type="auto"/>
                  <w:vAlign w:val="center"/>
                </w:tcPr>
                <w:p w14:paraId="4A7EFE35">
                  <w:pPr>
                    <w:pStyle w:val="41"/>
                  </w:pPr>
                  <w:r>
                    <w:t>喷砂废气排放口DA002</w:t>
                  </w:r>
                </w:p>
              </w:tc>
              <w:tc>
                <w:tcPr>
                  <w:tcW w:w="0" w:type="auto"/>
                  <w:vAlign w:val="center"/>
                </w:tcPr>
                <w:p w14:paraId="6FF6DE5C">
                  <w:pPr>
                    <w:pStyle w:val="41"/>
                  </w:pPr>
                  <w:r>
                    <w:t>15</w:t>
                  </w:r>
                </w:p>
              </w:tc>
              <w:tc>
                <w:tcPr>
                  <w:tcW w:w="0" w:type="auto"/>
                  <w:vAlign w:val="center"/>
                </w:tcPr>
                <w:p w14:paraId="1DA3E249">
                  <w:pPr>
                    <w:pStyle w:val="41"/>
                  </w:pPr>
                  <w:r>
                    <w:t>0.60</w:t>
                  </w:r>
                </w:p>
              </w:tc>
              <w:tc>
                <w:tcPr>
                  <w:tcW w:w="0" w:type="auto"/>
                  <w:vAlign w:val="center"/>
                </w:tcPr>
                <w:p w14:paraId="51AEA64A">
                  <w:pPr>
                    <w:pStyle w:val="41"/>
                  </w:pPr>
                  <w:r>
                    <w:t>25</w:t>
                  </w:r>
                </w:p>
              </w:tc>
              <w:tc>
                <w:tcPr>
                  <w:tcW w:w="0" w:type="auto"/>
                  <w:vAlign w:val="center"/>
                </w:tcPr>
                <w:p w14:paraId="39EBDB5C">
                  <w:pPr>
                    <w:pStyle w:val="41"/>
                  </w:pPr>
                  <w:r>
                    <w:t>113°24′57.100″</w:t>
                  </w:r>
                </w:p>
                <w:p w14:paraId="68E75703">
                  <w:pPr>
                    <w:pStyle w:val="41"/>
                  </w:pPr>
                  <w:r>
                    <w:t>25°7′46.166″</w:t>
                  </w:r>
                </w:p>
              </w:tc>
              <w:tc>
                <w:tcPr>
                  <w:tcW w:w="0" w:type="auto"/>
                  <w:vAlign w:val="center"/>
                </w:tcPr>
                <w:p w14:paraId="4C5A9CDF">
                  <w:pPr>
                    <w:pStyle w:val="41"/>
                  </w:pPr>
                  <w:r>
                    <w:t>一般排放口</w:t>
                  </w:r>
                </w:p>
              </w:tc>
              <w:tc>
                <w:tcPr>
                  <w:tcW w:w="0" w:type="auto"/>
                  <w:vAlign w:val="center"/>
                </w:tcPr>
                <w:p w14:paraId="396F158E">
                  <w:pPr>
                    <w:pStyle w:val="41"/>
                  </w:pPr>
                  <w:r>
                    <w:t>排气筒DA002</w:t>
                  </w:r>
                </w:p>
              </w:tc>
              <w:tc>
                <w:tcPr>
                  <w:tcW w:w="0" w:type="auto"/>
                  <w:gridSpan w:val="2"/>
                  <w:vAlign w:val="center"/>
                </w:tcPr>
                <w:p w14:paraId="59F64869">
                  <w:pPr>
                    <w:pStyle w:val="41"/>
                  </w:pPr>
                  <w:r>
                    <w:t>颗粒物</w:t>
                  </w:r>
                </w:p>
              </w:tc>
              <w:tc>
                <w:tcPr>
                  <w:tcW w:w="0" w:type="auto"/>
                  <w:vAlign w:val="center"/>
                </w:tcPr>
                <w:p w14:paraId="6FEE93AC">
                  <w:pPr>
                    <w:pStyle w:val="41"/>
                  </w:pPr>
                  <w:r>
                    <w:t>年/次</w:t>
                  </w:r>
                </w:p>
              </w:tc>
            </w:tr>
            <w:tr w14:paraId="47B82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0" w:type="auto"/>
                  <w:vMerge w:val="restart"/>
                  <w:vAlign w:val="center"/>
                </w:tcPr>
                <w:p w14:paraId="0BA3553B">
                  <w:pPr>
                    <w:pStyle w:val="41"/>
                  </w:pPr>
                  <w:r>
                    <w:t>无组织</w:t>
                  </w:r>
                </w:p>
              </w:tc>
              <w:tc>
                <w:tcPr>
                  <w:tcW w:w="0" w:type="auto"/>
                  <w:vAlign w:val="center"/>
                </w:tcPr>
                <w:p w14:paraId="22601660">
                  <w:pPr>
                    <w:pStyle w:val="41"/>
                  </w:pPr>
                  <w:r>
                    <w:t>/</w:t>
                  </w:r>
                </w:p>
              </w:tc>
              <w:tc>
                <w:tcPr>
                  <w:tcW w:w="0" w:type="auto"/>
                  <w:vAlign w:val="center"/>
                </w:tcPr>
                <w:p w14:paraId="4D1ABB41">
                  <w:pPr>
                    <w:pStyle w:val="41"/>
                  </w:pPr>
                  <w:r>
                    <w:t>/</w:t>
                  </w:r>
                </w:p>
              </w:tc>
              <w:tc>
                <w:tcPr>
                  <w:tcW w:w="0" w:type="auto"/>
                  <w:vAlign w:val="center"/>
                </w:tcPr>
                <w:p w14:paraId="45A78549">
                  <w:pPr>
                    <w:pStyle w:val="41"/>
                  </w:pPr>
                  <w:r>
                    <w:t>/</w:t>
                  </w:r>
                </w:p>
              </w:tc>
              <w:tc>
                <w:tcPr>
                  <w:tcW w:w="0" w:type="auto"/>
                  <w:vAlign w:val="center"/>
                </w:tcPr>
                <w:p w14:paraId="7C25CD46">
                  <w:pPr>
                    <w:pStyle w:val="41"/>
                  </w:pPr>
                  <w:r>
                    <w:t>/</w:t>
                  </w:r>
                </w:p>
              </w:tc>
              <w:tc>
                <w:tcPr>
                  <w:tcW w:w="0" w:type="auto"/>
                  <w:vAlign w:val="center"/>
                </w:tcPr>
                <w:p w14:paraId="5F3A46D3">
                  <w:pPr>
                    <w:pStyle w:val="41"/>
                  </w:pPr>
                  <w:r>
                    <w:t>/</w:t>
                  </w:r>
                </w:p>
              </w:tc>
              <w:tc>
                <w:tcPr>
                  <w:tcW w:w="0" w:type="auto"/>
                  <w:vAlign w:val="center"/>
                </w:tcPr>
                <w:p w14:paraId="788C36BF">
                  <w:pPr>
                    <w:pStyle w:val="41"/>
                  </w:pPr>
                  <w:r>
                    <w:t>/</w:t>
                  </w:r>
                </w:p>
              </w:tc>
              <w:tc>
                <w:tcPr>
                  <w:tcW w:w="0" w:type="auto"/>
                  <w:vAlign w:val="center"/>
                </w:tcPr>
                <w:p w14:paraId="09B9EE4D">
                  <w:pPr>
                    <w:pStyle w:val="41"/>
                  </w:pPr>
                  <w:r>
                    <w:t>厂界</w:t>
                  </w:r>
                </w:p>
              </w:tc>
              <w:tc>
                <w:tcPr>
                  <w:tcW w:w="0" w:type="auto"/>
                  <w:gridSpan w:val="2"/>
                  <w:vAlign w:val="center"/>
                </w:tcPr>
                <w:p w14:paraId="55680C32">
                  <w:pPr>
                    <w:pStyle w:val="41"/>
                  </w:pPr>
                  <w:r>
                    <w:t>颗粒物</w:t>
                  </w:r>
                </w:p>
              </w:tc>
              <w:tc>
                <w:tcPr>
                  <w:tcW w:w="0" w:type="auto"/>
                  <w:vAlign w:val="center"/>
                </w:tcPr>
                <w:p w14:paraId="3232661F">
                  <w:pPr>
                    <w:pStyle w:val="41"/>
                  </w:pPr>
                  <w:r>
                    <w:t>半年/次</w:t>
                  </w:r>
                </w:p>
              </w:tc>
            </w:tr>
            <w:tr w14:paraId="7B010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0" w:type="auto"/>
                  <w:vMerge w:val="continue"/>
                  <w:vAlign w:val="center"/>
                </w:tcPr>
                <w:p w14:paraId="41232CF1">
                  <w:pPr>
                    <w:pStyle w:val="41"/>
                  </w:pPr>
                </w:p>
              </w:tc>
              <w:tc>
                <w:tcPr>
                  <w:tcW w:w="0" w:type="auto"/>
                  <w:vMerge w:val="restart"/>
                  <w:vAlign w:val="center"/>
                </w:tcPr>
                <w:p w14:paraId="3BBF119A">
                  <w:pPr>
                    <w:pStyle w:val="41"/>
                  </w:pPr>
                  <w:r>
                    <w:t>/</w:t>
                  </w:r>
                </w:p>
              </w:tc>
              <w:tc>
                <w:tcPr>
                  <w:tcW w:w="0" w:type="auto"/>
                  <w:vMerge w:val="restart"/>
                  <w:vAlign w:val="center"/>
                </w:tcPr>
                <w:p w14:paraId="09C70CEE">
                  <w:pPr>
                    <w:pStyle w:val="41"/>
                  </w:pPr>
                  <w:r>
                    <w:t>/</w:t>
                  </w:r>
                </w:p>
              </w:tc>
              <w:tc>
                <w:tcPr>
                  <w:tcW w:w="0" w:type="auto"/>
                  <w:vMerge w:val="restart"/>
                  <w:vAlign w:val="center"/>
                </w:tcPr>
                <w:p w14:paraId="24B1FCA9">
                  <w:pPr>
                    <w:pStyle w:val="41"/>
                  </w:pPr>
                  <w:r>
                    <w:t>/</w:t>
                  </w:r>
                </w:p>
              </w:tc>
              <w:tc>
                <w:tcPr>
                  <w:tcW w:w="0" w:type="auto"/>
                  <w:vMerge w:val="restart"/>
                  <w:vAlign w:val="center"/>
                </w:tcPr>
                <w:p w14:paraId="33B1A068">
                  <w:pPr>
                    <w:pStyle w:val="41"/>
                  </w:pPr>
                  <w:r>
                    <w:t>/</w:t>
                  </w:r>
                </w:p>
              </w:tc>
              <w:tc>
                <w:tcPr>
                  <w:tcW w:w="0" w:type="auto"/>
                  <w:vMerge w:val="restart"/>
                  <w:vAlign w:val="center"/>
                </w:tcPr>
                <w:p w14:paraId="32AB6BF9">
                  <w:pPr>
                    <w:pStyle w:val="41"/>
                  </w:pPr>
                  <w:r>
                    <w:t>/</w:t>
                  </w:r>
                </w:p>
              </w:tc>
              <w:tc>
                <w:tcPr>
                  <w:tcW w:w="0" w:type="auto"/>
                  <w:vMerge w:val="restart"/>
                  <w:vAlign w:val="center"/>
                </w:tcPr>
                <w:p w14:paraId="71DCA773">
                  <w:pPr>
                    <w:pStyle w:val="41"/>
                  </w:pPr>
                  <w:r>
                    <w:t>/</w:t>
                  </w:r>
                </w:p>
              </w:tc>
              <w:tc>
                <w:tcPr>
                  <w:tcW w:w="0" w:type="auto"/>
                  <w:vMerge w:val="restart"/>
                  <w:vAlign w:val="center"/>
                </w:tcPr>
                <w:p w14:paraId="73EB4863">
                  <w:pPr>
                    <w:pStyle w:val="41"/>
                  </w:pPr>
                  <w:r>
                    <w:t>厂房通风口</w:t>
                  </w:r>
                </w:p>
              </w:tc>
              <w:tc>
                <w:tcPr>
                  <w:tcW w:w="0" w:type="auto"/>
                  <w:vMerge w:val="restart"/>
                  <w:vAlign w:val="center"/>
                </w:tcPr>
                <w:p w14:paraId="3086052E">
                  <w:pPr>
                    <w:pStyle w:val="41"/>
                  </w:pPr>
                  <w:r>
                    <w:t>NMHC</w:t>
                  </w:r>
                </w:p>
              </w:tc>
              <w:tc>
                <w:tcPr>
                  <w:tcW w:w="0" w:type="auto"/>
                  <w:vAlign w:val="center"/>
                </w:tcPr>
                <w:p w14:paraId="5FB68CA8">
                  <w:pPr>
                    <w:pStyle w:val="41"/>
                  </w:pPr>
                  <w:r>
                    <w:t>监控点处1h平均浓度值：6</w:t>
                  </w:r>
                </w:p>
              </w:tc>
              <w:tc>
                <w:tcPr>
                  <w:tcW w:w="0" w:type="auto"/>
                  <w:vMerge w:val="restart"/>
                  <w:vAlign w:val="center"/>
                </w:tcPr>
                <w:p w14:paraId="37AAD086">
                  <w:pPr>
                    <w:pStyle w:val="41"/>
                  </w:pPr>
                  <w:r>
                    <w:t>半年/次</w:t>
                  </w:r>
                </w:p>
              </w:tc>
            </w:tr>
            <w:tr w14:paraId="33D72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0" w:type="auto"/>
                  <w:vMerge w:val="continue"/>
                  <w:vAlign w:val="center"/>
                </w:tcPr>
                <w:p w14:paraId="27E9F0F6">
                  <w:pPr>
                    <w:pStyle w:val="41"/>
                  </w:pPr>
                </w:p>
              </w:tc>
              <w:tc>
                <w:tcPr>
                  <w:tcW w:w="0" w:type="auto"/>
                  <w:vMerge w:val="continue"/>
                  <w:vAlign w:val="center"/>
                </w:tcPr>
                <w:p w14:paraId="6729E3AA">
                  <w:pPr>
                    <w:pStyle w:val="41"/>
                  </w:pPr>
                </w:p>
              </w:tc>
              <w:tc>
                <w:tcPr>
                  <w:tcW w:w="0" w:type="auto"/>
                  <w:vMerge w:val="continue"/>
                  <w:vAlign w:val="center"/>
                </w:tcPr>
                <w:p w14:paraId="6B39A3FC">
                  <w:pPr>
                    <w:pStyle w:val="41"/>
                  </w:pPr>
                </w:p>
              </w:tc>
              <w:tc>
                <w:tcPr>
                  <w:tcW w:w="0" w:type="auto"/>
                  <w:vMerge w:val="continue"/>
                  <w:vAlign w:val="center"/>
                </w:tcPr>
                <w:p w14:paraId="04FC844D">
                  <w:pPr>
                    <w:pStyle w:val="41"/>
                  </w:pPr>
                </w:p>
              </w:tc>
              <w:tc>
                <w:tcPr>
                  <w:tcW w:w="0" w:type="auto"/>
                  <w:vMerge w:val="continue"/>
                  <w:vAlign w:val="center"/>
                </w:tcPr>
                <w:p w14:paraId="2E97C117">
                  <w:pPr>
                    <w:pStyle w:val="41"/>
                  </w:pPr>
                </w:p>
              </w:tc>
              <w:tc>
                <w:tcPr>
                  <w:tcW w:w="0" w:type="auto"/>
                  <w:vMerge w:val="continue"/>
                  <w:vAlign w:val="center"/>
                </w:tcPr>
                <w:p w14:paraId="5C081949">
                  <w:pPr>
                    <w:pStyle w:val="41"/>
                  </w:pPr>
                </w:p>
              </w:tc>
              <w:tc>
                <w:tcPr>
                  <w:tcW w:w="0" w:type="auto"/>
                  <w:vMerge w:val="continue"/>
                  <w:vAlign w:val="center"/>
                </w:tcPr>
                <w:p w14:paraId="088DAB07">
                  <w:pPr>
                    <w:pStyle w:val="41"/>
                  </w:pPr>
                </w:p>
              </w:tc>
              <w:tc>
                <w:tcPr>
                  <w:tcW w:w="0" w:type="auto"/>
                  <w:vMerge w:val="continue"/>
                  <w:vAlign w:val="center"/>
                </w:tcPr>
                <w:p w14:paraId="2C95870A">
                  <w:pPr>
                    <w:pStyle w:val="41"/>
                  </w:pPr>
                </w:p>
              </w:tc>
              <w:tc>
                <w:tcPr>
                  <w:tcW w:w="0" w:type="auto"/>
                  <w:vMerge w:val="continue"/>
                  <w:vAlign w:val="center"/>
                </w:tcPr>
                <w:p w14:paraId="273346C3">
                  <w:pPr>
                    <w:pStyle w:val="41"/>
                  </w:pPr>
                </w:p>
              </w:tc>
              <w:tc>
                <w:tcPr>
                  <w:tcW w:w="0" w:type="auto"/>
                  <w:vAlign w:val="center"/>
                </w:tcPr>
                <w:p w14:paraId="2EC0D103">
                  <w:pPr>
                    <w:pStyle w:val="41"/>
                  </w:pPr>
                  <w:r>
                    <w:t>监控点处任意一次浓度值：20</w:t>
                  </w:r>
                </w:p>
              </w:tc>
              <w:tc>
                <w:tcPr>
                  <w:tcW w:w="0" w:type="auto"/>
                  <w:vMerge w:val="continue"/>
                  <w:vAlign w:val="center"/>
                </w:tcPr>
                <w:p w14:paraId="0417B6B2">
                  <w:pPr>
                    <w:pStyle w:val="41"/>
                  </w:pPr>
                </w:p>
              </w:tc>
            </w:tr>
          </w:tbl>
          <w:p w14:paraId="228AC7FD">
            <w:pPr>
              <w:adjustRightInd w:val="0"/>
              <w:snapToGrid w:val="0"/>
              <w:spacing w:before="240" w:beforeLines="100"/>
              <w:ind w:firstLine="442"/>
              <w:rPr>
                <w:b/>
                <w:bCs/>
                <w:spacing w:val="-10"/>
              </w:rPr>
            </w:pPr>
          </w:p>
          <w:p w14:paraId="1AC574BA">
            <w:pPr>
              <w:adjustRightInd w:val="0"/>
              <w:snapToGrid w:val="0"/>
              <w:spacing w:before="240" w:beforeLines="100"/>
              <w:ind w:firstLine="442"/>
              <w:rPr>
                <w:b/>
                <w:bCs/>
                <w:spacing w:val="-10"/>
              </w:rPr>
            </w:pPr>
          </w:p>
          <w:p w14:paraId="4C23C8D2">
            <w:pPr>
              <w:adjustRightInd w:val="0"/>
              <w:snapToGrid w:val="0"/>
              <w:spacing w:before="240" w:beforeLines="100"/>
              <w:ind w:firstLine="442"/>
              <w:rPr>
                <w:b/>
                <w:bCs/>
                <w:spacing w:val="-10"/>
              </w:rPr>
            </w:pPr>
          </w:p>
          <w:p w14:paraId="46C350E6">
            <w:pPr>
              <w:adjustRightInd w:val="0"/>
              <w:snapToGrid w:val="0"/>
              <w:spacing w:before="240" w:beforeLines="100"/>
              <w:ind w:firstLine="442"/>
              <w:rPr>
                <w:b/>
                <w:bCs/>
                <w:spacing w:val="-10"/>
              </w:rPr>
            </w:pPr>
            <w:r>
              <w:rPr>
                <w:b/>
                <w:bCs/>
                <w:spacing w:val="-10"/>
              </w:rPr>
              <w:t>3、非正常工况</w:t>
            </w:r>
          </w:p>
          <w:p w14:paraId="4CF5D402">
            <w:pPr>
              <w:adjustRightInd w:val="0"/>
              <w:snapToGrid w:val="0"/>
              <w:ind w:firstLine="440"/>
              <w:rPr>
                <w:bCs/>
                <w:spacing w:val="-10"/>
              </w:rPr>
            </w:pPr>
            <w:r>
              <w:rPr>
                <w:bCs/>
                <w:spacing w:val="-10"/>
              </w:rPr>
              <w:t>非正常排放是指生产过程中开停炉（机）、设备检修、工艺设备运转异常等非正常工况下的污染物排放，以及污染物排放控制措施达不到应有效率等情况下的排放。本次评价废气非正常工况排放主要考虑项目废气治理设施发生故障，即去除效率为0的排放。废气处理设施出现故障不能正常运行时，应立即停产进行维修，避免对周围环境造成污染。废气非正常工况源强情况见下。</w:t>
            </w:r>
          </w:p>
          <w:p w14:paraId="412D18CE">
            <w:pPr>
              <w:pStyle w:val="22"/>
              <w:rPr>
                <w:szCs w:val="21"/>
              </w:rPr>
            </w:pPr>
            <w:r>
              <w:rPr>
                <w:szCs w:val="21"/>
              </w:rPr>
              <w:t>表4-10 废气非正常工况排放量核算表</w:t>
            </w:r>
          </w:p>
          <w:tbl>
            <w:tblPr>
              <w:tblStyle w:val="23"/>
              <w:tblW w:w="125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1342"/>
              <w:gridCol w:w="1560"/>
              <w:gridCol w:w="940"/>
              <w:gridCol w:w="1559"/>
              <w:gridCol w:w="1559"/>
              <w:gridCol w:w="1418"/>
              <w:gridCol w:w="1275"/>
              <w:gridCol w:w="2452"/>
            </w:tblGrid>
            <w:tr w14:paraId="49D95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27" w:type="dxa"/>
                  <w:vAlign w:val="center"/>
                </w:tcPr>
                <w:p w14:paraId="71EED07E">
                  <w:pPr>
                    <w:pStyle w:val="41"/>
                    <w:rPr>
                      <w:b/>
                      <w:bCs/>
                    </w:rPr>
                  </w:pPr>
                  <w:r>
                    <w:rPr>
                      <w:b/>
                      <w:bCs/>
                    </w:rPr>
                    <w:t>序号</w:t>
                  </w:r>
                </w:p>
              </w:tc>
              <w:tc>
                <w:tcPr>
                  <w:tcW w:w="1342" w:type="dxa"/>
                  <w:vAlign w:val="center"/>
                </w:tcPr>
                <w:p w14:paraId="35FA46A6">
                  <w:pPr>
                    <w:pStyle w:val="41"/>
                    <w:rPr>
                      <w:b/>
                      <w:bCs/>
                    </w:rPr>
                  </w:pPr>
                  <w:r>
                    <w:rPr>
                      <w:b/>
                      <w:bCs/>
                    </w:rPr>
                    <w:t>污染源</w:t>
                  </w:r>
                </w:p>
              </w:tc>
              <w:tc>
                <w:tcPr>
                  <w:tcW w:w="1560" w:type="dxa"/>
                  <w:vAlign w:val="center"/>
                </w:tcPr>
                <w:p w14:paraId="486DD7C7">
                  <w:pPr>
                    <w:pStyle w:val="41"/>
                    <w:rPr>
                      <w:b/>
                      <w:bCs/>
                    </w:rPr>
                  </w:pPr>
                  <w:r>
                    <w:rPr>
                      <w:b/>
                      <w:bCs/>
                    </w:rPr>
                    <w:t>非正常排放原因</w:t>
                  </w:r>
                </w:p>
              </w:tc>
              <w:tc>
                <w:tcPr>
                  <w:tcW w:w="940" w:type="dxa"/>
                  <w:vAlign w:val="center"/>
                </w:tcPr>
                <w:p w14:paraId="28F048F5">
                  <w:pPr>
                    <w:pStyle w:val="41"/>
                    <w:rPr>
                      <w:b/>
                      <w:bCs/>
                    </w:rPr>
                  </w:pPr>
                  <w:r>
                    <w:rPr>
                      <w:b/>
                      <w:bCs/>
                    </w:rPr>
                    <w:t>污染物</w:t>
                  </w:r>
                </w:p>
              </w:tc>
              <w:tc>
                <w:tcPr>
                  <w:tcW w:w="1559" w:type="dxa"/>
                  <w:vAlign w:val="center"/>
                </w:tcPr>
                <w:p w14:paraId="12D1699C">
                  <w:pPr>
                    <w:pStyle w:val="41"/>
                    <w:rPr>
                      <w:b/>
                      <w:bCs/>
                    </w:rPr>
                  </w:pPr>
                  <w:r>
                    <w:rPr>
                      <w:b/>
                      <w:bCs/>
                    </w:rPr>
                    <w:t>非正常排放浓度（mg/m</w:t>
                  </w:r>
                  <w:r>
                    <w:rPr>
                      <w:b/>
                      <w:bCs/>
                      <w:vertAlign w:val="superscript"/>
                    </w:rPr>
                    <w:t>3</w:t>
                  </w:r>
                  <w:r>
                    <w:rPr>
                      <w:b/>
                      <w:bCs/>
                    </w:rPr>
                    <w:t>）</w:t>
                  </w:r>
                </w:p>
              </w:tc>
              <w:tc>
                <w:tcPr>
                  <w:tcW w:w="1559" w:type="dxa"/>
                  <w:vAlign w:val="center"/>
                </w:tcPr>
                <w:p w14:paraId="54369699">
                  <w:pPr>
                    <w:pStyle w:val="41"/>
                    <w:rPr>
                      <w:b/>
                      <w:bCs/>
                    </w:rPr>
                  </w:pPr>
                  <w:r>
                    <w:rPr>
                      <w:b/>
                      <w:bCs/>
                    </w:rPr>
                    <w:t>非正常排放速率（kg/h）</w:t>
                  </w:r>
                </w:p>
              </w:tc>
              <w:tc>
                <w:tcPr>
                  <w:tcW w:w="1418" w:type="dxa"/>
                  <w:vAlign w:val="center"/>
                </w:tcPr>
                <w:p w14:paraId="21EEE429">
                  <w:pPr>
                    <w:pStyle w:val="41"/>
                    <w:rPr>
                      <w:b/>
                      <w:bCs/>
                    </w:rPr>
                  </w:pPr>
                  <w:r>
                    <w:rPr>
                      <w:b/>
                      <w:bCs/>
                    </w:rPr>
                    <w:t>单次持续时间（h）</w:t>
                  </w:r>
                </w:p>
              </w:tc>
              <w:tc>
                <w:tcPr>
                  <w:tcW w:w="1275" w:type="dxa"/>
                  <w:vAlign w:val="center"/>
                </w:tcPr>
                <w:p w14:paraId="1464CAA3">
                  <w:pPr>
                    <w:pStyle w:val="41"/>
                    <w:rPr>
                      <w:b/>
                      <w:bCs/>
                    </w:rPr>
                  </w:pPr>
                  <w:r>
                    <w:rPr>
                      <w:b/>
                      <w:bCs/>
                    </w:rPr>
                    <w:t>年发生频次（次）</w:t>
                  </w:r>
                </w:p>
              </w:tc>
              <w:tc>
                <w:tcPr>
                  <w:tcW w:w="2452" w:type="dxa"/>
                  <w:vAlign w:val="center"/>
                </w:tcPr>
                <w:p w14:paraId="53B2661A">
                  <w:pPr>
                    <w:pStyle w:val="41"/>
                    <w:rPr>
                      <w:b/>
                      <w:bCs/>
                    </w:rPr>
                  </w:pPr>
                  <w:r>
                    <w:rPr>
                      <w:b/>
                      <w:bCs/>
                    </w:rPr>
                    <w:t>应对措施</w:t>
                  </w:r>
                </w:p>
              </w:tc>
            </w:tr>
            <w:tr w14:paraId="574B9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427" w:type="dxa"/>
                  <w:vAlign w:val="center"/>
                </w:tcPr>
                <w:p w14:paraId="2AE9BA0C">
                  <w:pPr>
                    <w:pStyle w:val="41"/>
                  </w:pPr>
                  <w:r>
                    <w:t>1</w:t>
                  </w:r>
                </w:p>
              </w:tc>
              <w:tc>
                <w:tcPr>
                  <w:tcW w:w="1342" w:type="dxa"/>
                  <w:vAlign w:val="center"/>
                </w:tcPr>
                <w:p w14:paraId="27C0A350">
                  <w:pPr>
                    <w:pStyle w:val="41"/>
                  </w:pPr>
                  <w:r>
                    <w:t>排气筒DA004</w:t>
                  </w:r>
                </w:p>
              </w:tc>
              <w:tc>
                <w:tcPr>
                  <w:tcW w:w="1560" w:type="dxa"/>
                  <w:vMerge w:val="restart"/>
                  <w:vAlign w:val="center"/>
                </w:tcPr>
                <w:p w14:paraId="3BB3CE41">
                  <w:pPr>
                    <w:pStyle w:val="41"/>
                  </w:pPr>
                  <w:r>
                    <w:t>末端废气处理设施故障、废气直排</w:t>
                  </w:r>
                </w:p>
              </w:tc>
              <w:tc>
                <w:tcPr>
                  <w:tcW w:w="940" w:type="dxa"/>
                  <w:vAlign w:val="center"/>
                </w:tcPr>
                <w:p w14:paraId="5BB93870">
                  <w:pPr>
                    <w:pStyle w:val="41"/>
                    <w:rPr>
                      <w:rFonts w:hint="eastAsia" w:eastAsia="宋体"/>
                      <w:lang w:eastAsia="zh-CN"/>
                    </w:rPr>
                  </w:pPr>
                  <w:r>
                    <w:rPr>
                      <w:rFonts w:hint="eastAsia"/>
                      <w:lang w:eastAsia="zh-CN"/>
                    </w:rPr>
                    <w:t>VOCs</w:t>
                  </w:r>
                </w:p>
              </w:tc>
              <w:tc>
                <w:tcPr>
                  <w:tcW w:w="1559" w:type="dxa"/>
                  <w:vAlign w:val="center"/>
                </w:tcPr>
                <w:p w14:paraId="6B03F4E9">
                  <w:pPr>
                    <w:pStyle w:val="41"/>
                  </w:pPr>
                  <w:r>
                    <w:t>7.6667</w:t>
                  </w:r>
                </w:p>
              </w:tc>
              <w:tc>
                <w:tcPr>
                  <w:tcW w:w="1559" w:type="dxa"/>
                  <w:vAlign w:val="center"/>
                </w:tcPr>
                <w:p w14:paraId="19807E8B">
                  <w:pPr>
                    <w:pStyle w:val="41"/>
                  </w:pPr>
                  <w:r>
                    <w:t>0.0253</w:t>
                  </w:r>
                </w:p>
              </w:tc>
              <w:tc>
                <w:tcPr>
                  <w:tcW w:w="1418" w:type="dxa"/>
                  <w:vMerge w:val="restart"/>
                  <w:vAlign w:val="center"/>
                </w:tcPr>
                <w:p w14:paraId="654FB393">
                  <w:pPr>
                    <w:pStyle w:val="41"/>
                  </w:pPr>
                  <w:r>
                    <w:t>0.5</w:t>
                  </w:r>
                </w:p>
              </w:tc>
              <w:tc>
                <w:tcPr>
                  <w:tcW w:w="1275" w:type="dxa"/>
                  <w:vMerge w:val="restart"/>
                  <w:vAlign w:val="center"/>
                </w:tcPr>
                <w:p w14:paraId="4E2B3B48">
                  <w:pPr>
                    <w:pStyle w:val="41"/>
                  </w:pPr>
                  <w:r>
                    <w:t>1</w:t>
                  </w:r>
                </w:p>
              </w:tc>
              <w:tc>
                <w:tcPr>
                  <w:tcW w:w="2452" w:type="dxa"/>
                  <w:vMerge w:val="restart"/>
                  <w:vAlign w:val="center"/>
                </w:tcPr>
                <w:p w14:paraId="7B426F52">
                  <w:pPr>
                    <w:pStyle w:val="41"/>
                  </w:pPr>
                  <w:r>
                    <w:t>立即停止生产，关闭排放阀，进行废气治理设施检修，待恢复后进行生产</w:t>
                  </w:r>
                </w:p>
              </w:tc>
            </w:tr>
            <w:tr w14:paraId="4C2F2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427" w:type="dxa"/>
                  <w:vAlign w:val="center"/>
                </w:tcPr>
                <w:p w14:paraId="611A26C6">
                  <w:pPr>
                    <w:pStyle w:val="41"/>
                  </w:pPr>
                  <w:r>
                    <w:t>2</w:t>
                  </w:r>
                </w:p>
              </w:tc>
              <w:tc>
                <w:tcPr>
                  <w:tcW w:w="1342" w:type="dxa"/>
                  <w:vAlign w:val="center"/>
                </w:tcPr>
                <w:p w14:paraId="0D11F307">
                  <w:pPr>
                    <w:pStyle w:val="41"/>
                  </w:pPr>
                  <w:r>
                    <w:t>排气筒DA003</w:t>
                  </w:r>
                </w:p>
              </w:tc>
              <w:tc>
                <w:tcPr>
                  <w:tcW w:w="1560" w:type="dxa"/>
                  <w:vMerge w:val="continue"/>
                  <w:vAlign w:val="center"/>
                </w:tcPr>
                <w:p w14:paraId="5F621078">
                  <w:pPr>
                    <w:pStyle w:val="41"/>
                  </w:pPr>
                </w:p>
              </w:tc>
              <w:tc>
                <w:tcPr>
                  <w:tcW w:w="940" w:type="dxa"/>
                  <w:vAlign w:val="center"/>
                </w:tcPr>
                <w:p w14:paraId="51186655">
                  <w:pPr>
                    <w:pStyle w:val="20"/>
                    <w:rPr>
                      <w:rFonts w:hint="eastAsia" w:eastAsia="宋体"/>
                      <w:lang w:eastAsia="zh-CN"/>
                    </w:rPr>
                  </w:pPr>
                  <w:r>
                    <w:rPr>
                      <w:rFonts w:hint="eastAsia"/>
                      <w:lang w:eastAsia="zh-CN"/>
                    </w:rPr>
                    <w:t>VOCs</w:t>
                  </w:r>
                </w:p>
              </w:tc>
              <w:tc>
                <w:tcPr>
                  <w:tcW w:w="1559" w:type="dxa"/>
                  <w:vAlign w:val="center"/>
                </w:tcPr>
                <w:p w14:paraId="00057A01">
                  <w:pPr>
                    <w:pStyle w:val="41"/>
                  </w:pPr>
                  <w:r>
                    <w:t>117</w:t>
                  </w:r>
                </w:p>
              </w:tc>
              <w:tc>
                <w:tcPr>
                  <w:tcW w:w="1559" w:type="dxa"/>
                  <w:vAlign w:val="center"/>
                </w:tcPr>
                <w:p w14:paraId="16BD5E99">
                  <w:pPr>
                    <w:pStyle w:val="41"/>
                  </w:pPr>
                  <w:r>
                    <w:t>0.3875</w:t>
                  </w:r>
                </w:p>
              </w:tc>
              <w:tc>
                <w:tcPr>
                  <w:tcW w:w="1418" w:type="dxa"/>
                  <w:vMerge w:val="continue"/>
                  <w:vAlign w:val="center"/>
                </w:tcPr>
                <w:p w14:paraId="4D8D2026">
                  <w:pPr>
                    <w:pStyle w:val="41"/>
                  </w:pPr>
                </w:p>
              </w:tc>
              <w:tc>
                <w:tcPr>
                  <w:tcW w:w="1275" w:type="dxa"/>
                  <w:vMerge w:val="continue"/>
                  <w:vAlign w:val="center"/>
                </w:tcPr>
                <w:p w14:paraId="395E8AEE">
                  <w:pPr>
                    <w:pStyle w:val="41"/>
                  </w:pPr>
                </w:p>
              </w:tc>
              <w:tc>
                <w:tcPr>
                  <w:tcW w:w="2452" w:type="dxa"/>
                  <w:vMerge w:val="continue"/>
                  <w:vAlign w:val="center"/>
                </w:tcPr>
                <w:p w14:paraId="3E0EDA64">
                  <w:pPr>
                    <w:pStyle w:val="41"/>
                  </w:pPr>
                </w:p>
              </w:tc>
            </w:tr>
            <w:tr w14:paraId="2D36D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427" w:type="dxa"/>
                  <w:vAlign w:val="center"/>
                </w:tcPr>
                <w:p w14:paraId="28B31278">
                  <w:pPr>
                    <w:pStyle w:val="41"/>
                  </w:pPr>
                  <w:r>
                    <w:t>3</w:t>
                  </w:r>
                </w:p>
              </w:tc>
              <w:tc>
                <w:tcPr>
                  <w:tcW w:w="1342" w:type="dxa"/>
                  <w:vAlign w:val="center"/>
                </w:tcPr>
                <w:p w14:paraId="5BFE9F9A">
                  <w:pPr>
                    <w:pStyle w:val="41"/>
                  </w:pPr>
                  <w:r>
                    <w:t>排气筒DA002</w:t>
                  </w:r>
                </w:p>
              </w:tc>
              <w:tc>
                <w:tcPr>
                  <w:tcW w:w="1560" w:type="dxa"/>
                  <w:vMerge w:val="continue"/>
                  <w:vAlign w:val="center"/>
                </w:tcPr>
                <w:p w14:paraId="03285B75">
                  <w:pPr>
                    <w:pStyle w:val="41"/>
                  </w:pPr>
                </w:p>
              </w:tc>
              <w:tc>
                <w:tcPr>
                  <w:tcW w:w="940" w:type="dxa"/>
                  <w:vAlign w:val="center"/>
                </w:tcPr>
                <w:p w14:paraId="50E3D71B">
                  <w:pPr>
                    <w:pStyle w:val="41"/>
                  </w:pPr>
                  <w:r>
                    <w:t>颗粒物</w:t>
                  </w:r>
                </w:p>
              </w:tc>
              <w:tc>
                <w:tcPr>
                  <w:tcW w:w="1559" w:type="dxa"/>
                  <w:vAlign w:val="center"/>
                </w:tcPr>
                <w:p w14:paraId="23B5A6E5">
                  <w:pPr>
                    <w:pStyle w:val="41"/>
                  </w:pPr>
                  <w:r>
                    <w:t>417.29</w:t>
                  </w:r>
                </w:p>
              </w:tc>
              <w:tc>
                <w:tcPr>
                  <w:tcW w:w="1559" w:type="dxa"/>
                  <w:vAlign w:val="center"/>
                </w:tcPr>
                <w:p w14:paraId="2D1121B6">
                  <w:pPr>
                    <w:pStyle w:val="41"/>
                  </w:pPr>
                  <w:r>
                    <w:t>8.346</w:t>
                  </w:r>
                </w:p>
              </w:tc>
              <w:tc>
                <w:tcPr>
                  <w:tcW w:w="1418" w:type="dxa"/>
                  <w:vMerge w:val="continue"/>
                  <w:vAlign w:val="center"/>
                </w:tcPr>
                <w:p w14:paraId="24F22C99">
                  <w:pPr>
                    <w:pStyle w:val="41"/>
                  </w:pPr>
                </w:p>
              </w:tc>
              <w:tc>
                <w:tcPr>
                  <w:tcW w:w="1275" w:type="dxa"/>
                  <w:vMerge w:val="continue"/>
                  <w:vAlign w:val="center"/>
                </w:tcPr>
                <w:p w14:paraId="52FD473F">
                  <w:pPr>
                    <w:pStyle w:val="41"/>
                  </w:pPr>
                </w:p>
              </w:tc>
              <w:tc>
                <w:tcPr>
                  <w:tcW w:w="2452" w:type="dxa"/>
                  <w:vMerge w:val="continue"/>
                  <w:vAlign w:val="center"/>
                </w:tcPr>
                <w:p w14:paraId="21229DFA">
                  <w:pPr>
                    <w:pStyle w:val="41"/>
                  </w:pPr>
                </w:p>
              </w:tc>
            </w:tr>
          </w:tbl>
          <w:p w14:paraId="6982375F">
            <w:pPr>
              <w:snapToGrid w:val="0"/>
              <w:spacing w:before="240" w:beforeLines="100"/>
              <w:ind w:firstLine="480"/>
            </w:pPr>
          </w:p>
        </w:tc>
      </w:tr>
    </w:tbl>
    <w:p w14:paraId="7F4830B1">
      <w:pPr>
        <w:ind w:firstLine="480"/>
        <w:sectPr>
          <w:pgSz w:w="16840" w:h="11907" w:orient="landscape"/>
          <w:pgMar w:top="1531" w:right="1701" w:bottom="1531" w:left="2127" w:header="851" w:footer="851" w:gutter="0"/>
          <w:cols w:space="720" w:num="1"/>
          <w:docGrid w:linePitch="312" w:charSpace="0"/>
        </w:sectPr>
      </w:pPr>
    </w:p>
    <w:tbl>
      <w:tblPr>
        <w:tblStyle w:val="23"/>
        <w:tblW w:w="4999"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62"/>
        <w:gridCol w:w="8919"/>
      </w:tblGrid>
      <w:tr w14:paraId="364933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01" w:hRule="atLeast"/>
          <w:jc w:val="center"/>
        </w:trPr>
        <w:tc>
          <w:tcPr>
            <w:tcW w:w="230" w:type="pct"/>
            <w:tcMar>
              <w:left w:w="28" w:type="dxa"/>
              <w:right w:w="28" w:type="dxa"/>
            </w:tcMar>
            <w:vAlign w:val="center"/>
          </w:tcPr>
          <w:p w14:paraId="2AEA9035">
            <w:pPr>
              <w:adjustRightInd w:val="0"/>
              <w:snapToGrid w:val="0"/>
              <w:ind w:firstLine="480"/>
              <w:jc w:val="center"/>
              <w:rPr>
                <w:rFonts w:hint="default" w:ascii="Times New Roman" w:hAnsi="Times New Roman" w:eastAsia="宋体" w:cs="Times New Roman"/>
                <w:bCs/>
              </w:rPr>
            </w:pPr>
          </w:p>
        </w:tc>
        <w:tc>
          <w:tcPr>
            <w:tcW w:w="4769" w:type="pct"/>
            <w:vAlign w:val="center"/>
          </w:tcPr>
          <w:p w14:paraId="1A9F38F7">
            <w:pPr>
              <w:adjustRightInd w:val="0"/>
              <w:snapToGrid w:val="0"/>
              <w:ind w:firstLine="482"/>
              <w:rPr>
                <w:rFonts w:hint="default" w:ascii="Times New Roman" w:hAnsi="Times New Roman" w:eastAsia="宋体" w:cs="Times New Roman"/>
                <w:b/>
                <w:bCs/>
              </w:rPr>
            </w:pPr>
            <w:r>
              <w:rPr>
                <w:rFonts w:hint="default" w:ascii="Times New Roman" w:hAnsi="Times New Roman" w:eastAsia="宋体" w:cs="Times New Roman"/>
                <w:b/>
                <w:bCs/>
              </w:rPr>
              <w:t>4、措施可行性分析及其影响分析</w:t>
            </w:r>
          </w:p>
          <w:p w14:paraId="4EE5C4F5">
            <w:pPr>
              <w:ind w:firstLine="480"/>
              <w:rPr>
                <w:rFonts w:hint="default" w:ascii="Times New Roman" w:hAnsi="Times New Roman" w:eastAsia="宋体" w:cs="Times New Roman"/>
              </w:rPr>
            </w:pPr>
            <w:r>
              <w:rPr>
                <w:rFonts w:hint="default" w:ascii="Times New Roman" w:hAnsi="Times New Roman" w:eastAsia="宋体" w:cs="Times New Roman"/>
              </w:rPr>
              <w:t>（1）废气治理设施可行性分析</w:t>
            </w:r>
          </w:p>
          <w:p w14:paraId="7F6B16F9">
            <w:pPr>
              <w:ind w:firstLine="480"/>
              <w:rPr>
                <w:rFonts w:hint="default" w:ascii="Times New Roman" w:hAnsi="Times New Roman" w:eastAsia="宋体" w:cs="Times New Roman"/>
              </w:rPr>
            </w:pPr>
            <w:r>
              <w:rPr>
                <w:rFonts w:hint="default" w:ascii="Times New Roman" w:hAnsi="Times New Roman" w:eastAsia="宋体" w:cs="Times New Roman"/>
              </w:rPr>
              <w:t>①有机废气</w:t>
            </w:r>
          </w:p>
          <w:p w14:paraId="382A08B3">
            <w:pPr>
              <w:ind w:firstLine="480"/>
              <w:rPr>
                <w:rFonts w:hint="default" w:ascii="Times New Roman" w:hAnsi="Times New Roman" w:eastAsia="宋体" w:cs="Times New Roman"/>
              </w:rPr>
            </w:pPr>
            <w:r>
              <w:rPr>
                <w:rFonts w:hint="default" w:ascii="Times New Roman" w:hAnsi="Times New Roman" w:eastAsia="宋体" w:cs="Times New Roman"/>
              </w:rPr>
              <w:t>废气经由喷淋塔进行降温、洗涤，以降低废气温度并去除废气中部分污染物。废气经由填充式喷淋塔，采用气液逆向吸收方式处理以雾洒而下产生小水滴，废气则由塔底逆向流达到气液接触的目的，此处理方式可冷却废气温度、气体调理及颗粒去除，为确保塔内气体的均匀分布及气液完全接触,采用具有稀疏表面的良好填充滤材，使气体、液体之间停留时间增长，同时填充滤材选用应有适当空隙，以减少气体向上升的阻力，减少喷淋塔压力降，经喷淋塔处理后的废气，为保证活性炭吸附装置的吸附效果，废气进入干式过滤器，去除喷淋后废气中的水分及部分颗粒物后再进入活性炭吸附装置。</w:t>
            </w:r>
          </w:p>
          <w:p w14:paraId="258A8CD3">
            <w:pPr>
              <w:ind w:firstLine="480"/>
              <w:rPr>
                <w:rFonts w:hint="default" w:ascii="Times New Roman" w:hAnsi="Times New Roman" w:eastAsia="宋体" w:cs="Times New Roman"/>
              </w:rPr>
            </w:pPr>
            <w:r>
              <w:rPr>
                <w:rFonts w:hint="default" w:ascii="Times New Roman" w:hAnsi="Times New Roman" w:eastAsia="宋体" w:cs="Times New Roman"/>
              </w:rPr>
              <w:t>活性炭吸附：活性炭是一种由含碳材料制成的外观呈黑色，内部孔隙结构发达、比表面积大、吸附能力强的一类微晶质碳素材料。活性炭材料中有大量的微孔，具有很强的吸附能力。活性炭比表面积一般在700～1500m</w:t>
            </w:r>
            <w:r>
              <w:rPr>
                <w:rFonts w:hint="default" w:ascii="Times New Roman" w:hAnsi="Times New Roman" w:eastAsia="宋体" w:cs="Times New Roman"/>
                <w:vertAlign w:val="superscript"/>
              </w:rPr>
              <w:t>2</w:t>
            </w:r>
            <w:r>
              <w:rPr>
                <w:rFonts w:hint="default" w:ascii="Times New Roman" w:hAnsi="Times New Roman" w:eastAsia="宋体" w:cs="Times New Roman"/>
              </w:rPr>
              <w:t>/g，由于吸附材料的比表面积大，所以能和气体充分接触，吸附大量的污染物质。活性炭的吸附效率高、运行成本低、维护方便、能够同时处理多种混合废气。但是由于活性炭本身对吸附气体有一定的饱和度，当活性炭达到饱和后需进行更换或再生。更换频次视其运行工况而定。</w:t>
            </w:r>
          </w:p>
          <w:p w14:paraId="15D2E960">
            <w:pPr>
              <w:ind w:firstLine="480"/>
              <w:rPr>
                <w:rFonts w:hint="default" w:ascii="Times New Roman" w:hAnsi="Times New Roman" w:eastAsia="宋体" w:cs="Times New Roman"/>
              </w:rPr>
            </w:pPr>
            <w:r>
              <w:rPr>
                <w:rFonts w:hint="default" w:ascii="Times New Roman" w:hAnsi="Times New Roman" w:eastAsia="宋体" w:cs="Times New Roman"/>
              </w:rPr>
              <w:t>根据《关于印发&lt;重点行业挥发性有机物综合治理方案&gt;的通知》（环大气〔2019〕53号）中对VOCs处理设施的要求，企业新建治污设施或对现有治污设施实施改造，应依据排放废气的浓度、组分、风量，温度、湿度、压力，以及生产工况等，合理选择治理技术。鼓励企业采用多种技术的组合工艺，提高VOCs治理效率。低浓度、大风量废气，宜采用沸石转轮吸附、活性炭吸附、减风增浓</w:t>
            </w:r>
            <w:r>
              <w:rPr>
                <w:rFonts w:hint="default" w:ascii="Times New Roman" w:hAnsi="Times New Roman" w:eastAsia="宋体" w:cs="Times New Roman"/>
                <w:bCs/>
              </w:rPr>
              <w:t>等浓缩技术，提高VOCs浓度后净化处理；高浓度废气，优先进行溶剂回收，难以回收的，宜采用高温焚烧、催化燃烧等技术。生物法主要适用于低浓度VOCs废气治理和恶臭异味治理。本项目拟使用的有机废气工艺为</w:t>
            </w:r>
            <w:r>
              <w:rPr>
                <w:rFonts w:hint="default" w:ascii="Times New Roman" w:hAnsi="Times New Roman" w:eastAsia="宋体" w:cs="Times New Roman"/>
                <w:bCs/>
                <w:lang w:eastAsia="zh-CN"/>
              </w:rPr>
              <w:t>“喷淋塔+干式过滤+二级活性炭吸附装置”</w:t>
            </w:r>
            <w:r>
              <w:rPr>
                <w:rFonts w:hint="default" w:ascii="Times New Roman" w:hAnsi="Times New Roman" w:eastAsia="宋体" w:cs="Times New Roman"/>
                <w:bCs/>
              </w:rPr>
              <w:t>，属于</w:t>
            </w:r>
            <w:r>
              <w:rPr>
                <w:rFonts w:hint="default" w:ascii="Times New Roman" w:hAnsi="Times New Roman" w:eastAsia="宋体" w:cs="Times New Roman"/>
              </w:rPr>
              <w:t>推荐性挥发性有机物处理工艺技术。</w:t>
            </w:r>
          </w:p>
          <w:p w14:paraId="605DFCE8">
            <w:pPr>
              <w:ind w:firstLine="480"/>
              <w:rPr>
                <w:rFonts w:hint="default" w:ascii="Times New Roman" w:hAnsi="Times New Roman" w:eastAsia="宋体" w:cs="Times New Roman"/>
              </w:rPr>
            </w:pPr>
            <w:r>
              <w:rPr>
                <w:rFonts w:hint="default" w:ascii="Times New Roman" w:hAnsi="Times New Roman" w:eastAsia="宋体" w:cs="Times New Roman"/>
              </w:rPr>
              <w:t xml:space="preserve"> ② 粉尘</w:t>
            </w:r>
          </w:p>
          <w:p w14:paraId="3300401C">
            <w:pPr>
              <w:ind w:firstLine="480"/>
              <w:rPr>
                <w:rFonts w:hint="default" w:ascii="Times New Roman" w:hAnsi="Times New Roman" w:eastAsia="宋体" w:cs="Times New Roman"/>
              </w:rPr>
            </w:pPr>
            <w:r>
              <w:rPr>
                <w:rFonts w:hint="default" w:ascii="Times New Roman" w:hAnsi="Times New Roman" w:eastAsia="宋体" w:cs="Times New Roman"/>
              </w:rPr>
              <w:t>本项目焊接烟气采用移动式焊接烟气净化器处理；机加工粉尘粉尘采用移动式布袋除尘器处理；开料粉尘采用重力沉降收集处理；喷粉粉尘采用高效大旋风回收系统+滤筒式除尘器；喷砂粉尘采用滤筒式除尘器。以上环保措施均为应用规模较广，经济适用的除尘装置，其原理为通过滤筒、滤袋的过滤作用除去废气中的颗粒物。</w:t>
            </w:r>
          </w:p>
          <w:p w14:paraId="5ACE82F1">
            <w:pPr>
              <w:ind w:firstLine="480"/>
              <w:rPr>
                <w:rFonts w:hint="default" w:ascii="Times New Roman" w:hAnsi="Times New Roman" w:eastAsia="宋体" w:cs="Times New Roman"/>
              </w:rPr>
            </w:pPr>
            <w:r>
              <w:rPr>
                <w:rFonts w:hint="default" w:ascii="Times New Roman" w:hAnsi="Times New Roman" w:eastAsia="宋体" w:cs="Times New Roman"/>
              </w:rPr>
              <w:t>根据《排污许可证申请与核发技术规范 汽车制造业》HJ 971-2018中表25“汽车制造业废气污染治理推荐可行技术清单”，颗粒物污染防治技术可采用袋式过滤/湿式除尘/静电净化。项目所使用的移动式焊接烟气净化处理器、移动式布袋除尘器均属于袋式过滤措施，为可行技术。因此，项目机加工粉尘、喷粉粉尘、焊接烟尘、喷砂粉尘、开料粉尘处理措施是可行有效的。</w:t>
            </w:r>
          </w:p>
          <w:p w14:paraId="401AE9BC">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（2）废气环境影响分析</w:t>
            </w:r>
          </w:p>
          <w:p w14:paraId="78C9CEDF">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根据《2022年韶关生态环境状况公报》，项目所在地SO</w:t>
            </w:r>
            <w:r>
              <w:rPr>
                <w:rFonts w:hint="default" w:ascii="Times New Roman" w:hAnsi="Times New Roman" w:eastAsia="宋体" w:cs="Times New Roman"/>
                <w:bCs/>
                <w:vertAlign w:val="subscript"/>
              </w:rPr>
              <w:t>2</w:t>
            </w:r>
            <w:r>
              <w:rPr>
                <w:rFonts w:hint="default" w:ascii="Times New Roman" w:hAnsi="Times New Roman" w:eastAsia="宋体" w:cs="Times New Roman"/>
                <w:bCs/>
              </w:rPr>
              <w:t>、NO</w:t>
            </w:r>
            <w:r>
              <w:rPr>
                <w:rFonts w:hint="default" w:ascii="Times New Roman" w:hAnsi="Times New Roman" w:eastAsia="宋体" w:cs="Times New Roman"/>
                <w:bCs/>
                <w:vertAlign w:val="subscript"/>
              </w:rPr>
              <w:t>2</w:t>
            </w:r>
            <w:r>
              <w:rPr>
                <w:rFonts w:hint="default" w:ascii="Times New Roman" w:hAnsi="Times New Roman" w:eastAsia="宋体" w:cs="Times New Roman"/>
                <w:bCs/>
              </w:rPr>
              <w:t>、PM</w:t>
            </w:r>
            <w:r>
              <w:rPr>
                <w:rFonts w:hint="default" w:ascii="Times New Roman" w:hAnsi="Times New Roman" w:eastAsia="宋体" w:cs="Times New Roman"/>
                <w:bCs/>
                <w:vertAlign w:val="subscript"/>
              </w:rPr>
              <w:t>10</w:t>
            </w:r>
            <w:r>
              <w:rPr>
                <w:rFonts w:hint="default" w:ascii="Times New Roman" w:hAnsi="Times New Roman" w:eastAsia="宋体" w:cs="Times New Roman"/>
                <w:bCs/>
              </w:rPr>
              <w:t>、PM</w:t>
            </w:r>
            <w:r>
              <w:rPr>
                <w:rFonts w:hint="default" w:ascii="Times New Roman" w:hAnsi="Times New Roman" w:eastAsia="宋体" w:cs="Times New Roman"/>
                <w:bCs/>
                <w:vertAlign w:val="subscript"/>
              </w:rPr>
              <w:t>2.5</w:t>
            </w:r>
            <w:r>
              <w:rPr>
                <w:rFonts w:hint="default" w:ascii="Times New Roman" w:hAnsi="Times New Roman" w:eastAsia="宋体" w:cs="Times New Roman"/>
                <w:bCs/>
              </w:rPr>
              <w:t>的年平均质量浓度、CO的第95百分位日平均质量浓度及臭氧的第90百分位日最大8小时平均质量浓度可满足《环境空气质量标准》（GB 3095-2012）及其2018年修改单二级标准，项目所在区域为环境空气达标区。根据表3-3监测结果可知，项目所在区域环境空气中TSP的质量浓度可满足相关质量标准要求。</w:t>
            </w:r>
          </w:p>
          <w:p w14:paraId="6A525EE3">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项目500米范围内无大气环境敏感点。项目粉末固化废气、电泳烘干废气采用密闭式空间微负压收集后经“水喷淋+二级活性炭吸附装置”处理后由15m高排气筒DA004、DA003高空排放；喷砂废气采用全密闭式空间微负压收集，喷砂废气收集后经“滤筒式除尘器”处理后由15m高排气筒DA002高空排放；项目机加工废气经“移动式布袋除尘器”收集处理后无组织排放；焊接烟尘经“移动式烟尘净化器”收集处理后无组织排放；开料废气经“重力沉降、厂房阻隔”无组织排放；喷粉废气经自带“高效大旋风回收系统+滤筒式除尘器”处理后无组织排放。项目的主要污染源通过源强收集，可减少废气的无组织排放，废气经治理后达标排放；因此，本项目各污染物经大气扩散后对周边的影响较少。项目建成后应落实各大气污染源的污染防治措施，减少废气无组织排放和非正常工况排放，则项目对周围的环境影响较小。</w:t>
            </w:r>
          </w:p>
          <w:p w14:paraId="50E05FA7">
            <w:pPr>
              <w:adjustRightInd w:val="0"/>
              <w:snapToGrid w:val="0"/>
              <w:ind w:firstLine="0" w:firstLineChars="0"/>
              <w:rPr>
                <w:rFonts w:hint="default" w:ascii="Times New Roman" w:hAnsi="Times New Roman" w:eastAsia="宋体" w:cs="Times New Roman"/>
                <w:b/>
                <w:bCs/>
              </w:rPr>
            </w:pPr>
          </w:p>
          <w:p w14:paraId="14F4F438">
            <w:pPr>
              <w:adjustRightInd w:val="0"/>
              <w:snapToGrid w:val="0"/>
              <w:ind w:firstLine="0" w:firstLineChars="0"/>
              <w:rPr>
                <w:rFonts w:hint="default" w:ascii="Times New Roman" w:hAnsi="Times New Roman" w:eastAsia="宋体" w:cs="Times New Roman"/>
                <w:b/>
                <w:bCs/>
              </w:rPr>
            </w:pPr>
            <w:r>
              <w:rPr>
                <w:rFonts w:hint="default" w:ascii="Times New Roman" w:hAnsi="Times New Roman" w:eastAsia="宋体" w:cs="Times New Roman"/>
                <w:b/>
                <w:bCs/>
              </w:rPr>
              <w:t>二、废水</w:t>
            </w:r>
          </w:p>
          <w:p w14:paraId="091D48F2">
            <w:pPr>
              <w:ind w:firstLine="482"/>
              <w:rPr>
                <w:rFonts w:hint="default" w:ascii="Times New Roman" w:hAnsi="Times New Roman" w:eastAsia="宋体" w:cs="Times New Roman"/>
              </w:rPr>
            </w:pPr>
            <w:r>
              <w:rPr>
                <w:rFonts w:hint="default" w:ascii="Times New Roman" w:hAnsi="Times New Roman" w:eastAsia="宋体" w:cs="Times New Roman"/>
                <w:b/>
                <w:bCs/>
              </w:rPr>
              <w:t>1、废水源强</w:t>
            </w:r>
          </w:p>
          <w:p w14:paraId="06A2A718">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（1）生活污水</w:t>
            </w:r>
          </w:p>
          <w:p w14:paraId="187CBAF8">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由于本项目员工从现有项目中调配，不新增员工，所以本项目不新增生活污水。项目生活污水依托现有项目“三级化粪池+隔油隔渣池”处理达到园区污水处理厂进水水质要求后排入污水处理厂进一步处理。本报告将不对生活污水产生情况进行分析。</w:t>
            </w:r>
          </w:p>
          <w:p w14:paraId="459CFF1D">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（2）生产废水</w:t>
            </w:r>
          </w:p>
          <w:p w14:paraId="5AE7535A">
            <w:pPr>
              <w:ind w:firstLine="480"/>
              <w:rPr>
                <w:rFonts w:hint="default" w:ascii="Times New Roman" w:hAnsi="Times New Roman" w:eastAsia="宋体" w:cs="Times New Roman"/>
              </w:rPr>
            </w:pPr>
            <w:r>
              <w:rPr>
                <w:rFonts w:hint="default" w:ascii="Times New Roman" w:hAnsi="Times New Roman" w:eastAsia="宋体" w:cs="Times New Roman"/>
              </w:rPr>
              <w:t>本项目的外排生产废水包括有水洗1废水、水洗2废水、纯水机尾水。本次扩建新增的电泳线的纯水机制水产生的尾水量为1151.95m</w:t>
            </w:r>
            <w:r>
              <w:rPr>
                <w:rFonts w:hint="default" w:ascii="Times New Roman" w:hAnsi="Times New Roman" w:eastAsia="宋体" w:cs="Times New Roman"/>
                <w:vertAlign w:val="superscript"/>
              </w:rPr>
              <w:t>3</w:t>
            </w:r>
            <w:r>
              <w:rPr>
                <w:rFonts w:hint="default" w:ascii="Times New Roman" w:hAnsi="Times New Roman" w:eastAsia="宋体" w:cs="Times New Roman"/>
              </w:rPr>
              <w:t>/a</w:t>
            </w:r>
            <w:r>
              <w:rPr>
                <w:rFonts w:hint="default" w:ascii="Times New Roman" w:hAnsi="Times New Roman" w:eastAsia="宋体" w:cs="Times New Roman"/>
                <w:lang w:eastAsia="zh-CN"/>
              </w:rPr>
              <w:t>（</w:t>
            </w:r>
            <w:r>
              <w:rPr>
                <w:rFonts w:hint="default" w:ascii="Times New Roman" w:hAnsi="Times New Roman" w:eastAsia="宋体" w:cs="Times New Roman"/>
              </w:rPr>
              <w:t>即3.84m</w:t>
            </w:r>
            <w:r>
              <w:rPr>
                <w:rFonts w:hint="default" w:ascii="Times New Roman" w:hAnsi="Times New Roman" w:eastAsia="宋体" w:cs="Times New Roman"/>
                <w:vertAlign w:val="superscript"/>
              </w:rPr>
              <w:t>3</w:t>
            </w:r>
            <w:r>
              <w:rPr>
                <w:rFonts w:hint="default" w:ascii="Times New Roman" w:hAnsi="Times New Roman" w:eastAsia="宋体" w:cs="Times New Roman"/>
              </w:rPr>
              <w:t>/a</w:t>
            </w:r>
            <w:r>
              <w:rPr>
                <w:rFonts w:hint="default" w:ascii="Times New Roman" w:hAnsi="Times New Roman" w:eastAsia="宋体" w:cs="Times New Roman"/>
                <w:lang w:eastAsia="zh-CN"/>
              </w:rPr>
              <w:t>）</w:t>
            </w:r>
            <w:r>
              <w:rPr>
                <w:rFonts w:hint="default" w:ascii="Times New Roman" w:hAnsi="Times New Roman" w:eastAsia="宋体" w:cs="Times New Roman"/>
              </w:rPr>
              <w:t>，该部分尾水为清净下水，直接排入生活污水管网接入园区污水管网排入园区污水处理厂集中处理。</w:t>
            </w:r>
          </w:p>
          <w:p w14:paraId="1B646D9C">
            <w:pPr>
              <w:ind w:firstLine="480"/>
              <w:rPr>
                <w:rFonts w:hint="default" w:ascii="Times New Roman" w:hAnsi="Times New Roman" w:eastAsia="宋体" w:cs="Times New Roman"/>
              </w:rPr>
            </w:pPr>
            <w:r>
              <w:rPr>
                <w:rFonts w:hint="default" w:ascii="Times New Roman" w:hAnsi="Times New Roman" w:eastAsia="宋体" w:cs="Times New Roman"/>
              </w:rPr>
              <w:t>项目水洗1使用新鲜水对工件进行清洗，清洗水中不加任何清洗剂等化学药品。水洗1每天更换一次新鲜用水，排放量为1215t/a（4.05t/d）。水洗2废水为经四合一槽脱脂、烷化后的清洗废水，水洗2槽排放水量为1296t/a。则项目清洗废水总排放量为2511t/a（8.37t/d），电泳线的清洗废水排入厂内废水处理站进行处理达标后接入园区污水管网排入园区污水处理厂集中处理。</w:t>
            </w:r>
          </w:p>
          <w:p w14:paraId="7B32872C">
            <w:pPr>
              <w:ind w:firstLine="480"/>
              <w:rPr>
                <w:rFonts w:hint="default" w:ascii="Times New Roman" w:hAnsi="Times New Roman" w:eastAsia="宋体" w:cs="Times New Roman"/>
              </w:rPr>
            </w:pPr>
            <w:r>
              <w:rPr>
                <w:rFonts w:hint="default" w:ascii="Times New Roman" w:hAnsi="Times New Roman" w:eastAsia="宋体" w:cs="Times New Roman"/>
              </w:rPr>
              <w:t>本项目清洗废水水质产生浓度参考《福安市鼎峻电机配件涂装有限公司鼎峻电机配件涂装扩建项目环境影响报告表》</w:t>
            </w:r>
            <w:r>
              <w:rPr>
                <w:rFonts w:hint="default" w:ascii="Times New Roman" w:hAnsi="Times New Roman" w:eastAsia="宋体" w:cs="Times New Roman"/>
                <w:lang w:eastAsia="zh-CN"/>
              </w:rPr>
              <w:t>（</w:t>
            </w:r>
            <w:r>
              <w:rPr>
                <w:rFonts w:hint="default" w:ascii="Times New Roman" w:hAnsi="Times New Roman" w:eastAsia="宋体" w:cs="Times New Roman"/>
              </w:rPr>
              <w:t>宁安环评</w:t>
            </w:r>
            <w:r>
              <w:rPr>
                <w:rFonts w:hint="default" w:ascii="Times New Roman" w:hAnsi="Times New Roman" w:eastAsia="宋体" w:cs="Times New Roman"/>
                <w:lang w:eastAsia="zh-CN"/>
              </w:rPr>
              <w:t>〔</w:t>
            </w:r>
            <w:r>
              <w:rPr>
                <w:rFonts w:hint="default" w:ascii="Times New Roman" w:hAnsi="Times New Roman" w:eastAsia="宋体" w:cs="Times New Roman"/>
              </w:rPr>
              <w:t>2024</w:t>
            </w:r>
            <w:r>
              <w:rPr>
                <w:rFonts w:hint="default" w:ascii="Times New Roman" w:hAnsi="Times New Roman" w:eastAsia="宋体" w:cs="Times New Roman"/>
                <w:lang w:eastAsia="zh-CN"/>
              </w:rPr>
              <w:t>〕</w:t>
            </w:r>
            <w:r>
              <w:rPr>
                <w:rFonts w:hint="default" w:ascii="Times New Roman" w:hAnsi="Times New Roman" w:eastAsia="宋体" w:cs="Times New Roman"/>
              </w:rPr>
              <w:t>5号</w:t>
            </w:r>
            <w:r>
              <w:rPr>
                <w:rFonts w:hint="default" w:ascii="Times New Roman" w:hAnsi="Times New Roman" w:eastAsia="宋体" w:cs="Times New Roman"/>
                <w:lang w:eastAsia="zh-CN"/>
              </w:rPr>
              <w:t>）</w:t>
            </w:r>
            <w:r>
              <w:rPr>
                <w:rFonts w:hint="default" w:ascii="Times New Roman" w:hAnsi="Times New Roman" w:eastAsia="宋体" w:cs="Times New Roman"/>
              </w:rPr>
              <w:t xml:space="preserve"> ，该项目电泳表面涂装废水主要为即脱脂、烷化前后的水洗工序废水，与本项目一般清洗废水类似，故本项目一般清洗废水水质产生浓度参考该项目电泳表面涂装废水产生浓度。</w:t>
            </w:r>
          </w:p>
          <w:p w14:paraId="3FF78E93">
            <w:pPr>
              <w:pStyle w:val="10"/>
              <w:ind w:firstLine="422"/>
              <w:rPr>
                <w:rFonts w:hint="default" w:ascii="Times New Roman" w:hAnsi="Times New Roman" w:eastAsia="宋体" w:cs="Times New Roman"/>
                <w:kern w:val="2"/>
              </w:rPr>
            </w:pPr>
          </w:p>
          <w:p w14:paraId="1F4570E2">
            <w:pPr>
              <w:pStyle w:val="10"/>
              <w:ind w:firstLine="422"/>
              <w:rPr>
                <w:rFonts w:hint="default" w:ascii="Times New Roman" w:hAnsi="Times New Roman" w:eastAsia="宋体" w:cs="Times New Roman"/>
                <w:kern w:val="2"/>
              </w:rPr>
            </w:pPr>
          </w:p>
          <w:p w14:paraId="4CED9CA1">
            <w:pPr>
              <w:pStyle w:val="10"/>
              <w:ind w:firstLine="422"/>
              <w:rPr>
                <w:rFonts w:hint="default" w:ascii="Times New Roman" w:hAnsi="Times New Roman" w:eastAsia="宋体" w:cs="Times New Roman"/>
                <w:kern w:val="2"/>
              </w:rPr>
            </w:pPr>
          </w:p>
          <w:p w14:paraId="03BC54AF">
            <w:pPr>
              <w:pStyle w:val="10"/>
              <w:ind w:firstLine="422"/>
              <w:rPr>
                <w:rFonts w:hint="default" w:ascii="Times New Roman" w:hAnsi="Times New Roman" w:eastAsia="宋体" w:cs="Times New Roman"/>
                <w:kern w:val="2"/>
              </w:rPr>
            </w:pPr>
          </w:p>
          <w:p w14:paraId="2AC18CF0">
            <w:pPr>
              <w:pStyle w:val="10"/>
              <w:ind w:firstLine="422"/>
              <w:rPr>
                <w:rFonts w:hint="default" w:ascii="Times New Roman" w:hAnsi="Times New Roman" w:eastAsia="宋体" w:cs="Times New Roman"/>
                <w:kern w:val="2"/>
              </w:rPr>
            </w:pPr>
          </w:p>
          <w:p w14:paraId="765E9926">
            <w:pPr>
              <w:pStyle w:val="10"/>
              <w:ind w:firstLine="422"/>
              <w:rPr>
                <w:rFonts w:hint="default" w:ascii="Times New Roman" w:hAnsi="Times New Roman" w:eastAsia="宋体" w:cs="Times New Roman"/>
                <w:kern w:val="2"/>
              </w:rPr>
            </w:pPr>
          </w:p>
          <w:p w14:paraId="549139C4">
            <w:pPr>
              <w:pStyle w:val="10"/>
              <w:ind w:firstLine="422"/>
              <w:rPr>
                <w:rFonts w:hint="default" w:ascii="Times New Roman" w:hAnsi="Times New Roman" w:eastAsia="宋体" w:cs="Times New Roman"/>
                <w:kern w:val="2"/>
              </w:rPr>
            </w:pPr>
          </w:p>
          <w:p w14:paraId="6B9E5215">
            <w:pPr>
              <w:pStyle w:val="10"/>
              <w:ind w:firstLine="422"/>
              <w:rPr>
                <w:rFonts w:hint="default" w:ascii="Times New Roman" w:hAnsi="Times New Roman" w:eastAsia="宋体" w:cs="Times New Roman"/>
                <w:kern w:val="2"/>
              </w:rPr>
            </w:pPr>
          </w:p>
          <w:p w14:paraId="40CD6707">
            <w:pPr>
              <w:pStyle w:val="10"/>
              <w:ind w:firstLine="422"/>
              <w:rPr>
                <w:rFonts w:hint="default" w:ascii="Times New Roman" w:hAnsi="Times New Roman" w:eastAsia="宋体" w:cs="Times New Roman"/>
                <w:kern w:val="2"/>
              </w:rPr>
            </w:pPr>
            <w:r>
              <w:rPr>
                <w:rFonts w:hint="default" w:ascii="Times New Roman" w:hAnsi="Times New Roman" w:eastAsia="宋体" w:cs="Times New Roman"/>
                <w:kern w:val="2"/>
              </w:rPr>
              <w:t>表4-11 本项目与类比项目可行性一览表</w:t>
            </w:r>
          </w:p>
          <w:tbl>
            <w:tblPr>
              <w:tblStyle w:val="23"/>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0"/>
              <w:gridCol w:w="2173"/>
              <w:gridCol w:w="2175"/>
              <w:gridCol w:w="2173"/>
            </w:tblGrid>
            <w:tr w14:paraId="69E2F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pct"/>
                  <w:vAlign w:val="center"/>
                </w:tcPr>
                <w:p w14:paraId="2E5E95A7">
                  <w:pPr>
                    <w:pStyle w:val="20"/>
                    <w:rPr>
                      <w:rFonts w:hint="default" w:ascii="Times New Roman" w:hAnsi="Times New Roman" w:eastAsia="宋体" w:cs="Times New Roman"/>
                      <w:b/>
                      <w:bCs/>
                    </w:rPr>
                  </w:pPr>
                  <w:r>
                    <w:rPr>
                      <w:rFonts w:hint="default" w:ascii="Times New Roman" w:hAnsi="Times New Roman" w:eastAsia="宋体" w:cs="Times New Roman"/>
                      <w:b/>
                      <w:bCs/>
                    </w:rPr>
                    <w:t>项目</w:t>
                  </w:r>
                </w:p>
              </w:tc>
              <w:tc>
                <w:tcPr>
                  <w:tcW w:w="1250" w:type="pct"/>
                  <w:vAlign w:val="center"/>
                </w:tcPr>
                <w:p w14:paraId="7F96562F">
                  <w:pPr>
                    <w:pStyle w:val="20"/>
                    <w:rPr>
                      <w:rFonts w:hint="default" w:ascii="Times New Roman" w:hAnsi="Times New Roman" w:eastAsia="宋体" w:cs="Times New Roman"/>
                      <w:b/>
                      <w:bCs/>
                    </w:rPr>
                  </w:pPr>
                  <w:r>
                    <w:rPr>
                      <w:rFonts w:hint="default" w:ascii="Times New Roman" w:hAnsi="Times New Roman" w:eastAsia="宋体" w:cs="Times New Roman"/>
                      <w:b/>
                      <w:bCs/>
                    </w:rPr>
                    <w:t>福安市鼎峻电机配件涂装有限公司鼎峻电机配件涂装扩建项目</w:t>
                  </w:r>
                </w:p>
              </w:tc>
              <w:tc>
                <w:tcPr>
                  <w:tcW w:w="1251" w:type="pct"/>
                  <w:vAlign w:val="center"/>
                </w:tcPr>
                <w:p w14:paraId="6FE45E07">
                  <w:pPr>
                    <w:pStyle w:val="20"/>
                    <w:rPr>
                      <w:rFonts w:hint="default" w:ascii="Times New Roman" w:hAnsi="Times New Roman" w:eastAsia="宋体" w:cs="Times New Roman"/>
                      <w:b/>
                      <w:bCs/>
                    </w:rPr>
                  </w:pPr>
                  <w:r>
                    <w:rPr>
                      <w:rFonts w:hint="default" w:ascii="Times New Roman" w:hAnsi="Times New Roman" w:eastAsia="宋体" w:cs="Times New Roman"/>
                      <w:b/>
                      <w:bCs/>
                    </w:rPr>
                    <w:t>本项目</w:t>
                  </w:r>
                </w:p>
              </w:tc>
              <w:tc>
                <w:tcPr>
                  <w:tcW w:w="1250" w:type="pct"/>
                  <w:vAlign w:val="center"/>
                </w:tcPr>
                <w:p w14:paraId="461AA841">
                  <w:pPr>
                    <w:pStyle w:val="20"/>
                    <w:rPr>
                      <w:rFonts w:hint="default" w:ascii="Times New Roman" w:hAnsi="Times New Roman" w:eastAsia="宋体" w:cs="Times New Roman"/>
                      <w:b/>
                      <w:bCs/>
                    </w:rPr>
                  </w:pPr>
                  <w:r>
                    <w:rPr>
                      <w:rFonts w:hint="default" w:ascii="Times New Roman" w:hAnsi="Times New Roman" w:eastAsia="宋体" w:cs="Times New Roman"/>
                      <w:b/>
                      <w:bCs/>
                    </w:rPr>
                    <w:t>结论</w:t>
                  </w:r>
                </w:p>
              </w:tc>
            </w:tr>
            <w:tr w14:paraId="0E99E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pct"/>
                  <w:vAlign w:val="center"/>
                </w:tcPr>
                <w:p w14:paraId="0B429A5F">
                  <w:pPr>
                    <w:pStyle w:val="20"/>
                    <w:rPr>
                      <w:rFonts w:hint="default" w:ascii="Times New Roman" w:hAnsi="Times New Roman" w:eastAsia="宋体" w:cs="Times New Roman"/>
                    </w:rPr>
                  </w:pPr>
                  <w:r>
                    <w:rPr>
                      <w:rFonts w:hint="default" w:ascii="Times New Roman" w:hAnsi="Times New Roman" w:eastAsia="宋体" w:cs="Times New Roman"/>
                    </w:rPr>
                    <w:t>产品方案及工艺</w:t>
                  </w:r>
                </w:p>
              </w:tc>
              <w:tc>
                <w:tcPr>
                  <w:tcW w:w="1250" w:type="pct"/>
                  <w:vAlign w:val="center"/>
                </w:tcPr>
                <w:p w14:paraId="4DD91787">
                  <w:pPr>
                    <w:pStyle w:val="20"/>
                    <w:rPr>
                      <w:rFonts w:hint="default" w:ascii="Times New Roman" w:hAnsi="Times New Roman" w:eastAsia="宋体" w:cs="Times New Roman"/>
                    </w:rPr>
                  </w:pPr>
                  <w:r>
                    <w:rPr>
                      <w:rFonts w:hint="default" w:ascii="Times New Roman" w:hAnsi="Times New Roman" w:eastAsia="宋体" w:cs="Times New Roman"/>
                    </w:rPr>
                    <w:t>年产3万吨金属铸件，表面涂装线生产工艺主要：脱脂、烷化、电泳等表面处理工艺</w:t>
                  </w:r>
                </w:p>
              </w:tc>
              <w:tc>
                <w:tcPr>
                  <w:tcW w:w="1251" w:type="pct"/>
                  <w:vAlign w:val="center"/>
                </w:tcPr>
                <w:p w14:paraId="6834B50C">
                  <w:pPr>
                    <w:pStyle w:val="20"/>
                    <w:rPr>
                      <w:rFonts w:hint="default" w:ascii="Times New Roman" w:hAnsi="Times New Roman" w:eastAsia="宋体" w:cs="Times New Roman"/>
                    </w:rPr>
                  </w:pPr>
                  <w:r>
                    <w:rPr>
                      <w:rFonts w:hint="default" w:ascii="Times New Roman" w:hAnsi="Times New Roman" w:eastAsia="宋体" w:cs="Times New Roman"/>
                    </w:rPr>
                    <w:t>年产30万件汽车零配件，表面涂装线生产工艺主要：脱脂、烷化、电泳、喷粉等表面处理工艺</w:t>
                  </w:r>
                </w:p>
              </w:tc>
              <w:tc>
                <w:tcPr>
                  <w:tcW w:w="1250" w:type="pct"/>
                  <w:vAlign w:val="center"/>
                </w:tcPr>
                <w:p w14:paraId="4968D647">
                  <w:pPr>
                    <w:pStyle w:val="20"/>
                    <w:rPr>
                      <w:rFonts w:hint="default" w:ascii="Times New Roman" w:hAnsi="Times New Roman" w:eastAsia="宋体" w:cs="Times New Roman"/>
                    </w:rPr>
                  </w:pPr>
                  <w:r>
                    <w:rPr>
                      <w:rFonts w:hint="default" w:ascii="Times New Roman" w:hAnsi="Times New Roman" w:eastAsia="宋体" w:cs="Times New Roman"/>
                    </w:rPr>
                    <w:t>均属于金属制品，主要生产工艺类似</w:t>
                  </w:r>
                </w:p>
              </w:tc>
            </w:tr>
            <w:tr w14:paraId="79083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pct"/>
                  <w:vAlign w:val="center"/>
                </w:tcPr>
                <w:p w14:paraId="2793F792">
                  <w:pPr>
                    <w:pStyle w:val="20"/>
                    <w:rPr>
                      <w:rFonts w:hint="default" w:ascii="Times New Roman" w:hAnsi="Times New Roman" w:eastAsia="宋体" w:cs="Times New Roman"/>
                    </w:rPr>
                  </w:pPr>
                  <w:r>
                    <w:rPr>
                      <w:rFonts w:hint="default" w:ascii="Times New Roman" w:hAnsi="Times New Roman" w:eastAsia="宋体" w:cs="Times New Roman"/>
                    </w:rPr>
                    <w:t>产品材质</w:t>
                  </w:r>
                </w:p>
              </w:tc>
              <w:tc>
                <w:tcPr>
                  <w:tcW w:w="1250" w:type="pct"/>
                  <w:vAlign w:val="center"/>
                </w:tcPr>
                <w:p w14:paraId="6325A5E8">
                  <w:pPr>
                    <w:pStyle w:val="20"/>
                    <w:rPr>
                      <w:rFonts w:hint="default" w:ascii="Times New Roman" w:hAnsi="Times New Roman" w:eastAsia="宋体" w:cs="Times New Roman"/>
                    </w:rPr>
                  </w:pPr>
                  <w:r>
                    <w:rPr>
                      <w:rFonts w:hint="default" w:ascii="Times New Roman" w:hAnsi="Times New Roman" w:eastAsia="宋体" w:cs="Times New Roman"/>
                    </w:rPr>
                    <w:t>铸铁、钢材、铝合金</w:t>
                  </w:r>
                </w:p>
              </w:tc>
              <w:tc>
                <w:tcPr>
                  <w:tcW w:w="1251" w:type="pct"/>
                  <w:vAlign w:val="center"/>
                </w:tcPr>
                <w:p w14:paraId="49ABE1BA">
                  <w:pPr>
                    <w:pStyle w:val="20"/>
                    <w:rPr>
                      <w:rFonts w:hint="default" w:ascii="Times New Roman" w:hAnsi="Times New Roman" w:eastAsia="宋体" w:cs="Times New Roman"/>
                    </w:rPr>
                  </w:pPr>
                  <w:r>
                    <w:rPr>
                      <w:rFonts w:hint="default" w:ascii="Times New Roman" w:hAnsi="Times New Roman" w:eastAsia="宋体" w:cs="Times New Roman"/>
                    </w:rPr>
                    <w:t>钢材</w:t>
                  </w:r>
                </w:p>
              </w:tc>
              <w:tc>
                <w:tcPr>
                  <w:tcW w:w="1250" w:type="pct"/>
                  <w:vAlign w:val="center"/>
                </w:tcPr>
                <w:p w14:paraId="0FFE841D">
                  <w:pPr>
                    <w:pStyle w:val="20"/>
                    <w:rPr>
                      <w:rFonts w:hint="default" w:ascii="Times New Roman" w:hAnsi="Times New Roman" w:eastAsia="宋体" w:cs="Times New Roman"/>
                    </w:rPr>
                  </w:pPr>
                  <w:r>
                    <w:rPr>
                      <w:rFonts w:hint="default" w:ascii="Times New Roman" w:hAnsi="Times New Roman" w:eastAsia="宋体" w:cs="Times New Roman"/>
                    </w:rPr>
                    <w:t>产品材质类似</w:t>
                  </w:r>
                </w:p>
              </w:tc>
            </w:tr>
            <w:tr w14:paraId="2F424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pct"/>
                  <w:vAlign w:val="center"/>
                </w:tcPr>
                <w:p w14:paraId="4DC454EA">
                  <w:pPr>
                    <w:pStyle w:val="20"/>
                    <w:rPr>
                      <w:rFonts w:hint="default" w:ascii="Times New Roman" w:hAnsi="Times New Roman" w:eastAsia="宋体" w:cs="Times New Roman"/>
                    </w:rPr>
                  </w:pPr>
                  <w:r>
                    <w:rPr>
                      <w:rFonts w:hint="default" w:ascii="Times New Roman" w:hAnsi="Times New Roman" w:eastAsia="宋体" w:cs="Times New Roman"/>
                    </w:rPr>
                    <w:t>废水污染物排放特征的相似性</w:t>
                  </w:r>
                </w:p>
              </w:tc>
              <w:tc>
                <w:tcPr>
                  <w:tcW w:w="1250" w:type="pct"/>
                  <w:vAlign w:val="center"/>
                </w:tcPr>
                <w:p w14:paraId="30933019">
                  <w:pPr>
                    <w:pStyle w:val="20"/>
                    <w:rPr>
                      <w:rFonts w:hint="default" w:ascii="Times New Roman" w:hAnsi="Times New Roman" w:eastAsia="宋体" w:cs="Times New Roman"/>
                    </w:rPr>
                  </w:pPr>
                  <w:r>
                    <w:rPr>
                      <w:rFonts w:hint="default" w:ascii="Times New Roman" w:hAnsi="Times New Roman" w:eastAsia="宋体" w:cs="Times New Roman"/>
                    </w:rPr>
                    <w:t>表面处理槽液不进入污水处理站处理</w:t>
                  </w:r>
                </w:p>
              </w:tc>
              <w:tc>
                <w:tcPr>
                  <w:tcW w:w="1251" w:type="pct"/>
                  <w:vAlign w:val="center"/>
                </w:tcPr>
                <w:p w14:paraId="7862341E">
                  <w:pPr>
                    <w:pStyle w:val="20"/>
                    <w:rPr>
                      <w:rFonts w:hint="default" w:ascii="Times New Roman" w:hAnsi="Times New Roman" w:eastAsia="宋体" w:cs="Times New Roman"/>
                    </w:rPr>
                  </w:pPr>
                  <w:r>
                    <w:rPr>
                      <w:rFonts w:hint="default" w:ascii="Times New Roman" w:hAnsi="Times New Roman" w:eastAsia="宋体" w:cs="Times New Roman"/>
                    </w:rPr>
                    <w:t>表面处理槽液不进入污水处理站处理</w:t>
                  </w:r>
                </w:p>
              </w:tc>
              <w:tc>
                <w:tcPr>
                  <w:tcW w:w="1250" w:type="pct"/>
                  <w:vAlign w:val="center"/>
                </w:tcPr>
                <w:p w14:paraId="0DBBC36D">
                  <w:pPr>
                    <w:pStyle w:val="20"/>
                    <w:rPr>
                      <w:rFonts w:hint="default" w:ascii="Times New Roman" w:hAnsi="Times New Roman" w:eastAsia="宋体" w:cs="Times New Roman"/>
                    </w:rPr>
                  </w:pPr>
                  <w:r>
                    <w:rPr>
                      <w:rFonts w:hint="default" w:ascii="Times New Roman" w:hAnsi="Times New Roman" w:eastAsia="宋体" w:cs="Times New Roman"/>
                    </w:rPr>
                    <w:t>废水类别和产污过程相似</w:t>
                  </w:r>
                </w:p>
              </w:tc>
            </w:tr>
            <w:tr w14:paraId="75D4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pct"/>
                  <w:vAlign w:val="center"/>
                </w:tcPr>
                <w:p w14:paraId="4CC1529D">
                  <w:pPr>
                    <w:pStyle w:val="20"/>
                    <w:rPr>
                      <w:rFonts w:hint="default" w:ascii="Times New Roman" w:hAnsi="Times New Roman" w:eastAsia="宋体" w:cs="Times New Roman"/>
                    </w:rPr>
                  </w:pPr>
                  <w:r>
                    <w:rPr>
                      <w:rFonts w:hint="default" w:ascii="Times New Roman" w:hAnsi="Times New Roman" w:eastAsia="宋体" w:cs="Times New Roman"/>
                    </w:rPr>
                    <w:t>主要原辅材料</w:t>
                  </w:r>
                </w:p>
              </w:tc>
              <w:tc>
                <w:tcPr>
                  <w:tcW w:w="1250" w:type="pct"/>
                  <w:vAlign w:val="center"/>
                </w:tcPr>
                <w:p w14:paraId="6BD08DDD">
                  <w:pPr>
                    <w:pStyle w:val="20"/>
                    <w:rPr>
                      <w:rFonts w:hint="default" w:ascii="Times New Roman" w:hAnsi="Times New Roman" w:eastAsia="宋体" w:cs="Times New Roman"/>
                    </w:rPr>
                  </w:pPr>
                  <w:r>
                    <w:rPr>
                      <w:rFonts w:hint="default" w:ascii="Times New Roman" w:hAnsi="Times New Roman" w:eastAsia="宋体" w:cs="Times New Roman"/>
                    </w:rPr>
                    <w:t>金属配件、脱脂剂、硅烷剂、电泳漆</w:t>
                  </w:r>
                </w:p>
              </w:tc>
              <w:tc>
                <w:tcPr>
                  <w:tcW w:w="1251" w:type="pct"/>
                  <w:vAlign w:val="center"/>
                </w:tcPr>
                <w:p w14:paraId="4CF7CCC3">
                  <w:pPr>
                    <w:pStyle w:val="20"/>
                    <w:rPr>
                      <w:rFonts w:hint="default" w:ascii="Times New Roman" w:hAnsi="Times New Roman" w:eastAsia="宋体" w:cs="Times New Roman"/>
                    </w:rPr>
                  </w:pPr>
                  <w:r>
                    <w:rPr>
                      <w:rFonts w:hint="default" w:ascii="Times New Roman" w:hAnsi="Times New Roman" w:eastAsia="宋体" w:cs="Times New Roman"/>
                    </w:rPr>
                    <w:t>钢材、脱脂剂、硅烷剂、电泳漆</w:t>
                  </w:r>
                </w:p>
              </w:tc>
              <w:tc>
                <w:tcPr>
                  <w:tcW w:w="1250" w:type="pct"/>
                  <w:vAlign w:val="center"/>
                </w:tcPr>
                <w:p w14:paraId="1382FBEF">
                  <w:pPr>
                    <w:pStyle w:val="20"/>
                    <w:rPr>
                      <w:rFonts w:hint="default" w:ascii="Times New Roman" w:hAnsi="Times New Roman" w:eastAsia="宋体" w:cs="Times New Roman"/>
                    </w:rPr>
                  </w:pPr>
                  <w:r>
                    <w:rPr>
                      <w:rFonts w:hint="default" w:ascii="Times New Roman" w:hAnsi="Times New Roman" w:eastAsia="宋体" w:cs="Times New Roman"/>
                    </w:rPr>
                    <w:t>主要的原辅材料基本相同</w:t>
                  </w:r>
                </w:p>
              </w:tc>
            </w:tr>
          </w:tbl>
          <w:p w14:paraId="7BF9D526">
            <w:pPr>
              <w:pStyle w:val="10"/>
              <w:ind w:firstLine="422"/>
              <w:rPr>
                <w:rFonts w:hint="default" w:ascii="Times New Roman" w:hAnsi="Times New Roman" w:eastAsia="宋体" w:cs="Times New Roman"/>
                <w:kern w:val="2"/>
              </w:rPr>
            </w:pPr>
            <w:r>
              <w:rPr>
                <w:rFonts w:hint="default" w:ascii="Times New Roman" w:hAnsi="Times New Roman" w:eastAsia="宋体" w:cs="Times New Roman"/>
                <w:kern w:val="2"/>
              </w:rPr>
              <w:t>表4-12本项目清洗废水污染物产生浓度类比参考取值一览表 pH值：无量纲</w:t>
            </w:r>
          </w:p>
          <w:tbl>
            <w:tblPr>
              <w:tblStyle w:val="23"/>
              <w:tblW w:w="83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3"/>
              <w:gridCol w:w="2085"/>
              <w:gridCol w:w="2086"/>
              <w:gridCol w:w="2086"/>
            </w:tblGrid>
            <w:tr w14:paraId="5A3F5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Align w:val="center"/>
                </w:tcPr>
                <w:p w14:paraId="2D7C801A">
                  <w:pPr>
                    <w:pStyle w:val="20"/>
                    <w:rPr>
                      <w:rFonts w:hint="default" w:ascii="Times New Roman" w:hAnsi="Times New Roman" w:eastAsia="宋体" w:cs="Times New Roman"/>
                      <w:b/>
                      <w:bCs/>
                    </w:rPr>
                  </w:pPr>
                  <w:r>
                    <w:rPr>
                      <w:rFonts w:hint="default" w:ascii="Times New Roman" w:hAnsi="Times New Roman" w:eastAsia="宋体" w:cs="Times New Roman"/>
                      <w:b/>
                      <w:bCs/>
                    </w:rPr>
                    <w:t>项目</w:t>
                  </w:r>
                </w:p>
              </w:tc>
              <w:tc>
                <w:tcPr>
                  <w:tcW w:w="2085" w:type="dxa"/>
                  <w:vAlign w:val="center"/>
                </w:tcPr>
                <w:p w14:paraId="1403948D">
                  <w:pPr>
                    <w:pStyle w:val="20"/>
                    <w:rPr>
                      <w:rFonts w:hint="default" w:ascii="Times New Roman" w:hAnsi="Times New Roman" w:eastAsia="宋体" w:cs="Times New Roman"/>
                      <w:b/>
                      <w:bCs/>
                    </w:rPr>
                  </w:pPr>
                  <w:r>
                    <w:rPr>
                      <w:rFonts w:hint="default" w:ascii="Times New Roman" w:hAnsi="Times New Roman" w:eastAsia="宋体" w:cs="Times New Roman"/>
                      <w:b/>
                      <w:bCs/>
                    </w:rPr>
                    <w:t>污染物</w:t>
                  </w:r>
                </w:p>
              </w:tc>
              <w:tc>
                <w:tcPr>
                  <w:tcW w:w="2086" w:type="dxa"/>
                  <w:vAlign w:val="center"/>
                </w:tcPr>
                <w:p w14:paraId="7B370F5E">
                  <w:pPr>
                    <w:pStyle w:val="20"/>
                    <w:rPr>
                      <w:rFonts w:hint="default" w:ascii="Times New Roman" w:hAnsi="Times New Roman" w:eastAsia="宋体" w:cs="Times New Roman"/>
                      <w:b/>
                      <w:bCs/>
                      <w:lang w:eastAsia="zh-CN"/>
                    </w:rPr>
                  </w:pPr>
                  <w:r>
                    <w:rPr>
                      <w:rFonts w:hint="default" w:ascii="Times New Roman" w:hAnsi="Times New Roman" w:eastAsia="宋体" w:cs="Times New Roman"/>
                      <w:b/>
                      <w:bCs/>
                    </w:rPr>
                    <w:t>产生浓度</w:t>
                  </w:r>
                  <w:r>
                    <w:rPr>
                      <w:rFonts w:hint="default" w:ascii="Times New Roman" w:hAnsi="Times New Roman" w:eastAsia="宋体" w:cs="Times New Roman"/>
                      <w:b/>
                      <w:bCs/>
                      <w:lang w:eastAsia="zh-CN"/>
                    </w:rPr>
                    <w:t>（</w:t>
                  </w:r>
                  <w:r>
                    <w:rPr>
                      <w:rFonts w:hint="default" w:ascii="Times New Roman" w:hAnsi="Times New Roman" w:eastAsia="宋体" w:cs="Times New Roman"/>
                      <w:b/>
                      <w:bCs/>
                    </w:rPr>
                    <w:t>mg/L</w:t>
                  </w:r>
                  <w:r>
                    <w:rPr>
                      <w:rFonts w:hint="default" w:ascii="Times New Roman" w:hAnsi="Times New Roman" w:eastAsia="宋体" w:cs="Times New Roman"/>
                      <w:b/>
                      <w:bCs/>
                      <w:lang w:eastAsia="zh-CN"/>
                    </w:rPr>
                    <w:t>）</w:t>
                  </w:r>
                </w:p>
              </w:tc>
              <w:tc>
                <w:tcPr>
                  <w:tcW w:w="2086" w:type="dxa"/>
                  <w:vAlign w:val="center"/>
                </w:tcPr>
                <w:p w14:paraId="796A7C9F">
                  <w:pPr>
                    <w:pStyle w:val="20"/>
                    <w:rPr>
                      <w:rFonts w:hint="default" w:ascii="Times New Roman" w:hAnsi="Times New Roman" w:eastAsia="宋体" w:cs="Times New Roman"/>
                      <w:b/>
                      <w:bCs/>
                    </w:rPr>
                  </w:pPr>
                  <w:r>
                    <w:rPr>
                      <w:rFonts w:hint="default" w:ascii="Times New Roman" w:hAnsi="Times New Roman" w:eastAsia="宋体" w:cs="Times New Roman"/>
                      <w:b/>
                      <w:bCs/>
                    </w:rPr>
                    <w:t>备注</w:t>
                  </w:r>
                </w:p>
              </w:tc>
            </w:tr>
            <w:tr w14:paraId="30740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restart"/>
                  <w:vAlign w:val="center"/>
                </w:tcPr>
                <w:p w14:paraId="287BDC93">
                  <w:pPr>
                    <w:pStyle w:val="20"/>
                    <w:rPr>
                      <w:rFonts w:hint="default" w:ascii="Times New Roman" w:hAnsi="Times New Roman" w:eastAsia="宋体" w:cs="Times New Roman"/>
                    </w:rPr>
                  </w:pPr>
                  <w:r>
                    <w:rPr>
                      <w:rFonts w:hint="default" w:ascii="Times New Roman" w:hAnsi="Times New Roman" w:eastAsia="宋体" w:cs="Times New Roman"/>
                    </w:rPr>
                    <w:t>清洗废水：</w:t>
                  </w:r>
                </w:p>
                <w:p w14:paraId="1E59667E">
                  <w:pPr>
                    <w:pStyle w:val="20"/>
                    <w:rPr>
                      <w:rFonts w:hint="default" w:ascii="Times New Roman" w:hAnsi="Times New Roman" w:eastAsia="宋体" w:cs="Times New Roman"/>
                    </w:rPr>
                  </w:pPr>
                  <w:r>
                    <w:rPr>
                      <w:rFonts w:hint="default" w:ascii="Times New Roman" w:hAnsi="Times New Roman" w:eastAsia="宋体" w:cs="Times New Roman"/>
                    </w:rPr>
                    <w:t>2511t/a（8.37t/d）</w:t>
                  </w:r>
                </w:p>
              </w:tc>
              <w:tc>
                <w:tcPr>
                  <w:tcW w:w="2085" w:type="dxa"/>
                  <w:vAlign w:val="center"/>
                </w:tcPr>
                <w:p w14:paraId="4389FC13">
                  <w:pPr>
                    <w:pStyle w:val="20"/>
                    <w:rPr>
                      <w:rFonts w:hint="default" w:ascii="Times New Roman" w:hAnsi="Times New Roman" w:eastAsia="宋体" w:cs="Times New Roman"/>
                    </w:rPr>
                  </w:pPr>
                  <w:r>
                    <w:rPr>
                      <w:rFonts w:hint="default" w:ascii="Times New Roman" w:hAnsi="Times New Roman" w:eastAsia="宋体" w:cs="Times New Roman"/>
                    </w:rPr>
                    <w:t>pH</w:t>
                  </w:r>
                </w:p>
              </w:tc>
              <w:tc>
                <w:tcPr>
                  <w:tcW w:w="2086" w:type="dxa"/>
                  <w:vAlign w:val="center"/>
                </w:tcPr>
                <w:p w14:paraId="1DFF1F6C">
                  <w:pPr>
                    <w:pStyle w:val="20"/>
                    <w:rPr>
                      <w:rFonts w:hint="default" w:ascii="Times New Roman" w:hAnsi="Times New Roman" w:eastAsia="宋体" w:cs="Times New Roman"/>
                    </w:rPr>
                  </w:pPr>
                  <w:r>
                    <w:rPr>
                      <w:rFonts w:hint="default" w:ascii="Times New Roman" w:hAnsi="Times New Roman" w:eastAsia="宋体" w:cs="Times New Roman"/>
                    </w:rPr>
                    <w:t>5~10</w:t>
                  </w:r>
                </w:p>
              </w:tc>
              <w:tc>
                <w:tcPr>
                  <w:tcW w:w="2086" w:type="dxa"/>
                  <w:vMerge w:val="restart"/>
                  <w:vAlign w:val="center"/>
                </w:tcPr>
                <w:p w14:paraId="0EB7F931">
                  <w:pPr>
                    <w:pStyle w:val="20"/>
                    <w:rPr>
                      <w:rFonts w:hint="default" w:ascii="Times New Roman" w:hAnsi="Times New Roman" w:eastAsia="宋体" w:cs="Times New Roman"/>
                    </w:rPr>
                  </w:pPr>
                  <w:r>
                    <w:rPr>
                      <w:rFonts w:hint="default" w:ascii="Times New Roman" w:hAnsi="Times New Roman" w:eastAsia="宋体" w:cs="Times New Roman"/>
                    </w:rPr>
                    <w:t xml:space="preserve">参考《福安市鼎峻电机配件涂装有限公司鼎峻电机配件涂装扩建项目环境影响报告表》 </w:t>
                  </w:r>
                  <w:r>
                    <w:rPr>
                      <w:rFonts w:hint="default" w:ascii="Times New Roman" w:hAnsi="Times New Roman" w:eastAsia="宋体" w:cs="Times New Roman"/>
                      <w:lang w:eastAsia="zh-CN"/>
                    </w:rPr>
                    <w:t>（</w:t>
                  </w:r>
                  <w:r>
                    <w:rPr>
                      <w:rFonts w:hint="default" w:ascii="Times New Roman" w:hAnsi="Times New Roman" w:eastAsia="宋体" w:cs="Times New Roman"/>
                    </w:rPr>
                    <w:t>宁安环评</w:t>
                  </w:r>
                  <w:r>
                    <w:rPr>
                      <w:rFonts w:hint="default" w:ascii="Times New Roman" w:hAnsi="Times New Roman" w:eastAsia="宋体" w:cs="Times New Roman"/>
                      <w:lang w:eastAsia="zh-CN"/>
                    </w:rPr>
                    <w:t>〔</w:t>
                  </w:r>
                  <w:r>
                    <w:rPr>
                      <w:rFonts w:hint="default" w:ascii="Times New Roman" w:hAnsi="Times New Roman" w:eastAsia="宋体" w:cs="Times New Roman"/>
                    </w:rPr>
                    <w:t>2024</w:t>
                  </w:r>
                  <w:r>
                    <w:rPr>
                      <w:rFonts w:hint="default" w:ascii="Times New Roman" w:hAnsi="Times New Roman" w:eastAsia="宋体" w:cs="Times New Roman"/>
                      <w:lang w:eastAsia="zh-CN"/>
                    </w:rPr>
                    <w:t>〕</w:t>
                  </w:r>
                  <w:r>
                    <w:rPr>
                      <w:rFonts w:hint="default" w:ascii="Times New Roman" w:hAnsi="Times New Roman" w:eastAsia="宋体" w:cs="Times New Roman"/>
                    </w:rPr>
                    <w:t>5号</w:t>
                  </w:r>
                  <w:r>
                    <w:rPr>
                      <w:rFonts w:hint="default" w:ascii="Times New Roman" w:hAnsi="Times New Roman" w:eastAsia="宋体" w:cs="Times New Roman"/>
                      <w:lang w:eastAsia="zh-CN"/>
                    </w:rPr>
                    <w:t>）</w:t>
                  </w:r>
                  <w:r>
                    <w:rPr>
                      <w:rFonts w:hint="default" w:ascii="Times New Roman" w:hAnsi="Times New Roman" w:eastAsia="宋体" w:cs="Times New Roman"/>
                    </w:rPr>
                    <w:t xml:space="preserve"> ，该项目电泳表面涂装废水主要为脱脂、烷化前后的水洗废水</w:t>
                  </w:r>
                </w:p>
              </w:tc>
            </w:tr>
            <w:tr w14:paraId="15440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continue"/>
                  <w:vAlign w:val="center"/>
                </w:tcPr>
                <w:p w14:paraId="5D124A1A">
                  <w:pPr>
                    <w:pStyle w:val="20"/>
                    <w:rPr>
                      <w:rFonts w:hint="default" w:ascii="Times New Roman" w:hAnsi="Times New Roman" w:eastAsia="宋体" w:cs="Times New Roman"/>
                    </w:rPr>
                  </w:pPr>
                </w:p>
              </w:tc>
              <w:tc>
                <w:tcPr>
                  <w:tcW w:w="2085" w:type="dxa"/>
                  <w:vAlign w:val="center"/>
                </w:tcPr>
                <w:p w14:paraId="5F72354A">
                  <w:pPr>
                    <w:pStyle w:val="20"/>
                    <w:rPr>
                      <w:rFonts w:hint="default" w:ascii="Times New Roman" w:hAnsi="Times New Roman" w:eastAsia="宋体" w:cs="Times New Roman"/>
                    </w:rPr>
                  </w:pPr>
                  <w:r>
                    <w:rPr>
                      <w:rFonts w:hint="default" w:ascii="Times New Roman" w:hAnsi="Times New Roman" w:eastAsia="宋体" w:cs="Times New Roman"/>
                    </w:rPr>
                    <w:t>SS</w:t>
                  </w:r>
                </w:p>
              </w:tc>
              <w:tc>
                <w:tcPr>
                  <w:tcW w:w="2086" w:type="dxa"/>
                  <w:vAlign w:val="center"/>
                </w:tcPr>
                <w:p w14:paraId="24471DE9">
                  <w:pPr>
                    <w:pStyle w:val="20"/>
                    <w:rPr>
                      <w:rFonts w:hint="default" w:ascii="Times New Roman" w:hAnsi="Times New Roman" w:eastAsia="宋体" w:cs="Times New Roman"/>
                    </w:rPr>
                  </w:pPr>
                  <w:r>
                    <w:rPr>
                      <w:rFonts w:hint="default" w:ascii="Times New Roman" w:hAnsi="Times New Roman" w:eastAsia="宋体" w:cs="Times New Roman"/>
                    </w:rPr>
                    <w:t>400</w:t>
                  </w:r>
                </w:p>
              </w:tc>
              <w:tc>
                <w:tcPr>
                  <w:tcW w:w="2086" w:type="dxa"/>
                  <w:vMerge w:val="continue"/>
                  <w:vAlign w:val="center"/>
                </w:tcPr>
                <w:p w14:paraId="2A9AFC5E">
                  <w:pPr>
                    <w:pStyle w:val="20"/>
                    <w:rPr>
                      <w:rFonts w:hint="default" w:ascii="Times New Roman" w:hAnsi="Times New Roman" w:eastAsia="宋体" w:cs="Times New Roman"/>
                    </w:rPr>
                  </w:pPr>
                </w:p>
              </w:tc>
            </w:tr>
            <w:tr w14:paraId="1CE5F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continue"/>
                  <w:vAlign w:val="center"/>
                </w:tcPr>
                <w:p w14:paraId="096259C0">
                  <w:pPr>
                    <w:pStyle w:val="20"/>
                    <w:rPr>
                      <w:rFonts w:hint="default" w:ascii="Times New Roman" w:hAnsi="Times New Roman" w:eastAsia="宋体" w:cs="Times New Roman"/>
                    </w:rPr>
                  </w:pPr>
                </w:p>
              </w:tc>
              <w:tc>
                <w:tcPr>
                  <w:tcW w:w="2085" w:type="dxa"/>
                  <w:vAlign w:val="center"/>
                </w:tcPr>
                <w:p w14:paraId="7B2E33B6">
                  <w:pPr>
                    <w:pStyle w:val="20"/>
                    <w:rPr>
                      <w:rFonts w:hint="default" w:ascii="Times New Roman" w:hAnsi="Times New Roman" w:eastAsia="宋体" w:cs="Times New Roman"/>
                    </w:rPr>
                  </w:pPr>
                  <w:r>
                    <w:rPr>
                      <w:rFonts w:hint="default" w:ascii="Times New Roman" w:hAnsi="Times New Roman" w:eastAsia="宋体" w:cs="Times New Roman"/>
                    </w:rPr>
                    <w:t>CODcr</w:t>
                  </w:r>
                </w:p>
              </w:tc>
              <w:tc>
                <w:tcPr>
                  <w:tcW w:w="2086" w:type="dxa"/>
                  <w:vAlign w:val="center"/>
                </w:tcPr>
                <w:p w14:paraId="03BBF5EE">
                  <w:pPr>
                    <w:pStyle w:val="20"/>
                    <w:rPr>
                      <w:rFonts w:hint="default" w:ascii="Times New Roman" w:hAnsi="Times New Roman" w:eastAsia="宋体" w:cs="Times New Roman"/>
                    </w:rPr>
                  </w:pPr>
                  <w:r>
                    <w:rPr>
                      <w:rFonts w:hint="default" w:ascii="Times New Roman" w:hAnsi="Times New Roman" w:eastAsia="宋体" w:cs="Times New Roman"/>
                    </w:rPr>
                    <w:t>800</w:t>
                  </w:r>
                </w:p>
              </w:tc>
              <w:tc>
                <w:tcPr>
                  <w:tcW w:w="2086" w:type="dxa"/>
                  <w:vMerge w:val="continue"/>
                  <w:vAlign w:val="center"/>
                </w:tcPr>
                <w:p w14:paraId="08ABBB9D">
                  <w:pPr>
                    <w:pStyle w:val="20"/>
                    <w:rPr>
                      <w:rFonts w:hint="default" w:ascii="Times New Roman" w:hAnsi="Times New Roman" w:eastAsia="宋体" w:cs="Times New Roman"/>
                    </w:rPr>
                  </w:pPr>
                </w:p>
              </w:tc>
            </w:tr>
            <w:tr w14:paraId="26160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continue"/>
                  <w:vAlign w:val="center"/>
                </w:tcPr>
                <w:p w14:paraId="2657604F">
                  <w:pPr>
                    <w:pStyle w:val="20"/>
                    <w:rPr>
                      <w:rFonts w:hint="default" w:ascii="Times New Roman" w:hAnsi="Times New Roman" w:eastAsia="宋体" w:cs="Times New Roman"/>
                    </w:rPr>
                  </w:pPr>
                </w:p>
              </w:tc>
              <w:tc>
                <w:tcPr>
                  <w:tcW w:w="2085" w:type="dxa"/>
                  <w:vAlign w:val="center"/>
                </w:tcPr>
                <w:p w14:paraId="50247A0B">
                  <w:pPr>
                    <w:pStyle w:val="20"/>
                    <w:rPr>
                      <w:rFonts w:hint="default" w:ascii="Times New Roman" w:hAnsi="Times New Roman" w:eastAsia="宋体" w:cs="Times New Roman"/>
                    </w:rPr>
                  </w:pPr>
                  <w:r>
                    <w:rPr>
                      <w:rFonts w:hint="default" w:ascii="Times New Roman" w:hAnsi="Times New Roman" w:eastAsia="宋体" w:cs="Times New Roman"/>
                    </w:rPr>
                    <w:t>石油类</w:t>
                  </w:r>
                </w:p>
              </w:tc>
              <w:tc>
                <w:tcPr>
                  <w:tcW w:w="2086" w:type="dxa"/>
                  <w:vAlign w:val="center"/>
                </w:tcPr>
                <w:p w14:paraId="7D7AA5B8">
                  <w:pPr>
                    <w:pStyle w:val="20"/>
                    <w:rPr>
                      <w:rFonts w:hint="default" w:ascii="Times New Roman" w:hAnsi="Times New Roman" w:eastAsia="宋体" w:cs="Times New Roman"/>
                    </w:rPr>
                  </w:pPr>
                  <w:r>
                    <w:rPr>
                      <w:rFonts w:hint="default" w:ascii="Times New Roman" w:hAnsi="Times New Roman" w:eastAsia="宋体" w:cs="Times New Roman"/>
                    </w:rPr>
                    <w:t>3</w:t>
                  </w:r>
                </w:p>
              </w:tc>
              <w:tc>
                <w:tcPr>
                  <w:tcW w:w="2086" w:type="dxa"/>
                  <w:vMerge w:val="continue"/>
                  <w:vAlign w:val="center"/>
                </w:tcPr>
                <w:p w14:paraId="2065D606">
                  <w:pPr>
                    <w:pStyle w:val="20"/>
                    <w:rPr>
                      <w:rFonts w:hint="default" w:ascii="Times New Roman" w:hAnsi="Times New Roman" w:eastAsia="宋体" w:cs="Times New Roman"/>
                    </w:rPr>
                  </w:pPr>
                </w:p>
              </w:tc>
            </w:tr>
            <w:tr w14:paraId="06CA8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continue"/>
                  <w:vAlign w:val="center"/>
                </w:tcPr>
                <w:p w14:paraId="21532B5E">
                  <w:pPr>
                    <w:pStyle w:val="20"/>
                    <w:rPr>
                      <w:rFonts w:hint="default" w:ascii="Times New Roman" w:hAnsi="Times New Roman" w:eastAsia="宋体" w:cs="Times New Roman"/>
                    </w:rPr>
                  </w:pPr>
                </w:p>
              </w:tc>
              <w:tc>
                <w:tcPr>
                  <w:tcW w:w="2085" w:type="dxa"/>
                  <w:vAlign w:val="center"/>
                </w:tcPr>
                <w:p w14:paraId="5F751266">
                  <w:pPr>
                    <w:pStyle w:val="20"/>
                    <w:rPr>
                      <w:rFonts w:hint="default" w:ascii="Times New Roman" w:hAnsi="Times New Roman" w:eastAsia="宋体" w:cs="Times New Roman"/>
                    </w:rPr>
                  </w:pPr>
                  <w:r>
                    <w:rPr>
                      <w:rFonts w:hint="default" w:ascii="Times New Roman" w:hAnsi="Times New Roman" w:eastAsia="宋体" w:cs="Times New Roman"/>
                    </w:rPr>
                    <w:t>LAS</w:t>
                  </w:r>
                </w:p>
              </w:tc>
              <w:tc>
                <w:tcPr>
                  <w:tcW w:w="2086" w:type="dxa"/>
                  <w:vAlign w:val="center"/>
                </w:tcPr>
                <w:p w14:paraId="5CBA2656">
                  <w:pPr>
                    <w:pStyle w:val="20"/>
                    <w:rPr>
                      <w:rFonts w:hint="default" w:ascii="Times New Roman" w:hAnsi="Times New Roman" w:eastAsia="宋体" w:cs="Times New Roman"/>
                    </w:rPr>
                  </w:pPr>
                  <w:r>
                    <w:rPr>
                      <w:rFonts w:hint="default" w:ascii="Times New Roman" w:hAnsi="Times New Roman" w:eastAsia="宋体" w:cs="Times New Roman"/>
                    </w:rPr>
                    <w:t>6</w:t>
                  </w:r>
                </w:p>
              </w:tc>
              <w:tc>
                <w:tcPr>
                  <w:tcW w:w="2086" w:type="dxa"/>
                  <w:vMerge w:val="continue"/>
                  <w:vAlign w:val="center"/>
                </w:tcPr>
                <w:p w14:paraId="3C1B06F4">
                  <w:pPr>
                    <w:pStyle w:val="20"/>
                    <w:rPr>
                      <w:rFonts w:hint="default" w:ascii="Times New Roman" w:hAnsi="Times New Roman" w:eastAsia="宋体" w:cs="Times New Roman"/>
                    </w:rPr>
                  </w:pPr>
                </w:p>
              </w:tc>
            </w:tr>
            <w:tr w14:paraId="2D2D0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continue"/>
                  <w:vAlign w:val="center"/>
                </w:tcPr>
                <w:p w14:paraId="1E698F3F">
                  <w:pPr>
                    <w:pStyle w:val="20"/>
                    <w:rPr>
                      <w:rFonts w:hint="default" w:ascii="Times New Roman" w:hAnsi="Times New Roman" w:eastAsia="宋体" w:cs="Times New Roman"/>
                    </w:rPr>
                  </w:pPr>
                </w:p>
              </w:tc>
              <w:tc>
                <w:tcPr>
                  <w:tcW w:w="2085" w:type="dxa"/>
                  <w:vAlign w:val="center"/>
                </w:tcPr>
                <w:p w14:paraId="7D6794B6">
                  <w:pPr>
                    <w:pStyle w:val="20"/>
                    <w:rPr>
                      <w:rFonts w:hint="default" w:ascii="Times New Roman" w:hAnsi="Times New Roman" w:eastAsia="宋体" w:cs="Times New Roman"/>
                    </w:rPr>
                  </w:pPr>
                  <w:r>
                    <w:rPr>
                      <w:rFonts w:hint="default" w:ascii="Times New Roman" w:hAnsi="Times New Roman" w:eastAsia="宋体" w:cs="Times New Roman"/>
                    </w:rPr>
                    <w:t>BOD</w:t>
                  </w:r>
                  <w:r>
                    <w:rPr>
                      <w:rFonts w:hint="default" w:ascii="Times New Roman" w:hAnsi="Times New Roman" w:eastAsia="宋体" w:cs="Times New Roman"/>
                      <w:vertAlign w:val="subscript"/>
                    </w:rPr>
                    <w:t>5</w:t>
                  </w:r>
                </w:p>
              </w:tc>
              <w:tc>
                <w:tcPr>
                  <w:tcW w:w="2086" w:type="dxa"/>
                  <w:vAlign w:val="center"/>
                </w:tcPr>
                <w:p w14:paraId="58D3FCF8">
                  <w:pPr>
                    <w:pStyle w:val="20"/>
                    <w:rPr>
                      <w:rFonts w:hint="default" w:ascii="Times New Roman" w:hAnsi="Times New Roman" w:eastAsia="宋体" w:cs="Times New Roman"/>
                    </w:rPr>
                  </w:pPr>
                  <w:r>
                    <w:rPr>
                      <w:rFonts w:hint="default" w:ascii="Times New Roman" w:hAnsi="Times New Roman" w:eastAsia="宋体" w:cs="Times New Roman"/>
                    </w:rPr>
                    <w:t>300</w:t>
                  </w:r>
                </w:p>
              </w:tc>
              <w:tc>
                <w:tcPr>
                  <w:tcW w:w="2086" w:type="dxa"/>
                  <w:vMerge w:val="continue"/>
                  <w:vAlign w:val="center"/>
                </w:tcPr>
                <w:p w14:paraId="5F94AAF6">
                  <w:pPr>
                    <w:pStyle w:val="20"/>
                    <w:rPr>
                      <w:rFonts w:hint="default" w:ascii="Times New Roman" w:hAnsi="Times New Roman" w:eastAsia="宋体" w:cs="Times New Roman"/>
                    </w:rPr>
                  </w:pPr>
                </w:p>
              </w:tc>
            </w:tr>
            <w:tr w14:paraId="19ADC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83" w:type="dxa"/>
                  <w:vMerge w:val="continue"/>
                  <w:vAlign w:val="center"/>
                </w:tcPr>
                <w:p w14:paraId="458E9DB8">
                  <w:pPr>
                    <w:pStyle w:val="20"/>
                    <w:rPr>
                      <w:rFonts w:hint="default" w:ascii="Times New Roman" w:hAnsi="Times New Roman" w:eastAsia="宋体" w:cs="Times New Roman"/>
                    </w:rPr>
                  </w:pPr>
                </w:p>
              </w:tc>
              <w:tc>
                <w:tcPr>
                  <w:tcW w:w="2085" w:type="dxa"/>
                  <w:vAlign w:val="center"/>
                </w:tcPr>
                <w:p w14:paraId="0C900309">
                  <w:pPr>
                    <w:pStyle w:val="20"/>
                    <w:rPr>
                      <w:rFonts w:hint="default" w:ascii="Times New Roman" w:hAnsi="Times New Roman" w:eastAsia="宋体" w:cs="Times New Roman"/>
                    </w:rPr>
                  </w:pPr>
                  <w:r>
                    <w:rPr>
                      <w:rFonts w:hint="default" w:ascii="Times New Roman" w:hAnsi="Times New Roman" w:eastAsia="宋体" w:cs="Times New Roman"/>
                    </w:rPr>
                    <w:t>氟化物</w:t>
                  </w:r>
                </w:p>
              </w:tc>
              <w:tc>
                <w:tcPr>
                  <w:tcW w:w="2086" w:type="dxa"/>
                  <w:vAlign w:val="center"/>
                </w:tcPr>
                <w:p w14:paraId="16EF117D">
                  <w:pPr>
                    <w:pStyle w:val="20"/>
                    <w:rPr>
                      <w:rFonts w:hint="default" w:ascii="Times New Roman" w:hAnsi="Times New Roman" w:eastAsia="宋体" w:cs="Times New Roman"/>
                    </w:rPr>
                  </w:pPr>
                  <w:r>
                    <w:rPr>
                      <w:rFonts w:hint="default" w:ascii="Times New Roman" w:hAnsi="Times New Roman" w:eastAsia="宋体" w:cs="Times New Roman"/>
                      <w:vertAlign w:val="superscript"/>
                    </w:rPr>
                    <w:t>＊</w:t>
                  </w:r>
                  <w:r>
                    <w:rPr>
                      <w:rFonts w:hint="default" w:ascii="Times New Roman" w:hAnsi="Times New Roman" w:eastAsia="宋体" w:cs="Times New Roman"/>
                    </w:rPr>
                    <w:t>43</w:t>
                  </w:r>
                </w:p>
              </w:tc>
              <w:tc>
                <w:tcPr>
                  <w:tcW w:w="2086" w:type="dxa"/>
                  <w:vAlign w:val="center"/>
                </w:tcPr>
                <w:p w14:paraId="5231E3C6">
                  <w:pPr>
                    <w:pStyle w:val="20"/>
                    <w:rPr>
                      <w:rFonts w:hint="default" w:ascii="Times New Roman" w:hAnsi="Times New Roman" w:eastAsia="宋体" w:cs="Times New Roman"/>
                    </w:rPr>
                  </w:pPr>
                  <w:r>
                    <w:rPr>
                      <w:rFonts w:hint="default" w:ascii="Times New Roman" w:hAnsi="Times New Roman" w:eastAsia="宋体" w:cs="Times New Roman"/>
                    </w:rPr>
                    <w:t>物料衡算法</w:t>
                  </w:r>
                </w:p>
              </w:tc>
            </w:tr>
            <w:tr w14:paraId="66D5F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40" w:type="dxa"/>
                  <w:gridSpan w:val="4"/>
                  <w:vAlign w:val="center"/>
                </w:tcPr>
                <w:p w14:paraId="3681F025">
                  <w:pPr>
                    <w:spacing w:line="240" w:lineRule="atLeast"/>
                    <w:ind w:firstLine="0" w:firstLineChars="0"/>
                    <w:rPr>
                      <w:rFonts w:hint="default" w:ascii="Times New Roman" w:hAnsi="Times New Roman" w:eastAsia="宋体" w:cs="Times New Roman"/>
                      <w:kern w:val="2"/>
                    </w:rPr>
                  </w:pPr>
                  <w:r>
                    <w:rPr>
                      <w:rFonts w:hint="default" w:ascii="Times New Roman" w:hAnsi="Times New Roman" w:eastAsia="宋体" w:cs="Times New Roman"/>
                      <w:kern w:val="2"/>
                      <w:vertAlign w:val="superscript"/>
                    </w:rPr>
                    <w:t>＊</w:t>
                  </w:r>
                  <w:r>
                    <w:rPr>
                      <w:rFonts w:hint="default" w:ascii="Times New Roman" w:hAnsi="Times New Roman" w:eastAsia="宋体" w:cs="Times New Roman"/>
                      <w:kern w:val="2"/>
                      <w:sz w:val="18"/>
                      <w:szCs w:val="18"/>
                    </w:rPr>
                    <w:t>注：本项目硅烷处理剂中含有氟化物，含量为2%。浸洗过程中有10%四合一槽液被工件带入清洗槽，带入清洗槽的四合一槽液量为135t/a，硅烷处理剂为四合一槽液的4%，则带入清洗槽的氟化物约0.108t/a，折合43mg/L。</w:t>
                  </w:r>
                </w:p>
              </w:tc>
            </w:tr>
          </w:tbl>
          <w:p w14:paraId="47DF1A47">
            <w:pPr>
              <w:ind w:firstLine="480"/>
              <w:rPr>
                <w:rFonts w:hint="default" w:ascii="Times New Roman" w:hAnsi="Times New Roman" w:eastAsia="宋体" w:cs="Times New Roman"/>
                <w:kern w:val="2"/>
              </w:rPr>
            </w:pPr>
            <w:r>
              <w:rPr>
                <w:rFonts w:hint="default" w:ascii="Times New Roman" w:hAnsi="Times New Roman" w:eastAsia="宋体" w:cs="Times New Roman"/>
              </w:rPr>
              <w:t>清洗废水进入项目新建污水处理设施（TW002）处理达标后排入园区污水处理厂处理，处理达标后排入武水“乐昌城~犁市”河段</w:t>
            </w:r>
            <w:r>
              <w:rPr>
                <w:rFonts w:hint="default" w:ascii="Times New Roman" w:hAnsi="Times New Roman" w:eastAsia="宋体" w:cs="Times New Roman"/>
                <w:kern w:val="2"/>
              </w:rPr>
              <w:t>。</w:t>
            </w:r>
          </w:p>
          <w:p w14:paraId="397F5D44">
            <w:pPr>
              <w:pStyle w:val="10"/>
              <w:ind w:firstLine="422"/>
              <w:rPr>
                <w:rFonts w:hint="default" w:ascii="Times New Roman" w:hAnsi="Times New Roman" w:eastAsia="宋体" w:cs="Times New Roman"/>
                <w:kern w:val="2"/>
              </w:rPr>
            </w:pPr>
          </w:p>
          <w:p w14:paraId="1236600D">
            <w:pPr>
              <w:ind w:firstLine="480"/>
              <w:rPr>
                <w:rFonts w:hint="default" w:ascii="Times New Roman" w:hAnsi="Times New Roman" w:eastAsia="宋体" w:cs="Times New Roman"/>
                <w:kern w:val="2"/>
              </w:rPr>
            </w:pPr>
          </w:p>
          <w:p w14:paraId="0F789128">
            <w:pPr>
              <w:ind w:firstLine="480"/>
              <w:rPr>
                <w:rFonts w:hint="default" w:ascii="Times New Roman" w:hAnsi="Times New Roman" w:eastAsia="宋体" w:cs="Times New Roman"/>
                <w:kern w:val="2"/>
              </w:rPr>
            </w:pPr>
          </w:p>
          <w:p w14:paraId="42F7896B">
            <w:pPr>
              <w:pStyle w:val="10"/>
              <w:ind w:firstLine="422"/>
              <w:rPr>
                <w:rFonts w:hint="default" w:ascii="Times New Roman" w:hAnsi="Times New Roman" w:eastAsia="宋体" w:cs="Times New Roman"/>
                <w:kern w:val="2"/>
              </w:rPr>
            </w:pPr>
          </w:p>
          <w:p w14:paraId="1106C18D">
            <w:pPr>
              <w:pStyle w:val="10"/>
              <w:ind w:firstLine="422"/>
              <w:rPr>
                <w:rFonts w:hint="default" w:ascii="Times New Roman" w:hAnsi="Times New Roman" w:eastAsia="宋体" w:cs="Times New Roman"/>
                <w:kern w:val="2"/>
              </w:rPr>
            </w:pPr>
          </w:p>
          <w:p w14:paraId="6ADA732A">
            <w:pPr>
              <w:pStyle w:val="10"/>
              <w:ind w:firstLine="422"/>
              <w:rPr>
                <w:rFonts w:hint="default" w:ascii="Times New Roman" w:hAnsi="Times New Roman" w:eastAsia="宋体" w:cs="Times New Roman"/>
                <w:kern w:val="2"/>
              </w:rPr>
            </w:pPr>
            <w:r>
              <w:rPr>
                <w:rFonts w:hint="default" w:ascii="Times New Roman" w:hAnsi="Times New Roman" w:eastAsia="宋体" w:cs="Times New Roman"/>
                <w:kern w:val="2"/>
              </w:rPr>
              <w:t>4-13 项目生产废水产生及排放情况一览表</w:t>
            </w:r>
          </w:p>
          <w:tbl>
            <w:tblPr>
              <w:tblStyle w:val="23"/>
              <w:tblW w:w="4997" w:type="pct"/>
              <w:tblInd w:w="0" w:type="dxa"/>
              <w:tblLayout w:type="autofit"/>
              <w:tblCellMar>
                <w:top w:w="0" w:type="dxa"/>
                <w:left w:w="108" w:type="dxa"/>
                <w:bottom w:w="0" w:type="dxa"/>
                <w:right w:w="108" w:type="dxa"/>
              </w:tblCellMar>
            </w:tblPr>
            <w:tblGrid>
              <w:gridCol w:w="1410"/>
              <w:gridCol w:w="1258"/>
              <w:gridCol w:w="773"/>
              <w:gridCol w:w="847"/>
              <w:gridCol w:w="947"/>
              <w:gridCol w:w="830"/>
              <w:gridCol w:w="832"/>
              <w:gridCol w:w="900"/>
              <w:gridCol w:w="901"/>
            </w:tblGrid>
            <w:tr w14:paraId="12A1FE14">
              <w:tblPrEx>
                <w:tblCellMar>
                  <w:top w:w="0" w:type="dxa"/>
                  <w:left w:w="108" w:type="dxa"/>
                  <w:bottom w:w="0" w:type="dxa"/>
                  <w:right w:w="108" w:type="dxa"/>
                </w:tblCellMar>
              </w:tblPrEx>
              <w:trPr>
                <w:trHeight w:val="540" w:hRule="atLeast"/>
              </w:trPr>
              <w:tc>
                <w:tcPr>
                  <w:tcW w:w="1534" w:type="pct"/>
                  <w:gridSpan w:val="2"/>
                  <w:tcBorders>
                    <w:top w:val="single" w:color="000000" w:sz="4" w:space="0"/>
                    <w:left w:val="single" w:color="000000" w:sz="4" w:space="0"/>
                    <w:bottom w:val="single" w:color="000000" w:sz="4" w:space="0"/>
                    <w:right w:val="single" w:color="000000" w:sz="4" w:space="0"/>
                  </w:tcBorders>
                  <w:vAlign w:val="center"/>
                </w:tcPr>
                <w:p w14:paraId="3F20D64E">
                  <w:pPr>
                    <w:pStyle w:val="20"/>
                    <w:rPr>
                      <w:rFonts w:hint="default" w:ascii="Times New Roman" w:hAnsi="Times New Roman" w:eastAsia="宋体" w:cs="Times New Roman"/>
                      <w:b/>
                      <w:bCs/>
                    </w:rPr>
                  </w:pPr>
                  <w:r>
                    <w:rPr>
                      <w:rFonts w:hint="default" w:ascii="Times New Roman" w:hAnsi="Times New Roman" w:eastAsia="宋体" w:cs="Times New Roman"/>
                      <w:b/>
                      <w:bCs/>
                    </w:rPr>
                    <w:t>污染物</w:t>
                  </w:r>
                </w:p>
              </w:tc>
              <w:tc>
                <w:tcPr>
                  <w:tcW w:w="444" w:type="pct"/>
                  <w:tcBorders>
                    <w:top w:val="single" w:color="000000" w:sz="4" w:space="0"/>
                    <w:left w:val="single" w:color="000000" w:sz="4" w:space="0"/>
                    <w:bottom w:val="single" w:color="000000" w:sz="4" w:space="0"/>
                    <w:right w:val="single" w:color="000000" w:sz="4" w:space="0"/>
                  </w:tcBorders>
                  <w:vAlign w:val="center"/>
                </w:tcPr>
                <w:p w14:paraId="6C804FF2">
                  <w:pPr>
                    <w:pStyle w:val="20"/>
                    <w:rPr>
                      <w:rFonts w:hint="default" w:ascii="Times New Roman" w:hAnsi="Times New Roman" w:eastAsia="宋体" w:cs="Times New Roman"/>
                      <w:b/>
                      <w:bCs/>
                    </w:rPr>
                  </w:pPr>
                  <w:r>
                    <w:rPr>
                      <w:rFonts w:hint="default" w:ascii="Times New Roman" w:hAnsi="Times New Roman" w:eastAsia="宋体" w:cs="Times New Roman"/>
                      <w:b/>
                      <w:bCs/>
                    </w:rPr>
                    <w:t>pH（无量纲）</w:t>
                  </w:r>
                </w:p>
              </w:tc>
              <w:tc>
                <w:tcPr>
                  <w:tcW w:w="487" w:type="pct"/>
                  <w:tcBorders>
                    <w:top w:val="single" w:color="000000" w:sz="4" w:space="0"/>
                    <w:left w:val="single" w:color="000000" w:sz="4" w:space="0"/>
                    <w:bottom w:val="single" w:color="000000" w:sz="4" w:space="0"/>
                    <w:right w:val="single" w:color="000000" w:sz="4" w:space="0"/>
                  </w:tcBorders>
                  <w:vAlign w:val="center"/>
                </w:tcPr>
                <w:p w14:paraId="5E17A042">
                  <w:pPr>
                    <w:pStyle w:val="20"/>
                    <w:rPr>
                      <w:rFonts w:hint="default" w:ascii="Times New Roman" w:hAnsi="Times New Roman" w:eastAsia="宋体" w:cs="Times New Roman"/>
                      <w:b/>
                      <w:bCs/>
                    </w:rPr>
                  </w:pPr>
                  <w:r>
                    <w:rPr>
                      <w:rFonts w:hint="default" w:ascii="Times New Roman" w:hAnsi="Times New Roman" w:eastAsia="宋体" w:cs="Times New Roman"/>
                      <w:b/>
                      <w:bCs/>
                    </w:rPr>
                    <w:t>SS</w:t>
                  </w:r>
                </w:p>
              </w:tc>
              <w:tc>
                <w:tcPr>
                  <w:tcW w:w="544" w:type="pct"/>
                  <w:tcBorders>
                    <w:top w:val="single" w:color="000000" w:sz="4" w:space="0"/>
                    <w:left w:val="single" w:color="000000" w:sz="4" w:space="0"/>
                    <w:bottom w:val="single" w:color="000000" w:sz="4" w:space="0"/>
                    <w:right w:val="single" w:color="000000" w:sz="4" w:space="0"/>
                  </w:tcBorders>
                  <w:vAlign w:val="center"/>
                </w:tcPr>
                <w:p w14:paraId="3252C606">
                  <w:pPr>
                    <w:pStyle w:val="20"/>
                    <w:rPr>
                      <w:rFonts w:hint="default" w:ascii="Times New Roman" w:hAnsi="Times New Roman" w:eastAsia="宋体" w:cs="Times New Roman"/>
                      <w:b/>
                      <w:bCs/>
                    </w:rPr>
                  </w:pPr>
                  <w:r>
                    <w:rPr>
                      <w:rFonts w:hint="default" w:ascii="Times New Roman" w:hAnsi="Times New Roman" w:eastAsia="宋体" w:cs="Times New Roman"/>
                      <w:b/>
                      <w:bCs/>
                    </w:rPr>
                    <w:t>CODcr</w:t>
                  </w:r>
                </w:p>
              </w:tc>
              <w:tc>
                <w:tcPr>
                  <w:tcW w:w="477" w:type="pct"/>
                  <w:tcBorders>
                    <w:top w:val="single" w:color="000000" w:sz="4" w:space="0"/>
                    <w:left w:val="single" w:color="000000" w:sz="4" w:space="0"/>
                    <w:bottom w:val="single" w:color="000000" w:sz="4" w:space="0"/>
                    <w:right w:val="single" w:color="000000" w:sz="4" w:space="0"/>
                  </w:tcBorders>
                  <w:vAlign w:val="center"/>
                </w:tcPr>
                <w:p w14:paraId="404FCF20">
                  <w:pPr>
                    <w:pStyle w:val="20"/>
                    <w:rPr>
                      <w:rFonts w:hint="default" w:ascii="Times New Roman" w:hAnsi="Times New Roman" w:eastAsia="宋体" w:cs="Times New Roman"/>
                      <w:b/>
                      <w:bCs/>
                    </w:rPr>
                  </w:pPr>
                  <w:r>
                    <w:rPr>
                      <w:rFonts w:hint="default" w:ascii="Times New Roman" w:hAnsi="Times New Roman" w:eastAsia="宋体" w:cs="Times New Roman"/>
                      <w:b/>
                      <w:bCs/>
                    </w:rPr>
                    <w:t>石油类</w:t>
                  </w:r>
                </w:p>
              </w:tc>
              <w:tc>
                <w:tcPr>
                  <w:tcW w:w="478" w:type="pct"/>
                  <w:tcBorders>
                    <w:top w:val="single" w:color="000000" w:sz="4" w:space="0"/>
                    <w:left w:val="single" w:color="000000" w:sz="4" w:space="0"/>
                    <w:bottom w:val="single" w:color="000000" w:sz="4" w:space="0"/>
                    <w:right w:val="single" w:color="000000" w:sz="4" w:space="0"/>
                  </w:tcBorders>
                  <w:vAlign w:val="center"/>
                </w:tcPr>
                <w:p w14:paraId="27FF94F4">
                  <w:pPr>
                    <w:pStyle w:val="20"/>
                    <w:rPr>
                      <w:rFonts w:hint="default" w:ascii="Times New Roman" w:hAnsi="Times New Roman" w:eastAsia="宋体" w:cs="Times New Roman"/>
                      <w:b/>
                      <w:bCs/>
                    </w:rPr>
                  </w:pPr>
                  <w:r>
                    <w:rPr>
                      <w:rFonts w:hint="default" w:ascii="Times New Roman" w:hAnsi="Times New Roman" w:eastAsia="宋体" w:cs="Times New Roman"/>
                      <w:b/>
                      <w:bCs/>
                    </w:rPr>
                    <w:t>LAS</w:t>
                  </w:r>
                </w:p>
              </w:tc>
              <w:tc>
                <w:tcPr>
                  <w:tcW w:w="517" w:type="pct"/>
                  <w:tcBorders>
                    <w:top w:val="single" w:color="000000" w:sz="4" w:space="0"/>
                    <w:left w:val="single" w:color="000000" w:sz="4" w:space="0"/>
                    <w:bottom w:val="single" w:color="000000" w:sz="4" w:space="0"/>
                    <w:right w:val="single" w:color="000000" w:sz="4" w:space="0"/>
                  </w:tcBorders>
                  <w:noWrap/>
                  <w:vAlign w:val="center"/>
                </w:tcPr>
                <w:p w14:paraId="30359EF2">
                  <w:pPr>
                    <w:pStyle w:val="20"/>
                    <w:rPr>
                      <w:rFonts w:hint="default" w:ascii="Times New Roman" w:hAnsi="Times New Roman" w:eastAsia="宋体" w:cs="Times New Roman"/>
                      <w:b/>
                      <w:bCs/>
                    </w:rPr>
                  </w:pPr>
                  <w:r>
                    <w:rPr>
                      <w:rFonts w:hint="default" w:ascii="Times New Roman" w:hAnsi="Times New Roman" w:eastAsia="宋体" w:cs="Times New Roman"/>
                      <w:b/>
                      <w:bCs/>
                    </w:rPr>
                    <w:t>BOD</w:t>
                  </w:r>
                  <w:r>
                    <w:rPr>
                      <w:rFonts w:hint="default" w:ascii="Times New Roman" w:hAnsi="Times New Roman" w:eastAsia="宋体" w:cs="Times New Roman"/>
                      <w:b/>
                      <w:bCs/>
                      <w:vertAlign w:val="subscript"/>
                    </w:rPr>
                    <w:t>5</w:t>
                  </w:r>
                </w:p>
              </w:tc>
              <w:tc>
                <w:tcPr>
                  <w:tcW w:w="517" w:type="pct"/>
                  <w:tcBorders>
                    <w:top w:val="single" w:color="000000" w:sz="4" w:space="0"/>
                    <w:left w:val="single" w:color="000000" w:sz="4" w:space="0"/>
                    <w:bottom w:val="single" w:color="000000" w:sz="4" w:space="0"/>
                    <w:right w:val="single" w:color="000000" w:sz="4" w:space="0"/>
                  </w:tcBorders>
                  <w:noWrap/>
                  <w:vAlign w:val="center"/>
                </w:tcPr>
                <w:p w14:paraId="40A933B5">
                  <w:pPr>
                    <w:pStyle w:val="20"/>
                    <w:rPr>
                      <w:rFonts w:hint="default" w:ascii="Times New Roman" w:hAnsi="Times New Roman" w:eastAsia="宋体" w:cs="Times New Roman"/>
                      <w:b/>
                      <w:bCs/>
                    </w:rPr>
                  </w:pPr>
                  <w:r>
                    <w:rPr>
                      <w:rFonts w:hint="default" w:ascii="Times New Roman" w:hAnsi="Times New Roman" w:eastAsia="宋体" w:cs="Times New Roman"/>
                      <w:b/>
                      <w:bCs/>
                    </w:rPr>
                    <w:t>氟化物</w:t>
                  </w:r>
                </w:p>
              </w:tc>
            </w:tr>
            <w:tr w14:paraId="4CE035DC">
              <w:tblPrEx>
                <w:tblCellMar>
                  <w:top w:w="0" w:type="dxa"/>
                  <w:left w:w="108" w:type="dxa"/>
                  <w:bottom w:w="0" w:type="dxa"/>
                  <w:right w:w="108" w:type="dxa"/>
                </w:tblCellMar>
              </w:tblPrEx>
              <w:trPr>
                <w:trHeight w:val="569" w:hRule="atLeast"/>
              </w:trPr>
              <w:tc>
                <w:tcPr>
                  <w:tcW w:w="811" w:type="pct"/>
                  <w:vMerge w:val="restart"/>
                  <w:tcBorders>
                    <w:top w:val="single" w:color="000000" w:sz="4" w:space="0"/>
                    <w:left w:val="single" w:color="000000" w:sz="4" w:space="0"/>
                    <w:right w:val="single" w:color="000000" w:sz="4" w:space="0"/>
                  </w:tcBorders>
                  <w:vAlign w:val="center"/>
                </w:tcPr>
                <w:p w14:paraId="71D1A04D">
                  <w:pPr>
                    <w:pStyle w:val="20"/>
                    <w:rPr>
                      <w:rFonts w:hint="default" w:ascii="Times New Roman" w:hAnsi="Times New Roman" w:eastAsia="宋体" w:cs="Times New Roman"/>
                    </w:rPr>
                  </w:pPr>
                  <w:r>
                    <w:rPr>
                      <w:rFonts w:hint="default" w:ascii="Times New Roman" w:hAnsi="Times New Roman" w:eastAsia="宋体" w:cs="Times New Roman"/>
                    </w:rPr>
                    <w:t>清洗废水：</w:t>
                  </w:r>
                </w:p>
                <w:p w14:paraId="11D67983">
                  <w:pPr>
                    <w:pStyle w:val="20"/>
                    <w:rPr>
                      <w:rFonts w:hint="default" w:ascii="Times New Roman" w:hAnsi="Times New Roman" w:eastAsia="宋体" w:cs="Times New Roman"/>
                    </w:rPr>
                  </w:pPr>
                  <w:r>
                    <w:rPr>
                      <w:rFonts w:hint="default" w:ascii="Times New Roman" w:hAnsi="Times New Roman" w:eastAsia="宋体" w:cs="Times New Roman"/>
                    </w:rPr>
                    <w:t>2511t/a（8.37t/d）</w:t>
                  </w:r>
                </w:p>
              </w:tc>
              <w:tc>
                <w:tcPr>
                  <w:tcW w:w="722" w:type="pct"/>
                  <w:tcBorders>
                    <w:top w:val="single" w:color="000000" w:sz="4" w:space="0"/>
                    <w:left w:val="single" w:color="000000" w:sz="4" w:space="0"/>
                    <w:bottom w:val="single" w:color="000000" w:sz="4" w:space="0"/>
                    <w:right w:val="single" w:color="000000" w:sz="4" w:space="0"/>
                  </w:tcBorders>
                  <w:vAlign w:val="center"/>
                </w:tcPr>
                <w:p w14:paraId="552885E4">
                  <w:pPr>
                    <w:pStyle w:val="20"/>
                    <w:rPr>
                      <w:rFonts w:hint="default" w:ascii="Times New Roman" w:hAnsi="Times New Roman" w:eastAsia="宋体" w:cs="Times New Roman"/>
                    </w:rPr>
                  </w:pPr>
                  <w:r>
                    <w:rPr>
                      <w:rFonts w:hint="default" w:ascii="Times New Roman" w:hAnsi="Times New Roman" w:eastAsia="宋体" w:cs="Times New Roman"/>
                    </w:rPr>
                    <w:t>产生浓度（mg/L）</w:t>
                  </w:r>
                </w:p>
              </w:tc>
              <w:tc>
                <w:tcPr>
                  <w:tcW w:w="444" w:type="pct"/>
                  <w:tcBorders>
                    <w:top w:val="single" w:color="000000" w:sz="4" w:space="0"/>
                    <w:left w:val="single" w:color="000000" w:sz="4" w:space="0"/>
                    <w:bottom w:val="single" w:color="000000" w:sz="4" w:space="0"/>
                    <w:right w:val="single" w:color="000000" w:sz="4" w:space="0"/>
                  </w:tcBorders>
                  <w:vAlign w:val="center"/>
                </w:tcPr>
                <w:p w14:paraId="1663E702">
                  <w:pPr>
                    <w:pStyle w:val="20"/>
                    <w:rPr>
                      <w:rFonts w:hint="default" w:ascii="Times New Roman" w:hAnsi="Times New Roman" w:eastAsia="宋体" w:cs="Times New Roman"/>
                    </w:rPr>
                  </w:pPr>
                  <w:r>
                    <w:rPr>
                      <w:rFonts w:hint="default" w:ascii="Times New Roman" w:hAnsi="Times New Roman" w:eastAsia="宋体" w:cs="Times New Roman"/>
                    </w:rPr>
                    <w:t>5~10</w:t>
                  </w:r>
                </w:p>
              </w:tc>
              <w:tc>
                <w:tcPr>
                  <w:tcW w:w="487" w:type="pct"/>
                  <w:tcBorders>
                    <w:top w:val="single" w:color="000000" w:sz="4" w:space="0"/>
                    <w:left w:val="single" w:color="000000" w:sz="4" w:space="0"/>
                    <w:bottom w:val="single" w:color="000000" w:sz="4" w:space="0"/>
                    <w:right w:val="single" w:color="000000" w:sz="4" w:space="0"/>
                  </w:tcBorders>
                  <w:vAlign w:val="center"/>
                </w:tcPr>
                <w:p w14:paraId="5EE49BD9">
                  <w:pPr>
                    <w:pStyle w:val="20"/>
                    <w:rPr>
                      <w:rFonts w:hint="default" w:ascii="Times New Roman" w:hAnsi="Times New Roman" w:eastAsia="宋体" w:cs="Times New Roman"/>
                    </w:rPr>
                  </w:pPr>
                  <w:r>
                    <w:rPr>
                      <w:rFonts w:hint="default" w:ascii="Times New Roman" w:hAnsi="Times New Roman" w:eastAsia="宋体" w:cs="Times New Roman"/>
                    </w:rPr>
                    <w:t>400</w:t>
                  </w:r>
                </w:p>
              </w:tc>
              <w:tc>
                <w:tcPr>
                  <w:tcW w:w="544" w:type="pct"/>
                  <w:tcBorders>
                    <w:top w:val="single" w:color="000000" w:sz="4" w:space="0"/>
                    <w:left w:val="single" w:color="000000" w:sz="4" w:space="0"/>
                    <w:bottom w:val="single" w:color="000000" w:sz="4" w:space="0"/>
                    <w:right w:val="single" w:color="000000" w:sz="4" w:space="0"/>
                  </w:tcBorders>
                  <w:vAlign w:val="center"/>
                </w:tcPr>
                <w:p w14:paraId="639B2994">
                  <w:pPr>
                    <w:pStyle w:val="20"/>
                    <w:rPr>
                      <w:rFonts w:hint="default" w:ascii="Times New Roman" w:hAnsi="Times New Roman" w:eastAsia="宋体" w:cs="Times New Roman"/>
                    </w:rPr>
                  </w:pPr>
                  <w:r>
                    <w:rPr>
                      <w:rFonts w:hint="default" w:ascii="Times New Roman" w:hAnsi="Times New Roman" w:eastAsia="宋体" w:cs="Times New Roman"/>
                    </w:rPr>
                    <w:t>800</w:t>
                  </w:r>
                </w:p>
              </w:tc>
              <w:tc>
                <w:tcPr>
                  <w:tcW w:w="477" w:type="pct"/>
                  <w:tcBorders>
                    <w:top w:val="single" w:color="000000" w:sz="4" w:space="0"/>
                    <w:left w:val="single" w:color="000000" w:sz="4" w:space="0"/>
                    <w:bottom w:val="single" w:color="000000" w:sz="4" w:space="0"/>
                    <w:right w:val="single" w:color="000000" w:sz="4" w:space="0"/>
                  </w:tcBorders>
                  <w:vAlign w:val="center"/>
                </w:tcPr>
                <w:p w14:paraId="1320714E">
                  <w:pPr>
                    <w:pStyle w:val="20"/>
                    <w:rPr>
                      <w:rFonts w:hint="default" w:ascii="Times New Roman" w:hAnsi="Times New Roman" w:eastAsia="宋体" w:cs="Times New Roman"/>
                    </w:rPr>
                  </w:pPr>
                  <w:r>
                    <w:rPr>
                      <w:rFonts w:hint="default" w:ascii="Times New Roman" w:hAnsi="Times New Roman" w:eastAsia="宋体" w:cs="Times New Roman"/>
                    </w:rPr>
                    <w:t>3</w:t>
                  </w:r>
                </w:p>
              </w:tc>
              <w:tc>
                <w:tcPr>
                  <w:tcW w:w="478" w:type="pct"/>
                  <w:tcBorders>
                    <w:top w:val="single" w:color="000000" w:sz="4" w:space="0"/>
                    <w:left w:val="single" w:color="000000" w:sz="4" w:space="0"/>
                    <w:bottom w:val="single" w:color="000000" w:sz="4" w:space="0"/>
                    <w:right w:val="single" w:color="000000" w:sz="4" w:space="0"/>
                  </w:tcBorders>
                  <w:vAlign w:val="center"/>
                </w:tcPr>
                <w:p w14:paraId="08BC125E">
                  <w:pPr>
                    <w:pStyle w:val="20"/>
                    <w:rPr>
                      <w:rFonts w:hint="default" w:ascii="Times New Roman" w:hAnsi="Times New Roman" w:eastAsia="宋体" w:cs="Times New Roman"/>
                    </w:rPr>
                  </w:pPr>
                  <w:r>
                    <w:rPr>
                      <w:rFonts w:hint="default" w:ascii="Times New Roman" w:hAnsi="Times New Roman" w:eastAsia="宋体" w:cs="Times New Roman"/>
                    </w:rPr>
                    <w:t>6</w:t>
                  </w:r>
                </w:p>
              </w:tc>
              <w:tc>
                <w:tcPr>
                  <w:tcW w:w="517" w:type="pct"/>
                  <w:tcBorders>
                    <w:top w:val="single" w:color="000000" w:sz="4" w:space="0"/>
                    <w:left w:val="single" w:color="000000" w:sz="4" w:space="0"/>
                    <w:bottom w:val="single" w:color="000000" w:sz="4" w:space="0"/>
                    <w:right w:val="single" w:color="000000" w:sz="4" w:space="0"/>
                  </w:tcBorders>
                  <w:noWrap/>
                  <w:vAlign w:val="center"/>
                </w:tcPr>
                <w:p w14:paraId="44927C5C">
                  <w:pPr>
                    <w:pStyle w:val="20"/>
                    <w:rPr>
                      <w:rFonts w:hint="default" w:ascii="Times New Roman" w:hAnsi="Times New Roman" w:eastAsia="宋体" w:cs="Times New Roman"/>
                    </w:rPr>
                  </w:pPr>
                  <w:r>
                    <w:rPr>
                      <w:rFonts w:hint="default" w:ascii="Times New Roman" w:hAnsi="Times New Roman" w:eastAsia="宋体" w:cs="Times New Roman"/>
                    </w:rPr>
                    <w:t>300</w:t>
                  </w:r>
                </w:p>
              </w:tc>
              <w:tc>
                <w:tcPr>
                  <w:tcW w:w="517" w:type="pct"/>
                  <w:tcBorders>
                    <w:top w:val="single" w:color="000000" w:sz="4" w:space="0"/>
                    <w:left w:val="single" w:color="000000" w:sz="4" w:space="0"/>
                    <w:bottom w:val="single" w:color="000000" w:sz="4" w:space="0"/>
                    <w:right w:val="single" w:color="000000" w:sz="4" w:space="0"/>
                  </w:tcBorders>
                  <w:noWrap/>
                  <w:vAlign w:val="center"/>
                </w:tcPr>
                <w:p w14:paraId="6D192D13">
                  <w:pPr>
                    <w:pStyle w:val="20"/>
                    <w:rPr>
                      <w:rFonts w:hint="default" w:ascii="Times New Roman" w:hAnsi="Times New Roman" w:eastAsia="宋体" w:cs="Times New Roman"/>
                    </w:rPr>
                  </w:pPr>
                  <w:r>
                    <w:rPr>
                      <w:rFonts w:hint="default" w:ascii="Times New Roman" w:hAnsi="Times New Roman" w:eastAsia="宋体" w:cs="Times New Roman"/>
                    </w:rPr>
                    <w:t>43</w:t>
                  </w:r>
                </w:p>
              </w:tc>
            </w:tr>
            <w:tr w14:paraId="04A58107">
              <w:tblPrEx>
                <w:tblCellMar>
                  <w:top w:w="0" w:type="dxa"/>
                  <w:left w:w="108" w:type="dxa"/>
                  <w:bottom w:w="0" w:type="dxa"/>
                  <w:right w:w="108" w:type="dxa"/>
                </w:tblCellMar>
              </w:tblPrEx>
              <w:trPr>
                <w:trHeight w:val="510" w:hRule="atLeast"/>
              </w:trPr>
              <w:tc>
                <w:tcPr>
                  <w:tcW w:w="811" w:type="pct"/>
                  <w:vMerge w:val="continue"/>
                  <w:tcBorders>
                    <w:left w:val="single" w:color="000000" w:sz="4" w:space="0"/>
                    <w:right w:val="single" w:color="000000" w:sz="4" w:space="0"/>
                  </w:tcBorders>
                  <w:vAlign w:val="center"/>
                </w:tcPr>
                <w:p w14:paraId="055920C1">
                  <w:pPr>
                    <w:pStyle w:val="20"/>
                    <w:rPr>
                      <w:rFonts w:hint="default" w:ascii="Times New Roman" w:hAnsi="Times New Roman" w:eastAsia="宋体" w:cs="Times New Roman"/>
                    </w:rPr>
                  </w:pPr>
                </w:p>
              </w:tc>
              <w:tc>
                <w:tcPr>
                  <w:tcW w:w="722" w:type="pct"/>
                  <w:tcBorders>
                    <w:top w:val="single" w:color="000000" w:sz="4" w:space="0"/>
                    <w:left w:val="single" w:color="000000" w:sz="4" w:space="0"/>
                    <w:bottom w:val="single" w:color="000000" w:sz="4" w:space="0"/>
                    <w:right w:val="single" w:color="000000" w:sz="4" w:space="0"/>
                  </w:tcBorders>
                  <w:vAlign w:val="center"/>
                </w:tcPr>
                <w:p w14:paraId="2393823F">
                  <w:pPr>
                    <w:pStyle w:val="20"/>
                    <w:rPr>
                      <w:rFonts w:hint="default" w:ascii="Times New Roman" w:hAnsi="Times New Roman" w:eastAsia="宋体" w:cs="Times New Roman"/>
                    </w:rPr>
                  </w:pPr>
                  <w:r>
                    <w:rPr>
                      <w:rFonts w:hint="default" w:ascii="Times New Roman" w:hAnsi="Times New Roman" w:eastAsia="宋体" w:cs="Times New Roman"/>
                    </w:rPr>
                    <w:t>产生量（t/a）</w:t>
                  </w:r>
                </w:p>
              </w:tc>
              <w:tc>
                <w:tcPr>
                  <w:tcW w:w="444" w:type="pct"/>
                  <w:tcBorders>
                    <w:top w:val="single" w:color="000000" w:sz="4" w:space="0"/>
                    <w:left w:val="single" w:color="000000" w:sz="4" w:space="0"/>
                    <w:bottom w:val="single" w:color="000000" w:sz="4" w:space="0"/>
                    <w:right w:val="single" w:color="000000" w:sz="4" w:space="0"/>
                  </w:tcBorders>
                  <w:vAlign w:val="center"/>
                </w:tcPr>
                <w:p w14:paraId="6094E789">
                  <w:pPr>
                    <w:pStyle w:val="20"/>
                    <w:rPr>
                      <w:rFonts w:hint="default" w:ascii="Times New Roman" w:hAnsi="Times New Roman" w:eastAsia="宋体" w:cs="Times New Roman"/>
                    </w:rPr>
                  </w:pPr>
                  <w:r>
                    <w:rPr>
                      <w:rFonts w:hint="default" w:ascii="Times New Roman" w:hAnsi="Times New Roman" w:eastAsia="宋体" w:cs="Times New Roman"/>
                    </w:rPr>
                    <w:t>/</w:t>
                  </w:r>
                </w:p>
              </w:tc>
              <w:tc>
                <w:tcPr>
                  <w:tcW w:w="487" w:type="pct"/>
                  <w:tcBorders>
                    <w:top w:val="single" w:color="000000" w:sz="4" w:space="0"/>
                    <w:left w:val="single" w:color="000000" w:sz="4" w:space="0"/>
                    <w:bottom w:val="single" w:color="000000" w:sz="4" w:space="0"/>
                    <w:right w:val="single" w:color="000000" w:sz="4" w:space="0"/>
                  </w:tcBorders>
                  <w:vAlign w:val="center"/>
                </w:tcPr>
                <w:p w14:paraId="33C5AE9D">
                  <w:pPr>
                    <w:pStyle w:val="20"/>
                    <w:rPr>
                      <w:rFonts w:hint="default" w:ascii="Times New Roman" w:hAnsi="Times New Roman" w:eastAsia="宋体" w:cs="Times New Roman"/>
                    </w:rPr>
                  </w:pPr>
                  <w:r>
                    <w:rPr>
                      <w:rFonts w:hint="default" w:ascii="Times New Roman" w:hAnsi="Times New Roman" w:eastAsia="宋体" w:cs="Times New Roman"/>
                    </w:rPr>
                    <w:t>1.004</w:t>
                  </w:r>
                </w:p>
              </w:tc>
              <w:tc>
                <w:tcPr>
                  <w:tcW w:w="544" w:type="pct"/>
                  <w:tcBorders>
                    <w:top w:val="single" w:color="000000" w:sz="4" w:space="0"/>
                    <w:left w:val="single" w:color="000000" w:sz="4" w:space="0"/>
                    <w:bottom w:val="single" w:color="000000" w:sz="4" w:space="0"/>
                    <w:right w:val="single" w:color="000000" w:sz="4" w:space="0"/>
                  </w:tcBorders>
                  <w:vAlign w:val="center"/>
                </w:tcPr>
                <w:p w14:paraId="33C091D6">
                  <w:pPr>
                    <w:pStyle w:val="20"/>
                    <w:rPr>
                      <w:rFonts w:hint="default" w:ascii="Times New Roman" w:hAnsi="Times New Roman" w:eastAsia="宋体" w:cs="Times New Roman"/>
                    </w:rPr>
                  </w:pPr>
                  <w:r>
                    <w:rPr>
                      <w:rFonts w:hint="default" w:ascii="Times New Roman" w:hAnsi="Times New Roman" w:eastAsia="宋体" w:cs="Times New Roman"/>
                    </w:rPr>
                    <w:t>2.009</w:t>
                  </w:r>
                </w:p>
              </w:tc>
              <w:tc>
                <w:tcPr>
                  <w:tcW w:w="477" w:type="pct"/>
                  <w:tcBorders>
                    <w:top w:val="single" w:color="000000" w:sz="4" w:space="0"/>
                    <w:left w:val="single" w:color="000000" w:sz="4" w:space="0"/>
                    <w:bottom w:val="single" w:color="000000" w:sz="4" w:space="0"/>
                    <w:right w:val="single" w:color="000000" w:sz="4" w:space="0"/>
                  </w:tcBorders>
                  <w:vAlign w:val="center"/>
                </w:tcPr>
                <w:p w14:paraId="24382774">
                  <w:pPr>
                    <w:pStyle w:val="20"/>
                    <w:rPr>
                      <w:rFonts w:hint="default" w:ascii="Times New Roman" w:hAnsi="Times New Roman" w:eastAsia="宋体" w:cs="Times New Roman"/>
                    </w:rPr>
                  </w:pPr>
                  <w:r>
                    <w:rPr>
                      <w:rFonts w:hint="default" w:ascii="Times New Roman" w:hAnsi="Times New Roman" w:eastAsia="宋体" w:cs="Times New Roman"/>
                    </w:rPr>
                    <w:t>0.008</w:t>
                  </w:r>
                </w:p>
              </w:tc>
              <w:tc>
                <w:tcPr>
                  <w:tcW w:w="478" w:type="pct"/>
                  <w:tcBorders>
                    <w:top w:val="single" w:color="000000" w:sz="4" w:space="0"/>
                    <w:left w:val="single" w:color="000000" w:sz="4" w:space="0"/>
                    <w:bottom w:val="single" w:color="000000" w:sz="4" w:space="0"/>
                    <w:right w:val="single" w:color="000000" w:sz="4" w:space="0"/>
                  </w:tcBorders>
                  <w:vAlign w:val="center"/>
                </w:tcPr>
                <w:p w14:paraId="2176AE0E">
                  <w:pPr>
                    <w:pStyle w:val="20"/>
                    <w:rPr>
                      <w:rFonts w:hint="default" w:ascii="Times New Roman" w:hAnsi="Times New Roman" w:eastAsia="宋体" w:cs="Times New Roman"/>
                    </w:rPr>
                  </w:pPr>
                  <w:r>
                    <w:rPr>
                      <w:rFonts w:hint="default" w:ascii="Times New Roman" w:hAnsi="Times New Roman" w:eastAsia="宋体" w:cs="Times New Roman"/>
                    </w:rPr>
                    <w:t>0.015</w:t>
                  </w:r>
                </w:p>
              </w:tc>
              <w:tc>
                <w:tcPr>
                  <w:tcW w:w="517" w:type="pct"/>
                  <w:tcBorders>
                    <w:top w:val="single" w:color="000000" w:sz="4" w:space="0"/>
                    <w:left w:val="single" w:color="000000" w:sz="4" w:space="0"/>
                    <w:bottom w:val="single" w:color="000000" w:sz="4" w:space="0"/>
                    <w:right w:val="single" w:color="000000" w:sz="4" w:space="0"/>
                  </w:tcBorders>
                  <w:vAlign w:val="center"/>
                </w:tcPr>
                <w:p w14:paraId="68AD5CE0">
                  <w:pPr>
                    <w:pStyle w:val="20"/>
                    <w:rPr>
                      <w:rFonts w:hint="default" w:ascii="Times New Roman" w:hAnsi="Times New Roman" w:eastAsia="宋体" w:cs="Times New Roman"/>
                    </w:rPr>
                  </w:pPr>
                  <w:r>
                    <w:rPr>
                      <w:rFonts w:hint="default" w:ascii="Times New Roman" w:hAnsi="Times New Roman" w:eastAsia="宋体" w:cs="Times New Roman"/>
                    </w:rPr>
                    <w:t>0.753</w:t>
                  </w:r>
                </w:p>
              </w:tc>
              <w:tc>
                <w:tcPr>
                  <w:tcW w:w="517" w:type="pct"/>
                  <w:tcBorders>
                    <w:top w:val="single" w:color="000000" w:sz="4" w:space="0"/>
                    <w:left w:val="single" w:color="000000" w:sz="4" w:space="0"/>
                    <w:bottom w:val="single" w:color="000000" w:sz="4" w:space="0"/>
                    <w:right w:val="single" w:color="000000" w:sz="4" w:space="0"/>
                  </w:tcBorders>
                  <w:vAlign w:val="center"/>
                </w:tcPr>
                <w:p w14:paraId="1D072272">
                  <w:pPr>
                    <w:pStyle w:val="20"/>
                    <w:rPr>
                      <w:rFonts w:hint="default" w:ascii="Times New Roman" w:hAnsi="Times New Roman" w:eastAsia="宋体" w:cs="Times New Roman"/>
                    </w:rPr>
                  </w:pPr>
                  <w:r>
                    <w:rPr>
                      <w:rFonts w:hint="default" w:ascii="Times New Roman" w:hAnsi="Times New Roman" w:eastAsia="宋体" w:cs="Times New Roman"/>
                    </w:rPr>
                    <w:t>0.108</w:t>
                  </w:r>
                </w:p>
              </w:tc>
            </w:tr>
            <w:tr w14:paraId="7ED3D200">
              <w:tblPrEx>
                <w:tblCellMar>
                  <w:top w:w="0" w:type="dxa"/>
                  <w:left w:w="108" w:type="dxa"/>
                  <w:bottom w:w="0" w:type="dxa"/>
                  <w:right w:w="108" w:type="dxa"/>
                </w:tblCellMar>
              </w:tblPrEx>
              <w:trPr>
                <w:trHeight w:val="510" w:hRule="atLeast"/>
              </w:trPr>
              <w:tc>
                <w:tcPr>
                  <w:tcW w:w="811" w:type="pct"/>
                  <w:vMerge w:val="continue"/>
                  <w:tcBorders>
                    <w:left w:val="single" w:color="000000" w:sz="4" w:space="0"/>
                    <w:right w:val="single" w:color="000000" w:sz="4" w:space="0"/>
                  </w:tcBorders>
                  <w:vAlign w:val="center"/>
                </w:tcPr>
                <w:p w14:paraId="5DF0DA2C">
                  <w:pPr>
                    <w:pStyle w:val="20"/>
                    <w:rPr>
                      <w:rFonts w:hint="default" w:ascii="Times New Roman" w:hAnsi="Times New Roman" w:eastAsia="宋体" w:cs="Times New Roman"/>
                    </w:rPr>
                  </w:pPr>
                </w:p>
              </w:tc>
              <w:tc>
                <w:tcPr>
                  <w:tcW w:w="4188" w:type="pct"/>
                  <w:gridSpan w:val="8"/>
                  <w:tcBorders>
                    <w:top w:val="single" w:color="000000" w:sz="4" w:space="0"/>
                    <w:left w:val="single" w:color="000000" w:sz="4" w:space="0"/>
                    <w:bottom w:val="single" w:color="000000" w:sz="4" w:space="0"/>
                    <w:right w:val="single" w:color="000000" w:sz="4" w:space="0"/>
                  </w:tcBorders>
                  <w:vAlign w:val="center"/>
                </w:tcPr>
                <w:p w14:paraId="1F5C369B">
                  <w:pPr>
                    <w:pStyle w:val="20"/>
                    <w:rPr>
                      <w:rFonts w:hint="default" w:ascii="Times New Roman" w:hAnsi="Times New Roman" w:eastAsia="宋体" w:cs="Times New Roman"/>
                    </w:rPr>
                  </w:pPr>
                  <w:r>
                    <w:rPr>
                      <w:rFonts w:hint="default" w:ascii="Times New Roman" w:hAnsi="Times New Roman" w:eastAsia="宋体" w:cs="Times New Roman"/>
                    </w:rPr>
                    <w:t>混凝沉淀池+砂滤-碳滤</w:t>
                  </w:r>
                </w:p>
              </w:tc>
            </w:tr>
            <w:tr w14:paraId="71CDF473">
              <w:tblPrEx>
                <w:tblCellMar>
                  <w:top w:w="0" w:type="dxa"/>
                  <w:left w:w="108" w:type="dxa"/>
                  <w:bottom w:w="0" w:type="dxa"/>
                  <w:right w:w="108" w:type="dxa"/>
                </w:tblCellMar>
              </w:tblPrEx>
              <w:trPr>
                <w:trHeight w:val="510" w:hRule="atLeast"/>
              </w:trPr>
              <w:tc>
                <w:tcPr>
                  <w:tcW w:w="811" w:type="pct"/>
                  <w:vMerge w:val="continue"/>
                  <w:tcBorders>
                    <w:left w:val="single" w:color="000000" w:sz="4" w:space="0"/>
                    <w:right w:val="single" w:color="000000" w:sz="4" w:space="0"/>
                  </w:tcBorders>
                  <w:vAlign w:val="center"/>
                </w:tcPr>
                <w:p w14:paraId="44939079">
                  <w:pPr>
                    <w:pStyle w:val="20"/>
                    <w:rPr>
                      <w:rFonts w:hint="default" w:ascii="Times New Roman" w:hAnsi="Times New Roman" w:eastAsia="宋体" w:cs="Times New Roman"/>
                    </w:rPr>
                  </w:pPr>
                </w:p>
              </w:tc>
              <w:tc>
                <w:tcPr>
                  <w:tcW w:w="722" w:type="pct"/>
                  <w:tcBorders>
                    <w:top w:val="single" w:color="000000" w:sz="4" w:space="0"/>
                    <w:left w:val="single" w:color="000000" w:sz="4" w:space="0"/>
                    <w:bottom w:val="single" w:color="000000" w:sz="4" w:space="0"/>
                    <w:right w:val="single" w:color="000000" w:sz="4" w:space="0"/>
                  </w:tcBorders>
                  <w:vAlign w:val="center"/>
                </w:tcPr>
                <w:p w14:paraId="4DC0D8A2">
                  <w:pPr>
                    <w:pStyle w:val="20"/>
                    <w:rPr>
                      <w:rFonts w:hint="default" w:ascii="Times New Roman" w:hAnsi="Times New Roman" w:eastAsia="宋体" w:cs="Times New Roman"/>
                    </w:rPr>
                  </w:pPr>
                  <w:r>
                    <w:rPr>
                      <w:rFonts w:hint="default" w:ascii="Times New Roman" w:hAnsi="Times New Roman" w:eastAsia="宋体" w:cs="Times New Roman"/>
                    </w:rPr>
                    <w:t>排放浓度（mg/L）</w:t>
                  </w:r>
                </w:p>
              </w:tc>
              <w:tc>
                <w:tcPr>
                  <w:tcW w:w="444" w:type="pct"/>
                  <w:tcBorders>
                    <w:top w:val="single" w:color="000000" w:sz="4" w:space="0"/>
                    <w:left w:val="single" w:color="000000" w:sz="4" w:space="0"/>
                    <w:bottom w:val="single" w:color="000000" w:sz="4" w:space="0"/>
                    <w:right w:val="single" w:color="000000" w:sz="4" w:space="0"/>
                  </w:tcBorders>
                  <w:vAlign w:val="center"/>
                </w:tcPr>
                <w:p w14:paraId="2D1E83DC">
                  <w:pPr>
                    <w:pStyle w:val="20"/>
                    <w:rPr>
                      <w:rFonts w:hint="default" w:ascii="Times New Roman" w:hAnsi="Times New Roman" w:eastAsia="宋体" w:cs="Times New Roman"/>
                    </w:rPr>
                  </w:pPr>
                  <w:r>
                    <w:rPr>
                      <w:rFonts w:hint="default" w:ascii="Times New Roman" w:hAnsi="Times New Roman" w:eastAsia="宋体" w:cs="Times New Roman"/>
                    </w:rPr>
                    <w:t>6~9</w:t>
                  </w:r>
                </w:p>
              </w:tc>
              <w:tc>
                <w:tcPr>
                  <w:tcW w:w="487" w:type="pct"/>
                  <w:tcBorders>
                    <w:top w:val="single" w:color="000000" w:sz="4" w:space="0"/>
                    <w:left w:val="single" w:color="000000" w:sz="4" w:space="0"/>
                    <w:bottom w:val="single" w:color="000000" w:sz="4" w:space="0"/>
                    <w:right w:val="single" w:color="000000" w:sz="4" w:space="0"/>
                  </w:tcBorders>
                  <w:vAlign w:val="center"/>
                </w:tcPr>
                <w:p w14:paraId="184785BB">
                  <w:pPr>
                    <w:pStyle w:val="20"/>
                    <w:rPr>
                      <w:rFonts w:hint="default" w:ascii="Times New Roman" w:hAnsi="Times New Roman" w:eastAsia="宋体" w:cs="Times New Roman"/>
                    </w:rPr>
                  </w:pPr>
                  <w:r>
                    <w:rPr>
                      <w:rFonts w:hint="default" w:ascii="Times New Roman" w:hAnsi="Times New Roman" w:eastAsia="宋体" w:cs="Times New Roman"/>
                    </w:rPr>
                    <w:t>30</w:t>
                  </w:r>
                </w:p>
              </w:tc>
              <w:tc>
                <w:tcPr>
                  <w:tcW w:w="544" w:type="pct"/>
                  <w:tcBorders>
                    <w:top w:val="single" w:color="000000" w:sz="4" w:space="0"/>
                    <w:left w:val="single" w:color="000000" w:sz="4" w:space="0"/>
                    <w:bottom w:val="single" w:color="000000" w:sz="4" w:space="0"/>
                    <w:right w:val="single" w:color="000000" w:sz="4" w:space="0"/>
                  </w:tcBorders>
                  <w:vAlign w:val="center"/>
                </w:tcPr>
                <w:p w14:paraId="75A966BB">
                  <w:pPr>
                    <w:pStyle w:val="20"/>
                    <w:rPr>
                      <w:rFonts w:hint="default" w:ascii="Times New Roman" w:hAnsi="Times New Roman" w:eastAsia="宋体" w:cs="Times New Roman"/>
                    </w:rPr>
                  </w:pPr>
                  <w:r>
                    <w:rPr>
                      <w:rFonts w:hint="default" w:ascii="Times New Roman" w:hAnsi="Times New Roman" w:eastAsia="宋体" w:cs="Times New Roman"/>
                    </w:rPr>
                    <w:t>280</w:t>
                  </w:r>
                </w:p>
              </w:tc>
              <w:tc>
                <w:tcPr>
                  <w:tcW w:w="477" w:type="pct"/>
                  <w:tcBorders>
                    <w:top w:val="single" w:color="000000" w:sz="4" w:space="0"/>
                    <w:left w:val="single" w:color="000000" w:sz="4" w:space="0"/>
                    <w:bottom w:val="single" w:color="000000" w:sz="4" w:space="0"/>
                    <w:right w:val="single" w:color="000000" w:sz="4" w:space="0"/>
                  </w:tcBorders>
                  <w:vAlign w:val="center"/>
                </w:tcPr>
                <w:p w14:paraId="56A8B082">
                  <w:pPr>
                    <w:pStyle w:val="20"/>
                    <w:rPr>
                      <w:rFonts w:hint="default" w:ascii="Times New Roman" w:hAnsi="Times New Roman" w:eastAsia="宋体" w:cs="Times New Roman"/>
                    </w:rPr>
                  </w:pPr>
                  <w:r>
                    <w:rPr>
                      <w:rFonts w:hint="default" w:ascii="Times New Roman" w:hAnsi="Times New Roman" w:eastAsia="宋体" w:cs="Times New Roman"/>
                    </w:rPr>
                    <w:t>1.05</w:t>
                  </w:r>
                </w:p>
              </w:tc>
              <w:tc>
                <w:tcPr>
                  <w:tcW w:w="478" w:type="pct"/>
                  <w:tcBorders>
                    <w:top w:val="single" w:color="000000" w:sz="4" w:space="0"/>
                    <w:left w:val="single" w:color="000000" w:sz="4" w:space="0"/>
                    <w:bottom w:val="single" w:color="000000" w:sz="4" w:space="0"/>
                    <w:right w:val="single" w:color="000000" w:sz="4" w:space="0"/>
                  </w:tcBorders>
                  <w:vAlign w:val="center"/>
                </w:tcPr>
                <w:p w14:paraId="068AF5CA">
                  <w:pPr>
                    <w:pStyle w:val="20"/>
                    <w:rPr>
                      <w:rFonts w:hint="default" w:ascii="Times New Roman" w:hAnsi="Times New Roman" w:eastAsia="宋体" w:cs="Times New Roman"/>
                    </w:rPr>
                  </w:pPr>
                  <w:r>
                    <w:rPr>
                      <w:rFonts w:hint="default" w:ascii="Times New Roman" w:hAnsi="Times New Roman" w:eastAsia="宋体" w:cs="Times New Roman"/>
                    </w:rPr>
                    <w:t>5.4</w:t>
                  </w:r>
                </w:p>
              </w:tc>
              <w:tc>
                <w:tcPr>
                  <w:tcW w:w="517" w:type="pct"/>
                  <w:tcBorders>
                    <w:top w:val="single" w:color="000000" w:sz="4" w:space="0"/>
                    <w:left w:val="single" w:color="000000" w:sz="4" w:space="0"/>
                    <w:bottom w:val="single" w:color="000000" w:sz="4" w:space="0"/>
                    <w:right w:val="single" w:color="000000" w:sz="4" w:space="0"/>
                  </w:tcBorders>
                  <w:vAlign w:val="center"/>
                </w:tcPr>
                <w:p w14:paraId="7EA45EF9">
                  <w:pPr>
                    <w:pStyle w:val="20"/>
                    <w:rPr>
                      <w:rFonts w:hint="default" w:ascii="Times New Roman" w:hAnsi="Times New Roman" w:eastAsia="宋体" w:cs="Times New Roman"/>
                    </w:rPr>
                  </w:pPr>
                  <w:r>
                    <w:rPr>
                      <w:rFonts w:hint="default" w:ascii="Times New Roman" w:hAnsi="Times New Roman" w:eastAsia="宋体" w:cs="Times New Roman"/>
                    </w:rPr>
                    <w:t>105</w:t>
                  </w:r>
                </w:p>
              </w:tc>
              <w:tc>
                <w:tcPr>
                  <w:tcW w:w="517" w:type="pct"/>
                  <w:tcBorders>
                    <w:top w:val="single" w:color="000000" w:sz="4" w:space="0"/>
                    <w:left w:val="single" w:color="000000" w:sz="4" w:space="0"/>
                    <w:bottom w:val="single" w:color="000000" w:sz="4" w:space="0"/>
                    <w:right w:val="single" w:color="000000" w:sz="4" w:space="0"/>
                  </w:tcBorders>
                  <w:vAlign w:val="center"/>
                </w:tcPr>
                <w:p w14:paraId="5F290CA6">
                  <w:pPr>
                    <w:pStyle w:val="20"/>
                    <w:rPr>
                      <w:rFonts w:hint="default" w:ascii="Times New Roman" w:hAnsi="Times New Roman" w:eastAsia="宋体" w:cs="Times New Roman"/>
                    </w:rPr>
                  </w:pPr>
                  <w:r>
                    <w:rPr>
                      <w:rFonts w:hint="default" w:ascii="Times New Roman" w:hAnsi="Times New Roman" w:eastAsia="宋体" w:cs="Times New Roman"/>
                    </w:rPr>
                    <w:t>4.3</w:t>
                  </w:r>
                </w:p>
              </w:tc>
            </w:tr>
            <w:tr w14:paraId="56D8FDDB">
              <w:tblPrEx>
                <w:tblCellMar>
                  <w:top w:w="0" w:type="dxa"/>
                  <w:left w:w="108" w:type="dxa"/>
                  <w:bottom w:w="0" w:type="dxa"/>
                  <w:right w:w="108" w:type="dxa"/>
                </w:tblCellMar>
              </w:tblPrEx>
              <w:trPr>
                <w:trHeight w:val="510" w:hRule="atLeast"/>
              </w:trPr>
              <w:tc>
                <w:tcPr>
                  <w:tcW w:w="811" w:type="pct"/>
                  <w:vMerge w:val="continue"/>
                  <w:tcBorders>
                    <w:left w:val="single" w:color="000000" w:sz="4" w:space="0"/>
                    <w:bottom w:val="single" w:color="000000" w:sz="4" w:space="0"/>
                    <w:right w:val="single" w:color="000000" w:sz="4" w:space="0"/>
                  </w:tcBorders>
                  <w:vAlign w:val="center"/>
                </w:tcPr>
                <w:p w14:paraId="71CAA7F2">
                  <w:pPr>
                    <w:pStyle w:val="20"/>
                    <w:rPr>
                      <w:rFonts w:hint="default" w:ascii="Times New Roman" w:hAnsi="Times New Roman" w:eastAsia="宋体" w:cs="Times New Roman"/>
                    </w:rPr>
                  </w:pPr>
                </w:p>
              </w:tc>
              <w:tc>
                <w:tcPr>
                  <w:tcW w:w="722" w:type="pct"/>
                  <w:tcBorders>
                    <w:top w:val="single" w:color="000000" w:sz="4" w:space="0"/>
                    <w:left w:val="single" w:color="000000" w:sz="4" w:space="0"/>
                    <w:bottom w:val="single" w:color="000000" w:sz="4" w:space="0"/>
                    <w:right w:val="single" w:color="000000" w:sz="4" w:space="0"/>
                  </w:tcBorders>
                  <w:vAlign w:val="center"/>
                </w:tcPr>
                <w:p w14:paraId="7F8A89CC">
                  <w:pPr>
                    <w:pStyle w:val="20"/>
                    <w:rPr>
                      <w:rFonts w:hint="default" w:ascii="Times New Roman" w:hAnsi="Times New Roman" w:eastAsia="宋体" w:cs="Times New Roman"/>
                    </w:rPr>
                  </w:pPr>
                  <w:r>
                    <w:rPr>
                      <w:rFonts w:hint="default" w:ascii="Times New Roman" w:hAnsi="Times New Roman" w:eastAsia="宋体" w:cs="Times New Roman"/>
                    </w:rPr>
                    <w:t>排放量（t/a）</w:t>
                  </w:r>
                </w:p>
              </w:tc>
              <w:tc>
                <w:tcPr>
                  <w:tcW w:w="444" w:type="pct"/>
                  <w:tcBorders>
                    <w:top w:val="single" w:color="000000" w:sz="4" w:space="0"/>
                    <w:left w:val="single" w:color="000000" w:sz="4" w:space="0"/>
                    <w:bottom w:val="single" w:color="000000" w:sz="4" w:space="0"/>
                    <w:right w:val="single" w:color="000000" w:sz="4" w:space="0"/>
                  </w:tcBorders>
                  <w:vAlign w:val="center"/>
                </w:tcPr>
                <w:p w14:paraId="5000A9F3">
                  <w:pPr>
                    <w:pStyle w:val="20"/>
                    <w:rPr>
                      <w:rFonts w:hint="default" w:ascii="Times New Roman" w:hAnsi="Times New Roman" w:eastAsia="宋体" w:cs="Times New Roman"/>
                    </w:rPr>
                  </w:pPr>
                  <w:r>
                    <w:rPr>
                      <w:rFonts w:hint="default" w:ascii="Times New Roman" w:hAnsi="Times New Roman" w:eastAsia="宋体" w:cs="Times New Roman"/>
                    </w:rPr>
                    <w:t>/</w:t>
                  </w:r>
                </w:p>
              </w:tc>
              <w:tc>
                <w:tcPr>
                  <w:tcW w:w="487" w:type="pct"/>
                  <w:tcBorders>
                    <w:top w:val="single" w:color="000000" w:sz="4" w:space="0"/>
                    <w:left w:val="single" w:color="000000" w:sz="4" w:space="0"/>
                    <w:bottom w:val="single" w:color="000000" w:sz="4" w:space="0"/>
                    <w:right w:val="single" w:color="000000" w:sz="4" w:space="0"/>
                  </w:tcBorders>
                  <w:vAlign w:val="center"/>
                </w:tcPr>
                <w:p w14:paraId="5F0C02B2">
                  <w:pPr>
                    <w:pStyle w:val="20"/>
                    <w:rPr>
                      <w:rFonts w:hint="default" w:ascii="Times New Roman" w:hAnsi="Times New Roman" w:eastAsia="宋体" w:cs="Times New Roman"/>
                    </w:rPr>
                  </w:pPr>
                  <w:r>
                    <w:rPr>
                      <w:rFonts w:hint="default" w:ascii="Times New Roman" w:hAnsi="Times New Roman" w:eastAsia="宋体" w:cs="Times New Roman"/>
                    </w:rPr>
                    <w:t>0.075</w:t>
                  </w:r>
                </w:p>
              </w:tc>
              <w:tc>
                <w:tcPr>
                  <w:tcW w:w="544" w:type="pct"/>
                  <w:tcBorders>
                    <w:top w:val="single" w:color="000000" w:sz="4" w:space="0"/>
                    <w:left w:val="single" w:color="000000" w:sz="4" w:space="0"/>
                    <w:bottom w:val="single" w:color="000000" w:sz="4" w:space="0"/>
                    <w:right w:val="single" w:color="000000" w:sz="4" w:space="0"/>
                  </w:tcBorders>
                  <w:vAlign w:val="center"/>
                </w:tcPr>
                <w:p w14:paraId="6D9E5E3D">
                  <w:pPr>
                    <w:pStyle w:val="20"/>
                    <w:rPr>
                      <w:rFonts w:hint="default" w:ascii="Times New Roman" w:hAnsi="Times New Roman" w:eastAsia="宋体" w:cs="Times New Roman"/>
                    </w:rPr>
                  </w:pPr>
                  <w:r>
                    <w:rPr>
                      <w:rFonts w:hint="default" w:ascii="Times New Roman" w:hAnsi="Times New Roman" w:eastAsia="宋体" w:cs="Times New Roman"/>
                    </w:rPr>
                    <w:t>0.703</w:t>
                  </w:r>
                </w:p>
              </w:tc>
              <w:tc>
                <w:tcPr>
                  <w:tcW w:w="477" w:type="pct"/>
                  <w:tcBorders>
                    <w:top w:val="single" w:color="000000" w:sz="4" w:space="0"/>
                    <w:left w:val="single" w:color="000000" w:sz="4" w:space="0"/>
                    <w:bottom w:val="single" w:color="000000" w:sz="4" w:space="0"/>
                    <w:right w:val="single" w:color="000000" w:sz="4" w:space="0"/>
                  </w:tcBorders>
                  <w:vAlign w:val="center"/>
                </w:tcPr>
                <w:p w14:paraId="054523B0">
                  <w:pPr>
                    <w:pStyle w:val="20"/>
                    <w:rPr>
                      <w:rFonts w:hint="default" w:ascii="Times New Roman" w:hAnsi="Times New Roman" w:eastAsia="宋体" w:cs="Times New Roman"/>
                    </w:rPr>
                  </w:pPr>
                  <w:r>
                    <w:rPr>
                      <w:rFonts w:hint="default" w:ascii="Times New Roman" w:hAnsi="Times New Roman" w:eastAsia="宋体" w:cs="Times New Roman"/>
                    </w:rPr>
                    <w:t>0.003</w:t>
                  </w:r>
                </w:p>
              </w:tc>
              <w:tc>
                <w:tcPr>
                  <w:tcW w:w="478" w:type="pct"/>
                  <w:tcBorders>
                    <w:top w:val="single" w:color="000000" w:sz="4" w:space="0"/>
                    <w:left w:val="single" w:color="000000" w:sz="4" w:space="0"/>
                    <w:bottom w:val="single" w:color="000000" w:sz="4" w:space="0"/>
                    <w:right w:val="single" w:color="000000" w:sz="4" w:space="0"/>
                  </w:tcBorders>
                  <w:vAlign w:val="center"/>
                </w:tcPr>
                <w:p w14:paraId="7864F0E0">
                  <w:pPr>
                    <w:pStyle w:val="20"/>
                    <w:rPr>
                      <w:rFonts w:hint="default" w:ascii="Times New Roman" w:hAnsi="Times New Roman" w:eastAsia="宋体" w:cs="Times New Roman"/>
                    </w:rPr>
                  </w:pPr>
                  <w:r>
                    <w:rPr>
                      <w:rFonts w:hint="default" w:ascii="Times New Roman" w:hAnsi="Times New Roman" w:eastAsia="宋体" w:cs="Times New Roman"/>
                    </w:rPr>
                    <w:t>0.014</w:t>
                  </w:r>
                </w:p>
              </w:tc>
              <w:tc>
                <w:tcPr>
                  <w:tcW w:w="517" w:type="pct"/>
                  <w:tcBorders>
                    <w:top w:val="single" w:color="000000" w:sz="4" w:space="0"/>
                    <w:left w:val="single" w:color="000000" w:sz="4" w:space="0"/>
                    <w:bottom w:val="single" w:color="000000" w:sz="4" w:space="0"/>
                    <w:right w:val="single" w:color="000000" w:sz="4" w:space="0"/>
                  </w:tcBorders>
                  <w:vAlign w:val="center"/>
                </w:tcPr>
                <w:p w14:paraId="07C8A10B">
                  <w:pPr>
                    <w:pStyle w:val="20"/>
                    <w:rPr>
                      <w:rFonts w:hint="default" w:ascii="Times New Roman" w:hAnsi="Times New Roman" w:eastAsia="宋体" w:cs="Times New Roman"/>
                    </w:rPr>
                  </w:pPr>
                  <w:r>
                    <w:rPr>
                      <w:rFonts w:hint="default" w:ascii="Times New Roman" w:hAnsi="Times New Roman" w:eastAsia="宋体" w:cs="Times New Roman"/>
                    </w:rPr>
                    <w:t>0.264</w:t>
                  </w:r>
                </w:p>
              </w:tc>
              <w:tc>
                <w:tcPr>
                  <w:tcW w:w="517" w:type="pct"/>
                  <w:tcBorders>
                    <w:top w:val="single" w:color="000000" w:sz="4" w:space="0"/>
                    <w:left w:val="single" w:color="000000" w:sz="4" w:space="0"/>
                    <w:bottom w:val="single" w:color="000000" w:sz="4" w:space="0"/>
                    <w:right w:val="single" w:color="000000" w:sz="4" w:space="0"/>
                  </w:tcBorders>
                  <w:vAlign w:val="center"/>
                </w:tcPr>
                <w:p w14:paraId="055E4ABC">
                  <w:pPr>
                    <w:pStyle w:val="20"/>
                    <w:rPr>
                      <w:rFonts w:hint="default" w:ascii="Times New Roman" w:hAnsi="Times New Roman" w:eastAsia="宋体" w:cs="Times New Roman"/>
                    </w:rPr>
                  </w:pPr>
                  <w:r>
                    <w:rPr>
                      <w:rFonts w:hint="default" w:ascii="Times New Roman" w:hAnsi="Times New Roman" w:eastAsia="宋体" w:cs="Times New Roman"/>
                    </w:rPr>
                    <w:t>0.011</w:t>
                  </w:r>
                </w:p>
              </w:tc>
            </w:tr>
          </w:tbl>
          <w:p w14:paraId="260545D2">
            <w:pPr>
              <w:ind w:firstLine="480"/>
              <w:rPr>
                <w:rFonts w:hint="default" w:ascii="Times New Roman" w:hAnsi="Times New Roman" w:eastAsia="宋体" w:cs="Times New Roman"/>
                <w:kern w:val="2"/>
              </w:rPr>
            </w:pPr>
            <w:r>
              <w:rPr>
                <w:rFonts w:hint="default" w:ascii="Times New Roman" w:hAnsi="Times New Roman" w:eastAsia="宋体" w:cs="Times New Roman"/>
                <w:kern w:val="2"/>
              </w:rPr>
              <w:t>2、水污染控制和水环境影响减缓措施有效性评价</w:t>
            </w:r>
          </w:p>
          <w:p w14:paraId="69B083C1">
            <w:pPr>
              <w:ind w:firstLine="480"/>
              <w:rPr>
                <w:rFonts w:hint="default" w:ascii="Times New Roman" w:hAnsi="Times New Roman" w:eastAsia="宋体" w:cs="Times New Roman"/>
                <w:kern w:val="2"/>
              </w:rPr>
            </w:pPr>
            <w:r>
              <w:rPr>
                <w:rFonts w:hint="default" w:ascii="Times New Roman" w:hAnsi="Times New Roman" w:eastAsia="宋体" w:cs="Times New Roman"/>
                <w:kern w:val="2"/>
              </w:rPr>
              <w:t>根据工程分析可知，本项目清洗废水产生量为2511t/a（8.37t/d），其主要污染物为SS、CODcr、石油类、LAS、BOD</w:t>
            </w:r>
            <w:r>
              <w:rPr>
                <w:rFonts w:hint="default" w:ascii="Times New Roman" w:hAnsi="Times New Roman" w:eastAsia="宋体" w:cs="Times New Roman"/>
                <w:kern w:val="2"/>
                <w:vertAlign w:val="subscript"/>
              </w:rPr>
              <w:t>5</w:t>
            </w:r>
            <w:r>
              <w:rPr>
                <w:rFonts w:hint="default" w:ascii="Times New Roman" w:hAnsi="Times New Roman" w:eastAsia="宋体" w:cs="Times New Roman"/>
                <w:kern w:val="2"/>
              </w:rPr>
              <w:t>、氟化物等。清洗废水经项目废水处理站处理达标后，通过园区污水管网排入园区污水处理厂进一步处理。</w:t>
            </w:r>
          </w:p>
          <w:p w14:paraId="67F0BB77">
            <w:pPr>
              <w:ind w:firstLine="480"/>
              <w:rPr>
                <w:rFonts w:hint="default" w:ascii="Times New Roman" w:hAnsi="Times New Roman" w:eastAsia="宋体" w:cs="Times New Roman"/>
                <w:kern w:val="2"/>
              </w:rPr>
            </w:pPr>
            <w:r>
              <w:rPr>
                <w:rFonts w:hint="default" w:ascii="Times New Roman" w:hAnsi="Times New Roman" w:eastAsia="宋体" w:cs="Times New Roman"/>
                <w:kern w:val="2"/>
              </w:rPr>
              <w:t>项目属于扩建项目，为确保项目扩建完成后，清洗废水处理有保障，建设单位拟建污水处理站，新建一座处理规模为10t/d 的污水处理站，设计采取“化学混凝沉淀池+砂滤-碳滤”处理工艺。</w:t>
            </w:r>
          </w:p>
          <w:p w14:paraId="088B1E14">
            <w:pPr>
              <w:ind w:firstLine="480"/>
              <w:rPr>
                <w:rFonts w:hint="default" w:ascii="Times New Roman" w:hAnsi="Times New Roman" w:eastAsia="宋体" w:cs="Times New Roman"/>
                <w:kern w:val="2"/>
              </w:rPr>
            </w:pPr>
            <w:r>
              <w:rPr>
                <w:rFonts w:hint="default" w:ascii="Times New Roman" w:hAnsi="Times New Roman" w:eastAsia="宋体" w:cs="Times New Roman"/>
                <w:kern w:val="2"/>
              </w:rPr>
              <w:t>①项目废水处理工艺</w:t>
            </w:r>
          </w:p>
          <w:p w14:paraId="3D0CFAB7">
            <w:pPr>
              <w:ind w:firstLine="480"/>
              <w:rPr>
                <w:rFonts w:hint="default" w:ascii="Times New Roman" w:hAnsi="Times New Roman" w:eastAsia="宋体" w:cs="Times New Roman"/>
                <w:kern w:val="2"/>
              </w:rPr>
            </w:pPr>
            <w:r>
              <w:rPr>
                <w:rFonts w:hint="default" w:ascii="Times New Roman" w:hAnsi="Times New Roman" w:eastAsia="宋体" w:cs="Times New Roman"/>
                <w:kern w:val="2"/>
              </w:rPr>
              <w:t>本项目新建废水处理站处理工艺如下图所示：</w:t>
            </w:r>
          </w:p>
          <w:p w14:paraId="7300DC53">
            <w:pPr>
              <w:ind w:firstLine="480"/>
              <w:rPr>
                <w:rFonts w:hint="default" w:ascii="Times New Roman" w:hAnsi="Times New Roman" w:eastAsia="宋体" w:cs="Times New Roman"/>
                <w:kern w:val="2"/>
              </w:rPr>
            </w:pPr>
            <w:r>
              <w:rPr>
                <w:rFonts w:hint="default" w:ascii="Times New Roman" w:hAnsi="Times New Roman" w:eastAsia="宋体" w:cs="Times New Roman"/>
                <w:kern w:val="2"/>
              </w:rPr>
              <w:drawing>
                <wp:inline distT="0" distB="0" distL="114300" distR="114300">
                  <wp:extent cx="4779010" cy="3303905"/>
                  <wp:effectExtent l="0" t="0" r="2540" b="10795"/>
                  <wp:docPr id="212"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55"/>
                          <pic:cNvPicPr>
                            <a:picLocks noChangeAspect="1"/>
                          </pic:cNvPicPr>
                        </pic:nvPicPr>
                        <pic:blipFill>
                          <a:blip r:embed="rId31"/>
                          <a:stretch>
                            <a:fillRect/>
                          </a:stretch>
                        </pic:blipFill>
                        <pic:spPr>
                          <a:xfrm>
                            <a:off x="0" y="0"/>
                            <a:ext cx="4779010" cy="3303905"/>
                          </a:xfrm>
                          <a:prstGeom prst="rect">
                            <a:avLst/>
                          </a:prstGeom>
                          <a:noFill/>
                          <a:ln>
                            <a:noFill/>
                          </a:ln>
                        </pic:spPr>
                      </pic:pic>
                    </a:graphicData>
                  </a:graphic>
                </wp:inline>
              </w:drawing>
            </w:r>
          </w:p>
          <w:p w14:paraId="129141A4">
            <w:pPr>
              <w:pStyle w:val="10"/>
              <w:ind w:firstLine="422"/>
              <w:rPr>
                <w:rFonts w:hint="default" w:ascii="Times New Roman" w:hAnsi="Times New Roman" w:eastAsia="宋体" w:cs="Times New Roman"/>
                <w:kern w:val="2"/>
              </w:rPr>
            </w:pPr>
            <w:r>
              <w:rPr>
                <w:rFonts w:hint="default" w:ascii="Times New Roman" w:hAnsi="Times New Roman" w:eastAsia="宋体" w:cs="Times New Roman"/>
                <w:kern w:val="2"/>
              </w:rPr>
              <w:t>图4-1  综合废水处理工艺流程图</w:t>
            </w:r>
          </w:p>
          <w:p w14:paraId="645A4252">
            <w:pPr>
              <w:ind w:firstLine="480"/>
              <w:rPr>
                <w:rFonts w:hint="default" w:ascii="Times New Roman" w:hAnsi="Times New Roman" w:eastAsia="宋体" w:cs="Times New Roman"/>
                <w:kern w:val="2"/>
              </w:rPr>
            </w:pPr>
            <w:r>
              <w:rPr>
                <w:rFonts w:hint="default" w:ascii="Times New Roman" w:hAnsi="Times New Roman" w:eastAsia="宋体" w:cs="Times New Roman"/>
                <w:kern w:val="2"/>
              </w:rPr>
              <w:t>污水处理工艺简述：废水从生产车间经管道流入污水处理站格栅池，通过第一道初格栅、和第二道细格栅将水中的杂物隔离，泥沙沉淀，人工定期捞掉杂物和清理泥沙。设计调节水池，起到调节污水水量调节功能，由于车间的污水是间接的排出的，水量不能连续满足处理系统需要，所以必须设调节池将污水收集起来，待达到一定量时启动提升泵将污水输送至反应池。根据需要在反应池投加CaCl</w:t>
            </w:r>
            <w:r>
              <w:rPr>
                <w:rFonts w:hint="default" w:ascii="Times New Roman" w:hAnsi="Times New Roman" w:eastAsia="宋体" w:cs="Times New Roman"/>
                <w:kern w:val="2"/>
                <w:vertAlign w:val="subscript"/>
              </w:rPr>
              <w:t>2</w:t>
            </w:r>
            <w:r>
              <w:rPr>
                <w:rFonts w:hint="default" w:ascii="Times New Roman" w:hAnsi="Times New Roman" w:eastAsia="宋体" w:cs="Times New Roman"/>
                <w:kern w:val="2"/>
              </w:rPr>
              <w:t>溶液反应；PAC混凝剂，PAM絮凝剂（或者其它助凝剂）。利用空气风机曝气、曝气管从反应调节池底部曝气，加入的药剂与水充分混合相互的切割，从而使絮体形成大颗粒进入斜板沉淀池底沉淀，上清液向上浮，污泥沉淀时间一般不少于四小时。污水中的金属离子、固体悬浮颗粒及有机物质沉淀在沉淀池底层形成污泥，通过螺杆泵抽至压滤机压成泥饼去除。 经过反应沉淀处理后的污水上清液再次进入PH调节池，通过加酸碱药剂调节PH值，一般调到中性7-8之间，再用增压泵将清水输至石英砂过滤器、活性炭过滤器进行深度过滤处理，过滤后的清水输送至储水池外排。</w:t>
            </w:r>
          </w:p>
          <w:p w14:paraId="07B26F6D">
            <w:pPr>
              <w:ind w:firstLine="480"/>
              <w:rPr>
                <w:rFonts w:hint="default" w:ascii="Times New Roman" w:hAnsi="Times New Roman" w:eastAsia="宋体" w:cs="Times New Roman"/>
                <w:kern w:val="2"/>
              </w:rPr>
            </w:pPr>
            <w:r>
              <w:rPr>
                <w:rFonts w:hint="default" w:ascii="Times New Roman" w:hAnsi="Times New Roman" w:eastAsia="宋体" w:cs="Times New Roman"/>
                <w:kern w:val="2"/>
              </w:rPr>
              <w:t>②废水处理措施可行性分析</w:t>
            </w:r>
          </w:p>
          <w:p w14:paraId="34172E63">
            <w:pPr>
              <w:ind w:firstLine="480"/>
              <w:rPr>
                <w:rFonts w:hint="default" w:ascii="Times New Roman" w:hAnsi="Times New Roman" w:eastAsia="宋体" w:cs="Times New Roman"/>
                <w:kern w:val="2"/>
              </w:rPr>
            </w:pPr>
            <w:r>
              <w:rPr>
                <w:rFonts w:hint="default" w:ascii="Times New Roman" w:hAnsi="Times New Roman" w:eastAsia="宋体" w:cs="Times New Roman"/>
                <w:kern w:val="2"/>
              </w:rPr>
              <w:t>根据《排污许可证申请与核发技术规范汽车制造业》（HJ971-2018），本项目清洗废水采取化学混凝沉淀池+砂滤-碳滤工艺处理后排入园区污水处理厂属于可行技术。项目清洗废水排放量为8.37m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/d，本项目新建污水处理站设计处理能力为10m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/d＞8.37m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/d，处理能力能够满足清洗废水处理的需求；根据同类工程实践数据，所采取的污水处理工艺各主要处理单元对主要污染物的处理效率如表 4-11所示。由此可以看出，经预处理后电泳涂装废水出水水质较好，可以达到广东省地方标准《水污染物排放限值》</w:t>
            </w:r>
            <w:r>
              <w:rPr>
                <w:rFonts w:hint="default" w:ascii="Times New Roman" w:hAnsi="Times New Roman" w:eastAsia="宋体" w:cs="Times New Roman"/>
                <w:kern w:val="2"/>
                <w:lang w:eastAsia="zh-CN"/>
              </w:rPr>
              <w:t>（</w:t>
            </w:r>
            <w:r>
              <w:rPr>
                <w:rFonts w:hint="default" w:ascii="Times New Roman" w:hAnsi="Times New Roman" w:eastAsia="宋体" w:cs="Times New Roman"/>
                <w:kern w:val="2"/>
              </w:rPr>
              <w:t>DB44/26-2001</w:t>
            </w:r>
            <w:r>
              <w:rPr>
                <w:rFonts w:hint="default" w:ascii="Times New Roman" w:hAnsi="Times New Roman" w:eastAsia="宋体" w:cs="Times New Roman"/>
                <w:kern w:val="2"/>
                <w:lang w:eastAsia="zh-CN"/>
              </w:rPr>
              <w:t>）</w:t>
            </w:r>
            <w:r>
              <w:rPr>
                <w:rFonts w:hint="default" w:ascii="Times New Roman" w:hAnsi="Times New Roman" w:eastAsia="宋体" w:cs="Times New Roman"/>
                <w:kern w:val="2"/>
              </w:rPr>
              <w:t>第二时段三级标准及园区污水处理厂接管水质要求两者较严值，预处理工艺是可行的。</w:t>
            </w:r>
          </w:p>
          <w:p w14:paraId="35702CC3">
            <w:pPr>
              <w:pStyle w:val="10"/>
              <w:ind w:firstLine="422"/>
              <w:rPr>
                <w:rFonts w:hint="default" w:ascii="Times New Roman" w:hAnsi="Times New Roman" w:eastAsia="宋体" w:cs="Times New Roman"/>
                <w:kern w:val="2"/>
                <w:szCs w:val="24"/>
              </w:rPr>
            </w:pPr>
            <w:r>
              <w:rPr>
                <w:rFonts w:hint="default" w:ascii="Times New Roman" w:hAnsi="Times New Roman" w:eastAsia="宋体" w:cs="Times New Roman"/>
                <w:kern w:val="2"/>
                <w:szCs w:val="24"/>
              </w:rPr>
              <w:t>表4-14 污水处理系统对污水的处理效果</w:t>
            </w:r>
          </w:p>
          <w:tbl>
            <w:tblPr>
              <w:tblStyle w:val="23"/>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0" w:type="dxa"/>
                <w:bottom w:w="0" w:type="dxa"/>
                <w:right w:w="0" w:type="dxa"/>
              </w:tblCellMar>
            </w:tblPr>
            <w:tblGrid>
              <w:gridCol w:w="1334"/>
              <w:gridCol w:w="1337"/>
              <w:gridCol w:w="735"/>
              <w:gridCol w:w="987"/>
              <w:gridCol w:w="803"/>
              <w:gridCol w:w="916"/>
              <w:gridCol w:w="857"/>
              <w:gridCol w:w="857"/>
              <w:gridCol w:w="862"/>
            </w:tblGrid>
            <w:tr w14:paraId="164BCA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restart"/>
                  <w:tcBorders>
                    <w:top w:val="single" w:color="auto" w:sz="4" w:space="0"/>
                    <w:left w:val="single" w:color="auto" w:sz="4" w:space="0"/>
                    <w:bottom w:val="nil"/>
                    <w:right w:val="single" w:color="auto" w:sz="4" w:space="0"/>
                  </w:tcBorders>
                  <w:tcMar>
                    <w:top w:w="15" w:type="dxa"/>
                    <w:left w:w="15" w:type="dxa"/>
                    <w:right w:w="15" w:type="dxa"/>
                  </w:tcMar>
                  <w:vAlign w:val="center"/>
                </w:tcPr>
                <w:p w14:paraId="1C4D1EE8">
                  <w:pPr>
                    <w:pStyle w:val="20"/>
                    <w:rPr>
                      <w:rFonts w:hint="default" w:ascii="Times New Roman" w:hAnsi="Times New Roman" w:eastAsia="宋体" w:cs="Times New Roman"/>
                      <w:b/>
                      <w:bCs/>
                    </w:rPr>
                  </w:pPr>
                  <w:r>
                    <w:rPr>
                      <w:rFonts w:hint="default" w:ascii="Times New Roman" w:hAnsi="Times New Roman" w:eastAsia="宋体" w:cs="Times New Roman"/>
                      <w:b/>
                      <w:bCs/>
                    </w:rPr>
                    <w:t>工艺</w:t>
                  </w:r>
                </w:p>
              </w:tc>
              <w:tc>
                <w:tcPr>
                  <w:tcW w:w="768" w:type="pct"/>
                  <w:vMerge w:val="restart"/>
                  <w:tcBorders>
                    <w:top w:val="single" w:color="auto" w:sz="4" w:space="0"/>
                    <w:left w:val="single" w:color="auto" w:sz="4" w:space="0"/>
                    <w:bottom w:val="nil"/>
                    <w:right w:val="single" w:color="auto" w:sz="4" w:space="0"/>
                  </w:tcBorders>
                  <w:tcMar>
                    <w:top w:w="15" w:type="dxa"/>
                    <w:left w:w="15" w:type="dxa"/>
                    <w:right w:w="15" w:type="dxa"/>
                  </w:tcMar>
                  <w:vAlign w:val="center"/>
                </w:tcPr>
                <w:p w14:paraId="337E6749">
                  <w:pPr>
                    <w:pStyle w:val="20"/>
                    <w:rPr>
                      <w:rFonts w:hint="default" w:ascii="Times New Roman" w:hAnsi="Times New Roman" w:eastAsia="宋体" w:cs="Times New Roman"/>
                      <w:b/>
                      <w:bCs/>
                    </w:rPr>
                  </w:pPr>
                  <w:r>
                    <w:rPr>
                      <w:rFonts w:hint="default" w:ascii="Times New Roman" w:hAnsi="Times New Roman" w:eastAsia="宋体" w:cs="Times New Roman"/>
                      <w:b/>
                      <w:bCs/>
                    </w:rPr>
                    <w:t>项目</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9DA54AE">
                  <w:pPr>
                    <w:pStyle w:val="20"/>
                    <w:rPr>
                      <w:rFonts w:hint="default" w:ascii="Times New Roman" w:hAnsi="Times New Roman" w:eastAsia="宋体" w:cs="Times New Roman"/>
                      <w:b/>
                      <w:bCs/>
                    </w:rPr>
                  </w:pPr>
                  <w:r>
                    <w:rPr>
                      <w:rFonts w:hint="default" w:ascii="Times New Roman" w:hAnsi="Times New Roman" w:eastAsia="宋体" w:cs="Times New Roman"/>
                      <w:b/>
                      <w:bCs/>
                    </w:rPr>
                    <w:t>pH</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8D691EB">
                  <w:pPr>
                    <w:pStyle w:val="20"/>
                    <w:rPr>
                      <w:rFonts w:hint="default" w:ascii="Times New Roman" w:hAnsi="Times New Roman" w:eastAsia="宋体" w:cs="Times New Roman"/>
                      <w:b/>
                      <w:bCs/>
                    </w:rPr>
                  </w:pPr>
                  <w:r>
                    <w:rPr>
                      <w:rFonts w:hint="default" w:ascii="Times New Roman" w:hAnsi="Times New Roman" w:eastAsia="宋体" w:cs="Times New Roman"/>
                      <w:b/>
                      <w:bCs/>
                    </w:rPr>
                    <w:t>SS</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44D3646">
                  <w:pPr>
                    <w:pStyle w:val="20"/>
                    <w:rPr>
                      <w:rFonts w:hint="default" w:ascii="Times New Roman" w:hAnsi="Times New Roman" w:eastAsia="宋体" w:cs="Times New Roman"/>
                      <w:b/>
                      <w:bCs/>
                    </w:rPr>
                  </w:pPr>
                  <w:r>
                    <w:rPr>
                      <w:rFonts w:hint="default" w:ascii="Times New Roman" w:hAnsi="Times New Roman" w:eastAsia="宋体" w:cs="Times New Roman"/>
                      <w:b/>
                      <w:bCs/>
                    </w:rPr>
                    <w:t>CODcr</w:t>
                  </w:r>
                </w:p>
              </w:tc>
              <w:tc>
                <w:tcPr>
                  <w:tcW w:w="527"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5754C12">
                  <w:pPr>
                    <w:pStyle w:val="20"/>
                    <w:rPr>
                      <w:rFonts w:hint="default" w:ascii="Times New Roman" w:hAnsi="Times New Roman" w:eastAsia="宋体" w:cs="Times New Roman"/>
                      <w:b/>
                      <w:bCs/>
                    </w:rPr>
                  </w:pPr>
                  <w:r>
                    <w:rPr>
                      <w:rFonts w:hint="default" w:ascii="Times New Roman" w:hAnsi="Times New Roman" w:eastAsia="宋体" w:cs="Times New Roman"/>
                      <w:b/>
                      <w:bCs/>
                    </w:rPr>
                    <w:t>石油类</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0A5B8B4">
                  <w:pPr>
                    <w:pStyle w:val="20"/>
                    <w:rPr>
                      <w:rFonts w:hint="default" w:ascii="Times New Roman" w:hAnsi="Times New Roman" w:eastAsia="宋体" w:cs="Times New Roman"/>
                      <w:b/>
                      <w:bCs/>
                    </w:rPr>
                  </w:pPr>
                  <w:r>
                    <w:rPr>
                      <w:rFonts w:hint="default" w:ascii="Times New Roman" w:hAnsi="Times New Roman" w:eastAsia="宋体" w:cs="Times New Roman"/>
                      <w:b/>
                      <w:bCs/>
                    </w:rPr>
                    <w:t>LAS</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DBCE7F0">
                  <w:pPr>
                    <w:pStyle w:val="20"/>
                    <w:rPr>
                      <w:rFonts w:hint="default" w:ascii="Times New Roman" w:hAnsi="Times New Roman" w:eastAsia="宋体" w:cs="Times New Roman"/>
                      <w:b/>
                      <w:bCs/>
                    </w:rPr>
                  </w:pPr>
                  <w:r>
                    <w:rPr>
                      <w:rFonts w:hint="default" w:ascii="Times New Roman" w:hAnsi="Times New Roman" w:eastAsia="宋体" w:cs="Times New Roman"/>
                      <w:b/>
                      <w:bCs/>
                    </w:rPr>
                    <w:t>BOD</w:t>
                  </w:r>
                  <w:r>
                    <w:rPr>
                      <w:rFonts w:hint="default" w:ascii="Times New Roman" w:hAnsi="Times New Roman" w:eastAsia="宋体" w:cs="Times New Roman"/>
                      <w:b/>
                      <w:bCs/>
                      <w:vertAlign w:val="subscript"/>
                    </w:rPr>
                    <w:t>5</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AF5AD3D">
                  <w:pPr>
                    <w:pStyle w:val="20"/>
                    <w:rPr>
                      <w:rFonts w:hint="default" w:ascii="Times New Roman" w:hAnsi="Times New Roman" w:eastAsia="宋体" w:cs="Times New Roman"/>
                      <w:b/>
                      <w:bCs/>
                    </w:rPr>
                  </w:pPr>
                  <w:r>
                    <w:rPr>
                      <w:rFonts w:hint="default" w:ascii="Times New Roman" w:hAnsi="Times New Roman" w:eastAsia="宋体" w:cs="Times New Roman"/>
                      <w:b/>
                      <w:bCs/>
                    </w:rPr>
                    <w:t>氟化物</w:t>
                  </w:r>
                </w:p>
              </w:tc>
            </w:tr>
            <w:tr w14:paraId="302C86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continue"/>
                  <w:tcBorders>
                    <w:top w:val="nil"/>
                    <w:left w:val="single" w:color="auto" w:sz="4" w:space="0"/>
                    <w:bottom w:val="single" w:color="auto" w:sz="4" w:space="0"/>
                    <w:right w:val="single" w:color="auto" w:sz="4" w:space="0"/>
                  </w:tcBorders>
                  <w:tcMar>
                    <w:top w:w="15" w:type="dxa"/>
                    <w:left w:w="15" w:type="dxa"/>
                    <w:right w:w="15" w:type="dxa"/>
                  </w:tcMar>
                  <w:vAlign w:val="center"/>
                </w:tcPr>
                <w:p w14:paraId="656F1E5B">
                  <w:pPr>
                    <w:pStyle w:val="20"/>
                    <w:rPr>
                      <w:rFonts w:hint="default" w:ascii="Times New Roman" w:hAnsi="Times New Roman" w:eastAsia="宋体" w:cs="Times New Roman"/>
                      <w:b/>
                      <w:bCs/>
                    </w:rPr>
                  </w:pPr>
                </w:p>
              </w:tc>
              <w:tc>
                <w:tcPr>
                  <w:tcW w:w="768" w:type="pct"/>
                  <w:vMerge w:val="continue"/>
                  <w:tcBorders>
                    <w:top w:val="nil"/>
                    <w:left w:val="single" w:color="auto" w:sz="4" w:space="0"/>
                    <w:bottom w:val="single" w:color="auto" w:sz="4" w:space="0"/>
                    <w:right w:val="single" w:color="auto" w:sz="4" w:space="0"/>
                  </w:tcBorders>
                  <w:tcMar>
                    <w:top w:w="15" w:type="dxa"/>
                    <w:left w:w="15" w:type="dxa"/>
                    <w:right w:w="15" w:type="dxa"/>
                  </w:tcMar>
                  <w:vAlign w:val="center"/>
                </w:tcPr>
                <w:p w14:paraId="7FC11185">
                  <w:pPr>
                    <w:pStyle w:val="20"/>
                    <w:rPr>
                      <w:rFonts w:hint="default" w:ascii="Times New Roman" w:hAnsi="Times New Roman" w:eastAsia="宋体" w:cs="Times New Roman"/>
                      <w:b/>
                      <w:bCs/>
                    </w:rPr>
                  </w:pP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A4D676B">
                  <w:pPr>
                    <w:pStyle w:val="20"/>
                    <w:rPr>
                      <w:rFonts w:hint="default" w:ascii="Times New Roman" w:hAnsi="Times New Roman" w:eastAsia="宋体" w:cs="Times New Roman"/>
                      <w:b/>
                      <w:bCs/>
                    </w:rPr>
                  </w:pPr>
                  <w:r>
                    <w:rPr>
                      <w:rFonts w:hint="default" w:ascii="Times New Roman" w:hAnsi="Times New Roman" w:eastAsia="宋体" w:cs="Times New Roman"/>
                      <w:b/>
                      <w:bCs/>
                    </w:rPr>
                    <w:t>无量纲</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6EF4F81">
                  <w:pPr>
                    <w:pStyle w:val="20"/>
                    <w:rPr>
                      <w:rFonts w:hint="default" w:ascii="Times New Roman" w:hAnsi="Times New Roman" w:eastAsia="宋体" w:cs="Times New Roman"/>
                      <w:b/>
                      <w:bCs/>
                    </w:rPr>
                  </w:pPr>
                  <w:r>
                    <w:rPr>
                      <w:rFonts w:hint="default" w:ascii="Times New Roman" w:hAnsi="Times New Roman" w:eastAsia="宋体" w:cs="Times New Roman"/>
                      <w:b/>
                      <w:bCs/>
                    </w:rPr>
                    <w:t>mg/L</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A357711">
                  <w:pPr>
                    <w:pStyle w:val="20"/>
                    <w:rPr>
                      <w:rFonts w:hint="default" w:ascii="Times New Roman" w:hAnsi="Times New Roman" w:eastAsia="宋体" w:cs="Times New Roman"/>
                      <w:b/>
                      <w:bCs/>
                    </w:rPr>
                  </w:pPr>
                  <w:r>
                    <w:rPr>
                      <w:rFonts w:hint="default" w:ascii="Times New Roman" w:hAnsi="Times New Roman" w:eastAsia="宋体" w:cs="Times New Roman"/>
                      <w:b/>
                      <w:bCs/>
                    </w:rPr>
                    <w:t>mg/L</w:t>
                  </w:r>
                </w:p>
              </w:tc>
              <w:tc>
                <w:tcPr>
                  <w:tcW w:w="527"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6FF4312">
                  <w:pPr>
                    <w:pStyle w:val="20"/>
                    <w:rPr>
                      <w:rFonts w:hint="default" w:ascii="Times New Roman" w:hAnsi="Times New Roman" w:eastAsia="宋体" w:cs="Times New Roman"/>
                      <w:b/>
                      <w:bCs/>
                    </w:rPr>
                  </w:pPr>
                  <w:r>
                    <w:rPr>
                      <w:rFonts w:hint="default" w:ascii="Times New Roman" w:hAnsi="Times New Roman" w:eastAsia="宋体" w:cs="Times New Roman"/>
                      <w:b/>
                      <w:bCs/>
                    </w:rPr>
                    <w:t>mg/L</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7DA7678">
                  <w:pPr>
                    <w:pStyle w:val="20"/>
                    <w:rPr>
                      <w:rFonts w:hint="default" w:ascii="Times New Roman" w:hAnsi="Times New Roman" w:eastAsia="宋体" w:cs="Times New Roman"/>
                      <w:b/>
                      <w:bCs/>
                    </w:rPr>
                  </w:pPr>
                  <w:r>
                    <w:rPr>
                      <w:rFonts w:hint="default" w:ascii="Times New Roman" w:hAnsi="Times New Roman" w:eastAsia="宋体" w:cs="Times New Roman"/>
                      <w:b/>
                      <w:bCs/>
                    </w:rPr>
                    <w:t>mg/L</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42B5A3A">
                  <w:pPr>
                    <w:pStyle w:val="20"/>
                    <w:rPr>
                      <w:rFonts w:hint="default" w:ascii="Times New Roman" w:hAnsi="Times New Roman" w:eastAsia="宋体" w:cs="Times New Roman"/>
                      <w:b/>
                      <w:bCs/>
                    </w:rPr>
                  </w:pPr>
                  <w:r>
                    <w:rPr>
                      <w:rFonts w:hint="default" w:ascii="Times New Roman" w:hAnsi="Times New Roman" w:eastAsia="宋体" w:cs="Times New Roman"/>
                      <w:b/>
                      <w:bCs/>
                    </w:rPr>
                    <w:t>mg/L</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EACB0C9">
                  <w:pPr>
                    <w:pStyle w:val="20"/>
                    <w:rPr>
                      <w:rFonts w:hint="default" w:ascii="Times New Roman" w:hAnsi="Times New Roman" w:eastAsia="宋体" w:cs="Times New Roman"/>
                      <w:b/>
                      <w:bCs/>
                    </w:rPr>
                  </w:pPr>
                  <w:r>
                    <w:rPr>
                      <w:rFonts w:hint="default" w:ascii="Times New Roman" w:hAnsi="Times New Roman" w:eastAsia="宋体" w:cs="Times New Roman"/>
                      <w:b/>
                      <w:bCs/>
                    </w:rPr>
                    <w:t>mg/L</w:t>
                  </w:r>
                </w:p>
              </w:tc>
            </w:tr>
            <w:tr w14:paraId="4C7F44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restart"/>
                  <w:tcBorders>
                    <w:top w:val="single" w:color="auto" w:sz="4" w:space="0"/>
                    <w:left w:val="single" w:color="auto" w:sz="4" w:space="0"/>
                    <w:bottom w:val="nil"/>
                    <w:right w:val="single" w:color="auto" w:sz="4" w:space="0"/>
                  </w:tcBorders>
                  <w:tcMar>
                    <w:top w:w="15" w:type="dxa"/>
                    <w:left w:w="15" w:type="dxa"/>
                    <w:right w:w="15" w:type="dxa"/>
                  </w:tcMar>
                  <w:vAlign w:val="center"/>
                </w:tcPr>
                <w:p w14:paraId="39B78438">
                  <w:pPr>
                    <w:pStyle w:val="20"/>
                    <w:rPr>
                      <w:rFonts w:hint="default" w:ascii="Times New Roman" w:hAnsi="Times New Roman" w:eastAsia="宋体" w:cs="Times New Roman"/>
                    </w:rPr>
                  </w:pPr>
                  <w:r>
                    <w:rPr>
                      <w:rFonts w:hint="default" w:ascii="Times New Roman" w:hAnsi="Times New Roman" w:eastAsia="宋体" w:cs="Times New Roman"/>
                    </w:rPr>
                    <w:t>混凝沉淀池</w:t>
                  </w:r>
                </w:p>
              </w:tc>
              <w:tc>
                <w:tcPr>
                  <w:tcW w:w="7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C723F06">
                  <w:pPr>
                    <w:pStyle w:val="20"/>
                    <w:rPr>
                      <w:rFonts w:hint="default" w:ascii="Times New Roman" w:hAnsi="Times New Roman" w:eastAsia="宋体" w:cs="Times New Roman"/>
                    </w:rPr>
                  </w:pPr>
                  <w:r>
                    <w:rPr>
                      <w:rFonts w:hint="default" w:ascii="Times New Roman" w:hAnsi="Times New Roman" w:eastAsia="宋体" w:cs="Times New Roman"/>
                    </w:rPr>
                    <w:t>进水浓度</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F0088F9">
                  <w:pPr>
                    <w:pStyle w:val="20"/>
                    <w:rPr>
                      <w:rFonts w:hint="default" w:ascii="Times New Roman" w:hAnsi="Times New Roman" w:eastAsia="宋体" w:cs="Times New Roman"/>
                    </w:rPr>
                  </w:pPr>
                  <w:r>
                    <w:rPr>
                      <w:rFonts w:hint="default" w:ascii="Times New Roman" w:hAnsi="Times New Roman" w:eastAsia="宋体" w:cs="Times New Roman"/>
                    </w:rPr>
                    <w:t>5~10</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566ECF2">
                  <w:pPr>
                    <w:pStyle w:val="20"/>
                    <w:rPr>
                      <w:rFonts w:hint="default" w:ascii="Times New Roman" w:hAnsi="Times New Roman" w:eastAsia="宋体" w:cs="Times New Roman"/>
                    </w:rPr>
                  </w:pPr>
                  <w:r>
                    <w:rPr>
                      <w:rFonts w:hint="default" w:ascii="Times New Roman" w:hAnsi="Times New Roman" w:eastAsia="宋体" w:cs="Times New Roman"/>
                    </w:rPr>
                    <w:t>400</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E824479">
                  <w:pPr>
                    <w:pStyle w:val="20"/>
                    <w:rPr>
                      <w:rFonts w:hint="default" w:ascii="Times New Roman" w:hAnsi="Times New Roman" w:eastAsia="宋体" w:cs="Times New Roman"/>
                    </w:rPr>
                  </w:pPr>
                  <w:r>
                    <w:rPr>
                      <w:rFonts w:hint="default" w:ascii="Times New Roman" w:hAnsi="Times New Roman" w:eastAsia="宋体" w:cs="Times New Roman"/>
                    </w:rPr>
                    <w:t>800</w:t>
                  </w:r>
                </w:p>
              </w:tc>
              <w:tc>
                <w:tcPr>
                  <w:tcW w:w="527"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5A3028B">
                  <w:pPr>
                    <w:pStyle w:val="20"/>
                    <w:rPr>
                      <w:rFonts w:hint="default" w:ascii="Times New Roman" w:hAnsi="Times New Roman" w:eastAsia="宋体" w:cs="Times New Roman"/>
                    </w:rPr>
                  </w:pPr>
                  <w:r>
                    <w:rPr>
                      <w:rFonts w:hint="default" w:ascii="Times New Roman" w:hAnsi="Times New Roman" w:eastAsia="宋体" w:cs="Times New Roman"/>
                    </w:rPr>
                    <w:t>3</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0EDC5D6">
                  <w:pPr>
                    <w:pStyle w:val="20"/>
                    <w:rPr>
                      <w:rFonts w:hint="default" w:ascii="Times New Roman" w:hAnsi="Times New Roman" w:eastAsia="宋体" w:cs="Times New Roman"/>
                    </w:rPr>
                  </w:pPr>
                  <w:r>
                    <w:rPr>
                      <w:rFonts w:hint="default" w:ascii="Times New Roman" w:hAnsi="Times New Roman" w:eastAsia="宋体" w:cs="Times New Roman"/>
                    </w:rPr>
                    <w:t>6</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6ECBCD2">
                  <w:pPr>
                    <w:pStyle w:val="20"/>
                    <w:rPr>
                      <w:rFonts w:hint="default" w:ascii="Times New Roman" w:hAnsi="Times New Roman" w:eastAsia="宋体" w:cs="Times New Roman"/>
                    </w:rPr>
                  </w:pPr>
                  <w:r>
                    <w:rPr>
                      <w:rFonts w:hint="default" w:ascii="Times New Roman" w:hAnsi="Times New Roman" w:eastAsia="宋体" w:cs="Times New Roman"/>
                    </w:rPr>
                    <w:t>300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F9D3D32">
                  <w:pPr>
                    <w:pStyle w:val="20"/>
                    <w:rPr>
                      <w:rFonts w:hint="default" w:ascii="Times New Roman" w:hAnsi="Times New Roman" w:eastAsia="宋体" w:cs="Times New Roman"/>
                    </w:rPr>
                  </w:pPr>
                  <w:r>
                    <w:rPr>
                      <w:rFonts w:hint="default" w:ascii="Times New Roman" w:hAnsi="Times New Roman" w:eastAsia="宋体" w:cs="Times New Roman"/>
                    </w:rPr>
                    <w:t>43</w:t>
                  </w:r>
                </w:p>
              </w:tc>
            </w:tr>
            <w:tr w14:paraId="4F6323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continue"/>
                  <w:tcBorders>
                    <w:top w:val="nil"/>
                    <w:left w:val="single" w:color="auto" w:sz="4" w:space="0"/>
                    <w:bottom w:val="nil"/>
                    <w:right w:val="single" w:color="auto" w:sz="4" w:space="0"/>
                  </w:tcBorders>
                  <w:tcMar>
                    <w:top w:w="15" w:type="dxa"/>
                    <w:left w:w="15" w:type="dxa"/>
                    <w:right w:w="15" w:type="dxa"/>
                  </w:tcMar>
                  <w:vAlign w:val="center"/>
                </w:tcPr>
                <w:p w14:paraId="37518C4F">
                  <w:pPr>
                    <w:pStyle w:val="20"/>
                    <w:rPr>
                      <w:rFonts w:hint="default" w:ascii="Times New Roman" w:hAnsi="Times New Roman" w:eastAsia="宋体" w:cs="Times New Roman"/>
                    </w:rPr>
                  </w:pPr>
                </w:p>
              </w:tc>
              <w:tc>
                <w:tcPr>
                  <w:tcW w:w="7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3127909">
                  <w:pPr>
                    <w:pStyle w:val="20"/>
                    <w:rPr>
                      <w:rFonts w:hint="default" w:ascii="Times New Roman" w:hAnsi="Times New Roman" w:eastAsia="宋体" w:cs="Times New Roman"/>
                    </w:rPr>
                  </w:pPr>
                  <w:r>
                    <w:rPr>
                      <w:rFonts w:hint="default" w:ascii="Times New Roman" w:hAnsi="Times New Roman" w:eastAsia="宋体" w:cs="Times New Roman"/>
                    </w:rPr>
                    <w:t>处理工艺</w:t>
                  </w:r>
                </w:p>
              </w:tc>
              <w:tc>
                <w:tcPr>
                  <w:tcW w:w="3462" w:type="pct"/>
                  <w:gridSpan w:val="7"/>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A92C3AB">
                  <w:pPr>
                    <w:pStyle w:val="20"/>
                    <w:rPr>
                      <w:rFonts w:hint="default" w:ascii="Times New Roman" w:hAnsi="Times New Roman" w:eastAsia="宋体" w:cs="Times New Roman"/>
                    </w:rPr>
                  </w:pPr>
                  <w:r>
                    <w:rPr>
                      <w:rFonts w:hint="default" w:ascii="Times New Roman" w:hAnsi="Times New Roman" w:eastAsia="宋体" w:cs="Times New Roman"/>
                    </w:rPr>
                    <w:t>经混凝沉淀池+砂滤-碳滤</w:t>
                  </w:r>
                </w:p>
              </w:tc>
            </w:tr>
            <w:tr w14:paraId="3ECF25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continue"/>
                  <w:tcBorders>
                    <w:top w:val="nil"/>
                    <w:left w:val="single" w:color="auto" w:sz="4" w:space="0"/>
                    <w:bottom w:val="nil"/>
                    <w:right w:val="single" w:color="auto" w:sz="4" w:space="0"/>
                  </w:tcBorders>
                  <w:tcMar>
                    <w:top w:w="15" w:type="dxa"/>
                    <w:left w:w="15" w:type="dxa"/>
                    <w:right w:w="15" w:type="dxa"/>
                  </w:tcMar>
                  <w:vAlign w:val="center"/>
                </w:tcPr>
                <w:p w14:paraId="1ABA628C">
                  <w:pPr>
                    <w:pStyle w:val="20"/>
                    <w:rPr>
                      <w:rFonts w:hint="default" w:ascii="Times New Roman" w:hAnsi="Times New Roman" w:eastAsia="宋体" w:cs="Times New Roman"/>
                    </w:rPr>
                  </w:pPr>
                </w:p>
              </w:tc>
              <w:tc>
                <w:tcPr>
                  <w:tcW w:w="7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57CD6F3">
                  <w:pPr>
                    <w:pStyle w:val="20"/>
                    <w:rPr>
                      <w:rFonts w:hint="default" w:ascii="Times New Roman" w:hAnsi="Times New Roman" w:eastAsia="宋体" w:cs="Times New Roman"/>
                    </w:rPr>
                  </w:pPr>
                  <w:r>
                    <w:rPr>
                      <w:rFonts w:hint="default" w:ascii="Times New Roman" w:hAnsi="Times New Roman" w:eastAsia="宋体" w:cs="Times New Roman"/>
                    </w:rPr>
                    <w:t>去除率%</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2584133">
                  <w:pPr>
                    <w:pStyle w:val="20"/>
                    <w:rPr>
                      <w:rFonts w:hint="default" w:ascii="Times New Roman" w:hAnsi="Times New Roman" w:eastAsia="宋体" w:cs="Times New Roman"/>
                    </w:rPr>
                  </w:pPr>
                  <w:r>
                    <w:rPr>
                      <w:rFonts w:hint="default" w:ascii="Times New Roman" w:hAnsi="Times New Roman" w:eastAsia="宋体" w:cs="Times New Roman"/>
                    </w:rPr>
                    <w:t>/</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25C244B">
                  <w:pPr>
                    <w:pStyle w:val="20"/>
                    <w:rPr>
                      <w:rFonts w:hint="default" w:ascii="Times New Roman" w:hAnsi="Times New Roman" w:eastAsia="宋体" w:cs="Times New Roman"/>
                    </w:rPr>
                  </w:pPr>
                  <w:r>
                    <w:rPr>
                      <w:rFonts w:hint="default" w:ascii="Times New Roman" w:hAnsi="Times New Roman" w:eastAsia="宋体" w:cs="Times New Roman"/>
                    </w:rPr>
                    <w:t>85</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E159827">
                  <w:pPr>
                    <w:pStyle w:val="20"/>
                    <w:rPr>
                      <w:rFonts w:hint="default" w:ascii="Times New Roman" w:hAnsi="Times New Roman" w:eastAsia="宋体" w:cs="Times New Roman"/>
                    </w:rPr>
                  </w:pPr>
                  <w:r>
                    <w:rPr>
                      <w:rFonts w:hint="default" w:ascii="Times New Roman" w:hAnsi="Times New Roman" w:eastAsia="宋体" w:cs="Times New Roman"/>
                    </w:rPr>
                    <w:t>50</w:t>
                  </w:r>
                </w:p>
              </w:tc>
              <w:tc>
                <w:tcPr>
                  <w:tcW w:w="527"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6B410E84">
                  <w:pPr>
                    <w:pStyle w:val="20"/>
                    <w:rPr>
                      <w:rFonts w:hint="default" w:ascii="Times New Roman" w:hAnsi="Times New Roman" w:eastAsia="宋体" w:cs="Times New Roman"/>
                    </w:rPr>
                  </w:pPr>
                  <w:r>
                    <w:rPr>
                      <w:rFonts w:hint="default" w:ascii="Times New Roman" w:hAnsi="Times New Roman" w:eastAsia="宋体" w:cs="Times New Roman"/>
                    </w:rPr>
                    <w:t>50</w:t>
                  </w:r>
                </w:p>
              </w:tc>
              <w:tc>
                <w:tcPr>
                  <w:tcW w:w="49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26F29468">
                  <w:pPr>
                    <w:pStyle w:val="20"/>
                    <w:rPr>
                      <w:rFonts w:hint="default" w:ascii="Times New Roman" w:hAnsi="Times New Roman" w:eastAsia="宋体" w:cs="Times New Roman"/>
                    </w:rPr>
                  </w:pPr>
                  <w:r>
                    <w:rPr>
                      <w:rFonts w:hint="default" w:ascii="Times New Roman" w:hAnsi="Times New Roman" w:eastAsia="宋体" w:cs="Times New Roman"/>
                    </w:rPr>
                    <w:t>10</w:t>
                  </w:r>
                </w:p>
              </w:tc>
              <w:tc>
                <w:tcPr>
                  <w:tcW w:w="49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0ADF77FE">
                  <w:pPr>
                    <w:pStyle w:val="20"/>
                    <w:rPr>
                      <w:rFonts w:hint="default" w:ascii="Times New Roman" w:hAnsi="Times New Roman" w:eastAsia="宋体" w:cs="Times New Roman"/>
                    </w:rPr>
                  </w:pPr>
                  <w:r>
                    <w:rPr>
                      <w:rFonts w:hint="default" w:ascii="Times New Roman" w:hAnsi="Times New Roman" w:eastAsia="宋体" w:cs="Times New Roman"/>
                    </w:rPr>
                    <w:t>50</w:t>
                  </w:r>
                </w:p>
              </w:tc>
              <w:tc>
                <w:tcPr>
                  <w:tcW w:w="49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635A4C5E">
                  <w:pPr>
                    <w:pStyle w:val="20"/>
                    <w:rPr>
                      <w:rFonts w:hint="default" w:ascii="Times New Roman" w:hAnsi="Times New Roman" w:eastAsia="宋体" w:cs="Times New Roman"/>
                    </w:rPr>
                  </w:pPr>
                  <w:r>
                    <w:rPr>
                      <w:rFonts w:hint="default" w:ascii="Times New Roman" w:hAnsi="Times New Roman" w:eastAsia="宋体" w:cs="Times New Roman"/>
                    </w:rPr>
                    <w:t>90</w:t>
                  </w:r>
                </w:p>
              </w:tc>
            </w:tr>
            <w:tr w14:paraId="7CECD1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continue"/>
                  <w:tcBorders>
                    <w:top w:val="nil"/>
                    <w:left w:val="single" w:color="auto" w:sz="4" w:space="0"/>
                    <w:bottom w:val="single" w:color="auto" w:sz="4" w:space="0"/>
                    <w:right w:val="single" w:color="auto" w:sz="4" w:space="0"/>
                  </w:tcBorders>
                  <w:tcMar>
                    <w:top w:w="15" w:type="dxa"/>
                    <w:left w:w="15" w:type="dxa"/>
                    <w:right w:w="15" w:type="dxa"/>
                  </w:tcMar>
                  <w:vAlign w:val="center"/>
                </w:tcPr>
                <w:p w14:paraId="6A541E3B">
                  <w:pPr>
                    <w:pStyle w:val="20"/>
                    <w:rPr>
                      <w:rFonts w:hint="default" w:ascii="Times New Roman" w:hAnsi="Times New Roman" w:eastAsia="宋体" w:cs="Times New Roman"/>
                    </w:rPr>
                  </w:pPr>
                </w:p>
              </w:tc>
              <w:tc>
                <w:tcPr>
                  <w:tcW w:w="7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9DB60CC">
                  <w:pPr>
                    <w:pStyle w:val="20"/>
                    <w:rPr>
                      <w:rFonts w:hint="default" w:ascii="Times New Roman" w:hAnsi="Times New Roman" w:eastAsia="宋体" w:cs="Times New Roman"/>
                    </w:rPr>
                  </w:pPr>
                  <w:r>
                    <w:rPr>
                      <w:rFonts w:hint="default" w:ascii="Times New Roman" w:hAnsi="Times New Roman" w:eastAsia="宋体" w:cs="Times New Roman"/>
                    </w:rPr>
                    <w:t>出水浓度</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1519C11">
                  <w:pPr>
                    <w:pStyle w:val="20"/>
                    <w:rPr>
                      <w:rFonts w:hint="default" w:ascii="Times New Roman" w:hAnsi="Times New Roman" w:eastAsia="宋体" w:cs="Times New Roman"/>
                    </w:rPr>
                  </w:pPr>
                  <w:r>
                    <w:rPr>
                      <w:rFonts w:hint="default" w:ascii="Times New Roman" w:hAnsi="Times New Roman" w:eastAsia="宋体" w:cs="Times New Roman"/>
                    </w:rPr>
                    <w:t>6~9</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344A0A8">
                  <w:pPr>
                    <w:pStyle w:val="20"/>
                    <w:rPr>
                      <w:rFonts w:hint="default" w:ascii="Times New Roman" w:hAnsi="Times New Roman" w:eastAsia="宋体" w:cs="Times New Roman"/>
                    </w:rPr>
                  </w:pPr>
                  <w:r>
                    <w:rPr>
                      <w:rFonts w:hint="default" w:ascii="Times New Roman" w:hAnsi="Times New Roman" w:eastAsia="宋体" w:cs="Times New Roman"/>
                    </w:rPr>
                    <w:t>60</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0AFCFAC">
                  <w:pPr>
                    <w:pStyle w:val="20"/>
                    <w:rPr>
                      <w:rFonts w:hint="default" w:ascii="Times New Roman" w:hAnsi="Times New Roman" w:eastAsia="宋体" w:cs="Times New Roman"/>
                    </w:rPr>
                  </w:pPr>
                  <w:r>
                    <w:rPr>
                      <w:rFonts w:hint="default" w:ascii="Times New Roman" w:hAnsi="Times New Roman" w:eastAsia="宋体" w:cs="Times New Roman"/>
                    </w:rPr>
                    <w:t>400</w:t>
                  </w:r>
                </w:p>
              </w:tc>
              <w:tc>
                <w:tcPr>
                  <w:tcW w:w="527"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FD548CF">
                  <w:pPr>
                    <w:pStyle w:val="20"/>
                    <w:rPr>
                      <w:rFonts w:hint="default" w:ascii="Times New Roman" w:hAnsi="Times New Roman" w:eastAsia="宋体" w:cs="Times New Roman"/>
                    </w:rPr>
                  </w:pPr>
                  <w:r>
                    <w:rPr>
                      <w:rFonts w:hint="default" w:ascii="Times New Roman" w:hAnsi="Times New Roman" w:eastAsia="宋体" w:cs="Times New Roman"/>
                    </w:rPr>
                    <w:t>1.5</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A4A5A2E">
                  <w:pPr>
                    <w:pStyle w:val="20"/>
                    <w:rPr>
                      <w:rFonts w:hint="default" w:ascii="Times New Roman" w:hAnsi="Times New Roman" w:eastAsia="宋体" w:cs="Times New Roman"/>
                    </w:rPr>
                  </w:pPr>
                  <w:r>
                    <w:rPr>
                      <w:rFonts w:hint="default" w:ascii="Times New Roman" w:hAnsi="Times New Roman" w:eastAsia="宋体" w:cs="Times New Roman"/>
                    </w:rPr>
                    <w:t>5.4</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06F34FC">
                  <w:pPr>
                    <w:pStyle w:val="20"/>
                    <w:rPr>
                      <w:rFonts w:hint="default" w:ascii="Times New Roman" w:hAnsi="Times New Roman" w:eastAsia="宋体" w:cs="Times New Roman"/>
                    </w:rPr>
                  </w:pPr>
                  <w:r>
                    <w:rPr>
                      <w:rFonts w:hint="default" w:ascii="Times New Roman" w:hAnsi="Times New Roman" w:eastAsia="宋体" w:cs="Times New Roman"/>
                    </w:rPr>
                    <w:t>150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1BDEE81">
                  <w:pPr>
                    <w:pStyle w:val="20"/>
                    <w:rPr>
                      <w:rFonts w:hint="default" w:ascii="Times New Roman" w:hAnsi="Times New Roman" w:eastAsia="宋体" w:cs="Times New Roman"/>
                    </w:rPr>
                  </w:pPr>
                  <w:r>
                    <w:rPr>
                      <w:rFonts w:hint="default" w:ascii="Times New Roman" w:hAnsi="Times New Roman" w:eastAsia="宋体" w:cs="Times New Roman"/>
                    </w:rPr>
                    <w:t>4.3</w:t>
                  </w:r>
                </w:p>
              </w:tc>
            </w:tr>
            <w:tr w14:paraId="52098B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restart"/>
                  <w:tcBorders>
                    <w:top w:val="nil"/>
                    <w:left w:val="single" w:color="auto" w:sz="4" w:space="0"/>
                    <w:bottom w:val="nil"/>
                    <w:right w:val="single" w:color="auto" w:sz="4" w:space="0"/>
                  </w:tcBorders>
                  <w:tcMar>
                    <w:top w:w="15" w:type="dxa"/>
                    <w:left w:w="15" w:type="dxa"/>
                    <w:right w:w="15" w:type="dxa"/>
                  </w:tcMar>
                  <w:vAlign w:val="center"/>
                </w:tcPr>
                <w:p w14:paraId="55735A08">
                  <w:pPr>
                    <w:pStyle w:val="20"/>
                    <w:rPr>
                      <w:rFonts w:hint="default" w:ascii="Times New Roman" w:hAnsi="Times New Roman" w:eastAsia="宋体" w:cs="Times New Roman"/>
                    </w:rPr>
                  </w:pPr>
                  <w:r>
                    <w:rPr>
                      <w:rFonts w:hint="default" w:ascii="Times New Roman" w:hAnsi="Times New Roman" w:eastAsia="宋体" w:cs="Times New Roman"/>
                    </w:rPr>
                    <w:t>砂滤-碳滤</w:t>
                  </w:r>
                </w:p>
              </w:tc>
              <w:tc>
                <w:tcPr>
                  <w:tcW w:w="7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55A7C09">
                  <w:pPr>
                    <w:pStyle w:val="20"/>
                    <w:rPr>
                      <w:rFonts w:hint="default" w:ascii="Times New Roman" w:hAnsi="Times New Roman" w:eastAsia="宋体" w:cs="Times New Roman"/>
                    </w:rPr>
                  </w:pPr>
                  <w:r>
                    <w:rPr>
                      <w:rFonts w:hint="default" w:ascii="Times New Roman" w:hAnsi="Times New Roman" w:eastAsia="宋体" w:cs="Times New Roman"/>
                    </w:rPr>
                    <w:t>去除率%</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288D899">
                  <w:pPr>
                    <w:pStyle w:val="20"/>
                    <w:rPr>
                      <w:rFonts w:hint="default" w:ascii="Times New Roman" w:hAnsi="Times New Roman" w:eastAsia="宋体" w:cs="Times New Roman"/>
                    </w:rPr>
                  </w:pPr>
                  <w:r>
                    <w:rPr>
                      <w:rFonts w:hint="default" w:ascii="Times New Roman" w:hAnsi="Times New Roman" w:eastAsia="宋体" w:cs="Times New Roman"/>
                    </w:rPr>
                    <w:t>/</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EC7AADE">
                  <w:pPr>
                    <w:pStyle w:val="20"/>
                    <w:rPr>
                      <w:rFonts w:hint="default" w:ascii="Times New Roman" w:hAnsi="Times New Roman" w:eastAsia="宋体" w:cs="Times New Roman"/>
                    </w:rPr>
                  </w:pPr>
                  <w:r>
                    <w:rPr>
                      <w:rFonts w:hint="default" w:ascii="Times New Roman" w:hAnsi="Times New Roman" w:eastAsia="宋体" w:cs="Times New Roman"/>
                    </w:rPr>
                    <w:t>50</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A45015B">
                  <w:pPr>
                    <w:pStyle w:val="20"/>
                    <w:rPr>
                      <w:rFonts w:hint="default" w:ascii="Times New Roman" w:hAnsi="Times New Roman" w:eastAsia="宋体" w:cs="Times New Roman"/>
                    </w:rPr>
                  </w:pPr>
                  <w:r>
                    <w:rPr>
                      <w:rFonts w:hint="default" w:ascii="Times New Roman" w:hAnsi="Times New Roman" w:eastAsia="宋体" w:cs="Times New Roman"/>
                    </w:rPr>
                    <w:t>30</w:t>
                  </w:r>
                </w:p>
              </w:tc>
              <w:tc>
                <w:tcPr>
                  <w:tcW w:w="527"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1B83875">
                  <w:pPr>
                    <w:pStyle w:val="20"/>
                    <w:rPr>
                      <w:rFonts w:hint="default" w:ascii="Times New Roman" w:hAnsi="Times New Roman" w:eastAsia="宋体" w:cs="Times New Roman"/>
                    </w:rPr>
                  </w:pPr>
                  <w:r>
                    <w:rPr>
                      <w:rFonts w:hint="default" w:ascii="Times New Roman" w:hAnsi="Times New Roman" w:eastAsia="宋体" w:cs="Times New Roman"/>
                    </w:rPr>
                    <w:t>30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BDB9676">
                  <w:pPr>
                    <w:pStyle w:val="20"/>
                    <w:rPr>
                      <w:rFonts w:hint="default" w:ascii="Times New Roman" w:hAnsi="Times New Roman" w:eastAsia="宋体" w:cs="Times New Roman"/>
                    </w:rPr>
                  </w:pPr>
                  <w:r>
                    <w:rPr>
                      <w:rFonts w:hint="default" w:ascii="Times New Roman" w:hAnsi="Times New Roman" w:eastAsia="宋体" w:cs="Times New Roman"/>
                    </w:rPr>
                    <w:t>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B77522E">
                  <w:pPr>
                    <w:pStyle w:val="20"/>
                    <w:rPr>
                      <w:rFonts w:hint="default" w:ascii="Times New Roman" w:hAnsi="Times New Roman" w:eastAsia="宋体" w:cs="Times New Roman"/>
                    </w:rPr>
                  </w:pPr>
                  <w:r>
                    <w:rPr>
                      <w:rFonts w:hint="default" w:ascii="Times New Roman" w:hAnsi="Times New Roman" w:eastAsia="宋体" w:cs="Times New Roman"/>
                    </w:rPr>
                    <w:t>30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4207F8C">
                  <w:pPr>
                    <w:pStyle w:val="20"/>
                    <w:rPr>
                      <w:rFonts w:hint="default" w:ascii="Times New Roman" w:hAnsi="Times New Roman" w:eastAsia="宋体" w:cs="Times New Roman"/>
                    </w:rPr>
                  </w:pPr>
                  <w:r>
                    <w:rPr>
                      <w:rFonts w:hint="default" w:ascii="Times New Roman" w:hAnsi="Times New Roman" w:eastAsia="宋体" w:cs="Times New Roman"/>
                    </w:rPr>
                    <w:t>0</w:t>
                  </w:r>
                </w:p>
              </w:tc>
            </w:tr>
            <w:tr w14:paraId="2BF920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768" w:type="pct"/>
                  <w:vMerge w:val="continue"/>
                  <w:tcBorders>
                    <w:top w:val="nil"/>
                    <w:left w:val="single" w:color="auto" w:sz="4" w:space="0"/>
                    <w:bottom w:val="single" w:color="auto" w:sz="4" w:space="0"/>
                    <w:right w:val="single" w:color="auto" w:sz="4" w:space="0"/>
                  </w:tcBorders>
                  <w:tcMar>
                    <w:top w:w="15" w:type="dxa"/>
                    <w:left w:w="15" w:type="dxa"/>
                    <w:right w:w="15" w:type="dxa"/>
                  </w:tcMar>
                  <w:vAlign w:val="center"/>
                </w:tcPr>
                <w:p w14:paraId="60964201">
                  <w:pPr>
                    <w:pStyle w:val="20"/>
                    <w:rPr>
                      <w:rFonts w:hint="default" w:ascii="Times New Roman" w:hAnsi="Times New Roman" w:eastAsia="宋体" w:cs="Times New Roman"/>
                    </w:rPr>
                  </w:pPr>
                </w:p>
              </w:tc>
              <w:tc>
                <w:tcPr>
                  <w:tcW w:w="7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8C33807">
                  <w:pPr>
                    <w:pStyle w:val="20"/>
                    <w:rPr>
                      <w:rFonts w:hint="default" w:ascii="Times New Roman" w:hAnsi="Times New Roman" w:eastAsia="宋体" w:cs="Times New Roman"/>
                    </w:rPr>
                  </w:pPr>
                  <w:r>
                    <w:rPr>
                      <w:rFonts w:hint="default" w:ascii="Times New Roman" w:hAnsi="Times New Roman" w:eastAsia="宋体" w:cs="Times New Roman"/>
                    </w:rPr>
                    <w:t>出水浓度</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DBB8114">
                  <w:pPr>
                    <w:pStyle w:val="20"/>
                    <w:rPr>
                      <w:rFonts w:hint="default" w:ascii="Times New Roman" w:hAnsi="Times New Roman" w:eastAsia="宋体" w:cs="Times New Roman"/>
                    </w:rPr>
                  </w:pPr>
                  <w:r>
                    <w:rPr>
                      <w:rFonts w:hint="default" w:ascii="Times New Roman" w:hAnsi="Times New Roman" w:eastAsia="宋体" w:cs="Times New Roman"/>
                    </w:rPr>
                    <w:t>6~9</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0A69CFA">
                  <w:pPr>
                    <w:pStyle w:val="20"/>
                    <w:rPr>
                      <w:rFonts w:hint="default" w:ascii="Times New Roman" w:hAnsi="Times New Roman" w:eastAsia="宋体" w:cs="Times New Roman"/>
                    </w:rPr>
                  </w:pPr>
                  <w:r>
                    <w:rPr>
                      <w:rFonts w:hint="default" w:ascii="Times New Roman" w:hAnsi="Times New Roman" w:eastAsia="宋体" w:cs="Times New Roman"/>
                    </w:rPr>
                    <w:t>30</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EABFCAA">
                  <w:pPr>
                    <w:pStyle w:val="20"/>
                    <w:rPr>
                      <w:rFonts w:hint="default" w:ascii="Times New Roman" w:hAnsi="Times New Roman" w:eastAsia="宋体" w:cs="Times New Roman"/>
                    </w:rPr>
                  </w:pPr>
                  <w:r>
                    <w:rPr>
                      <w:rFonts w:hint="default" w:ascii="Times New Roman" w:hAnsi="Times New Roman" w:eastAsia="宋体" w:cs="Times New Roman"/>
                    </w:rPr>
                    <w:t>280</w:t>
                  </w:r>
                </w:p>
              </w:tc>
              <w:tc>
                <w:tcPr>
                  <w:tcW w:w="527"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4D5CFCA">
                  <w:pPr>
                    <w:pStyle w:val="20"/>
                    <w:rPr>
                      <w:rFonts w:hint="default" w:ascii="Times New Roman" w:hAnsi="Times New Roman" w:eastAsia="宋体" w:cs="Times New Roman"/>
                    </w:rPr>
                  </w:pPr>
                  <w:r>
                    <w:rPr>
                      <w:rFonts w:hint="default" w:ascii="Times New Roman" w:hAnsi="Times New Roman" w:eastAsia="宋体" w:cs="Times New Roman"/>
                    </w:rPr>
                    <w:t>1.05</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43E7F01">
                  <w:pPr>
                    <w:pStyle w:val="20"/>
                    <w:rPr>
                      <w:rFonts w:hint="default" w:ascii="Times New Roman" w:hAnsi="Times New Roman" w:eastAsia="宋体" w:cs="Times New Roman"/>
                    </w:rPr>
                  </w:pPr>
                  <w:r>
                    <w:rPr>
                      <w:rFonts w:hint="default" w:ascii="Times New Roman" w:hAnsi="Times New Roman" w:eastAsia="宋体" w:cs="Times New Roman"/>
                    </w:rPr>
                    <w:t>5.4</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ABFC89F">
                  <w:pPr>
                    <w:pStyle w:val="20"/>
                    <w:rPr>
                      <w:rFonts w:hint="default" w:ascii="Times New Roman" w:hAnsi="Times New Roman" w:eastAsia="宋体" w:cs="Times New Roman"/>
                    </w:rPr>
                  </w:pPr>
                  <w:r>
                    <w:rPr>
                      <w:rFonts w:hint="default" w:ascii="Times New Roman" w:hAnsi="Times New Roman" w:eastAsia="宋体" w:cs="Times New Roman"/>
                    </w:rPr>
                    <w:t>105</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F1648F7">
                  <w:pPr>
                    <w:pStyle w:val="20"/>
                    <w:rPr>
                      <w:rFonts w:hint="default" w:ascii="Times New Roman" w:hAnsi="Times New Roman" w:eastAsia="宋体" w:cs="Times New Roman"/>
                    </w:rPr>
                  </w:pPr>
                  <w:r>
                    <w:rPr>
                      <w:rFonts w:hint="default" w:ascii="Times New Roman" w:hAnsi="Times New Roman" w:eastAsia="宋体" w:cs="Times New Roman"/>
                    </w:rPr>
                    <w:t>4.3</w:t>
                  </w:r>
                </w:p>
              </w:tc>
            </w:tr>
            <w:tr w14:paraId="79D640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97" w:hRule="atLeast"/>
              </w:trPr>
              <w:tc>
                <w:tcPr>
                  <w:tcW w:w="1537" w:type="pct"/>
                  <w:gridSpan w:val="2"/>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643A4EB">
                  <w:pPr>
                    <w:pStyle w:val="20"/>
                    <w:rPr>
                      <w:rFonts w:hint="default" w:ascii="Times New Roman" w:hAnsi="Times New Roman" w:eastAsia="宋体" w:cs="Times New Roman"/>
                    </w:rPr>
                  </w:pPr>
                  <w:r>
                    <w:rPr>
                      <w:rFonts w:hint="default" w:ascii="Times New Roman" w:hAnsi="Times New Roman" w:eastAsia="宋体" w:cs="Times New Roman"/>
                    </w:rPr>
                    <w:t>执行标准</w:t>
                  </w:r>
                </w:p>
              </w:tc>
              <w:tc>
                <w:tcPr>
                  <w:tcW w:w="42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9937869">
                  <w:pPr>
                    <w:pStyle w:val="20"/>
                    <w:rPr>
                      <w:rFonts w:hint="default" w:ascii="Times New Roman" w:hAnsi="Times New Roman" w:eastAsia="宋体" w:cs="Times New Roman"/>
                    </w:rPr>
                  </w:pPr>
                  <w:r>
                    <w:rPr>
                      <w:rFonts w:hint="default" w:ascii="Times New Roman" w:hAnsi="Times New Roman" w:eastAsia="宋体" w:cs="Times New Roman"/>
                    </w:rPr>
                    <w:t>6~9</w:t>
                  </w:r>
                </w:p>
              </w:tc>
              <w:tc>
                <w:tcPr>
                  <w:tcW w:w="568"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398E30B">
                  <w:pPr>
                    <w:pStyle w:val="20"/>
                    <w:rPr>
                      <w:rFonts w:hint="default" w:ascii="Times New Roman" w:hAnsi="Times New Roman" w:eastAsia="宋体" w:cs="Times New Roman"/>
                    </w:rPr>
                  </w:pPr>
                  <w:r>
                    <w:rPr>
                      <w:rFonts w:hint="default" w:ascii="Times New Roman" w:hAnsi="Times New Roman" w:eastAsia="宋体" w:cs="Times New Roman"/>
                    </w:rPr>
                    <w:t>≤300</w:t>
                  </w:r>
                </w:p>
              </w:tc>
              <w:tc>
                <w:tcPr>
                  <w:tcW w:w="462"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7DFF497">
                  <w:pPr>
                    <w:pStyle w:val="20"/>
                    <w:rPr>
                      <w:rFonts w:hint="default" w:ascii="Times New Roman" w:hAnsi="Times New Roman" w:eastAsia="宋体" w:cs="Times New Roman"/>
                    </w:rPr>
                  </w:pPr>
                  <w:r>
                    <w:rPr>
                      <w:rFonts w:hint="default" w:ascii="Times New Roman" w:hAnsi="Times New Roman" w:eastAsia="宋体" w:cs="Times New Roman"/>
                    </w:rPr>
                    <w:t>≤350</w:t>
                  </w:r>
                </w:p>
              </w:tc>
              <w:tc>
                <w:tcPr>
                  <w:tcW w:w="527" w:type="pct"/>
                  <w:tcBorders>
                    <w:top w:val="single" w:color="auto" w:sz="4" w:space="0"/>
                    <w:left w:val="single" w:color="auto" w:sz="4" w:space="0"/>
                    <w:bottom w:val="single" w:color="auto" w:sz="4" w:space="0"/>
                    <w:right w:val="nil"/>
                  </w:tcBorders>
                  <w:tcMar>
                    <w:top w:w="15" w:type="dxa"/>
                    <w:left w:w="15" w:type="dxa"/>
                    <w:right w:w="15" w:type="dxa"/>
                  </w:tcMar>
                  <w:vAlign w:val="center"/>
                </w:tcPr>
                <w:p w14:paraId="7F639ADB">
                  <w:pPr>
                    <w:pStyle w:val="20"/>
                    <w:rPr>
                      <w:rFonts w:hint="default" w:ascii="Times New Roman" w:hAnsi="Times New Roman" w:eastAsia="宋体" w:cs="Times New Roman"/>
                    </w:rPr>
                  </w:pPr>
                  <w:r>
                    <w:rPr>
                      <w:rFonts w:hint="default" w:ascii="Times New Roman" w:hAnsi="Times New Roman" w:eastAsia="宋体" w:cs="Times New Roman"/>
                    </w:rPr>
                    <w:t>≤10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B259183">
                  <w:pPr>
                    <w:pStyle w:val="20"/>
                    <w:rPr>
                      <w:rFonts w:hint="default" w:ascii="Times New Roman" w:hAnsi="Times New Roman" w:eastAsia="宋体" w:cs="Times New Roman"/>
                    </w:rPr>
                  </w:pPr>
                  <w:r>
                    <w:rPr>
                      <w:rFonts w:hint="default" w:ascii="Times New Roman" w:hAnsi="Times New Roman" w:eastAsia="宋体" w:cs="Times New Roman"/>
                    </w:rPr>
                    <w:t>≤20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3F8F282">
                  <w:pPr>
                    <w:pStyle w:val="20"/>
                    <w:rPr>
                      <w:rFonts w:hint="default" w:ascii="Times New Roman" w:hAnsi="Times New Roman" w:eastAsia="宋体" w:cs="Times New Roman"/>
                    </w:rPr>
                  </w:pPr>
                  <w:r>
                    <w:rPr>
                      <w:rFonts w:hint="default" w:ascii="Times New Roman" w:hAnsi="Times New Roman" w:eastAsia="宋体" w:cs="Times New Roman"/>
                    </w:rPr>
                    <w:t>≤150</w:t>
                  </w:r>
                </w:p>
              </w:tc>
              <w:tc>
                <w:tcPr>
                  <w:tcW w:w="493" w:type="pc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F66D76E">
                  <w:pPr>
                    <w:pStyle w:val="20"/>
                    <w:rPr>
                      <w:rFonts w:hint="default" w:ascii="Times New Roman" w:hAnsi="Times New Roman" w:eastAsia="宋体" w:cs="Times New Roman"/>
                    </w:rPr>
                  </w:pPr>
                  <w:r>
                    <w:rPr>
                      <w:rFonts w:hint="default" w:ascii="Times New Roman" w:hAnsi="Times New Roman" w:eastAsia="宋体" w:cs="Times New Roman"/>
                    </w:rPr>
                    <w:t>≤20</w:t>
                  </w:r>
                </w:p>
              </w:tc>
            </w:tr>
          </w:tbl>
          <w:p w14:paraId="1FE3B4C7">
            <w:pPr>
              <w:adjustRightInd w:val="0"/>
              <w:snapToGrid w:val="0"/>
              <w:ind w:firstLine="482"/>
              <w:rPr>
                <w:rFonts w:hint="default" w:ascii="Times New Roman" w:hAnsi="Times New Roman" w:eastAsia="宋体" w:cs="Times New Roman"/>
                <w:bCs/>
              </w:rPr>
            </w:pPr>
            <w:r>
              <w:rPr>
                <w:rFonts w:hint="default" w:ascii="Times New Roman" w:hAnsi="Times New Roman" w:eastAsia="宋体" w:cs="Times New Roman"/>
                <w:b/>
              </w:rPr>
              <w:t>3、依托污水处理设施的环境可行性评价</w:t>
            </w:r>
          </w:p>
          <w:p w14:paraId="4EB3557D">
            <w:pPr>
              <w:ind w:firstLine="480"/>
              <w:rPr>
                <w:rFonts w:hint="default" w:ascii="Times New Roman" w:hAnsi="Times New Roman" w:eastAsia="宋体" w:cs="Times New Roman"/>
                <w:kern w:val="2"/>
              </w:rPr>
            </w:pPr>
            <w:r>
              <w:rPr>
                <w:rFonts w:hint="default" w:ascii="Times New Roman" w:hAnsi="Times New Roman" w:eastAsia="宋体" w:cs="Times New Roman"/>
                <w:kern w:val="2"/>
              </w:rPr>
              <w:t>产业园范围内已有乐昌产业转移工业园污水处理厂，根据《东莞东坑(乐昌)产业转移工业园污水处理厂及配套管网工程建设项目环境影响报告表》，园区收集废水经循环式活性污泥法(CASS)处理后，达到《城镇污水处理厂污染物排放标准》(GB18918-2002)一级B标准和广东省《水污染物排放限标准值》(DB44/26-2001)第二时段一级标准中的较严者后通过污水管网外排至武江河段。。</w:t>
            </w:r>
          </w:p>
          <w:p w14:paraId="4D19E58A">
            <w:pPr>
              <w:ind w:firstLine="480"/>
              <w:rPr>
                <w:rFonts w:hint="default" w:ascii="Times New Roman" w:hAnsi="Times New Roman" w:eastAsia="宋体" w:cs="Times New Roman"/>
                <w:kern w:val="2"/>
              </w:rPr>
            </w:pPr>
            <w:r>
              <w:rPr>
                <w:rFonts w:hint="default" w:ascii="Times New Roman" w:hAnsi="Times New Roman" w:eastAsia="宋体" w:cs="Times New Roman"/>
                <w:kern w:val="2"/>
              </w:rPr>
              <w:t>东莞东坑（乐昌）产业转移园污水处理厂总投资3595.23万元，其中环保投资50万元。工程占地面积15400m</w:t>
            </w:r>
            <w:r>
              <w:rPr>
                <w:rFonts w:hint="default" w:ascii="Times New Roman" w:hAnsi="Times New Roman" w:eastAsia="宋体" w:cs="Times New Roman"/>
                <w:kern w:val="2"/>
                <w:vertAlign w:val="superscript"/>
              </w:rPr>
              <w:t>2</w:t>
            </w:r>
            <w:r>
              <w:rPr>
                <w:rFonts w:hint="default" w:ascii="Times New Roman" w:hAnsi="Times New Roman" w:eastAsia="宋体" w:cs="Times New Roman"/>
                <w:kern w:val="2"/>
              </w:rPr>
              <w:t>，污水处理厂设计处理能力为10000m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/d，分两期建设，一期处理能力5000m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/d，二期处理能力5000m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/d，现状首期5000m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/d已经建成运行。该污水处理厂设置了容积为10000m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的事故缓冲池。园区污水处理厂一期工程于2011年建成投产，设计规模为5000m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/d，尚有充足的余量接纳本项目。</w:t>
            </w:r>
          </w:p>
          <w:p w14:paraId="1645BC24">
            <w:pPr>
              <w:ind w:firstLine="480"/>
              <w:rPr>
                <w:rFonts w:hint="default" w:ascii="Times New Roman" w:hAnsi="Times New Roman" w:eastAsia="宋体" w:cs="Times New Roman"/>
                <w:bCs/>
              </w:rPr>
            </w:pPr>
            <w:r>
              <w:rPr>
                <w:rFonts w:hint="default" w:ascii="Times New Roman" w:hAnsi="Times New Roman" w:eastAsia="宋体" w:cs="Times New Roman"/>
                <w:kern w:val="2"/>
              </w:rPr>
              <w:t>产业园污水处理厂目前已建成正常运行，并安装了在线监控设施并于环保部门联网，本项目外排废水总量为</w:t>
            </w:r>
            <w:r>
              <w:rPr>
                <w:rFonts w:hint="eastAsia" w:cs="Times New Roman"/>
                <w:kern w:val="2"/>
                <w:lang w:val="en-US" w:eastAsia="zh-CN"/>
              </w:rPr>
              <w:t>8.37</w:t>
            </w:r>
            <w:r>
              <w:rPr>
                <w:rFonts w:hint="default" w:ascii="Times New Roman" w:hAnsi="Times New Roman" w:eastAsia="宋体" w:cs="Times New Roman"/>
                <w:kern w:val="2"/>
              </w:rPr>
              <w:t>m</w:t>
            </w:r>
            <w:r>
              <w:rPr>
                <w:rFonts w:hint="default" w:ascii="Times New Roman" w:hAnsi="Times New Roman" w:eastAsia="宋体" w:cs="Times New Roman"/>
                <w:kern w:val="2"/>
                <w:vertAlign w:val="superscript"/>
              </w:rPr>
              <w:t>3</w:t>
            </w:r>
            <w:r>
              <w:rPr>
                <w:rFonts w:hint="default" w:ascii="Times New Roman" w:hAnsi="Times New Roman" w:eastAsia="宋体" w:cs="Times New Roman"/>
                <w:kern w:val="2"/>
              </w:rPr>
              <w:t>/d，仅占园区污水处理厂处理能力的</w:t>
            </w:r>
            <w:r>
              <w:rPr>
                <w:rFonts w:hint="eastAsia" w:cs="Times New Roman"/>
                <w:kern w:val="2"/>
                <w:lang w:val="en-US" w:eastAsia="zh-CN"/>
              </w:rPr>
              <w:t>0.17</w:t>
            </w:r>
            <w:r>
              <w:rPr>
                <w:rFonts w:hint="default" w:ascii="Times New Roman" w:hAnsi="Times New Roman" w:eastAsia="宋体" w:cs="Times New Roman"/>
                <w:kern w:val="2"/>
              </w:rPr>
              <w:t>%，且本项目外排废水浓度符合园区污水处理厂进水水质及广东省地方标准《水污染物排放限值》（DB44/26-2001）第二时段三级标准，不会对污水处理厂造成水量和水质的冲击负荷。</w:t>
            </w:r>
            <w:r>
              <w:rPr>
                <w:rFonts w:hint="default" w:ascii="Times New Roman" w:hAnsi="Times New Roman" w:eastAsia="宋体" w:cs="Times New Roman"/>
                <w:bCs/>
              </w:rPr>
              <w:t>因此，本项目产生的污水经预处理后排入园区污水处理厂处理具有环境可行性。</w:t>
            </w:r>
          </w:p>
          <w:p w14:paraId="70956C7C">
            <w:pPr>
              <w:ind w:firstLine="0" w:firstLineChars="0"/>
              <w:rPr>
                <w:rFonts w:hint="default" w:ascii="Times New Roman" w:hAnsi="Times New Roman" w:eastAsia="宋体" w:cs="Times New Roman"/>
                <w:bCs/>
              </w:rPr>
            </w:pPr>
            <w:r>
              <w:drawing>
                <wp:inline distT="0" distB="0" distL="114300" distR="114300">
                  <wp:extent cx="5526405" cy="3754120"/>
                  <wp:effectExtent l="0" t="0" r="17145" b="17780"/>
                  <wp:docPr id="3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6"/>
                          <pic:cNvPicPr>
                            <a:picLocks noChangeAspect="1"/>
                          </pic:cNvPicPr>
                        </pic:nvPicPr>
                        <pic:blipFill>
                          <a:blip r:embed="rId32"/>
                          <a:stretch>
                            <a:fillRect/>
                          </a:stretch>
                        </pic:blipFill>
                        <pic:spPr>
                          <a:xfrm>
                            <a:off x="0" y="0"/>
                            <a:ext cx="5526405" cy="3754120"/>
                          </a:xfrm>
                          <a:prstGeom prst="rect">
                            <a:avLst/>
                          </a:prstGeom>
                          <a:noFill/>
                          <a:ln>
                            <a:noFill/>
                          </a:ln>
                        </pic:spPr>
                      </pic:pic>
                    </a:graphicData>
                  </a:graphic>
                </wp:inline>
              </w:drawing>
            </w:r>
          </w:p>
          <w:p w14:paraId="4A93783D">
            <w:pPr>
              <w:pStyle w:val="22"/>
              <w:rPr>
                <w:rFonts w:hint="default" w:ascii="Times New Roman" w:hAnsi="Times New Roman" w:eastAsia="宋体" w:cs="Times New Roman"/>
                <w:szCs w:val="21"/>
              </w:rPr>
            </w:pPr>
            <w:r>
              <w:rPr>
                <w:rFonts w:hint="default" w:ascii="Times New Roman" w:hAnsi="Times New Roman" w:eastAsia="宋体" w:cs="Times New Roman"/>
                <w:szCs w:val="21"/>
              </w:rPr>
              <w:t>图4-</w:t>
            </w:r>
            <w:r>
              <w:rPr>
                <w:rFonts w:hint="eastAsia" w:cs="Times New Roman"/>
                <w:szCs w:val="21"/>
                <w:lang w:val="en-US" w:eastAsia="zh-CN"/>
              </w:rPr>
              <w:t>2</w:t>
            </w:r>
            <w:r>
              <w:rPr>
                <w:rFonts w:hint="default" w:ascii="Times New Roman" w:hAnsi="Times New Roman" w:eastAsia="宋体" w:cs="Times New Roman"/>
                <w:szCs w:val="21"/>
              </w:rPr>
              <w:t xml:space="preserve"> 污水处理厂工艺流程图</w:t>
            </w:r>
          </w:p>
          <w:p w14:paraId="3D37066D">
            <w:pPr>
              <w:adjustRightInd w:val="0"/>
              <w:snapToGrid w:val="0"/>
              <w:ind w:firstLine="482"/>
              <w:rPr>
                <w:rFonts w:hint="default" w:ascii="Times New Roman" w:hAnsi="Times New Roman" w:eastAsia="宋体" w:cs="Times New Roman"/>
                <w:b/>
              </w:rPr>
            </w:pPr>
            <w:r>
              <w:rPr>
                <w:rFonts w:hint="default" w:ascii="Times New Roman" w:hAnsi="Times New Roman" w:eastAsia="宋体" w:cs="Times New Roman"/>
                <w:b/>
              </w:rPr>
              <w:t>3、废水环境影响分析结论</w:t>
            </w:r>
          </w:p>
          <w:p w14:paraId="64DBC699">
            <w:pPr>
              <w:ind w:firstLine="480"/>
              <w:rPr>
                <w:rFonts w:hint="default" w:ascii="Times New Roman" w:hAnsi="Times New Roman" w:eastAsia="宋体" w:cs="Times New Roman"/>
              </w:rPr>
            </w:pPr>
            <w:r>
              <w:rPr>
                <w:rFonts w:hint="default" w:ascii="Times New Roman" w:hAnsi="Times New Roman" w:eastAsia="宋体" w:cs="Times New Roman"/>
              </w:rPr>
              <w:t>根据《2022年韶关生态环境状况公报》，项目所在武江地表水环境质量良好。项目所在区域水质能达到《地表水环境质量标准》（GB 3838-2002）中的Ⅲ类水质标准要求。本项目水污染控制和水环境影响减缓措施有效，依托污水处理设施可行，污水均能满足相应排放标准要求，对地表水环境影响在可接受范围内。</w:t>
            </w:r>
          </w:p>
          <w:p w14:paraId="075D7DCC">
            <w:pPr>
              <w:ind w:firstLine="480"/>
              <w:rPr>
                <w:rFonts w:hint="default" w:ascii="Times New Roman" w:hAnsi="Times New Roman" w:eastAsia="宋体" w:cs="Times New Roman"/>
                <w:bCs/>
              </w:rPr>
            </w:pPr>
            <w:r>
              <w:rPr>
                <w:rFonts w:hint="default" w:ascii="Times New Roman" w:hAnsi="Times New Roman" w:eastAsia="宋体" w:cs="Times New Roman"/>
                <w:bCs/>
              </w:rPr>
              <w:t>综上所述，本项目废水排放信息如表4-12〜4-15所示。废水监测计划如表4-16所示。</w:t>
            </w:r>
          </w:p>
          <w:p w14:paraId="47B0974C">
            <w:pPr>
              <w:pStyle w:val="22"/>
              <w:rPr>
                <w:rFonts w:hint="default" w:ascii="Times New Roman" w:hAnsi="Times New Roman" w:eastAsia="宋体" w:cs="Times New Roman"/>
                <w:szCs w:val="21"/>
              </w:rPr>
            </w:pPr>
          </w:p>
          <w:p w14:paraId="6E76A62E">
            <w:pPr>
              <w:pStyle w:val="22"/>
              <w:rPr>
                <w:rFonts w:hint="default" w:ascii="Times New Roman" w:hAnsi="Times New Roman" w:eastAsia="宋体" w:cs="Times New Roman"/>
                <w:szCs w:val="21"/>
              </w:rPr>
            </w:pPr>
          </w:p>
          <w:p w14:paraId="2C46C422">
            <w:pPr>
              <w:pStyle w:val="22"/>
              <w:rPr>
                <w:rFonts w:hint="default" w:ascii="Times New Roman" w:hAnsi="Times New Roman" w:eastAsia="宋体" w:cs="Times New Roman"/>
                <w:szCs w:val="21"/>
              </w:rPr>
            </w:pPr>
          </w:p>
          <w:p w14:paraId="20E886B0">
            <w:pPr>
              <w:pStyle w:val="22"/>
              <w:rPr>
                <w:rFonts w:hint="default" w:ascii="Times New Roman" w:hAnsi="Times New Roman" w:eastAsia="宋体" w:cs="Times New Roman"/>
                <w:szCs w:val="21"/>
              </w:rPr>
            </w:pPr>
          </w:p>
          <w:p w14:paraId="766F6777">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表4-15 废水类别、污染物及污染治理设施信息表</w:t>
            </w:r>
          </w:p>
          <w:tbl>
            <w:tblPr>
              <w:tblStyle w:val="23"/>
              <w:tblW w:w="8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611"/>
              <w:gridCol w:w="1033"/>
              <w:gridCol w:w="612"/>
              <w:gridCol w:w="710"/>
              <w:gridCol w:w="858"/>
              <w:gridCol w:w="612"/>
              <w:gridCol w:w="776"/>
              <w:gridCol w:w="881"/>
              <w:gridCol w:w="684"/>
              <w:gridCol w:w="1133"/>
            </w:tblGrid>
            <w:tr w14:paraId="34283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385" w:type="dxa"/>
                  <w:vMerge w:val="restart"/>
                  <w:vAlign w:val="center"/>
                </w:tcPr>
                <w:p w14:paraId="3A488277">
                  <w:pPr>
                    <w:pStyle w:val="41"/>
                    <w:rPr>
                      <w:rFonts w:hint="default" w:ascii="Times New Roman" w:hAnsi="Times New Roman" w:eastAsia="宋体" w:cs="Times New Roman"/>
                      <w:b/>
                      <w:bCs/>
                    </w:rPr>
                  </w:pPr>
                  <w:r>
                    <w:rPr>
                      <w:rFonts w:hint="default" w:ascii="Times New Roman" w:hAnsi="Times New Roman" w:eastAsia="宋体" w:cs="Times New Roman"/>
                      <w:b/>
                      <w:bCs/>
                    </w:rPr>
                    <w:t>序号</w:t>
                  </w:r>
                </w:p>
              </w:tc>
              <w:tc>
                <w:tcPr>
                  <w:tcW w:w="708" w:type="dxa"/>
                  <w:vMerge w:val="restart"/>
                  <w:vAlign w:val="center"/>
                </w:tcPr>
                <w:p w14:paraId="775D4EBE">
                  <w:pPr>
                    <w:pStyle w:val="41"/>
                    <w:rPr>
                      <w:rFonts w:hint="default" w:ascii="Times New Roman" w:hAnsi="Times New Roman" w:eastAsia="宋体" w:cs="Times New Roman"/>
                      <w:b/>
                      <w:bCs/>
                    </w:rPr>
                  </w:pPr>
                  <w:r>
                    <w:rPr>
                      <w:rFonts w:hint="default" w:ascii="Times New Roman" w:hAnsi="Times New Roman" w:eastAsia="宋体" w:cs="Times New Roman"/>
                      <w:b/>
                      <w:bCs/>
                    </w:rPr>
                    <w:t>废水</w:t>
                  </w:r>
                </w:p>
                <w:p w14:paraId="5183CCFE">
                  <w:pPr>
                    <w:pStyle w:val="41"/>
                    <w:rPr>
                      <w:rFonts w:hint="default" w:ascii="Times New Roman" w:hAnsi="Times New Roman" w:eastAsia="宋体" w:cs="Times New Roman"/>
                      <w:b/>
                      <w:bCs/>
                    </w:rPr>
                  </w:pPr>
                  <w:r>
                    <w:rPr>
                      <w:rFonts w:hint="default" w:ascii="Times New Roman" w:hAnsi="Times New Roman" w:eastAsia="宋体" w:cs="Times New Roman"/>
                      <w:b/>
                      <w:bCs/>
                    </w:rPr>
                    <w:t>类别</w:t>
                  </w:r>
                </w:p>
              </w:tc>
              <w:tc>
                <w:tcPr>
                  <w:tcW w:w="851" w:type="dxa"/>
                  <w:vMerge w:val="restart"/>
                  <w:vAlign w:val="center"/>
                </w:tcPr>
                <w:p w14:paraId="69EE3106">
                  <w:pPr>
                    <w:pStyle w:val="41"/>
                    <w:rPr>
                      <w:rFonts w:hint="default" w:ascii="Times New Roman" w:hAnsi="Times New Roman" w:eastAsia="宋体" w:cs="Times New Roman"/>
                      <w:b/>
                      <w:bCs/>
                    </w:rPr>
                  </w:pPr>
                  <w:r>
                    <w:rPr>
                      <w:rFonts w:hint="default" w:ascii="Times New Roman" w:hAnsi="Times New Roman" w:eastAsia="宋体" w:cs="Times New Roman"/>
                      <w:b/>
                      <w:bCs/>
                    </w:rPr>
                    <w:t>污染物种类</w:t>
                  </w:r>
                </w:p>
              </w:tc>
              <w:tc>
                <w:tcPr>
                  <w:tcW w:w="709" w:type="dxa"/>
                  <w:vMerge w:val="restart"/>
                  <w:vAlign w:val="center"/>
                </w:tcPr>
                <w:p w14:paraId="237A64C5">
                  <w:pPr>
                    <w:pStyle w:val="41"/>
                    <w:rPr>
                      <w:rFonts w:hint="default" w:ascii="Times New Roman" w:hAnsi="Times New Roman" w:eastAsia="宋体" w:cs="Times New Roman"/>
                      <w:b/>
                      <w:bCs/>
                    </w:rPr>
                  </w:pPr>
                  <w:r>
                    <w:rPr>
                      <w:rFonts w:hint="default" w:ascii="Times New Roman" w:hAnsi="Times New Roman" w:eastAsia="宋体" w:cs="Times New Roman"/>
                      <w:b/>
                      <w:bCs/>
                    </w:rPr>
                    <w:t>排放去向</w:t>
                  </w:r>
                </w:p>
              </w:tc>
              <w:tc>
                <w:tcPr>
                  <w:tcW w:w="749" w:type="dxa"/>
                  <w:vMerge w:val="restart"/>
                  <w:vAlign w:val="center"/>
                </w:tcPr>
                <w:p w14:paraId="585D8094">
                  <w:pPr>
                    <w:pStyle w:val="41"/>
                    <w:rPr>
                      <w:rFonts w:hint="default" w:ascii="Times New Roman" w:hAnsi="Times New Roman" w:eastAsia="宋体" w:cs="Times New Roman"/>
                      <w:b/>
                      <w:bCs/>
                    </w:rPr>
                  </w:pPr>
                  <w:r>
                    <w:rPr>
                      <w:rFonts w:hint="default" w:ascii="Times New Roman" w:hAnsi="Times New Roman" w:eastAsia="宋体" w:cs="Times New Roman"/>
                      <w:b/>
                      <w:bCs/>
                    </w:rPr>
                    <w:t>排放规律</w:t>
                  </w:r>
                </w:p>
              </w:tc>
              <w:tc>
                <w:tcPr>
                  <w:tcW w:w="2268" w:type="dxa"/>
                  <w:gridSpan w:val="3"/>
                  <w:vAlign w:val="center"/>
                </w:tcPr>
                <w:p w14:paraId="3C8F0B8E">
                  <w:pPr>
                    <w:pStyle w:val="41"/>
                    <w:rPr>
                      <w:rFonts w:hint="default" w:ascii="Times New Roman" w:hAnsi="Times New Roman" w:eastAsia="宋体" w:cs="Times New Roman"/>
                      <w:b/>
                      <w:bCs/>
                    </w:rPr>
                  </w:pPr>
                  <w:r>
                    <w:rPr>
                      <w:rFonts w:hint="default" w:ascii="Times New Roman" w:hAnsi="Times New Roman" w:eastAsia="宋体" w:cs="Times New Roman"/>
                      <w:b/>
                      <w:bCs/>
                    </w:rPr>
                    <w:t>污染治理设施</w:t>
                  </w:r>
                </w:p>
              </w:tc>
              <w:tc>
                <w:tcPr>
                  <w:tcW w:w="567" w:type="dxa"/>
                  <w:vMerge w:val="restart"/>
                  <w:vAlign w:val="center"/>
                </w:tcPr>
                <w:p w14:paraId="6A668B92">
                  <w:pPr>
                    <w:pStyle w:val="41"/>
                    <w:rPr>
                      <w:rFonts w:hint="default" w:ascii="Times New Roman" w:hAnsi="Times New Roman" w:eastAsia="宋体" w:cs="Times New Roman"/>
                      <w:b/>
                      <w:bCs/>
                    </w:rPr>
                  </w:pPr>
                  <w:r>
                    <w:rPr>
                      <w:rFonts w:hint="default" w:ascii="Times New Roman" w:hAnsi="Times New Roman" w:eastAsia="宋体" w:cs="Times New Roman"/>
                      <w:b/>
                      <w:bCs/>
                    </w:rPr>
                    <w:t>排放口</w:t>
                  </w:r>
                </w:p>
                <w:p w14:paraId="27241141">
                  <w:pPr>
                    <w:pStyle w:val="41"/>
                    <w:rPr>
                      <w:rFonts w:hint="default" w:ascii="Times New Roman" w:hAnsi="Times New Roman" w:eastAsia="宋体" w:cs="Times New Roman"/>
                      <w:b/>
                      <w:bCs/>
                    </w:rPr>
                  </w:pPr>
                  <w:r>
                    <w:rPr>
                      <w:rFonts w:hint="default" w:ascii="Times New Roman" w:hAnsi="Times New Roman" w:eastAsia="宋体" w:cs="Times New Roman"/>
                      <w:b/>
                      <w:bCs/>
                    </w:rPr>
                    <w:t>编号</w:t>
                  </w:r>
                </w:p>
              </w:tc>
              <w:tc>
                <w:tcPr>
                  <w:tcW w:w="709" w:type="dxa"/>
                  <w:vMerge w:val="restart"/>
                  <w:vAlign w:val="center"/>
                </w:tcPr>
                <w:p w14:paraId="5B8C62EA">
                  <w:pPr>
                    <w:pStyle w:val="41"/>
                    <w:rPr>
                      <w:rFonts w:hint="default" w:ascii="Times New Roman" w:hAnsi="Times New Roman" w:eastAsia="宋体" w:cs="Times New Roman"/>
                      <w:b/>
                      <w:bCs/>
                    </w:rPr>
                  </w:pPr>
                  <w:r>
                    <w:rPr>
                      <w:rFonts w:hint="default" w:ascii="Times New Roman" w:hAnsi="Times New Roman" w:eastAsia="宋体" w:cs="Times New Roman"/>
                      <w:b/>
                      <w:bCs/>
                    </w:rPr>
                    <w:t>排放口设置</w:t>
                  </w:r>
                </w:p>
                <w:p w14:paraId="6499EA73">
                  <w:pPr>
                    <w:pStyle w:val="41"/>
                    <w:rPr>
                      <w:rFonts w:hint="default" w:ascii="Times New Roman" w:hAnsi="Times New Roman" w:eastAsia="宋体" w:cs="Times New Roman"/>
                      <w:b/>
                      <w:bCs/>
                    </w:rPr>
                  </w:pPr>
                  <w:r>
                    <w:rPr>
                      <w:rFonts w:hint="default" w:ascii="Times New Roman" w:hAnsi="Times New Roman" w:eastAsia="宋体" w:cs="Times New Roman"/>
                      <w:b/>
                      <w:bCs/>
                    </w:rPr>
                    <w:t>是否符合要求</w:t>
                  </w:r>
                </w:p>
              </w:tc>
              <w:tc>
                <w:tcPr>
                  <w:tcW w:w="1391" w:type="dxa"/>
                  <w:vMerge w:val="restart"/>
                  <w:vAlign w:val="center"/>
                </w:tcPr>
                <w:p w14:paraId="4CF69337">
                  <w:pPr>
                    <w:pStyle w:val="41"/>
                    <w:rPr>
                      <w:rFonts w:hint="default" w:ascii="Times New Roman" w:hAnsi="Times New Roman" w:eastAsia="宋体" w:cs="Times New Roman"/>
                      <w:b/>
                      <w:bCs/>
                    </w:rPr>
                  </w:pPr>
                  <w:r>
                    <w:rPr>
                      <w:rFonts w:hint="default" w:ascii="Times New Roman" w:hAnsi="Times New Roman" w:eastAsia="宋体" w:cs="Times New Roman"/>
                      <w:b/>
                      <w:bCs/>
                    </w:rPr>
                    <w:t>排放口类型</w:t>
                  </w:r>
                </w:p>
              </w:tc>
            </w:tr>
            <w:tr w14:paraId="5B5E9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385" w:type="dxa"/>
                  <w:vMerge w:val="continue"/>
                  <w:vAlign w:val="center"/>
                </w:tcPr>
                <w:p w14:paraId="549966B6">
                  <w:pPr>
                    <w:pStyle w:val="41"/>
                    <w:rPr>
                      <w:rFonts w:hint="default" w:ascii="Times New Roman" w:hAnsi="Times New Roman" w:eastAsia="宋体" w:cs="Times New Roman"/>
                    </w:rPr>
                  </w:pPr>
                </w:p>
              </w:tc>
              <w:tc>
                <w:tcPr>
                  <w:tcW w:w="708" w:type="dxa"/>
                  <w:vMerge w:val="continue"/>
                  <w:vAlign w:val="center"/>
                </w:tcPr>
                <w:p w14:paraId="4D848FCF">
                  <w:pPr>
                    <w:pStyle w:val="41"/>
                    <w:rPr>
                      <w:rFonts w:hint="default" w:ascii="Times New Roman" w:hAnsi="Times New Roman" w:eastAsia="宋体" w:cs="Times New Roman"/>
                    </w:rPr>
                  </w:pPr>
                </w:p>
              </w:tc>
              <w:tc>
                <w:tcPr>
                  <w:tcW w:w="851" w:type="dxa"/>
                  <w:vMerge w:val="continue"/>
                  <w:vAlign w:val="center"/>
                </w:tcPr>
                <w:p w14:paraId="56842731">
                  <w:pPr>
                    <w:pStyle w:val="41"/>
                    <w:rPr>
                      <w:rFonts w:hint="default" w:ascii="Times New Roman" w:hAnsi="Times New Roman" w:eastAsia="宋体" w:cs="Times New Roman"/>
                    </w:rPr>
                  </w:pPr>
                </w:p>
              </w:tc>
              <w:tc>
                <w:tcPr>
                  <w:tcW w:w="709" w:type="dxa"/>
                  <w:vMerge w:val="continue"/>
                  <w:vAlign w:val="center"/>
                </w:tcPr>
                <w:p w14:paraId="38C6BE72">
                  <w:pPr>
                    <w:pStyle w:val="41"/>
                    <w:rPr>
                      <w:rFonts w:hint="default" w:ascii="Times New Roman" w:hAnsi="Times New Roman" w:eastAsia="宋体" w:cs="Times New Roman"/>
                    </w:rPr>
                  </w:pPr>
                </w:p>
              </w:tc>
              <w:tc>
                <w:tcPr>
                  <w:tcW w:w="749" w:type="dxa"/>
                  <w:vMerge w:val="continue"/>
                  <w:vAlign w:val="center"/>
                </w:tcPr>
                <w:p w14:paraId="0CDB5212">
                  <w:pPr>
                    <w:pStyle w:val="41"/>
                    <w:rPr>
                      <w:rFonts w:hint="default" w:ascii="Times New Roman" w:hAnsi="Times New Roman" w:eastAsia="宋体" w:cs="Times New Roman"/>
                    </w:rPr>
                  </w:pPr>
                </w:p>
              </w:tc>
              <w:tc>
                <w:tcPr>
                  <w:tcW w:w="709" w:type="dxa"/>
                  <w:vAlign w:val="center"/>
                </w:tcPr>
                <w:p w14:paraId="729F9440">
                  <w:pPr>
                    <w:pStyle w:val="41"/>
                    <w:rPr>
                      <w:rFonts w:hint="default" w:ascii="Times New Roman" w:hAnsi="Times New Roman" w:eastAsia="宋体" w:cs="Times New Roman"/>
                      <w:b/>
                      <w:bCs/>
                    </w:rPr>
                  </w:pPr>
                  <w:r>
                    <w:rPr>
                      <w:rFonts w:hint="default" w:ascii="Times New Roman" w:hAnsi="Times New Roman" w:eastAsia="宋体" w:cs="Times New Roman"/>
                      <w:b/>
                      <w:bCs/>
                    </w:rPr>
                    <w:t>污染治理设施编号</w:t>
                  </w:r>
                </w:p>
              </w:tc>
              <w:tc>
                <w:tcPr>
                  <w:tcW w:w="709" w:type="dxa"/>
                  <w:vAlign w:val="center"/>
                </w:tcPr>
                <w:p w14:paraId="1DC53D03">
                  <w:pPr>
                    <w:pStyle w:val="41"/>
                    <w:rPr>
                      <w:rFonts w:hint="default" w:ascii="Times New Roman" w:hAnsi="Times New Roman" w:eastAsia="宋体" w:cs="Times New Roman"/>
                      <w:b/>
                      <w:bCs/>
                    </w:rPr>
                  </w:pPr>
                  <w:r>
                    <w:rPr>
                      <w:rFonts w:hint="default" w:ascii="Times New Roman" w:hAnsi="Times New Roman" w:eastAsia="宋体" w:cs="Times New Roman"/>
                      <w:b/>
                      <w:bCs/>
                    </w:rPr>
                    <w:t>污染治理设施名称</w:t>
                  </w:r>
                </w:p>
              </w:tc>
              <w:tc>
                <w:tcPr>
                  <w:tcW w:w="850" w:type="dxa"/>
                  <w:vAlign w:val="center"/>
                </w:tcPr>
                <w:p w14:paraId="0EE48287">
                  <w:pPr>
                    <w:pStyle w:val="41"/>
                    <w:rPr>
                      <w:rFonts w:hint="default" w:ascii="Times New Roman" w:hAnsi="Times New Roman" w:eastAsia="宋体" w:cs="Times New Roman"/>
                      <w:b/>
                      <w:bCs/>
                    </w:rPr>
                  </w:pPr>
                  <w:r>
                    <w:rPr>
                      <w:rFonts w:hint="default" w:ascii="Times New Roman" w:hAnsi="Times New Roman" w:eastAsia="宋体" w:cs="Times New Roman"/>
                      <w:b/>
                      <w:bCs/>
                    </w:rPr>
                    <w:t>污染治理设施工艺</w:t>
                  </w:r>
                </w:p>
              </w:tc>
              <w:tc>
                <w:tcPr>
                  <w:tcW w:w="567" w:type="dxa"/>
                  <w:vMerge w:val="continue"/>
                  <w:vAlign w:val="center"/>
                </w:tcPr>
                <w:p w14:paraId="15D9075B">
                  <w:pPr>
                    <w:pStyle w:val="41"/>
                    <w:rPr>
                      <w:rFonts w:hint="default" w:ascii="Times New Roman" w:hAnsi="Times New Roman" w:eastAsia="宋体" w:cs="Times New Roman"/>
                    </w:rPr>
                  </w:pPr>
                </w:p>
              </w:tc>
              <w:tc>
                <w:tcPr>
                  <w:tcW w:w="709" w:type="dxa"/>
                  <w:vMerge w:val="continue"/>
                  <w:vAlign w:val="center"/>
                </w:tcPr>
                <w:p w14:paraId="31998D2B">
                  <w:pPr>
                    <w:pStyle w:val="41"/>
                    <w:rPr>
                      <w:rFonts w:hint="default" w:ascii="Times New Roman" w:hAnsi="Times New Roman" w:eastAsia="宋体" w:cs="Times New Roman"/>
                    </w:rPr>
                  </w:pPr>
                </w:p>
              </w:tc>
              <w:tc>
                <w:tcPr>
                  <w:tcW w:w="1391" w:type="dxa"/>
                  <w:vMerge w:val="continue"/>
                  <w:vAlign w:val="center"/>
                </w:tcPr>
                <w:p w14:paraId="031EC494">
                  <w:pPr>
                    <w:pStyle w:val="41"/>
                    <w:rPr>
                      <w:rFonts w:hint="default" w:ascii="Times New Roman" w:hAnsi="Times New Roman" w:eastAsia="宋体" w:cs="Times New Roman"/>
                    </w:rPr>
                  </w:pPr>
                </w:p>
              </w:tc>
            </w:tr>
            <w:tr w14:paraId="00FE1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3" w:hRule="atLeast"/>
                <w:jc w:val="center"/>
              </w:trPr>
              <w:tc>
                <w:tcPr>
                  <w:tcW w:w="385" w:type="dxa"/>
                  <w:vAlign w:val="center"/>
                </w:tcPr>
                <w:p w14:paraId="39A31B86">
                  <w:pPr>
                    <w:pStyle w:val="41"/>
                    <w:rPr>
                      <w:rFonts w:hint="default" w:ascii="Times New Roman" w:hAnsi="Times New Roman" w:eastAsia="宋体" w:cs="Times New Roman"/>
                    </w:rPr>
                  </w:pPr>
                  <w:r>
                    <w:rPr>
                      <w:rFonts w:hint="default" w:ascii="Times New Roman" w:hAnsi="Times New Roman" w:eastAsia="宋体" w:cs="Times New Roman"/>
                    </w:rPr>
                    <w:t>1</w:t>
                  </w:r>
                </w:p>
              </w:tc>
              <w:tc>
                <w:tcPr>
                  <w:tcW w:w="708" w:type="dxa"/>
                  <w:vAlign w:val="center"/>
                </w:tcPr>
                <w:p w14:paraId="48E2BE71">
                  <w:pPr>
                    <w:pStyle w:val="41"/>
                    <w:rPr>
                      <w:rFonts w:hint="default" w:ascii="Times New Roman" w:hAnsi="Times New Roman" w:eastAsia="宋体" w:cs="Times New Roman"/>
                    </w:rPr>
                  </w:pPr>
                  <w:r>
                    <w:rPr>
                      <w:rFonts w:hint="default" w:ascii="Times New Roman" w:hAnsi="Times New Roman" w:eastAsia="宋体" w:cs="Times New Roman"/>
                    </w:rPr>
                    <w:t>清洗废水</w:t>
                  </w:r>
                </w:p>
              </w:tc>
              <w:tc>
                <w:tcPr>
                  <w:tcW w:w="851" w:type="dxa"/>
                  <w:vAlign w:val="center"/>
                </w:tcPr>
                <w:p w14:paraId="5399B956">
                  <w:pPr>
                    <w:pStyle w:val="41"/>
                    <w:rPr>
                      <w:rFonts w:hint="default" w:ascii="Times New Roman" w:hAnsi="Times New Roman" w:eastAsia="宋体" w:cs="Times New Roman"/>
                    </w:rPr>
                  </w:pPr>
                  <w:r>
                    <w:rPr>
                      <w:rFonts w:hint="default" w:ascii="Times New Roman" w:hAnsi="Times New Roman" w:eastAsia="宋体" w:cs="Times New Roman"/>
                    </w:rPr>
                    <w:t>pH</w:t>
                  </w:r>
                </w:p>
                <w:p w14:paraId="0D4FFC5B">
                  <w:pPr>
                    <w:pStyle w:val="41"/>
                    <w:rPr>
                      <w:rFonts w:hint="default" w:ascii="Times New Roman" w:hAnsi="Times New Roman" w:eastAsia="宋体" w:cs="Times New Roman"/>
                    </w:rPr>
                  </w:pPr>
                  <w:r>
                    <w:rPr>
                      <w:rFonts w:hint="default" w:ascii="Times New Roman" w:hAnsi="Times New Roman" w:eastAsia="宋体" w:cs="Times New Roman"/>
                    </w:rPr>
                    <w:t>SS、CODcr、石油类、LAS、BOD</w:t>
                  </w:r>
                  <w:r>
                    <w:rPr>
                      <w:rFonts w:hint="default" w:ascii="Times New Roman" w:hAnsi="Times New Roman" w:eastAsia="宋体" w:cs="Times New Roman"/>
                      <w:vertAlign w:val="subscript"/>
                    </w:rPr>
                    <w:t>5</w:t>
                  </w:r>
                  <w:r>
                    <w:rPr>
                      <w:rFonts w:hint="default" w:ascii="Times New Roman" w:hAnsi="Times New Roman" w:eastAsia="宋体" w:cs="Times New Roman"/>
                    </w:rPr>
                    <w:t>、氟化物</w:t>
                  </w:r>
                </w:p>
                <w:p w14:paraId="0C288837">
                  <w:pPr>
                    <w:pStyle w:val="41"/>
                    <w:rPr>
                      <w:rFonts w:hint="default" w:ascii="Times New Roman" w:hAnsi="Times New Roman" w:eastAsia="宋体" w:cs="Times New Roman"/>
                    </w:rPr>
                  </w:pPr>
                </w:p>
                <w:p w14:paraId="4969360E">
                  <w:pPr>
                    <w:pStyle w:val="41"/>
                    <w:rPr>
                      <w:rFonts w:hint="default" w:ascii="Times New Roman" w:hAnsi="Times New Roman" w:eastAsia="宋体" w:cs="Times New Roman"/>
                    </w:rPr>
                  </w:pPr>
                </w:p>
              </w:tc>
              <w:tc>
                <w:tcPr>
                  <w:tcW w:w="709" w:type="dxa"/>
                  <w:vAlign w:val="center"/>
                </w:tcPr>
                <w:p w14:paraId="21D819A9">
                  <w:pPr>
                    <w:pStyle w:val="41"/>
                    <w:rPr>
                      <w:rFonts w:hint="default" w:ascii="Times New Roman" w:hAnsi="Times New Roman" w:eastAsia="宋体" w:cs="Times New Roman"/>
                    </w:rPr>
                  </w:pPr>
                  <w:r>
                    <w:rPr>
                      <w:rFonts w:hint="default" w:ascii="Times New Roman" w:hAnsi="Times New Roman" w:eastAsia="宋体" w:cs="Times New Roman"/>
                    </w:rPr>
                    <w:t>工业废水集中处理厂</w:t>
                  </w:r>
                </w:p>
              </w:tc>
              <w:tc>
                <w:tcPr>
                  <w:tcW w:w="749" w:type="dxa"/>
                  <w:vAlign w:val="center"/>
                </w:tcPr>
                <w:p w14:paraId="082E68DA">
                  <w:pPr>
                    <w:pStyle w:val="41"/>
                    <w:rPr>
                      <w:rFonts w:hint="default" w:ascii="Times New Roman" w:hAnsi="Times New Roman" w:eastAsia="宋体" w:cs="Times New Roman"/>
                    </w:rPr>
                  </w:pPr>
                  <w:r>
                    <w:rPr>
                      <w:rFonts w:hint="default" w:ascii="Times New Roman" w:hAnsi="Times New Roman" w:eastAsia="宋体" w:cs="Times New Roman"/>
                    </w:rPr>
                    <w:t>间接排放，流量不稳定</w:t>
                  </w:r>
                </w:p>
              </w:tc>
              <w:tc>
                <w:tcPr>
                  <w:tcW w:w="709" w:type="dxa"/>
                  <w:vAlign w:val="center"/>
                </w:tcPr>
                <w:p w14:paraId="3A3130EC">
                  <w:pPr>
                    <w:pStyle w:val="41"/>
                    <w:rPr>
                      <w:rFonts w:hint="default" w:ascii="Times New Roman" w:hAnsi="Times New Roman" w:eastAsia="宋体" w:cs="Times New Roman"/>
                    </w:rPr>
                  </w:pPr>
                  <w:r>
                    <w:rPr>
                      <w:rFonts w:hint="default" w:ascii="Times New Roman" w:hAnsi="Times New Roman" w:eastAsia="宋体" w:cs="Times New Roman"/>
                    </w:rPr>
                    <w:t>TW002</w:t>
                  </w:r>
                </w:p>
              </w:tc>
              <w:tc>
                <w:tcPr>
                  <w:tcW w:w="709" w:type="dxa"/>
                  <w:vAlign w:val="center"/>
                </w:tcPr>
                <w:p w14:paraId="164C770B">
                  <w:pPr>
                    <w:pStyle w:val="41"/>
                    <w:rPr>
                      <w:rFonts w:hint="default" w:ascii="Times New Roman" w:hAnsi="Times New Roman" w:eastAsia="宋体" w:cs="Times New Roman"/>
                    </w:rPr>
                  </w:pPr>
                  <w:r>
                    <w:rPr>
                      <w:rFonts w:hint="default" w:ascii="Times New Roman" w:hAnsi="Times New Roman" w:eastAsia="宋体" w:cs="Times New Roman"/>
                    </w:rPr>
                    <w:t>混凝沉淀池+砂滤-碳滤</w:t>
                  </w:r>
                </w:p>
              </w:tc>
              <w:tc>
                <w:tcPr>
                  <w:tcW w:w="850" w:type="dxa"/>
                  <w:vAlign w:val="center"/>
                </w:tcPr>
                <w:p w14:paraId="6C7AFE24">
                  <w:pPr>
                    <w:pStyle w:val="41"/>
                    <w:rPr>
                      <w:rFonts w:hint="default" w:ascii="Times New Roman" w:hAnsi="Times New Roman" w:eastAsia="宋体" w:cs="Times New Roman"/>
                    </w:rPr>
                  </w:pPr>
                  <w:r>
                    <w:rPr>
                      <w:rFonts w:hint="default" w:ascii="Times New Roman" w:hAnsi="Times New Roman" w:eastAsia="宋体" w:cs="Times New Roman"/>
                    </w:rPr>
                    <w:t>反应、沉淀、过滤</w:t>
                  </w:r>
                </w:p>
              </w:tc>
              <w:tc>
                <w:tcPr>
                  <w:tcW w:w="567" w:type="dxa"/>
                  <w:vAlign w:val="center"/>
                </w:tcPr>
                <w:p w14:paraId="32D5E1E9">
                  <w:pPr>
                    <w:pStyle w:val="41"/>
                    <w:rPr>
                      <w:rFonts w:hint="default" w:ascii="Times New Roman" w:hAnsi="Times New Roman" w:eastAsia="宋体" w:cs="Times New Roman"/>
                    </w:rPr>
                  </w:pPr>
                  <w:r>
                    <w:rPr>
                      <w:rFonts w:hint="default" w:ascii="Times New Roman" w:hAnsi="Times New Roman" w:eastAsia="宋体" w:cs="Times New Roman"/>
                    </w:rPr>
                    <w:t>DW002</w:t>
                  </w:r>
                </w:p>
              </w:tc>
              <w:tc>
                <w:tcPr>
                  <w:tcW w:w="709" w:type="dxa"/>
                  <w:vAlign w:val="center"/>
                </w:tcPr>
                <w:p w14:paraId="7DF79A71">
                  <w:pPr>
                    <w:pStyle w:val="41"/>
                    <w:rPr>
                      <w:rFonts w:hint="default" w:ascii="Times New Roman" w:hAnsi="Times New Roman" w:eastAsia="宋体" w:cs="Times New Roman"/>
                    </w:rPr>
                  </w:pPr>
                  <w:r>
                    <w:rPr>
                      <w:rFonts w:hint="default" w:ascii="Times New Roman" w:hAnsi="Times New Roman" w:eastAsia="宋体" w:cs="Times New Roman"/>
                    </w:rPr>
                    <w:t>（是</w:t>
                  </w:r>
                </w:p>
                <w:p w14:paraId="02F0A753">
                  <w:pPr>
                    <w:pStyle w:val="41"/>
                    <w:rPr>
                      <w:rFonts w:hint="default" w:ascii="Times New Roman" w:hAnsi="Times New Roman" w:eastAsia="宋体" w:cs="Times New Roman"/>
                    </w:rPr>
                  </w:pPr>
                  <w:r>
                    <w:rPr>
                      <w:rFonts w:hint="default" w:ascii="Times New Roman" w:hAnsi="Times New Roman" w:eastAsia="宋体" w:cs="Times New Roman"/>
                    </w:rPr>
                    <w:t>（否</w:t>
                  </w:r>
                </w:p>
              </w:tc>
              <w:tc>
                <w:tcPr>
                  <w:tcW w:w="1391" w:type="dxa"/>
                  <w:vAlign w:val="center"/>
                </w:tcPr>
                <w:p w14:paraId="3E70558B">
                  <w:pPr>
                    <w:pStyle w:val="41"/>
                    <w:rPr>
                      <w:rFonts w:hint="default" w:ascii="Times New Roman" w:hAnsi="Times New Roman" w:eastAsia="宋体" w:cs="Times New Roman"/>
                    </w:rPr>
                  </w:pPr>
                  <w:r>
                    <w:rPr>
                      <w:rFonts w:hint="default" w:ascii="Times New Roman" w:hAnsi="Times New Roman" w:eastAsia="宋体" w:cs="Times New Roman"/>
                    </w:rPr>
                    <w:t>（企业总排</w:t>
                  </w:r>
                </w:p>
                <w:p w14:paraId="19030323">
                  <w:pPr>
                    <w:pStyle w:val="41"/>
                    <w:rPr>
                      <w:rFonts w:hint="default" w:ascii="Times New Roman" w:hAnsi="Times New Roman" w:eastAsia="宋体" w:cs="Times New Roman"/>
                    </w:rPr>
                  </w:pPr>
                  <w:r>
                    <w:rPr>
                      <w:rFonts w:hint="default" w:ascii="Times New Roman" w:hAnsi="Times New Roman" w:eastAsia="宋体" w:cs="Times New Roman"/>
                    </w:rPr>
                    <w:t>（雨水排放</w:t>
                  </w:r>
                </w:p>
                <w:p w14:paraId="3B239A90">
                  <w:pPr>
                    <w:pStyle w:val="41"/>
                    <w:rPr>
                      <w:rFonts w:hint="default" w:ascii="Times New Roman" w:hAnsi="Times New Roman" w:eastAsia="宋体" w:cs="Times New Roman"/>
                    </w:rPr>
                  </w:pPr>
                  <w:r>
                    <w:rPr>
                      <w:rFonts w:hint="default" w:ascii="Times New Roman" w:hAnsi="Times New Roman" w:eastAsia="宋体" w:cs="Times New Roman"/>
                    </w:rPr>
                    <w:t>（清净下水排放</w:t>
                  </w:r>
                </w:p>
                <w:p w14:paraId="3390DC4B">
                  <w:pPr>
                    <w:pStyle w:val="41"/>
                    <w:rPr>
                      <w:rFonts w:hint="default" w:ascii="Times New Roman" w:hAnsi="Times New Roman" w:eastAsia="宋体" w:cs="Times New Roman"/>
                    </w:rPr>
                  </w:pPr>
                  <w:r>
                    <w:rPr>
                      <w:rFonts w:hint="default" w:ascii="Times New Roman" w:hAnsi="Times New Roman" w:eastAsia="宋体" w:cs="Times New Roman"/>
                    </w:rPr>
                    <w:t>（温排水排放</w:t>
                  </w:r>
                </w:p>
                <w:p w14:paraId="2AC8E3BF">
                  <w:pPr>
                    <w:pStyle w:val="41"/>
                    <w:rPr>
                      <w:rFonts w:hint="default" w:ascii="Times New Roman" w:hAnsi="Times New Roman" w:eastAsia="宋体" w:cs="Times New Roman"/>
                    </w:rPr>
                  </w:pPr>
                  <w:r>
                    <w:rPr>
                      <w:rFonts w:hint="default" w:ascii="Times New Roman" w:hAnsi="Times New Roman" w:eastAsia="宋体" w:cs="Times New Roman"/>
                    </w:rPr>
                    <w:t>（车间或车间</w:t>
                  </w:r>
                </w:p>
                <w:p w14:paraId="69DAADDE">
                  <w:pPr>
                    <w:pStyle w:val="41"/>
                    <w:rPr>
                      <w:rFonts w:hint="default" w:ascii="Times New Roman" w:hAnsi="Times New Roman" w:eastAsia="宋体" w:cs="Times New Roman"/>
                    </w:rPr>
                  </w:pPr>
                  <w:r>
                    <w:rPr>
                      <w:rFonts w:hint="default" w:ascii="Times New Roman" w:hAnsi="Times New Roman" w:eastAsia="宋体" w:cs="Times New Roman"/>
                    </w:rPr>
                    <w:t>（处理设施排放</w:t>
                  </w:r>
                </w:p>
              </w:tc>
            </w:tr>
          </w:tbl>
          <w:p w14:paraId="754EB339">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表4-16 废水间接排放口基本情况表</w:t>
            </w:r>
          </w:p>
          <w:tbl>
            <w:tblPr>
              <w:tblStyle w:val="23"/>
              <w:tblW w:w="8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422"/>
              <w:gridCol w:w="721"/>
              <w:gridCol w:w="849"/>
              <w:gridCol w:w="846"/>
              <w:gridCol w:w="941"/>
              <w:gridCol w:w="765"/>
              <w:gridCol w:w="685"/>
              <w:gridCol w:w="700"/>
              <w:gridCol w:w="700"/>
              <w:gridCol w:w="847"/>
              <w:gridCol w:w="844"/>
            </w:tblGrid>
            <w:tr w14:paraId="3A951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422" w:type="dxa"/>
                  <w:vMerge w:val="restart"/>
                  <w:vAlign w:val="center"/>
                </w:tcPr>
                <w:p w14:paraId="5D845C5A">
                  <w:pPr>
                    <w:pStyle w:val="41"/>
                    <w:rPr>
                      <w:rFonts w:hint="default" w:ascii="Times New Roman" w:hAnsi="Times New Roman" w:eastAsia="宋体" w:cs="Times New Roman"/>
                      <w:b/>
                      <w:bCs/>
                    </w:rPr>
                  </w:pPr>
                  <w:r>
                    <w:rPr>
                      <w:rFonts w:hint="default" w:ascii="Times New Roman" w:hAnsi="Times New Roman" w:eastAsia="宋体" w:cs="Times New Roman"/>
                      <w:b/>
                      <w:bCs/>
                    </w:rPr>
                    <w:t>序号</w:t>
                  </w:r>
                </w:p>
              </w:tc>
              <w:tc>
                <w:tcPr>
                  <w:tcW w:w="721" w:type="dxa"/>
                  <w:vMerge w:val="restart"/>
                  <w:vAlign w:val="center"/>
                </w:tcPr>
                <w:p w14:paraId="538739FE">
                  <w:pPr>
                    <w:pStyle w:val="41"/>
                    <w:rPr>
                      <w:rFonts w:hint="default" w:ascii="Times New Roman" w:hAnsi="Times New Roman" w:eastAsia="宋体" w:cs="Times New Roman"/>
                      <w:b/>
                      <w:bCs/>
                    </w:rPr>
                  </w:pPr>
                  <w:r>
                    <w:rPr>
                      <w:rFonts w:hint="default" w:ascii="Times New Roman" w:hAnsi="Times New Roman" w:eastAsia="宋体" w:cs="Times New Roman"/>
                      <w:b/>
                      <w:bCs/>
                    </w:rPr>
                    <w:t>排放口编号</w:t>
                  </w:r>
                </w:p>
              </w:tc>
              <w:tc>
                <w:tcPr>
                  <w:tcW w:w="1695" w:type="dxa"/>
                  <w:gridSpan w:val="2"/>
                  <w:vAlign w:val="center"/>
                </w:tcPr>
                <w:p w14:paraId="075BB913">
                  <w:pPr>
                    <w:pStyle w:val="41"/>
                    <w:rPr>
                      <w:rFonts w:hint="default" w:ascii="Times New Roman" w:hAnsi="Times New Roman" w:eastAsia="宋体" w:cs="Times New Roman"/>
                      <w:b/>
                      <w:bCs/>
                    </w:rPr>
                  </w:pPr>
                  <w:r>
                    <w:rPr>
                      <w:rFonts w:hint="default" w:ascii="Times New Roman" w:hAnsi="Times New Roman" w:eastAsia="宋体" w:cs="Times New Roman"/>
                      <w:b/>
                      <w:bCs/>
                    </w:rPr>
                    <w:t>排放口地理坐标</w:t>
                  </w:r>
                </w:p>
              </w:tc>
              <w:tc>
                <w:tcPr>
                  <w:tcW w:w="941" w:type="dxa"/>
                  <w:vMerge w:val="restart"/>
                  <w:vAlign w:val="center"/>
                </w:tcPr>
                <w:p w14:paraId="389FB37E">
                  <w:pPr>
                    <w:pStyle w:val="41"/>
                    <w:rPr>
                      <w:rFonts w:hint="default" w:ascii="Times New Roman" w:hAnsi="Times New Roman" w:eastAsia="宋体" w:cs="Times New Roman"/>
                      <w:b/>
                      <w:bCs/>
                    </w:rPr>
                  </w:pPr>
                  <w:r>
                    <w:rPr>
                      <w:rFonts w:hint="default" w:ascii="Times New Roman" w:hAnsi="Times New Roman" w:eastAsia="宋体" w:cs="Times New Roman"/>
                      <w:b/>
                      <w:bCs/>
                    </w:rPr>
                    <w:t>废水排放量</w:t>
                  </w:r>
                </w:p>
                <w:p w14:paraId="4CE6EB55">
                  <w:pPr>
                    <w:pStyle w:val="41"/>
                    <w:rPr>
                      <w:rFonts w:hint="default" w:ascii="Times New Roman" w:hAnsi="Times New Roman" w:eastAsia="宋体" w:cs="Times New Roman"/>
                      <w:b/>
                      <w:bCs/>
                    </w:rPr>
                  </w:pPr>
                  <w:r>
                    <w:rPr>
                      <w:rFonts w:hint="default" w:ascii="Times New Roman" w:hAnsi="Times New Roman" w:eastAsia="宋体" w:cs="Times New Roman"/>
                      <w:b/>
                      <w:bCs/>
                    </w:rPr>
                    <w:t>（万t/a）</w:t>
                  </w:r>
                </w:p>
              </w:tc>
              <w:tc>
                <w:tcPr>
                  <w:tcW w:w="765" w:type="dxa"/>
                  <w:vMerge w:val="restart"/>
                  <w:vAlign w:val="center"/>
                </w:tcPr>
                <w:p w14:paraId="1A02C94D">
                  <w:pPr>
                    <w:pStyle w:val="41"/>
                    <w:rPr>
                      <w:rFonts w:hint="default" w:ascii="Times New Roman" w:hAnsi="Times New Roman" w:eastAsia="宋体" w:cs="Times New Roman"/>
                      <w:b/>
                      <w:bCs/>
                    </w:rPr>
                  </w:pPr>
                  <w:r>
                    <w:rPr>
                      <w:rFonts w:hint="default" w:ascii="Times New Roman" w:hAnsi="Times New Roman" w:eastAsia="宋体" w:cs="Times New Roman"/>
                      <w:b/>
                      <w:bCs/>
                    </w:rPr>
                    <w:t>排放</w:t>
                  </w:r>
                </w:p>
                <w:p w14:paraId="5FDEB423">
                  <w:pPr>
                    <w:pStyle w:val="41"/>
                    <w:rPr>
                      <w:rFonts w:hint="default" w:ascii="Times New Roman" w:hAnsi="Times New Roman" w:eastAsia="宋体" w:cs="Times New Roman"/>
                      <w:b/>
                      <w:bCs/>
                    </w:rPr>
                  </w:pPr>
                  <w:r>
                    <w:rPr>
                      <w:rFonts w:hint="default" w:ascii="Times New Roman" w:hAnsi="Times New Roman" w:eastAsia="宋体" w:cs="Times New Roman"/>
                      <w:b/>
                      <w:bCs/>
                    </w:rPr>
                    <w:t>去向</w:t>
                  </w:r>
                </w:p>
              </w:tc>
              <w:tc>
                <w:tcPr>
                  <w:tcW w:w="685" w:type="dxa"/>
                  <w:vMerge w:val="restart"/>
                  <w:vAlign w:val="center"/>
                </w:tcPr>
                <w:p w14:paraId="5EB410B3">
                  <w:pPr>
                    <w:pStyle w:val="41"/>
                    <w:rPr>
                      <w:rFonts w:hint="default" w:ascii="Times New Roman" w:hAnsi="Times New Roman" w:eastAsia="宋体" w:cs="Times New Roman"/>
                      <w:b/>
                      <w:bCs/>
                    </w:rPr>
                  </w:pPr>
                  <w:r>
                    <w:rPr>
                      <w:rFonts w:hint="default" w:ascii="Times New Roman" w:hAnsi="Times New Roman" w:eastAsia="宋体" w:cs="Times New Roman"/>
                      <w:b/>
                      <w:bCs/>
                    </w:rPr>
                    <w:t>排放</w:t>
                  </w:r>
                </w:p>
                <w:p w14:paraId="016F6603">
                  <w:pPr>
                    <w:pStyle w:val="41"/>
                    <w:rPr>
                      <w:rFonts w:hint="default" w:ascii="Times New Roman" w:hAnsi="Times New Roman" w:eastAsia="宋体" w:cs="Times New Roman"/>
                      <w:b/>
                      <w:bCs/>
                    </w:rPr>
                  </w:pPr>
                  <w:r>
                    <w:rPr>
                      <w:rFonts w:hint="default" w:ascii="Times New Roman" w:hAnsi="Times New Roman" w:eastAsia="宋体" w:cs="Times New Roman"/>
                      <w:b/>
                      <w:bCs/>
                    </w:rPr>
                    <w:t>规律</w:t>
                  </w:r>
                </w:p>
              </w:tc>
              <w:tc>
                <w:tcPr>
                  <w:tcW w:w="700" w:type="dxa"/>
                  <w:vMerge w:val="restart"/>
                  <w:vAlign w:val="center"/>
                </w:tcPr>
                <w:p w14:paraId="28F6255C">
                  <w:pPr>
                    <w:pStyle w:val="41"/>
                    <w:rPr>
                      <w:rFonts w:hint="default" w:ascii="Times New Roman" w:hAnsi="Times New Roman" w:eastAsia="宋体" w:cs="Times New Roman"/>
                      <w:b/>
                      <w:bCs/>
                    </w:rPr>
                  </w:pPr>
                  <w:r>
                    <w:rPr>
                      <w:rFonts w:hint="default" w:ascii="Times New Roman" w:hAnsi="Times New Roman" w:eastAsia="宋体" w:cs="Times New Roman"/>
                      <w:b/>
                      <w:bCs/>
                    </w:rPr>
                    <w:t>间歇排放时段</w:t>
                  </w:r>
                </w:p>
              </w:tc>
              <w:tc>
                <w:tcPr>
                  <w:tcW w:w="2391" w:type="dxa"/>
                  <w:gridSpan w:val="3"/>
                  <w:vAlign w:val="center"/>
                </w:tcPr>
                <w:p w14:paraId="224C0C5F">
                  <w:pPr>
                    <w:pStyle w:val="41"/>
                    <w:rPr>
                      <w:rFonts w:hint="default" w:ascii="Times New Roman" w:hAnsi="Times New Roman" w:eastAsia="宋体" w:cs="Times New Roman"/>
                      <w:b/>
                      <w:bCs/>
                    </w:rPr>
                  </w:pPr>
                  <w:r>
                    <w:rPr>
                      <w:rFonts w:hint="default" w:ascii="Times New Roman" w:hAnsi="Times New Roman" w:eastAsia="宋体" w:cs="Times New Roman"/>
                      <w:b/>
                      <w:bCs/>
                    </w:rPr>
                    <w:t>受纳污水厂信息</w:t>
                  </w:r>
                </w:p>
              </w:tc>
            </w:tr>
            <w:tr w14:paraId="2E85C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422" w:type="dxa"/>
                  <w:vMerge w:val="continue"/>
                  <w:vAlign w:val="center"/>
                </w:tcPr>
                <w:p w14:paraId="473E785A">
                  <w:pPr>
                    <w:pStyle w:val="41"/>
                    <w:rPr>
                      <w:rFonts w:hint="default" w:ascii="Times New Roman" w:hAnsi="Times New Roman" w:eastAsia="宋体" w:cs="Times New Roman"/>
                      <w:b/>
                      <w:bCs/>
                    </w:rPr>
                  </w:pPr>
                </w:p>
              </w:tc>
              <w:tc>
                <w:tcPr>
                  <w:tcW w:w="721" w:type="dxa"/>
                  <w:vMerge w:val="continue"/>
                  <w:vAlign w:val="center"/>
                </w:tcPr>
                <w:p w14:paraId="407E66FA">
                  <w:pPr>
                    <w:pStyle w:val="41"/>
                    <w:rPr>
                      <w:rFonts w:hint="default" w:ascii="Times New Roman" w:hAnsi="Times New Roman" w:eastAsia="宋体" w:cs="Times New Roman"/>
                      <w:b/>
                      <w:bCs/>
                    </w:rPr>
                  </w:pPr>
                </w:p>
              </w:tc>
              <w:tc>
                <w:tcPr>
                  <w:tcW w:w="849" w:type="dxa"/>
                  <w:vAlign w:val="center"/>
                </w:tcPr>
                <w:p w14:paraId="59955132">
                  <w:pPr>
                    <w:pStyle w:val="41"/>
                    <w:rPr>
                      <w:rFonts w:hint="default" w:ascii="Times New Roman" w:hAnsi="Times New Roman" w:eastAsia="宋体" w:cs="Times New Roman"/>
                      <w:b/>
                      <w:bCs/>
                    </w:rPr>
                  </w:pPr>
                  <w:r>
                    <w:rPr>
                      <w:rFonts w:hint="default" w:ascii="Times New Roman" w:hAnsi="Times New Roman" w:eastAsia="宋体" w:cs="Times New Roman"/>
                      <w:b/>
                      <w:bCs/>
                    </w:rPr>
                    <w:t>经度</w:t>
                  </w:r>
                </w:p>
              </w:tc>
              <w:tc>
                <w:tcPr>
                  <w:tcW w:w="846" w:type="dxa"/>
                  <w:vAlign w:val="center"/>
                </w:tcPr>
                <w:p w14:paraId="276A9895">
                  <w:pPr>
                    <w:pStyle w:val="41"/>
                    <w:rPr>
                      <w:rFonts w:hint="default" w:ascii="Times New Roman" w:hAnsi="Times New Roman" w:eastAsia="宋体" w:cs="Times New Roman"/>
                      <w:b/>
                      <w:bCs/>
                    </w:rPr>
                  </w:pPr>
                  <w:r>
                    <w:rPr>
                      <w:rFonts w:hint="default" w:ascii="Times New Roman" w:hAnsi="Times New Roman" w:eastAsia="宋体" w:cs="Times New Roman"/>
                      <w:b/>
                      <w:bCs/>
                    </w:rPr>
                    <w:t>纬度</w:t>
                  </w:r>
                </w:p>
              </w:tc>
              <w:tc>
                <w:tcPr>
                  <w:tcW w:w="941" w:type="dxa"/>
                  <w:vMerge w:val="continue"/>
                  <w:vAlign w:val="center"/>
                </w:tcPr>
                <w:p w14:paraId="51684695">
                  <w:pPr>
                    <w:pStyle w:val="41"/>
                    <w:rPr>
                      <w:rFonts w:hint="default" w:ascii="Times New Roman" w:hAnsi="Times New Roman" w:eastAsia="宋体" w:cs="Times New Roman"/>
                      <w:b/>
                      <w:bCs/>
                    </w:rPr>
                  </w:pPr>
                </w:p>
              </w:tc>
              <w:tc>
                <w:tcPr>
                  <w:tcW w:w="765" w:type="dxa"/>
                  <w:vMerge w:val="continue"/>
                  <w:vAlign w:val="center"/>
                </w:tcPr>
                <w:p w14:paraId="676F76F4">
                  <w:pPr>
                    <w:pStyle w:val="41"/>
                    <w:rPr>
                      <w:rFonts w:hint="default" w:ascii="Times New Roman" w:hAnsi="Times New Roman" w:eastAsia="宋体" w:cs="Times New Roman"/>
                      <w:b/>
                      <w:bCs/>
                    </w:rPr>
                  </w:pPr>
                </w:p>
              </w:tc>
              <w:tc>
                <w:tcPr>
                  <w:tcW w:w="685" w:type="dxa"/>
                  <w:vMerge w:val="continue"/>
                  <w:vAlign w:val="center"/>
                </w:tcPr>
                <w:p w14:paraId="6E4AE4CC">
                  <w:pPr>
                    <w:pStyle w:val="41"/>
                    <w:rPr>
                      <w:rFonts w:hint="default" w:ascii="Times New Roman" w:hAnsi="Times New Roman" w:eastAsia="宋体" w:cs="Times New Roman"/>
                      <w:b/>
                      <w:bCs/>
                    </w:rPr>
                  </w:pPr>
                </w:p>
              </w:tc>
              <w:tc>
                <w:tcPr>
                  <w:tcW w:w="700" w:type="dxa"/>
                  <w:vMerge w:val="continue"/>
                  <w:vAlign w:val="center"/>
                </w:tcPr>
                <w:p w14:paraId="7531EAED">
                  <w:pPr>
                    <w:pStyle w:val="41"/>
                    <w:rPr>
                      <w:rFonts w:hint="default" w:ascii="Times New Roman" w:hAnsi="Times New Roman" w:eastAsia="宋体" w:cs="Times New Roman"/>
                      <w:b/>
                      <w:bCs/>
                    </w:rPr>
                  </w:pPr>
                </w:p>
              </w:tc>
              <w:tc>
                <w:tcPr>
                  <w:tcW w:w="700" w:type="dxa"/>
                  <w:vAlign w:val="center"/>
                </w:tcPr>
                <w:p w14:paraId="5FEFF7B0">
                  <w:pPr>
                    <w:pStyle w:val="41"/>
                    <w:rPr>
                      <w:rFonts w:hint="default" w:ascii="Times New Roman" w:hAnsi="Times New Roman" w:eastAsia="宋体" w:cs="Times New Roman"/>
                      <w:b/>
                      <w:bCs/>
                    </w:rPr>
                  </w:pPr>
                  <w:r>
                    <w:rPr>
                      <w:rFonts w:hint="default" w:ascii="Times New Roman" w:hAnsi="Times New Roman" w:eastAsia="宋体" w:cs="Times New Roman"/>
                      <w:b/>
                      <w:bCs/>
                    </w:rPr>
                    <w:t>名称</w:t>
                  </w:r>
                </w:p>
              </w:tc>
              <w:tc>
                <w:tcPr>
                  <w:tcW w:w="847" w:type="dxa"/>
                  <w:vAlign w:val="center"/>
                </w:tcPr>
                <w:p w14:paraId="7DD4A3AD">
                  <w:pPr>
                    <w:pStyle w:val="41"/>
                    <w:rPr>
                      <w:rFonts w:hint="default" w:ascii="Times New Roman" w:hAnsi="Times New Roman" w:eastAsia="宋体" w:cs="Times New Roman"/>
                      <w:b/>
                      <w:bCs/>
                    </w:rPr>
                  </w:pPr>
                  <w:r>
                    <w:rPr>
                      <w:rFonts w:hint="default" w:ascii="Times New Roman" w:hAnsi="Times New Roman" w:eastAsia="宋体" w:cs="Times New Roman"/>
                      <w:b/>
                      <w:bCs/>
                    </w:rPr>
                    <w:t>污染物种类</w:t>
                  </w:r>
                </w:p>
              </w:tc>
              <w:tc>
                <w:tcPr>
                  <w:tcW w:w="844" w:type="dxa"/>
                  <w:vAlign w:val="center"/>
                </w:tcPr>
                <w:p w14:paraId="382CD996">
                  <w:pPr>
                    <w:pStyle w:val="41"/>
                    <w:rPr>
                      <w:rFonts w:hint="default" w:ascii="Times New Roman" w:hAnsi="Times New Roman" w:eastAsia="宋体" w:cs="Times New Roman"/>
                      <w:b/>
                      <w:bCs/>
                    </w:rPr>
                  </w:pPr>
                  <w:r>
                    <w:rPr>
                      <w:rFonts w:hint="default" w:ascii="Times New Roman" w:hAnsi="Times New Roman" w:eastAsia="宋体" w:cs="Times New Roman"/>
                      <w:b/>
                      <w:bCs/>
                    </w:rPr>
                    <w:t>排放标准</w:t>
                  </w:r>
                </w:p>
                <w:p w14:paraId="09C6729E">
                  <w:pPr>
                    <w:pStyle w:val="41"/>
                    <w:rPr>
                      <w:rFonts w:hint="default" w:ascii="Times New Roman" w:hAnsi="Times New Roman" w:eastAsia="宋体" w:cs="Times New Roman"/>
                      <w:b/>
                      <w:bCs/>
                    </w:rPr>
                  </w:pPr>
                  <w:r>
                    <w:rPr>
                      <w:rFonts w:hint="default" w:ascii="Times New Roman" w:hAnsi="Times New Roman" w:eastAsia="宋体" w:cs="Times New Roman"/>
                      <w:b/>
                      <w:bCs/>
                    </w:rPr>
                    <w:t>mg/L</w:t>
                  </w:r>
                </w:p>
              </w:tc>
            </w:tr>
            <w:tr w14:paraId="4B1F5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422" w:type="dxa"/>
                  <w:vMerge w:val="restart"/>
                  <w:vAlign w:val="center"/>
                </w:tcPr>
                <w:p w14:paraId="65793D78">
                  <w:pPr>
                    <w:pStyle w:val="41"/>
                    <w:rPr>
                      <w:rFonts w:hint="default" w:ascii="Times New Roman" w:hAnsi="Times New Roman" w:eastAsia="宋体" w:cs="Times New Roman"/>
                    </w:rPr>
                  </w:pPr>
                  <w:r>
                    <w:rPr>
                      <w:rFonts w:hint="default" w:ascii="Times New Roman" w:hAnsi="Times New Roman" w:eastAsia="宋体" w:cs="Times New Roman"/>
                    </w:rPr>
                    <w:t>1</w:t>
                  </w:r>
                </w:p>
              </w:tc>
              <w:tc>
                <w:tcPr>
                  <w:tcW w:w="721" w:type="dxa"/>
                  <w:vMerge w:val="restart"/>
                  <w:vAlign w:val="center"/>
                </w:tcPr>
                <w:p w14:paraId="57BB8D0A">
                  <w:pPr>
                    <w:pStyle w:val="41"/>
                    <w:rPr>
                      <w:rFonts w:hint="default" w:ascii="Times New Roman" w:hAnsi="Times New Roman" w:eastAsia="宋体" w:cs="Times New Roman"/>
                    </w:rPr>
                  </w:pPr>
                  <w:r>
                    <w:rPr>
                      <w:rFonts w:hint="default" w:ascii="Times New Roman" w:hAnsi="Times New Roman" w:eastAsia="宋体" w:cs="Times New Roman"/>
                    </w:rPr>
                    <w:t>DW002</w:t>
                  </w:r>
                </w:p>
              </w:tc>
              <w:tc>
                <w:tcPr>
                  <w:tcW w:w="849" w:type="dxa"/>
                  <w:vMerge w:val="restart"/>
                  <w:vAlign w:val="center"/>
                </w:tcPr>
                <w:p w14:paraId="763F4AA8">
                  <w:pPr>
                    <w:pStyle w:val="41"/>
                    <w:rPr>
                      <w:rFonts w:hint="default" w:ascii="Times New Roman" w:hAnsi="Times New Roman" w:eastAsia="宋体" w:cs="Times New Roman"/>
                    </w:rPr>
                  </w:pPr>
                  <w:r>
                    <w:rPr>
                      <w:rFonts w:hint="default" w:ascii="Times New Roman" w:hAnsi="Times New Roman" w:eastAsia="宋体" w:cs="Times New Roman"/>
                    </w:rPr>
                    <w:t>113.416</w:t>
                  </w:r>
                </w:p>
              </w:tc>
              <w:tc>
                <w:tcPr>
                  <w:tcW w:w="846" w:type="dxa"/>
                  <w:vMerge w:val="restart"/>
                  <w:vAlign w:val="center"/>
                </w:tcPr>
                <w:p w14:paraId="2B6A432F">
                  <w:pPr>
                    <w:pStyle w:val="41"/>
                    <w:rPr>
                      <w:rFonts w:hint="default" w:ascii="Times New Roman" w:hAnsi="Times New Roman" w:eastAsia="宋体" w:cs="Times New Roman"/>
                    </w:rPr>
                  </w:pPr>
                  <w:r>
                    <w:rPr>
                      <w:rFonts w:hint="default" w:ascii="Times New Roman" w:hAnsi="Times New Roman" w:eastAsia="宋体" w:cs="Times New Roman"/>
                    </w:rPr>
                    <w:t>24.131</w:t>
                  </w:r>
                </w:p>
              </w:tc>
              <w:tc>
                <w:tcPr>
                  <w:tcW w:w="941" w:type="dxa"/>
                  <w:vMerge w:val="restart"/>
                  <w:vAlign w:val="center"/>
                </w:tcPr>
                <w:p w14:paraId="5DD64120">
                  <w:pPr>
                    <w:pStyle w:val="41"/>
                    <w:rPr>
                      <w:rFonts w:hint="default" w:ascii="Times New Roman" w:hAnsi="Times New Roman" w:eastAsia="宋体" w:cs="Times New Roman"/>
                    </w:rPr>
                  </w:pPr>
                  <w:r>
                    <w:rPr>
                      <w:rFonts w:hint="default" w:ascii="Times New Roman" w:hAnsi="Times New Roman" w:eastAsia="宋体" w:cs="Times New Roman"/>
                    </w:rPr>
                    <w:t>2511</w:t>
                  </w:r>
                </w:p>
              </w:tc>
              <w:tc>
                <w:tcPr>
                  <w:tcW w:w="765" w:type="dxa"/>
                  <w:vMerge w:val="restart"/>
                  <w:vAlign w:val="center"/>
                </w:tcPr>
                <w:p w14:paraId="33B663B2">
                  <w:pPr>
                    <w:pStyle w:val="41"/>
                    <w:rPr>
                      <w:rFonts w:hint="default" w:ascii="Times New Roman" w:hAnsi="Times New Roman" w:eastAsia="宋体" w:cs="Times New Roman"/>
                    </w:rPr>
                  </w:pPr>
                  <w:r>
                    <w:rPr>
                      <w:rFonts w:hint="default" w:ascii="Times New Roman" w:hAnsi="Times New Roman" w:eastAsia="宋体" w:cs="Times New Roman"/>
                    </w:rPr>
                    <w:t>工业废水集中处理厂</w:t>
                  </w:r>
                </w:p>
              </w:tc>
              <w:tc>
                <w:tcPr>
                  <w:tcW w:w="685" w:type="dxa"/>
                  <w:vMerge w:val="restart"/>
                  <w:vAlign w:val="center"/>
                </w:tcPr>
                <w:p w14:paraId="01235612">
                  <w:pPr>
                    <w:pStyle w:val="41"/>
                    <w:rPr>
                      <w:rFonts w:hint="default" w:ascii="Times New Roman" w:hAnsi="Times New Roman" w:eastAsia="宋体" w:cs="Times New Roman"/>
                    </w:rPr>
                  </w:pPr>
                  <w:r>
                    <w:rPr>
                      <w:rFonts w:hint="default" w:ascii="Times New Roman" w:hAnsi="Times New Roman" w:eastAsia="宋体" w:cs="Times New Roman"/>
                    </w:rPr>
                    <w:t>间歇排放，流量不稳定</w:t>
                  </w:r>
                </w:p>
              </w:tc>
              <w:tc>
                <w:tcPr>
                  <w:tcW w:w="700" w:type="dxa"/>
                  <w:vMerge w:val="restart"/>
                  <w:vAlign w:val="center"/>
                </w:tcPr>
                <w:p w14:paraId="03C07B02">
                  <w:pPr>
                    <w:pStyle w:val="41"/>
                    <w:rPr>
                      <w:rFonts w:hint="default" w:ascii="Times New Roman" w:hAnsi="Times New Roman" w:eastAsia="宋体" w:cs="Times New Roman"/>
                    </w:rPr>
                  </w:pPr>
                  <w:r>
                    <w:rPr>
                      <w:rFonts w:hint="default" w:ascii="Times New Roman" w:hAnsi="Times New Roman" w:eastAsia="宋体" w:cs="Times New Roman"/>
                    </w:rPr>
                    <w:t>/</w:t>
                  </w:r>
                </w:p>
              </w:tc>
              <w:tc>
                <w:tcPr>
                  <w:tcW w:w="700" w:type="dxa"/>
                  <w:vMerge w:val="restart"/>
                  <w:vAlign w:val="center"/>
                </w:tcPr>
                <w:p w14:paraId="6FB91DEB">
                  <w:pPr>
                    <w:pStyle w:val="41"/>
                    <w:rPr>
                      <w:rFonts w:hint="default" w:ascii="Times New Roman" w:hAnsi="Times New Roman" w:eastAsia="宋体" w:cs="Times New Roman"/>
                    </w:rPr>
                  </w:pPr>
                  <w:r>
                    <w:rPr>
                      <w:rFonts w:hint="default" w:ascii="Times New Roman" w:hAnsi="Times New Roman" w:eastAsia="宋体" w:cs="Times New Roman"/>
                    </w:rPr>
                    <w:t>园区污水处理厂</w:t>
                  </w:r>
                </w:p>
              </w:tc>
              <w:tc>
                <w:tcPr>
                  <w:tcW w:w="847" w:type="dxa"/>
                  <w:vAlign w:val="center"/>
                </w:tcPr>
                <w:p w14:paraId="35B0BA6F">
                  <w:pPr>
                    <w:pStyle w:val="41"/>
                    <w:rPr>
                      <w:rFonts w:hint="default" w:ascii="Times New Roman" w:hAnsi="Times New Roman" w:eastAsia="宋体" w:cs="Times New Roman"/>
                    </w:rPr>
                  </w:pPr>
                  <w:r>
                    <w:rPr>
                      <w:rFonts w:hint="default" w:ascii="Times New Roman" w:hAnsi="Times New Roman" w:eastAsia="宋体" w:cs="Times New Roman"/>
                    </w:rPr>
                    <w:t>COD</w:t>
                  </w:r>
                  <w:r>
                    <w:rPr>
                      <w:rFonts w:hint="default" w:ascii="Times New Roman" w:hAnsi="Times New Roman" w:eastAsia="宋体" w:cs="Times New Roman"/>
                      <w:vertAlign w:val="subscript"/>
                    </w:rPr>
                    <w:t>Cr</w:t>
                  </w:r>
                </w:p>
              </w:tc>
              <w:tc>
                <w:tcPr>
                  <w:tcW w:w="844" w:type="dxa"/>
                  <w:vAlign w:val="center"/>
                </w:tcPr>
                <w:p w14:paraId="2267A709">
                  <w:pPr>
                    <w:pStyle w:val="41"/>
                    <w:rPr>
                      <w:rFonts w:hint="default" w:ascii="Times New Roman" w:hAnsi="Times New Roman" w:eastAsia="宋体" w:cs="Times New Roman"/>
                    </w:rPr>
                  </w:pPr>
                  <w:r>
                    <w:rPr>
                      <w:rFonts w:hint="default" w:ascii="Times New Roman" w:hAnsi="Times New Roman" w:eastAsia="宋体" w:cs="Times New Roman"/>
                    </w:rPr>
                    <w:t>40</w:t>
                  </w:r>
                </w:p>
              </w:tc>
            </w:tr>
            <w:tr w14:paraId="7F870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422" w:type="dxa"/>
                  <w:vMerge w:val="continue"/>
                  <w:vAlign w:val="center"/>
                </w:tcPr>
                <w:p w14:paraId="45A7D829">
                  <w:pPr>
                    <w:pStyle w:val="41"/>
                    <w:rPr>
                      <w:rFonts w:hint="default" w:ascii="Times New Roman" w:hAnsi="Times New Roman" w:eastAsia="宋体" w:cs="Times New Roman"/>
                    </w:rPr>
                  </w:pPr>
                </w:p>
              </w:tc>
              <w:tc>
                <w:tcPr>
                  <w:tcW w:w="721" w:type="dxa"/>
                  <w:vMerge w:val="continue"/>
                  <w:vAlign w:val="center"/>
                </w:tcPr>
                <w:p w14:paraId="041359A3">
                  <w:pPr>
                    <w:pStyle w:val="41"/>
                    <w:rPr>
                      <w:rFonts w:hint="default" w:ascii="Times New Roman" w:hAnsi="Times New Roman" w:eastAsia="宋体" w:cs="Times New Roman"/>
                    </w:rPr>
                  </w:pPr>
                </w:p>
              </w:tc>
              <w:tc>
                <w:tcPr>
                  <w:tcW w:w="849" w:type="dxa"/>
                  <w:vMerge w:val="continue"/>
                  <w:vAlign w:val="center"/>
                </w:tcPr>
                <w:p w14:paraId="31EC4CD7">
                  <w:pPr>
                    <w:pStyle w:val="41"/>
                    <w:rPr>
                      <w:rFonts w:hint="default" w:ascii="Times New Roman" w:hAnsi="Times New Roman" w:eastAsia="宋体" w:cs="Times New Roman"/>
                    </w:rPr>
                  </w:pPr>
                </w:p>
              </w:tc>
              <w:tc>
                <w:tcPr>
                  <w:tcW w:w="846" w:type="dxa"/>
                  <w:vMerge w:val="continue"/>
                  <w:vAlign w:val="center"/>
                </w:tcPr>
                <w:p w14:paraId="67A46926">
                  <w:pPr>
                    <w:pStyle w:val="41"/>
                    <w:rPr>
                      <w:rFonts w:hint="default" w:ascii="Times New Roman" w:hAnsi="Times New Roman" w:eastAsia="宋体" w:cs="Times New Roman"/>
                    </w:rPr>
                  </w:pPr>
                </w:p>
              </w:tc>
              <w:tc>
                <w:tcPr>
                  <w:tcW w:w="941" w:type="dxa"/>
                  <w:vMerge w:val="continue"/>
                  <w:vAlign w:val="center"/>
                </w:tcPr>
                <w:p w14:paraId="131B0A1C">
                  <w:pPr>
                    <w:pStyle w:val="41"/>
                    <w:rPr>
                      <w:rFonts w:hint="default" w:ascii="Times New Roman" w:hAnsi="Times New Roman" w:eastAsia="宋体" w:cs="Times New Roman"/>
                    </w:rPr>
                  </w:pPr>
                </w:p>
              </w:tc>
              <w:tc>
                <w:tcPr>
                  <w:tcW w:w="765" w:type="dxa"/>
                  <w:vMerge w:val="continue"/>
                  <w:vAlign w:val="center"/>
                </w:tcPr>
                <w:p w14:paraId="2EEFB399">
                  <w:pPr>
                    <w:pStyle w:val="41"/>
                    <w:rPr>
                      <w:rFonts w:hint="default" w:ascii="Times New Roman" w:hAnsi="Times New Roman" w:eastAsia="宋体" w:cs="Times New Roman"/>
                    </w:rPr>
                  </w:pPr>
                </w:p>
              </w:tc>
              <w:tc>
                <w:tcPr>
                  <w:tcW w:w="685" w:type="dxa"/>
                  <w:vMerge w:val="continue"/>
                  <w:vAlign w:val="center"/>
                </w:tcPr>
                <w:p w14:paraId="7DEFF5BF">
                  <w:pPr>
                    <w:pStyle w:val="41"/>
                    <w:rPr>
                      <w:rFonts w:hint="default" w:ascii="Times New Roman" w:hAnsi="Times New Roman" w:eastAsia="宋体" w:cs="Times New Roman"/>
                    </w:rPr>
                  </w:pPr>
                </w:p>
              </w:tc>
              <w:tc>
                <w:tcPr>
                  <w:tcW w:w="700" w:type="dxa"/>
                  <w:vMerge w:val="continue"/>
                  <w:vAlign w:val="center"/>
                </w:tcPr>
                <w:p w14:paraId="1DE045C7">
                  <w:pPr>
                    <w:pStyle w:val="41"/>
                    <w:rPr>
                      <w:rFonts w:hint="default" w:ascii="Times New Roman" w:hAnsi="Times New Roman" w:eastAsia="宋体" w:cs="Times New Roman"/>
                    </w:rPr>
                  </w:pPr>
                </w:p>
              </w:tc>
              <w:tc>
                <w:tcPr>
                  <w:tcW w:w="700" w:type="dxa"/>
                  <w:vMerge w:val="continue"/>
                  <w:vAlign w:val="center"/>
                </w:tcPr>
                <w:p w14:paraId="59D89CA2">
                  <w:pPr>
                    <w:pStyle w:val="41"/>
                    <w:rPr>
                      <w:rFonts w:hint="default" w:ascii="Times New Roman" w:hAnsi="Times New Roman" w:eastAsia="宋体" w:cs="Times New Roman"/>
                    </w:rPr>
                  </w:pPr>
                </w:p>
              </w:tc>
              <w:tc>
                <w:tcPr>
                  <w:tcW w:w="847" w:type="dxa"/>
                  <w:vAlign w:val="center"/>
                </w:tcPr>
                <w:p w14:paraId="71F1CBE0">
                  <w:pPr>
                    <w:pStyle w:val="41"/>
                    <w:rPr>
                      <w:rFonts w:hint="default" w:ascii="Times New Roman" w:hAnsi="Times New Roman" w:eastAsia="宋体" w:cs="Times New Roman"/>
                    </w:rPr>
                  </w:pPr>
                  <w:r>
                    <w:rPr>
                      <w:rFonts w:hint="default" w:ascii="Times New Roman" w:hAnsi="Times New Roman" w:eastAsia="宋体" w:cs="Times New Roman"/>
                    </w:rPr>
                    <w:t>SS</w:t>
                  </w:r>
                </w:p>
              </w:tc>
              <w:tc>
                <w:tcPr>
                  <w:tcW w:w="844" w:type="dxa"/>
                  <w:vAlign w:val="center"/>
                </w:tcPr>
                <w:p w14:paraId="78C8DD4B">
                  <w:pPr>
                    <w:pStyle w:val="41"/>
                    <w:rPr>
                      <w:rFonts w:hint="default" w:ascii="Times New Roman" w:hAnsi="Times New Roman" w:eastAsia="宋体" w:cs="Times New Roman"/>
                    </w:rPr>
                  </w:pPr>
                  <w:r>
                    <w:rPr>
                      <w:rFonts w:hint="default" w:ascii="Times New Roman" w:hAnsi="Times New Roman" w:eastAsia="宋体" w:cs="Times New Roman"/>
                    </w:rPr>
                    <w:t>20</w:t>
                  </w:r>
                </w:p>
              </w:tc>
            </w:tr>
            <w:tr w14:paraId="725F2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71" w:hRule="atLeast"/>
                <w:jc w:val="center"/>
              </w:trPr>
              <w:tc>
                <w:tcPr>
                  <w:tcW w:w="422" w:type="dxa"/>
                  <w:vMerge w:val="continue"/>
                  <w:vAlign w:val="center"/>
                </w:tcPr>
                <w:p w14:paraId="42182D2D">
                  <w:pPr>
                    <w:pStyle w:val="41"/>
                    <w:rPr>
                      <w:rFonts w:hint="default" w:ascii="Times New Roman" w:hAnsi="Times New Roman" w:eastAsia="宋体" w:cs="Times New Roman"/>
                    </w:rPr>
                  </w:pPr>
                </w:p>
              </w:tc>
              <w:tc>
                <w:tcPr>
                  <w:tcW w:w="721" w:type="dxa"/>
                  <w:vMerge w:val="continue"/>
                  <w:vAlign w:val="center"/>
                </w:tcPr>
                <w:p w14:paraId="71C4611B">
                  <w:pPr>
                    <w:pStyle w:val="41"/>
                    <w:rPr>
                      <w:rFonts w:hint="default" w:ascii="Times New Roman" w:hAnsi="Times New Roman" w:eastAsia="宋体" w:cs="Times New Roman"/>
                    </w:rPr>
                  </w:pPr>
                </w:p>
              </w:tc>
              <w:tc>
                <w:tcPr>
                  <w:tcW w:w="849" w:type="dxa"/>
                  <w:vMerge w:val="continue"/>
                  <w:vAlign w:val="center"/>
                </w:tcPr>
                <w:p w14:paraId="2C88D983">
                  <w:pPr>
                    <w:pStyle w:val="41"/>
                    <w:rPr>
                      <w:rFonts w:hint="default" w:ascii="Times New Roman" w:hAnsi="Times New Roman" w:eastAsia="宋体" w:cs="Times New Roman"/>
                    </w:rPr>
                  </w:pPr>
                </w:p>
              </w:tc>
              <w:tc>
                <w:tcPr>
                  <w:tcW w:w="846" w:type="dxa"/>
                  <w:vMerge w:val="continue"/>
                  <w:vAlign w:val="center"/>
                </w:tcPr>
                <w:p w14:paraId="738B10CC">
                  <w:pPr>
                    <w:pStyle w:val="41"/>
                    <w:rPr>
                      <w:rFonts w:hint="default" w:ascii="Times New Roman" w:hAnsi="Times New Roman" w:eastAsia="宋体" w:cs="Times New Roman"/>
                    </w:rPr>
                  </w:pPr>
                </w:p>
              </w:tc>
              <w:tc>
                <w:tcPr>
                  <w:tcW w:w="941" w:type="dxa"/>
                  <w:vMerge w:val="continue"/>
                  <w:vAlign w:val="center"/>
                </w:tcPr>
                <w:p w14:paraId="4C8E46B5">
                  <w:pPr>
                    <w:pStyle w:val="41"/>
                    <w:rPr>
                      <w:rFonts w:hint="default" w:ascii="Times New Roman" w:hAnsi="Times New Roman" w:eastAsia="宋体" w:cs="Times New Roman"/>
                    </w:rPr>
                  </w:pPr>
                </w:p>
              </w:tc>
              <w:tc>
                <w:tcPr>
                  <w:tcW w:w="765" w:type="dxa"/>
                  <w:vMerge w:val="continue"/>
                  <w:vAlign w:val="center"/>
                </w:tcPr>
                <w:p w14:paraId="17EAACAE">
                  <w:pPr>
                    <w:pStyle w:val="41"/>
                    <w:rPr>
                      <w:rFonts w:hint="default" w:ascii="Times New Roman" w:hAnsi="Times New Roman" w:eastAsia="宋体" w:cs="Times New Roman"/>
                    </w:rPr>
                  </w:pPr>
                </w:p>
              </w:tc>
              <w:tc>
                <w:tcPr>
                  <w:tcW w:w="685" w:type="dxa"/>
                  <w:vMerge w:val="continue"/>
                  <w:vAlign w:val="center"/>
                </w:tcPr>
                <w:p w14:paraId="481BA129">
                  <w:pPr>
                    <w:pStyle w:val="41"/>
                    <w:rPr>
                      <w:rFonts w:hint="default" w:ascii="Times New Roman" w:hAnsi="Times New Roman" w:eastAsia="宋体" w:cs="Times New Roman"/>
                    </w:rPr>
                  </w:pPr>
                </w:p>
              </w:tc>
              <w:tc>
                <w:tcPr>
                  <w:tcW w:w="700" w:type="dxa"/>
                  <w:vMerge w:val="continue"/>
                  <w:vAlign w:val="center"/>
                </w:tcPr>
                <w:p w14:paraId="6AB123F6">
                  <w:pPr>
                    <w:pStyle w:val="41"/>
                    <w:rPr>
                      <w:rFonts w:hint="default" w:ascii="Times New Roman" w:hAnsi="Times New Roman" w:eastAsia="宋体" w:cs="Times New Roman"/>
                    </w:rPr>
                  </w:pPr>
                </w:p>
              </w:tc>
              <w:tc>
                <w:tcPr>
                  <w:tcW w:w="700" w:type="dxa"/>
                  <w:vMerge w:val="continue"/>
                  <w:vAlign w:val="center"/>
                </w:tcPr>
                <w:p w14:paraId="2042AB05">
                  <w:pPr>
                    <w:pStyle w:val="41"/>
                    <w:rPr>
                      <w:rFonts w:hint="default" w:ascii="Times New Roman" w:hAnsi="Times New Roman" w:eastAsia="宋体" w:cs="Times New Roman"/>
                    </w:rPr>
                  </w:pPr>
                </w:p>
              </w:tc>
              <w:tc>
                <w:tcPr>
                  <w:tcW w:w="847" w:type="dxa"/>
                  <w:vAlign w:val="center"/>
                </w:tcPr>
                <w:p w14:paraId="4B1C394B">
                  <w:pPr>
                    <w:pStyle w:val="41"/>
                    <w:rPr>
                      <w:rFonts w:hint="default" w:ascii="Times New Roman" w:hAnsi="Times New Roman" w:eastAsia="宋体" w:cs="Times New Roman"/>
                    </w:rPr>
                  </w:pPr>
                  <w:r>
                    <w:rPr>
                      <w:rFonts w:hint="default" w:ascii="Times New Roman" w:hAnsi="Times New Roman" w:eastAsia="宋体" w:cs="Times New Roman"/>
                    </w:rPr>
                    <w:t>石油类</w:t>
                  </w:r>
                </w:p>
              </w:tc>
              <w:tc>
                <w:tcPr>
                  <w:tcW w:w="844" w:type="dxa"/>
                  <w:vAlign w:val="center"/>
                </w:tcPr>
                <w:p w14:paraId="64A815E5">
                  <w:pPr>
                    <w:pStyle w:val="41"/>
                    <w:rPr>
                      <w:rFonts w:hint="default" w:ascii="Times New Roman" w:hAnsi="Times New Roman" w:eastAsia="宋体" w:cs="Times New Roman"/>
                    </w:rPr>
                  </w:pPr>
                  <w:r>
                    <w:rPr>
                      <w:rFonts w:hint="default" w:ascii="Times New Roman" w:hAnsi="Times New Roman" w:eastAsia="宋体" w:cs="Times New Roman"/>
                    </w:rPr>
                    <w:t>3</w:t>
                  </w:r>
                </w:p>
              </w:tc>
            </w:tr>
            <w:tr w14:paraId="3FB7D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3" w:hRule="atLeast"/>
                <w:jc w:val="center"/>
              </w:trPr>
              <w:tc>
                <w:tcPr>
                  <w:tcW w:w="422" w:type="dxa"/>
                  <w:vMerge w:val="continue"/>
                  <w:vAlign w:val="center"/>
                </w:tcPr>
                <w:p w14:paraId="470D4957">
                  <w:pPr>
                    <w:pStyle w:val="41"/>
                    <w:rPr>
                      <w:rFonts w:hint="default" w:ascii="Times New Roman" w:hAnsi="Times New Roman" w:eastAsia="宋体" w:cs="Times New Roman"/>
                    </w:rPr>
                  </w:pPr>
                </w:p>
              </w:tc>
              <w:tc>
                <w:tcPr>
                  <w:tcW w:w="721" w:type="dxa"/>
                  <w:vMerge w:val="continue"/>
                  <w:vAlign w:val="center"/>
                </w:tcPr>
                <w:p w14:paraId="46A51854">
                  <w:pPr>
                    <w:pStyle w:val="41"/>
                    <w:rPr>
                      <w:rFonts w:hint="default" w:ascii="Times New Roman" w:hAnsi="Times New Roman" w:eastAsia="宋体" w:cs="Times New Roman"/>
                    </w:rPr>
                  </w:pPr>
                </w:p>
              </w:tc>
              <w:tc>
                <w:tcPr>
                  <w:tcW w:w="849" w:type="dxa"/>
                  <w:vMerge w:val="continue"/>
                  <w:vAlign w:val="center"/>
                </w:tcPr>
                <w:p w14:paraId="74FB51AD">
                  <w:pPr>
                    <w:pStyle w:val="41"/>
                    <w:rPr>
                      <w:rFonts w:hint="default" w:ascii="Times New Roman" w:hAnsi="Times New Roman" w:eastAsia="宋体" w:cs="Times New Roman"/>
                    </w:rPr>
                  </w:pPr>
                </w:p>
              </w:tc>
              <w:tc>
                <w:tcPr>
                  <w:tcW w:w="846" w:type="dxa"/>
                  <w:vMerge w:val="continue"/>
                  <w:vAlign w:val="center"/>
                </w:tcPr>
                <w:p w14:paraId="5FF76A51">
                  <w:pPr>
                    <w:pStyle w:val="41"/>
                    <w:rPr>
                      <w:rFonts w:hint="default" w:ascii="Times New Roman" w:hAnsi="Times New Roman" w:eastAsia="宋体" w:cs="Times New Roman"/>
                    </w:rPr>
                  </w:pPr>
                </w:p>
              </w:tc>
              <w:tc>
                <w:tcPr>
                  <w:tcW w:w="941" w:type="dxa"/>
                  <w:vMerge w:val="continue"/>
                  <w:vAlign w:val="center"/>
                </w:tcPr>
                <w:p w14:paraId="53AC79A1">
                  <w:pPr>
                    <w:pStyle w:val="41"/>
                    <w:rPr>
                      <w:rFonts w:hint="default" w:ascii="Times New Roman" w:hAnsi="Times New Roman" w:eastAsia="宋体" w:cs="Times New Roman"/>
                    </w:rPr>
                  </w:pPr>
                </w:p>
              </w:tc>
              <w:tc>
                <w:tcPr>
                  <w:tcW w:w="765" w:type="dxa"/>
                  <w:vMerge w:val="continue"/>
                  <w:vAlign w:val="center"/>
                </w:tcPr>
                <w:p w14:paraId="733D9717">
                  <w:pPr>
                    <w:pStyle w:val="41"/>
                    <w:rPr>
                      <w:rFonts w:hint="default" w:ascii="Times New Roman" w:hAnsi="Times New Roman" w:eastAsia="宋体" w:cs="Times New Roman"/>
                    </w:rPr>
                  </w:pPr>
                </w:p>
              </w:tc>
              <w:tc>
                <w:tcPr>
                  <w:tcW w:w="685" w:type="dxa"/>
                  <w:vMerge w:val="continue"/>
                  <w:vAlign w:val="center"/>
                </w:tcPr>
                <w:p w14:paraId="2C62271F">
                  <w:pPr>
                    <w:pStyle w:val="41"/>
                    <w:rPr>
                      <w:rFonts w:hint="default" w:ascii="Times New Roman" w:hAnsi="Times New Roman" w:eastAsia="宋体" w:cs="Times New Roman"/>
                    </w:rPr>
                  </w:pPr>
                </w:p>
              </w:tc>
              <w:tc>
                <w:tcPr>
                  <w:tcW w:w="700" w:type="dxa"/>
                  <w:vMerge w:val="continue"/>
                  <w:vAlign w:val="center"/>
                </w:tcPr>
                <w:p w14:paraId="07176EDB">
                  <w:pPr>
                    <w:pStyle w:val="41"/>
                    <w:rPr>
                      <w:rFonts w:hint="default" w:ascii="Times New Roman" w:hAnsi="Times New Roman" w:eastAsia="宋体" w:cs="Times New Roman"/>
                    </w:rPr>
                  </w:pPr>
                </w:p>
              </w:tc>
              <w:tc>
                <w:tcPr>
                  <w:tcW w:w="700" w:type="dxa"/>
                  <w:vMerge w:val="continue"/>
                  <w:vAlign w:val="center"/>
                </w:tcPr>
                <w:p w14:paraId="235AE839">
                  <w:pPr>
                    <w:pStyle w:val="41"/>
                    <w:rPr>
                      <w:rFonts w:hint="default" w:ascii="Times New Roman" w:hAnsi="Times New Roman" w:eastAsia="宋体" w:cs="Times New Roman"/>
                    </w:rPr>
                  </w:pPr>
                </w:p>
              </w:tc>
              <w:tc>
                <w:tcPr>
                  <w:tcW w:w="847" w:type="dxa"/>
                  <w:vAlign w:val="center"/>
                </w:tcPr>
                <w:p w14:paraId="4CBCD4F9">
                  <w:pPr>
                    <w:pStyle w:val="41"/>
                    <w:rPr>
                      <w:rFonts w:hint="default" w:ascii="Times New Roman" w:hAnsi="Times New Roman" w:eastAsia="宋体" w:cs="Times New Roman"/>
                    </w:rPr>
                  </w:pPr>
                  <w:r>
                    <w:rPr>
                      <w:rFonts w:hint="default" w:ascii="Times New Roman" w:hAnsi="Times New Roman" w:eastAsia="宋体" w:cs="Times New Roman"/>
                    </w:rPr>
                    <w:t>LAS</w:t>
                  </w:r>
                </w:p>
              </w:tc>
              <w:tc>
                <w:tcPr>
                  <w:tcW w:w="844" w:type="dxa"/>
                  <w:vAlign w:val="center"/>
                </w:tcPr>
                <w:p w14:paraId="624114B9">
                  <w:pPr>
                    <w:pStyle w:val="41"/>
                    <w:rPr>
                      <w:rFonts w:hint="default" w:ascii="Times New Roman" w:hAnsi="Times New Roman" w:eastAsia="宋体" w:cs="Times New Roman"/>
                    </w:rPr>
                  </w:pPr>
                  <w:r>
                    <w:rPr>
                      <w:rFonts w:hint="default" w:ascii="Times New Roman" w:hAnsi="Times New Roman" w:eastAsia="宋体" w:cs="Times New Roman"/>
                    </w:rPr>
                    <w:t>1</w:t>
                  </w:r>
                </w:p>
              </w:tc>
            </w:tr>
            <w:tr w14:paraId="633B6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3" w:hRule="atLeast"/>
                <w:jc w:val="center"/>
              </w:trPr>
              <w:tc>
                <w:tcPr>
                  <w:tcW w:w="422" w:type="dxa"/>
                  <w:vMerge w:val="continue"/>
                  <w:vAlign w:val="center"/>
                </w:tcPr>
                <w:p w14:paraId="37C6DA17">
                  <w:pPr>
                    <w:pStyle w:val="41"/>
                    <w:rPr>
                      <w:rFonts w:hint="default" w:ascii="Times New Roman" w:hAnsi="Times New Roman" w:eastAsia="宋体" w:cs="Times New Roman"/>
                    </w:rPr>
                  </w:pPr>
                </w:p>
              </w:tc>
              <w:tc>
                <w:tcPr>
                  <w:tcW w:w="721" w:type="dxa"/>
                  <w:vMerge w:val="continue"/>
                  <w:vAlign w:val="center"/>
                </w:tcPr>
                <w:p w14:paraId="62B0F70F">
                  <w:pPr>
                    <w:pStyle w:val="41"/>
                    <w:rPr>
                      <w:rFonts w:hint="default" w:ascii="Times New Roman" w:hAnsi="Times New Roman" w:eastAsia="宋体" w:cs="Times New Roman"/>
                    </w:rPr>
                  </w:pPr>
                </w:p>
              </w:tc>
              <w:tc>
                <w:tcPr>
                  <w:tcW w:w="849" w:type="dxa"/>
                  <w:vMerge w:val="continue"/>
                  <w:vAlign w:val="center"/>
                </w:tcPr>
                <w:p w14:paraId="6666E21E">
                  <w:pPr>
                    <w:pStyle w:val="41"/>
                    <w:rPr>
                      <w:rFonts w:hint="default" w:ascii="Times New Roman" w:hAnsi="Times New Roman" w:eastAsia="宋体" w:cs="Times New Roman"/>
                    </w:rPr>
                  </w:pPr>
                </w:p>
              </w:tc>
              <w:tc>
                <w:tcPr>
                  <w:tcW w:w="846" w:type="dxa"/>
                  <w:vMerge w:val="continue"/>
                  <w:vAlign w:val="center"/>
                </w:tcPr>
                <w:p w14:paraId="65E9CA48">
                  <w:pPr>
                    <w:pStyle w:val="41"/>
                    <w:rPr>
                      <w:rFonts w:hint="default" w:ascii="Times New Roman" w:hAnsi="Times New Roman" w:eastAsia="宋体" w:cs="Times New Roman"/>
                    </w:rPr>
                  </w:pPr>
                </w:p>
              </w:tc>
              <w:tc>
                <w:tcPr>
                  <w:tcW w:w="941" w:type="dxa"/>
                  <w:vMerge w:val="continue"/>
                  <w:vAlign w:val="center"/>
                </w:tcPr>
                <w:p w14:paraId="35D7DF12">
                  <w:pPr>
                    <w:pStyle w:val="41"/>
                    <w:rPr>
                      <w:rFonts w:hint="default" w:ascii="Times New Roman" w:hAnsi="Times New Roman" w:eastAsia="宋体" w:cs="Times New Roman"/>
                    </w:rPr>
                  </w:pPr>
                </w:p>
              </w:tc>
              <w:tc>
                <w:tcPr>
                  <w:tcW w:w="765" w:type="dxa"/>
                  <w:vMerge w:val="continue"/>
                  <w:vAlign w:val="center"/>
                </w:tcPr>
                <w:p w14:paraId="358A9D3A">
                  <w:pPr>
                    <w:pStyle w:val="41"/>
                    <w:rPr>
                      <w:rFonts w:hint="default" w:ascii="Times New Roman" w:hAnsi="Times New Roman" w:eastAsia="宋体" w:cs="Times New Roman"/>
                    </w:rPr>
                  </w:pPr>
                </w:p>
              </w:tc>
              <w:tc>
                <w:tcPr>
                  <w:tcW w:w="685" w:type="dxa"/>
                  <w:vMerge w:val="continue"/>
                  <w:vAlign w:val="center"/>
                </w:tcPr>
                <w:p w14:paraId="33AE7689">
                  <w:pPr>
                    <w:pStyle w:val="41"/>
                    <w:rPr>
                      <w:rFonts w:hint="default" w:ascii="Times New Roman" w:hAnsi="Times New Roman" w:eastAsia="宋体" w:cs="Times New Roman"/>
                    </w:rPr>
                  </w:pPr>
                </w:p>
              </w:tc>
              <w:tc>
                <w:tcPr>
                  <w:tcW w:w="700" w:type="dxa"/>
                  <w:vMerge w:val="continue"/>
                  <w:vAlign w:val="center"/>
                </w:tcPr>
                <w:p w14:paraId="49D1DEC3">
                  <w:pPr>
                    <w:pStyle w:val="41"/>
                    <w:rPr>
                      <w:rFonts w:hint="default" w:ascii="Times New Roman" w:hAnsi="Times New Roman" w:eastAsia="宋体" w:cs="Times New Roman"/>
                    </w:rPr>
                  </w:pPr>
                </w:p>
              </w:tc>
              <w:tc>
                <w:tcPr>
                  <w:tcW w:w="700" w:type="dxa"/>
                  <w:vMerge w:val="continue"/>
                  <w:vAlign w:val="center"/>
                </w:tcPr>
                <w:p w14:paraId="4A4C9185">
                  <w:pPr>
                    <w:pStyle w:val="41"/>
                    <w:rPr>
                      <w:rFonts w:hint="default" w:ascii="Times New Roman" w:hAnsi="Times New Roman" w:eastAsia="宋体" w:cs="Times New Roman"/>
                    </w:rPr>
                  </w:pPr>
                </w:p>
              </w:tc>
              <w:tc>
                <w:tcPr>
                  <w:tcW w:w="847" w:type="dxa"/>
                  <w:vAlign w:val="center"/>
                </w:tcPr>
                <w:p w14:paraId="643C9546">
                  <w:pPr>
                    <w:pStyle w:val="41"/>
                    <w:rPr>
                      <w:rFonts w:hint="default" w:ascii="Times New Roman" w:hAnsi="Times New Roman" w:eastAsia="宋体" w:cs="Times New Roman"/>
                    </w:rPr>
                  </w:pPr>
                  <w:r>
                    <w:rPr>
                      <w:rFonts w:hint="default" w:ascii="Times New Roman" w:hAnsi="Times New Roman" w:eastAsia="宋体" w:cs="Times New Roman"/>
                    </w:rPr>
                    <w:t>BOD</w:t>
                  </w:r>
                  <w:r>
                    <w:rPr>
                      <w:rFonts w:hint="default" w:ascii="Times New Roman" w:hAnsi="Times New Roman" w:eastAsia="宋体" w:cs="Times New Roman"/>
                      <w:vertAlign w:val="subscript"/>
                    </w:rPr>
                    <w:t>5</w:t>
                  </w:r>
                </w:p>
              </w:tc>
              <w:tc>
                <w:tcPr>
                  <w:tcW w:w="844" w:type="dxa"/>
                  <w:vAlign w:val="center"/>
                </w:tcPr>
                <w:p w14:paraId="5E1BDAD8">
                  <w:pPr>
                    <w:pStyle w:val="41"/>
                    <w:rPr>
                      <w:rFonts w:hint="default" w:ascii="Times New Roman" w:hAnsi="Times New Roman" w:eastAsia="宋体" w:cs="Times New Roman"/>
                    </w:rPr>
                  </w:pPr>
                  <w:r>
                    <w:rPr>
                      <w:rFonts w:hint="default" w:ascii="Times New Roman" w:hAnsi="Times New Roman" w:eastAsia="宋体" w:cs="Times New Roman"/>
                    </w:rPr>
                    <w:t>20</w:t>
                  </w:r>
                </w:p>
              </w:tc>
            </w:tr>
            <w:tr w14:paraId="0B77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3" w:hRule="atLeast"/>
                <w:jc w:val="center"/>
              </w:trPr>
              <w:tc>
                <w:tcPr>
                  <w:tcW w:w="422" w:type="dxa"/>
                  <w:vMerge w:val="continue"/>
                  <w:vAlign w:val="center"/>
                </w:tcPr>
                <w:p w14:paraId="4EA0CF5E">
                  <w:pPr>
                    <w:pStyle w:val="41"/>
                    <w:rPr>
                      <w:rFonts w:hint="default" w:ascii="Times New Roman" w:hAnsi="Times New Roman" w:eastAsia="宋体" w:cs="Times New Roman"/>
                    </w:rPr>
                  </w:pPr>
                </w:p>
              </w:tc>
              <w:tc>
                <w:tcPr>
                  <w:tcW w:w="721" w:type="dxa"/>
                  <w:vMerge w:val="continue"/>
                  <w:vAlign w:val="center"/>
                </w:tcPr>
                <w:p w14:paraId="224B5A0F">
                  <w:pPr>
                    <w:pStyle w:val="41"/>
                    <w:rPr>
                      <w:rFonts w:hint="default" w:ascii="Times New Roman" w:hAnsi="Times New Roman" w:eastAsia="宋体" w:cs="Times New Roman"/>
                    </w:rPr>
                  </w:pPr>
                </w:p>
              </w:tc>
              <w:tc>
                <w:tcPr>
                  <w:tcW w:w="849" w:type="dxa"/>
                  <w:vMerge w:val="continue"/>
                  <w:vAlign w:val="center"/>
                </w:tcPr>
                <w:p w14:paraId="2173B050">
                  <w:pPr>
                    <w:pStyle w:val="41"/>
                    <w:rPr>
                      <w:rFonts w:hint="default" w:ascii="Times New Roman" w:hAnsi="Times New Roman" w:eastAsia="宋体" w:cs="Times New Roman"/>
                    </w:rPr>
                  </w:pPr>
                </w:p>
              </w:tc>
              <w:tc>
                <w:tcPr>
                  <w:tcW w:w="846" w:type="dxa"/>
                  <w:vMerge w:val="continue"/>
                  <w:vAlign w:val="center"/>
                </w:tcPr>
                <w:p w14:paraId="3745DCA5">
                  <w:pPr>
                    <w:pStyle w:val="41"/>
                    <w:rPr>
                      <w:rFonts w:hint="default" w:ascii="Times New Roman" w:hAnsi="Times New Roman" w:eastAsia="宋体" w:cs="Times New Roman"/>
                    </w:rPr>
                  </w:pPr>
                </w:p>
              </w:tc>
              <w:tc>
                <w:tcPr>
                  <w:tcW w:w="941" w:type="dxa"/>
                  <w:vMerge w:val="continue"/>
                  <w:vAlign w:val="center"/>
                </w:tcPr>
                <w:p w14:paraId="6DC8CE1B">
                  <w:pPr>
                    <w:pStyle w:val="41"/>
                    <w:rPr>
                      <w:rFonts w:hint="default" w:ascii="Times New Roman" w:hAnsi="Times New Roman" w:eastAsia="宋体" w:cs="Times New Roman"/>
                    </w:rPr>
                  </w:pPr>
                </w:p>
              </w:tc>
              <w:tc>
                <w:tcPr>
                  <w:tcW w:w="765" w:type="dxa"/>
                  <w:vMerge w:val="continue"/>
                  <w:vAlign w:val="center"/>
                </w:tcPr>
                <w:p w14:paraId="398AC2F2">
                  <w:pPr>
                    <w:pStyle w:val="41"/>
                    <w:rPr>
                      <w:rFonts w:hint="default" w:ascii="Times New Roman" w:hAnsi="Times New Roman" w:eastAsia="宋体" w:cs="Times New Roman"/>
                    </w:rPr>
                  </w:pPr>
                </w:p>
              </w:tc>
              <w:tc>
                <w:tcPr>
                  <w:tcW w:w="685" w:type="dxa"/>
                  <w:vMerge w:val="continue"/>
                  <w:vAlign w:val="center"/>
                </w:tcPr>
                <w:p w14:paraId="7F6A9D30">
                  <w:pPr>
                    <w:pStyle w:val="41"/>
                    <w:rPr>
                      <w:rFonts w:hint="default" w:ascii="Times New Roman" w:hAnsi="Times New Roman" w:eastAsia="宋体" w:cs="Times New Roman"/>
                    </w:rPr>
                  </w:pPr>
                </w:p>
              </w:tc>
              <w:tc>
                <w:tcPr>
                  <w:tcW w:w="700" w:type="dxa"/>
                  <w:vMerge w:val="continue"/>
                  <w:vAlign w:val="center"/>
                </w:tcPr>
                <w:p w14:paraId="45790B3A">
                  <w:pPr>
                    <w:pStyle w:val="41"/>
                    <w:rPr>
                      <w:rFonts w:hint="default" w:ascii="Times New Roman" w:hAnsi="Times New Roman" w:eastAsia="宋体" w:cs="Times New Roman"/>
                    </w:rPr>
                  </w:pPr>
                </w:p>
              </w:tc>
              <w:tc>
                <w:tcPr>
                  <w:tcW w:w="700" w:type="dxa"/>
                  <w:vMerge w:val="continue"/>
                  <w:vAlign w:val="center"/>
                </w:tcPr>
                <w:p w14:paraId="0A7CB9C8">
                  <w:pPr>
                    <w:pStyle w:val="41"/>
                    <w:rPr>
                      <w:rFonts w:hint="default" w:ascii="Times New Roman" w:hAnsi="Times New Roman" w:eastAsia="宋体" w:cs="Times New Roman"/>
                    </w:rPr>
                  </w:pPr>
                </w:p>
              </w:tc>
              <w:tc>
                <w:tcPr>
                  <w:tcW w:w="847" w:type="dxa"/>
                  <w:vAlign w:val="center"/>
                </w:tcPr>
                <w:p w14:paraId="0EA8A9E8">
                  <w:pPr>
                    <w:pStyle w:val="41"/>
                    <w:rPr>
                      <w:rFonts w:hint="default" w:ascii="Times New Roman" w:hAnsi="Times New Roman" w:eastAsia="宋体" w:cs="Times New Roman"/>
                    </w:rPr>
                  </w:pPr>
                  <w:r>
                    <w:rPr>
                      <w:rFonts w:hint="default" w:ascii="Times New Roman" w:hAnsi="Times New Roman" w:eastAsia="宋体" w:cs="Times New Roman"/>
                    </w:rPr>
                    <w:t>氟化物</w:t>
                  </w:r>
                </w:p>
              </w:tc>
              <w:tc>
                <w:tcPr>
                  <w:tcW w:w="844" w:type="dxa"/>
                  <w:vAlign w:val="center"/>
                </w:tcPr>
                <w:p w14:paraId="2A82200B">
                  <w:pPr>
                    <w:pStyle w:val="41"/>
                    <w:rPr>
                      <w:rFonts w:hint="default" w:ascii="Times New Roman" w:hAnsi="Times New Roman" w:eastAsia="宋体" w:cs="Times New Roman"/>
                    </w:rPr>
                  </w:pPr>
                  <w:r>
                    <w:rPr>
                      <w:rFonts w:hint="default" w:ascii="Times New Roman" w:hAnsi="Times New Roman" w:eastAsia="宋体" w:cs="Times New Roman"/>
                    </w:rPr>
                    <w:t>10</w:t>
                  </w:r>
                </w:p>
              </w:tc>
            </w:tr>
          </w:tbl>
          <w:p w14:paraId="6CEC21AE">
            <w:pPr>
              <w:pStyle w:val="22"/>
              <w:rPr>
                <w:rFonts w:hint="default" w:ascii="Times New Roman" w:hAnsi="Times New Roman" w:eastAsia="宋体" w:cs="Times New Roman"/>
                <w:szCs w:val="21"/>
              </w:rPr>
            </w:pPr>
          </w:p>
          <w:p w14:paraId="58EDCAA1">
            <w:pPr>
              <w:pStyle w:val="22"/>
              <w:rPr>
                <w:rFonts w:hint="default" w:ascii="Times New Roman" w:hAnsi="Times New Roman" w:eastAsia="宋体" w:cs="Times New Roman"/>
                <w:szCs w:val="21"/>
              </w:rPr>
            </w:pPr>
          </w:p>
          <w:p w14:paraId="1372A3E8">
            <w:pPr>
              <w:pStyle w:val="22"/>
              <w:rPr>
                <w:rFonts w:hint="default" w:ascii="Times New Roman" w:hAnsi="Times New Roman" w:eastAsia="宋体" w:cs="Times New Roman"/>
                <w:szCs w:val="21"/>
              </w:rPr>
            </w:pPr>
          </w:p>
          <w:p w14:paraId="4B8BD485">
            <w:pPr>
              <w:pStyle w:val="22"/>
              <w:rPr>
                <w:rFonts w:hint="default" w:ascii="Times New Roman" w:hAnsi="Times New Roman" w:eastAsia="宋体" w:cs="Times New Roman"/>
                <w:szCs w:val="21"/>
              </w:rPr>
            </w:pPr>
          </w:p>
          <w:p w14:paraId="071027D5">
            <w:pPr>
              <w:pStyle w:val="22"/>
              <w:rPr>
                <w:rFonts w:hint="default" w:ascii="Times New Roman" w:hAnsi="Times New Roman" w:eastAsia="宋体" w:cs="Times New Roman"/>
                <w:szCs w:val="21"/>
              </w:rPr>
            </w:pPr>
          </w:p>
          <w:p w14:paraId="6AA70435">
            <w:pPr>
              <w:pStyle w:val="22"/>
              <w:rPr>
                <w:rFonts w:hint="default" w:ascii="Times New Roman" w:hAnsi="Times New Roman" w:eastAsia="宋体" w:cs="Times New Roman"/>
                <w:szCs w:val="21"/>
              </w:rPr>
            </w:pPr>
          </w:p>
          <w:p w14:paraId="7B4FDE51">
            <w:pPr>
              <w:pStyle w:val="22"/>
              <w:rPr>
                <w:rFonts w:hint="default" w:ascii="Times New Roman" w:hAnsi="Times New Roman" w:eastAsia="宋体" w:cs="Times New Roman"/>
                <w:szCs w:val="21"/>
              </w:rPr>
            </w:pPr>
          </w:p>
          <w:p w14:paraId="1E3DAF8E">
            <w:pPr>
              <w:pStyle w:val="22"/>
              <w:rPr>
                <w:rFonts w:hint="default" w:ascii="Times New Roman" w:hAnsi="Times New Roman" w:eastAsia="宋体" w:cs="Times New Roman"/>
                <w:szCs w:val="21"/>
              </w:rPr>
            </w:pPr>
          </w:p>
          <w:p w14:paraId="730C88C0">
            <w:pPr>
              <w:pStyle w:val="22"/>
              <w:rPr>
                <w:rFonts w:hint="default" w:ascii="Times New Roman" w:hAnsi="Times New Roman" w:eastAsia="宋体" w:cs="Times New Roman"/>
                <w:szCs w:val="21"/>
              </w:rPr>
            </w:pPr>
          </w:p>
          <w:p w14:paraId="1161395E">
            <w:pPr>
              <w:pStyle w:val="22"/>
              <w:rPr>
                <w:rFonts w:hint="default" w:ascii="Times New Roman" w:hAnsi="Times New Roman" w:eastAsia="宋体" w:cs="Times New Roman"/>
                <w:szCs w:val="21"/>
              </w:rPr>
            </w:pPr>
          </w:p>
          <w:p w14:paraId="29E7932D">
            <w:pPr>
              <w:pStyle w:val="22"/>
              <w:rPr>
                <w:rFonts w:hint="default" w:ascii="Times New Roman" w:hAnsi="Times New Roman" w:eastAsia="宋体" w:cs="Times New Roman"/>
                <w:szCs w:val="21"/>
              </w:rPr>
            </w:pPr>
          </w:p>
          <w:p w14:paraId="2C50541D">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表4-17 项目废水污染物排放执行情况表</w:t>
            </w:r>
          </w:p>
          <w:tbl>
            <w:tblPr>
              <w:tblStyle w:val="23"/>
              <w:tblW w:w="8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82"/>
              <w:gridCol w:w="1613"/>
              <w:gridCol w:w="1608"/>
              <w:gridCol w:w="1896"/>
              <w:gridCol w:w="1628"/>
            </w:tblGrid>
            <w:tr w14:paraId="3BF06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restart"/>
                  <w:vAlign w:val="center"/>
                </w:tcPr>
                <w:p w14:paraId="78DBBD3F">
                  <w:pPr>
                    <w:pStyle w:val="41"/>
                    <w:rPr>
                      <w:rFonts w:hint="default" w:ascii="Times New Roman" w:hAnsi="Times New Roman" w:eastAsia="宋体" w:cs="Times New Roman"/>
                      <w:b/>
                      <w:bCs/>
                    </w:rPr>
                  </w:pPr>
                  <w:r>
                    <w:rPr>
                      <w:rFonts w:hint="default" w:ascii="Times New Roman" w:hAnsi="Times New Roman" w:eastAsia="宋体" w:cs="Times New Roman"/>
                      <w:b/>
                      <w:bCs/>
                    </w:rPr>
                    <w:t>序号</w:t>
                  </w:r>
                </w:p>
              </w:tc>
              <w:tc>
                <w:tcPr>
                  <w:tcW w:w="1666" w:type="dxa"/>
                  <w:vMerge w:val="restart"/>
                  <w:vAlign w:val="center"/>
                </w:tcPr>
                <w:p w14:paraId="76082163">
                  <w:pPr>
                    <w:pStyle w:val="41"/>
                    <w:rPr>
                      <w:rFonts w:hint="default" w:ascii="Times New Roman" w:hAnsi="Times New Roman" w:eastAsia="宋体" w:cs="Times New Roman"/>
                      <w:b/>
                      <w:bCs/>
                    </w:rPr>
                  </w:pPr>
                  <w:r>
                    <w:rPr>
                      <w:rFonts w:hint="default" w:ascii="Times New Roman" w:hAnsi="Times New Roman" w:eastAsia="宋体" w:cs="Times New Roman"/>
                      <w:b/>
                      <w:bCs/>
                    </w:rPr>
                    <w:t>排放口编号</w:t>
                  </w:r>
                </w:p>
              </w:tc>
              <w:tc>
                <w:tcPr>
                  <w:tcW w:w="1665" w:type="dxa"/>
                  <w:vMerge w:val="restart"/>
                  <w:vAlign w:val="center"/>
                </w:tcPr>
                <w:p w14:paraId="0EE2C8E0">
                  <w:pPr>
                    <w:pStyle w:val="41"/>
                    <w:rPr>
                      <w:rFonts w:hint="default" w:ascii="Times New Roman" w:hAnsi="Times New Roman" w:eastAsia="宋体" w:cs="Times New Roman"/>
                      <w:b/>
                      <w:bCs/>
                    </w:rPr>
                  </w:pPr>
                  <w:r>
                    <w:rPr>
                      <w:rFonts w:hint="default" w:ascii="Times New Roman" w:hAnsi="Times New Roman" w:eastAsia="宋体" w:cs="Times New Roman"/>
                      <w:b/>
                      <w:bCs/>
                    </w:rPr>
                    <w:t>污染物种类</w:t>
                  </w:r>
                </w:p>
              </w:tc>
              <w:tc>
                <w:tcPr>
                  <w:tcW w:w="3330" w:type="dxa"/>
                  <w:gridSpan w:val="2"/>
                  <w:vAlign w:val="center"/>
                </w:tcPr>
                <w:p w14:paraId="69F68F4A">
                  <w:pPr>
                    <w:pStyle w:val="41"/>
                    <w:rPr>
                      <w:rFonts w:hint="default" w:ascii="Times New Roman" w:hAnsi="Times New Roman" w:eastAsia="宋体" w:cs="Times New Roman"/>
                      <w:b/>
                      <w:bCs/>
                    </w:rPr>
                  </w:pPr>
                  <w:r>
                    <w:rPr>
                      <w:rFonts w:hint="default" w:ascii="Times New Roman" w:hAnsi="Times New Roman" w:eastAsia="宋体" w:cs="Times New Roman"/>
                      <w:b/>
                      <w:bCs/>
                    </w:rPr>
                    <w:t>国家或地方污染物排放标准及其他按规定商定的排放协议</w:t>
                  </w:r>
                </w:p>
              </w:tc>
            </w:tr>
            <w:tr w14:paraId="10D11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continue"/>
                  <w:vAlign w:val="center"/>
                </w:tcPr>
                <w:p w14:paraId="1009995A">
                  <w:pPr>
                    <w:pStyle w:val="41"/>
                    <w:rPr>
                      <w:rFonts w:hint="default" w:ascii="Times New Roman" w:hAnsi="Times New Roman" w:eastAsia="宋体" w:cs="Times New Roman"/>
                      <w:b/>
                      <w:bCs/>
                    </w:rPr>
                  </w:pPr>
                </w:p>
              </w:tc>
              <w:tc>
                <w:tcPr>
                  <w:tcW w:w="1666" w:type="dxa"/>
                  <w:vMerge w:val="continue"/>
                  <w:vAlign w:val="center"/>
                </w:tcPr>
                <w:p w14:paraId="4B36C061">
                  <w:pPr>
                    <w:pStyle w:val="41"/>
                    <w:rPr>
                      <w:rFonts w:hint="default" w:ascii="Times New Roman" w:hAnsi="Times New Roman" w:eastAsia="宋体" w:cs="Times New Roman"/>
                      <w:b/>
                      <w:bCs/>
                    </w:rPr>
                  </w:pPr>
                </w:p>
              </w:tc>
              <w:tc>
                <w:tcPr>
                  <w:tcW w:w="1665" w:type="dxa"/>
                  <w:vMerge w:val="continue"/>
                  <w:vAlign w:val="center"/>
                </w:tcPr>
                <w:p w14:paraId="13730AA1">
                  <w:pPr>
                    <w:pStyle w:val="41"/>
                    <w:rPr>
                      <w:rFonts w:hint="default" w:ascii="Times New Roman" w:hAnsi="Times New Roman" w:eastAsia="宋体" w:cs="Times New Roman"/>
                      <w:b/>
                      <w:bCs/>
                    </w:rPr>
                  </w:pPr>
                </w:p>
              </w:tc>
              <w:tc>
                <w:tcPr>
                  <w:tcW w:w="1665" w:type="dxa"/>
                  <w:vAlign w:val="center"/>
                </w:tcPr>
                <w:p w14:paraId="5D62B2A4">
                  <w:pPr>
                    <w:pStyle w:val="41"/>
                    <w:rPr>
                      <w:rFonts w:hint="default" w:ascii="Times New Roman" w:hAnsi="Times New Roman" w:eastAsia="宋体" w:cs="Times New Roman"/>
                      <w:b/>
                      <w:bCs/>
                    </w:rPr>
                  </w:pPr>
                  <w:r>
                    <w:rPr>
                      <w:rFonts w:hint="default" w:ascii="Times New Roman" w:hAnsi="Times New Roman" w:eastAsia="宋体" w:cs="Times New Roman"/>
                      <w:b/>
                      <w:bCs/>
                    </w:rPr>
                    <w:t>名称</w:t>
                  </w:r>
                </w:p>
              </w:tc>
              <w:tc>
                <w:tcPr>
                  <w:tcW w:w="1665" w:type="dxa"/>
                  <w:vAlign w:val="center"/>
                </w:tcPr>
                <w:p w14:paraId="443D6600">
                  <w:pPr>
                    <w:pStyle w:val="41"/>
                    <w:rPr>
                      <w:rFonts w:hint="default" w:ascii="Times New Roman" w:hAnsi="Times New Roman" w:eastAsia="宋体" w:cs="Times New Roman"/>
                      <w:b/>
                      <w:bCs/>
                    </w:rPr>
                  </w:pPr>
                  <w:r>
                    <w:rPr>
                      <w:rFonts w:hint="default" w:ascii="Times New Roman" w:hAnsi="Times New Roman" w:eastAsia="宋体" w:cs="Times New Roman"/>
                      <w:b/>
                      <w:bCs/>
                    </w:rPr>
                    <w:t>浓度限值（mg/L）</w:t>
                  </w:r>
                </w:p>
              </w:tc>
            </w:tr>
            <w:tr w14:paraId="11C39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1666" w:type="dxa"/>
                  <w:vMerge w:val="restart"/>
                  <w:vAlign w:val="center"/>
                </w:tcPr>
                <w:p w14:paraId="72EC8081">
                  <w:pPr>
                    <w:pStyle w:val="41"/>
                    <w:rPr>
                      <w:rFonts w:hint="default" w:ascii="Times New Roman" w:hAnsi="Times New Roman" w:eastAsia="宋体" w:cs="Times New Roman"/>
                    </w:rPr>
                  </w:pPr>
                  <w:r>
                    <w:rPr>
                      <w:rFonts w:hint="default" w:ascii="Times New Roman" w:hAnsi="Times New Roman" w:eastAsia="宋体" w:cs="Times New Roman"/>
                    </w:rPr>
                    <w:t>1</w:t>
                  </w:r>
                </w:p>
              </w:tc>
              <w:tc>
                <w:tcPr>
                  <w:tcW w:w="1666" w:type="dxa"/>
                  <w:vMerge w:val="restart"/>
                  <w:vAlign w:val="center"/>
                </w:tcPr>
                <w:p w14:paraId="2C673FF4">
                  <w:pPr>
                    <w:pStyle w:val="41"/>
                    <w:rPr>
                      <w:rFonts w:hint="default" w:ascii="Times New Roman" w:hAnsi="Times New Roman" w:eastAsia="宋体" w:cs="Times New Roman"/>
                    </w:rPr>
                  </w:pPr>
                  <w:r>
                    <w:rPr>
                      <w:rFonts w:hint="default" w:ascii="Times New Roman" w:hAnsi="Times New Roman" w:eastAsia="宋体" w:cs="Times New Roman"/>
                    </w:rPr>
                    <w:t>DW002</w:t>
                  </w:r>
                </w:p>
              </w:tc>
              <w:tc>
                <w:tcPr>
                  <w:tcW w:w="1665" w:type="dxa"/>
                  <w:vAlign w:val="center"/>
                </w:tcPr>
                <w:p w14:paraId="11086012">
                  <w:pPr>
                    <w:pStyle w:val="41"/>
                    <w:rPr>
                      <w:rFonts w:hint="default" w:ascii="Times New Roman" w:hAnsi="Times New Roman" w:eastAsia="宋体" w:cs="Times New Roman"/>
                    </w:rPr>
                  </w:pPr>
                  <w:r>
                    <w:rPr>
                      <w:rFonts w:hint="default" w:ascii="Times New Roman" w:hAnsi="Times New Roman" w:eastAsia="宋体" w:cs="Times New Roman"/>
                    </w:rPr>
                    <w:t>pH</w:t>
                  </w:r>
                </w:p>
              </w:tc>
              <w:tc>
                <w:tcPr>
                  <w:tcW w:w="1665" w:type="dxa"/>
                  <w:vMerge w:val="restart"/>
                  <w:vAlign w:val="center"/>
                </w:tcPr>
                <w:p w14:paraId="62C23C45">
                  <w:pPr>
                    <w:pStyle w:val="41"/>
                    <w:rPr>
                      <w:rFonts w:hint="default" w:ascii="Times New Roman" w:hAnsi="Times New Roman" w:eastAsia="宋体" w:cs="Times New Roman"/>
                    </w:rPr>
                  </w:pPr>
                  <w:r>
                    <w:rPr>
                      <w:rFonts w:hint="default" w:ascii="Times New Roman" w:hAnsi="Times New Roman" w:eastAsia="宋体" w:cs="Times New Roman"/>
                    </w:rPr>
                    <w:t>广东省地方标准《水污染物排放限值》</w:t>
                  </w:r>
                  <w:r>
                    <w:rPr>
                      <w:rFonts w:hint="default" w:ascii="Times New Roman" w:hAnsi="Times New Roman" w:eastAsia="宋体" w:cs="Times New Roman"/>
                      <w:lang w:eastAsia="zh-CN"/>
                    </w:rPr>
                    <w:t>（</w:t>
                  </w:r>
                  <w:r>
                    <w:rPr>
                      <w:rFonts w:hint="default" w:ascii="Times New Roman" w:hAnsi="Times New Roman" w:eastAsia="宋体" w:cs="Times New Roman"/>
                    </w:rPr>
                    <w:t>DB44/26-2001</w:t>
                  </w:r>
                  <w:r>
                    <w:rPr>
                      <w:rFonts w:hint="default" w:ascii="Times New Roman" w:hAnsi="Times New Roman" w:eastAsia="宋体" w:cs="Times New Roman"/>
                      <w:lang w:eastAsia="zh-CN"/>
                    </w:rPr>
                    <w:t>）</w:t>
                  </w:r>
                  <w:r>
                    <w:rPr>
                      <w:rFonts w:hint="default" w:ascii="Times New Roman" w:hAnsi="Times New Roman" w:eastAsia="宋体" w:cs="Times New Roman"/>
                    </w:rPr>
                    <w:t>第二时段三级标准及园区污水处理厂接管水质要求较严值</w:t>
                  </w:r>
                </w:p>
              </w:tc>
              <w:tc>
                <w:tcPr>
                  <w:tcW w:w="1665" w:type="dxa"/>
                  <w:vAlign w:val="center"/>
                </w:tcPr>
                <w:p w14:paraId="0B4CD9CE">
                  <w:pPr>
                    <w:pStyle w:val="41"/>
                    <w:rPr>
                      <w:rFonts w:hint="default" w:ascii="Times New Roman" w:hAnsi="Times New Roman" w:eastAsia="宋体" w:cs="Times New Roman"/>
                    </w:rPr>
                  </w:pPr>
                  <w:r>
                    <w:rPr>
                      <w:rFonts w:hint="default" w:ascii="Times New Roman" w:hAnsi="Times New Roman" w:eastAsia="宋体" w:cs="Times New Roman"/>
                    </w:rPr>
                    <w:t>6-9（无量纲）</w:t>
                  </w:r>
                </w:p>
              </w:tc>
            </w:tr>
            <w:tr w14:paraId="356D7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continue"/>
                  <w:vAlign w:val="center"/>
                </w:tcPr>
                <w:p w14:paraId="72AC8382">
                  <w:pPr>
                    <w:pStyle w:val="41"/>
                    <w:rPr>
                      <w:rFonts w:hint="default" w:ascii="Times New Roman" w:hAnsi="Times New Roman" w:eastAsia="宋体" w:cs="Times New Roman"/>
                    </w:rPr>
                  </w:pPr>
                </w:p>
              </w:tc>
              <w:tc>
                <w:tcPr>
                  <w:tcW w:w="1666" w:type="dxa"/>
                  <w:vMerge w:val="continue"/>
                  <w:vAlign w:val="center"/>
                </w:tcPr>
                <w:p w14:paraId="310E980D">
                  <w:pPr>
                    <w:pStyle w:val="41"/>
                    <w:rPr>
                      <w:rFonts w:hint="default" w:ascii="Times New Roman" w:hAnsi="Times New Roman" w:eastAsia="宋体" w:cs="Times New Roman"/>
                    </w:rPr>
                  </w:pPr>
                </w:p>
              </w:tc>
              <w:tc>
                <w:tcPr>
                  <w:tcW w:w="1665" w:type="dxa"/>
                  <w:vAlign w:val="center"/>
                </w:tcPr>
                <w:p w14:paraId="4999BDA6">
                  <w:pPr>
                    <w:pStyle w:val="20"/>
                    <w:rPr>
                      <w:rFonts w:hint="default" w:ascii="Times New Roman" w:hAnsi="Times New Roman" w:eastAsia="宋体" w:cs="Times New Roman"/>
                    </w:rPr>
                  </w:pPr>
                  <w:r>
                    <w:rPr>
                      <w:rFonts w:hint="default" w:ascii="Times New Roman" w:hAnsi="Times New Roman" w:eastAsia="宋体" w:cs="Times New Roman"/>
                    </w:rPr>
                    <w:t>SS</w:t>
                  </w:r>
                </w:p>
              </w:tc>
              <w:tc>
                <w:tcPr>
                  <w:tcW w:w="1665" w:type="dxa"/>
                  <w:vMerge w:val="continue"/>
                  <w:vAlign w:val="center"/>
                </w:tcPr>
                <w:p w14:paraId="5B6FF182">
                  <w:pPr>
                    <w:pStyle w:val="41"/>
                    <w:rPr>
                      <w:rFonts w:hint="default" w:ascii="Times New Roman" w:hAnsi="Times New Roman" w:eastAsia="宋体" w:cs="Times New Roman"/>
                    </w:rPr>
                  </w:pPr>
                </w:p>
              </w:tc>
              <w:tc>
                <w:tcPr>
                  <w:tcW w:w="1665" w:type="dxa"/>
                  <w:vAlign w:val="center"/>
                </w:tcPr>
                <w:p w14:paraId="3CA5695B">
                  <w:pPr>
                    <w:pStyle w:val="20"/>
                    <w:rPr>
                      <w:rFonts w:hint="default" w:ascii="Times New Roman" w:hAnsi="Times New Roman" w:eastAsia="宋体" w:cs="Times New Roman"/>
                    </w:rPr>
                  </w:pPr>
                  <w:r>
                    <w:rPr>
                      <w:rFonts w:hint="default" w:ascii="Times New Roman" w:hAnsi="Times New Roman" w:eastAsia="宋体" w:cs="Times New Roman"/>
                    </w:rPr>
                    <w:t>≤300</w:t>
                  </w:r>
                </w:p>
              </w:tc>
            </w:tr>
            <w:tr w14:paraId="76E42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continue"/>
                  <w:vAlign w:val="center"/>
                </w:tcPr>
                <w:p w14:paraId="74F19F75">
                  <w:pPr>
                    <w:pStyle w:val="41"/>
                    <w:rPr>
                      <w:rFonts w:hint="default" w:ascii="Times New Roman" w:hAnsi="Times New Roman" w:eastAsia="宋体" w:cs="Times New Roman"/>
                    </w:rPr>
                  </w:pPr>
                </w:p>
              </w:tc>
              <w:tc>
                <w:tcPr>
                  <w:tcW w:w="1666" w:type="dxa"/>
                  <w:vMerge w:val="continue"/>
                  <w:vAlign w:val="center"/>
                </w:tcPr>
                <w:p w14:paraId="05437143">
                  <w:pPr>
                    <w:pStyle w:val="41"/>
                    <w:rPr>
                      <w:rFonts w:hint="default" w:ascii="Times New Roman" w:hAnsi="Times New Roman" w:eastAsia="宋体" w:cs="Times New Roman"/>
                    </w:rPr>
                  </w:pPr>
                </w:p>
              </w:tc>
              <w:tc>
                <w:tcPr>
                  <w:tcW w:w="1665" w:type="dxa"/>
                  <w:vAlign w:val="center"/>
                </w:tcPr>
                <w:p w14:paraId="15315582">
                  <w:pPr>
                    <w:pStyle w:val="20"/>
                    <w:rPr>
                      <w:rFonts w:hint="default" w:ascii="Times New Roman" w:hAnsi="Times New Roman" w:eastAsia="宋体" w:cs="Times New Roman"/>
                    </w:rPr>
                  </w:pPr>
                  <w:r>
                    <w:rPr>
                      <w:rFonts w:hint="default" w:ascii="Times New Roman" w:hAnsi="Times New Roman" w:eastAsia="宋体" w:cs="Times New Roman"/>
                    </w:rPr>
                    <w:t>CODcr</w:t>
                  </w:r>
                </w:p>
              </w:tc>
              <w:tc>
                <w:tcPr>
                  <w:tcW w:w="1665" w:type="dxa"/>
                  <w:vMerge w:val="continue"/>
                  <w:vAlign w:val="center"/>
                </w:tcPr>
                <w:p w14:paraId="1C4A2C76">
                  <w:pPr>
                    <w:pStyle w:val="41"/>
                    <w:rPr>
                      <w:rFonts w:hint="default" w:ascii="Times New Roman" w:hAnsi="Times New Roman" w:eastAsia="宋体" w:cs="Times New Roman"/>
                    </w:rPr>
                  </w:pPr>
                </w:p>
              </w:tc>
              <w:tc>
                <w:tcPr>
                  <w:tcW w:w="1665" w:type="dxa"/>
                  <w:vAlign w:val="center"/>
                </w:tcPr>
                <w:p w14:paraId="5B790D29">
                  <w:pPr>
                    <w:pStyle w:val="20"/>
                    <w:rPr>
                      <w:rFonts w:hint="default" w:ascii="Times New Roman" w:hAnsi="Times New Roman" w:eastAsia="宋体" w:cs="Times New Roman"/>
                    </w:rPr>
                  </w:pPr>
                  <w:r>
                    <w:rPr>
                      <w:rFonts w:hint="default" w:ascii="Times New Roman" w:hAnsi="Times New Roman" w:eastAsia="宋体" w:cs="Times New Roman"/>
                    </w:rPr>
                    <w:t>≤350</w:t>
                  </w:r>
                </w:p>
              </w:tc>
            </w:tr>
            <w:tr w14:paraId="35EB3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666" w:type="dxa"/>
                  <w:vMerge w:val="continue"/>
                  <w:vAlign w:val="center"/>
                </w:tcPr>
                <w:p w14:paraId="00DDECE3">
                  <w:pPr>
                    <w:pStyle w:val="41"/>
                    <w:rPr>
                      <w:rFonts w:hint="default" w:ascii="Times New Roman" w:hAnsi="Times New Roman" w:eastAsia="宋体" w:cs="Times New Roman"/>
                    </w:rPr>
                  </w:pPr>
                </w:p>
              </w:tc>
              <w:tc>
                <w:tcPr>
                  <w:tcW w:w="1666" w:type="dxa"/>
                  <w:vMerge w:val="continue"/>
                  <w:vAlign w:val="center"/>
                </w:tcPr>
                <w:p w14:paraId="6625815F">
                  <w:pPr>
                    <w:pStyle w:val="41"/>
                    <w:rPr>
                      <w:rFonts w:hint="default" w:ascii="Times New Roman" w:hAnsi="Times New Roman" w:eastAsia="宋体" w:cs="Times New Roman"/>
                    </w:rPr>
                  </w:pPr>
                </w:p>
              </w:tc>
              <w:tc>
                <w:tcPr>
                  <w:tcW w:w="1665" w:type="dxa"/>
                  <w:vAlign w:val="center"/>
                </w:tcPr>
                <w:p w14:paraId="20FEDA76">
                  <w:pPr>
                    <w:pStyle w:val="20"/>
                    <w:rPr>
                      <w:rFonts w:hint="default" w:ascii="Times New Roman" w:hAnsi="Times New Roman" w:eastAsia="宋体" w:cs="Times New Roman"/>
                    </w:rPr>
                  </w:pPr>
                  <w:r>
                    <w:rPr>
                      <w:rFonts w:hint="default" w:ascii="Times New Roman" w:hAnsi="Times New Roman" w:eastAsia="宋体" w:cs="Times New Roman"/>
                    </w:rPr>
                    <w:t>石油类</w:t>
                  </w:r>
                </w:p>
              </w:tc>
              <w:tc>
                <w:tcPr>
                  <w:tcW w:w="1665" w:type="dxa"/>
                  <w:vMerge w:val="continue"/>
                  <w:vAlign w:val="center"/>
                </w:tcPr>
                <w:p w14:paraId="75262E31">
                  <w:pPr>
                    <w:pStyle w:val="41"/>
                    <w:rPr>
                      <w:rFonts w:hint="default" w:ascii="Times New Roman" w:hAnsi="Times New Roman" w:eastAsia="宋体" w:cs="Times New Roman"/>
                    </w:rPr>
                  </w:pPr>
                </w:p>
              </w:tc>
              <w:tc>
                <w:tcPr>
                  <w:tcW w:w="1665" w:type="dxa"/>
                  <w:vAlign w:val="center"/>
                </w:tcPr>
                <w:p w14:paraId="11E257CF">
                  <w:pPr>
                    <w:pStyle w:val="20"/>
                    <w:rPr>
                      <w:rFonts w:hint="default" w:ascii="Times New Roman" w:hAnsi="Times New Roman" w:eastAsia="宋体" w:cs="Times New Roman"/>
                    </w:rPr>
                  </w:pPr>
                  <w:r>
                    <w:rPr>
                      <w:rFonts w:hint="default" w:ascii="Times New Roman" w:hAnsi="Times New Roman" w:eastAsia="宋体" w:cs="Times New Roman"/>
                    </w:rPr>
                    <w:t>≤10</w:t>
                  </w:r>
                </w:p>
              </w:tc>
            </w:tr>
            <w:tr w14:paraId="1EC10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continue"/>
                  <w:vAlign w:val="center"/>
                </w:tcPr>
                <w:p w14:paraId="7BC69408">
                  <w:pPr>
                    <w:pStyle w:val="41"/>
                    <w:rPr>
                      <w:rFonts w:hint="default" w:ascii="Times New Roman" w:hAnsi="Times New Roman" w:eastAsia="宋体" w:cs="Times New Roman"/>
                    </w:rPr>
                  </w:pPr>
                </w:p>
              </w:tc>
              <w:tc>
                <w:tcPr>
                  <w:tcW w:w="1666" w:type="dxa"/>
                  <w:vMerge w:val="continue"/>
                  <w:vAlign w:val="center"/>
                </w:tcPr>
                <w:p w14:paraId="26775A5C">
                  <w:pPr>
                    <w:pStyle w:val="41"/>
                    <w:rPr>
                      <w:rFonts w:hint="default" w:ascii="Times New Roman" w:hAnsi="Times New Roman" w:eastAsia="宋体" w:cs="Times New Roman"/>
                    </w:rPr>
                  </w:pPr>
                </w:p>
              </w:tc>
              <w:tc>
                <w:tcPr>
                  <w:tcW w:w="1665" w:type="dxa"/>
                  <w:vAlign w:val="center"/>
                </w:tcPr>
                <w:p w14:paraId="7A99205A">
                  <w:pPr>
                    <w:pStyle w:val="20"/>
                    <w:rPr>
                      <w:rFonts w:hint="default" w:ascii="Times New Roman" w:hAnsi="Times New Roman" w:eastAsia="宋体" w:cs="Times New Roman"/>
                    </w:rPr>
                  </w:pPr>
                  <w:r>
                    <w:rPr>
                      <w:rFonts w:hint="default" w:ascii="Times New Roman" w:hAnsi="Times New Roman" w:eastAsia="宋体" w:cs="Times New Roman"/>
                    </w:rPr>
                    <w:t>LAS</w:t>
                  </w:r>
                </w:p>
              </w:tc>
              <w:tc>
                <w:tcPr>
                  <w:tcW w:w="1665" w:type="dxa"/>
                  <w:vMerge w:val="continue"/>
                  <w:vAlign w:val="center"/>
                </w:tcPr>
                <w:p w14:paraId="1AE06C5B">
                  <w:pPr>
                    <w:pStyle w:val="41"/>
                    <w:rPr>
                      <w:rFonts w:hint="default" w:ascii="Times New Roman" w:hAnsi="Times New Roman" w:eastAsia="宋体" w:cs="Times New Roman"/>
                    </w:rPr>
                  </w:pPr>
                </w:p>
              </w:tc>
              <w:tc>
                <w:tcPr>
                  <w:tcW w:w="1665" w:type="dxa"/>
                  <w:vAlign w:val="center"/>
                </w:tcPr>
                <w:p w14:paraId="2A2E8CC1">
                  <w:pPr>
                    <w:pStyle w:val="20"/>
                    <w:rPr>
                      <w:rFonts w:hint="default" w:ascii="Times New Roman" w:hAnsi="Times New Roman" w:eastAsia="宋体" w:cs="Times New Roman"/>
                    </w:rPr>
                  </w:pPr>
                  <w:r>
                    <w:rPr>
                      <w:rFonts w:hint="default" w:ascii="Times New Roman" w:hAnsi="Times New Roman" w:eastAsia="宋体" w:cs="Times New Roman"/>
                    </w:rPr>
                    <w:t>≤20</w:t>
                  </w:r>
                </w:p>
              </w:tc>
            </w:tr>
            <w:tr w14:paraId="5A01E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continue"/>
                  <w:vAlign w:val="center"/>
                </w:tcPr>
                <w:p w14:paraId="388740C2">
                  <w:pPr>
                    <w:pStyle w:val="41"/>
                    <w:rPr>
                      <w:rFonts w:hint="default" w:ascii="Times New Roman" w:hAnsi="Times New Roman" w:eastAsia="宋体" w:cs="Times New Roman"/>
                    </w:rPr>
                  </w:pPr>
                </w:p>
              </w:tc>
              <w:tc>
                <w:tcPr>
                  <w:tcW w:w="1666" w:type="dxa"/>
                  <w:vMerge w:val="continue"/>
                  <w:vAlign w:val="center"/>
                </w:tcPr>
                <w:p w14:paraId="5C6B75D5">
                  <w:pPr>
                    <w:pStyle w:val="41"/>
                    <w:rPr>
                      <w:rFonts w:hint="default" w:ascii="Times New Roman" w:hAnsi="Times New Roman" w:eastAsia="宋体" w:cs="Times New Roman"/>
                    </w:rPr>
                  </w:pPr>
                </w:p>
              </w:tc>
              <w:tc>
                <w:tcPr>
                  <w:tcW w:w="1665" w:type="dxa"/>
                  <w:vAlign w:val="center"/>
                </w:tcPr>
                <w:p w14:paraId="51FDC5B4">
                  <w:pPr>
                    <w:pStyle w:val="20"/>
                    <w:rPr>
                      <w:rFonts w:hint="default" w:ascii="Times New Roman" w:hAnsi="Times New Roman" w:eastAsia="宋体" w:cs="Times New Roman"/>
                    </w:rPr>
                  </w:pPr>
                  <w:r>
                    <w:rPr>
                      <w:rFonts w:hint="default" w:ascii="Times New Roman" w:hAnsi="Times New Roman" w:eastAsia="宋体" w:cs="Times New Roman"/>
                    </w:rPr>
                    <w:t>BOD</w:t>
                  </w:r>
                  <w:r>
                    <w:rPr>
                      <w:rFonts w:hint="default" w:ascii="Times New Roman" w:hAnsi="Times New Roman" w:eastAsia="宋体" w:cs="Times New Roman"/>
                      <w:vertAlign w:val="subscript"/>
                    </w:rPr>
                    <w:t>5</w:t>
                  </w:r>
                </w:p>
              </w:tc>
              <w:tc>
                <w:tcPr>
                  <w:tcW w:w="1665" w:type="dxa"/>
                  <w:vMerge w:val="continue"/>
                  <w:vAlign w:val="center"/>
                </w:tcPr>
                <w:p w14:paraId="40146698">
                  <w:pPr>
                    <w:pStyle w:val="41"/>
                    <w:rPr>
                      <w:rFonts w:hint="default" w:ascii="Times New Roman" w:hAnsi="Times New Roman" w:eastAsia="宋体" w:cs="Times New Roman"/>
                    </w:rPr>
                  </w:pPr>
                </w:p>
              </w:tc>
              <w:tc>
                <w:tcPr>
                  <w:tcW w:w="1665" w:type="dxa"/>
                  <w:vAlign w:val="center"/>
                </w:tcPr>
                <w:p w14:paraId="68BD9B64">
                  <w:pPr>
                    <w:pStyle w:val="20"/>
                    <w:rPr>
                      <w:rFonts w:hint="default" w:ascii="Times New Roman" w:hAnsi="Times New Roman" w:eastAsia="宋体" w:cs="Times New Roman"/>
                    </w:rPr>
                  </w:pPr>
                  <w:r>
                    <w:rPr>
                      <w:rFonts w:hint="default" w:ascii="Times New Roman" w:hAnsi="Times New Roman" w:eastAsia="宋体" w:cs="Times New Roman"/>
                    </w:rPr>
                    <w:t>≤150</w:t>
                  </w:r>
                </w:p>
              </w:tc>
            </w:tr>
            <w:tr w14:paraId="74F54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dxa"/>
                  <w:vMerge w:val="continue"/>
                  <w:vAlign w:val="center"/>
                </w:tcPr>
                <w:p w14:paraId="1928C9A9">
                  <w:pPr>
                    <w:pStyle w:val="41"/>
                    <w:rPr>
                      <w:rFonts w:hint="default" w:ascii="Times New Roman" w:hAnsi="Times New Roman" w:eastAsia="宋体" w:cs="Times New Roman"/>
                    </w:rPr>
                  </w:pPr>
                </w:p>
              </w:tc>
              <w:tc>
                <w:tcPr>
                  <w:tcW w:w="1666" w:type="dxa"/>
                  <w:vMerge w:val="continue"/>
                  <w:vAlign w:val="center"/>
                </w:tcPr>
                <w:p w14:paraId="7E479E57">
                  <w:pPr>
                    <w:pStyle w:val="41"/>
                    <w:rPr>
                      <w:rFonts w:hint="default" w:ascii="Times New Roman" w:hAnsi="Times New Roman" w:eastAsia="宋体" w:cs="Times New Roman"/>
                    </w:rPr>
                  </w:pPr>
                </w:p>
              </w:tc>
              <w:tc>
                <w:tcPr>
                  <w:tcW w:w="1665" w:type="dxa"/>
                  <w:vAlign w:val="center"/>
                </w:tcPr>
                <w:p w14:paraId="2A2F3876">
                  <w:pPr>
                    <w:pStyle w:val="20"/>
                    <w:rPr>
                      <w:rFonts w:hint="default" w:ascii="Times New Roman" w:hAnsi="Times New Roman" w:eastAsia="宋体" w:cs="Times New Roman"/>
                    </w:rPr>
                  </w:pPr>
                  <w:r>
                    <w:rPr>
                      <w:rFonts w:hint="default" w:ascii="Times New Roman" w:hAnsi="Times New Roman" w:eastAsia="宋体" w:cs="Times New Roman"/>
                    </w:rPr>
                    <w:t>氟化物</w:t>
                  </w:r>
                </w:p>
              </w:tc>
              <w:tc>
                <w:tcPr>
                  <w:tcW w:w="1665" w:type="dxa"/>
                  <w:vMerge w:val="continue"/>
                  <w:vAlign w:val="center"/>
                </w:tcPr>
                <w:p w14:paraId="549B41F0">
                  <w:pPr>
                    <w:pStyle w:val="41"/>
                    <w:rPr>
                      <w:rFonts w:hint="default" w:ascii="Times New Roman" w:hAnsi="Times New Roman" w:eastAsia="宋体" w:cs="Times New Roman"/>
                    </w:rPr>
                  </w:pPr>
                </w:p>
              </w:tc>
              <w:tc>
                <w:tcPr>
                  <w:tcW w:w="1665" w:type="dxa"/>
                  <w:vAlign w:val="center"/>
                </w:tcPr>
                <w:p w14:paraId="6B689D64">
                  <w:pPr>
                    <w:pStyle w:val="20"/>
                    <w:rPr>
                      <w:rFonts w:hint="default" w:ascii="Times New Roman" w:hAnsi="Times New Roman" w:eastAsia="宋体" w:cs="Times New Roman"/>
                    </w:rPr>
                  </w:pPr>
                  <w:r>
                    <w:rPr>
                      <w:rFonts w:hint="default" w:ascii="Times New Roman" w:hAnsi="Times New Roman" w:eastAsia="宋体" w:cs="Times New Roman"/>
                    </w:rPr>
                    <w:t>≤20</w:t>
                  </w:r>
                </w:p>
              </w:tc>
            </w:tr>
          </w:tbl>
          <w:p w14:paraId="66F87030">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表4-18 建设项目废水污染物排放信息表</w:t>
            </w:r>
          </w:p>
          <w:tbl>
            <w:tblPr>
              <w:tblStyle w:val="23"/>
              <w:tblW w:w="82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1"/>
              <w:gridCol w:w="1336"/>
              <w:gridCol w:w="1074"/>
              <w:gridCol w:w="1720"/>
              <w:gridCol w:w="1257"/>
              <w:gridCol w:w="1538"/>
            </w:tblGrid>
            <w:tr w14:paraId="60C6C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341" w:type="dxa"/>
                  <w:vAlign w:val="center"/>
                </w:tcPr>
                <w:p w14:paraId="6CF83312">
                  <w:pPr>
                    <w:pStyle w:val="41"/>
                    <w:rPr>
                      <w:rFonts w:hint="default" w:ascii="Times New Roman" w:hAnsi="Times New Roman" w:eastAsia="宋体" w:cs="Times New Roman"/>
                      <w:b/>
                      <w:bCs/>
                    </w:rPr>
                  </w:pPr>
                  <w:r>
                    <w:rPr>
                      <w:rFonts w:hint="default" w:ascii="Times New Roman" w:hAnsi="Times New Roman" w:eastAsia="宋体" w:cs="Times New Roman"/>
                      <w:b/>
                      <w:bCs/>
                    </w:rPr>
                    <w:t>序号</w:t>
                  </w:r>
                </w:p>
              </w:tc>
              <w:tc>
                <w:tcPr>
                  <w:tcW w:w="1336" w:type="dxa"/>
                  <w:vAlign w:val="center"/>
                </w:tcPr>
                <w:p w14:paraId="25550382">
                  <w:pPr>
                    <w:pStyle w:val="41"/>
                    <w:rPr>
                      <w:rFonts w:hint="default" w:ascii="Times New Roman" w:hAnsi="Times New Roman" w:eastAsia="宋体" w:cs="Times New Roman"/>
                      <w:b/>
                      <w:bCs/>
                    </w:rPr>
                  </w:pPr>
                  <w:r>
                    <w:rPr>
                      <w:rFonts w:hint="default" w:ascii="Times New Roman" w:hAnsi="Times New Roman" w:eastAsia="宋体" w:cs="Times New Roman"/>
                      <w:b/>
                      <w:bCs/>
                    </w:rPr>
                    <w:t>排放口编号</w:t>
                  </w:r>
                </w:p>
              </w:tc>
              <w:tc>
                <w:tcPr>
                  <w:tcW w:w="1074" w:type="dxa"/>
                  <w:vAlign w:val="center"/>
                </w:tcPr>
                <w:p w14:paraId="3DDB0175">
                  <w:pPr>
                    <w:pStyle w:val="41"/>
                    <w:rPr>
                      <w:rFonts w:hint="default" w:ascii="Times New Roman" w:hAnsi="Times New Roman" w:eastAsia="宋体" w:cs="Times New Roman"/>
                      <w:b/>
                      <w:bCs/>
                    </w:rPr>
                  </w:pPr>
                  <w:r>
                    <w:rPr>
                      <w:rFonts w:hint="default" w:ascii="Times New Roman" w:hAnsi="Times New Roman" w:eastAsia="宋体" w:cs="Times New Roman"/>
                      <w:b/>
                      <w:bCs/>
                    </w:rPr>
                    <w:t>污染物种类</w:t>
                  </w:r>
                </w:p>
              </w:tc>
              <w:tc>
                <w:tcPr>
                  <w:tcW w:w="1720" w:type="dxa"/>
                  <w:vAlign w:val="center"/>
                </w:tcPr>
                <w:p w14:paraId="0C9E5A3D">
                  <w:pPr>
                    <w:pStyle w:val="41"/>
                    <w:rPr>
                      <w:rFonts w:hint="default" w:ascii="Times New Roman" w:hAnsi="Times New Roman" w:eastAsia="宋体" w:cs="Times New Roman"/>
                      <w:b/>
                      <w:bCs/>
                    </w:rPr>
                  </w:pPr>
                  <w:r>
                    <w:rPr>
                      <w:rFonts w:hint="default" w:ascii="Times New Roman" w:hAnsi="Times New Roman" w:eastAsia="宋体" w:cs="Times New Roman"/>
                      <w:b/>
                      <w:bCs/>
                    </w:rPr>
                    <w:t>排放浓度（mg/L）</w:t>
                  </w:r>
                </w:p>
              </w:tc>
              <w:tc>
                <w:tcPr>
                  <w:tcW w:w="1257" w:type="dxa"/>
                  <w:vAlign w:val="center"/>
                </w:tcPr>
                <w:p w14:paraId="3A19444D">
                  <w:pPr>
                    <w:pStyle w:val="41"/>
                    <w:rPr>
                      <w:rFonts w:hint="default" w:ascii="Times New Roman" w:hAnsi="Times New Roman" w:eastAsia="宋体" w:cs="Times New Roman"/>
                      <w:b/>
                      <w:bCs/>
                    </w:rPr>
                  </w:pPr>
                  <w:r>
                    <w:rPr>
                      <w:rFonts w:hint="default" w:ascii="Times New Roman" w:hAnsi="Times New Roman" w:eastAsia="宋体" w:cs="Times New Roman"/>
                      <w:b/>
                      <w:bCs/>
                    </w:rPr>
                    <w:t>日排放量（kg/d）</w:t>
                  </w:r>
                </w:p>
              </w:tc>
              <w:tc>
                <w:tcPr>
                  <w:tcW w:w="1538" w:type="dxa"/>
                  <w:vAlign w:val="center"/>
                </w:tcPr>
                <w:p w14:paraId="402B9560">
                  <w:pPr>
                    <w:pStyle w:val="41"/>
                    <w:rPr>
                      <w:rFonts w:hint="default" w:ascii="Times New Roman" w:hAnsi="Times New Roman" w:eastAsia="宋体" w:cs="Times New Roman"/>
                      <w:b/>
                      <w:bCs/>
                    </w:rPr>
                  </w:pPr>
                  <w:r>
                    <w:rPr>
                      <w:rFonts w:hint="default" w:ascii="Times New Roman" w:hAnsi="Times New Roman" w:eastAsia="宋体" w:cs="Times New Roman"/>
                      <w:b/>
                      <w:bCs/>
                    </w:rPr>
                    <w:t>年排放量（t/a）</w:t>
                  </w:r>
                </w:p>
              </w:tc>
            </w:tr>
            <w:tr w14:paraId="357A2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41" w:type="dxa"/>
                  <w:vMerge w:val="restart"/>
                  <w:vAlign w:val="center"/>
                </w:tcPr>
                <w:p w14:paraId="36418D7F">
                  <w:pPr>
                    <w:pStyle w:val="41"/>
                    <w:rPr>
                      <w:rFonts w:hint="default" w:ascii="Times New Roman" w:hAnsi="Times New Roman" w:eastAsia="宋体" w:cs="Times New Roman"/>
                    </w:rPr>
                  </w:pPr>
                  <w:r>
                    <w:rPr>
                      <w:rFonts w:hint="default" w:ascii="Times New Roman" w:hAnsi="Times New Roman" w:eastAsia="宋体" w:cs="Times New Roman"/>
                    </w:rPr>
                    <w:t>1</w:t>
                  </w:r>
                </w:p>
              </w:tc>
              <w:tc>
                <w:tcPr>
                  <w:tcW w:w="1336" w:type="dxa"/>
                  <w:vMerge w:val="restart"/>
                  <w:vAlign w:val="center"/>
                </w:tcPr>
                <w:p w14:paraId="76A67961">
                  <w:pPr>
                    <w:pStyle w:val="41"/>
                    <w:rPr>
                      <w:rFonts w:hint="default" w:ascii="Times New Roman" w:hAnsi="Times New Roman" w:eastAsia="宋体" w:cs="Times New Roman"/>
                    </w:rPr>
                  </w:pPr>
                  <w:r>
                    <w:rPr>
                      <w:rFonts w:hint="default" w:ascii="Times New Roman" w:hAnsi="Times New Roman" w:eastAsia="宋体" w:cs="Times New Roman"/>
                    </w:rPr>
                    <w:t>DW002</w:t>
                  </w:r>
                </w:p>
              </w:tc>
              <w:tc>
                <w:tcPr>
                  <w:tcW w:w="1074" w:type="dxa"/>
                  <w:vAlign w:val="center"/>
                </w:tcPr>
                <w:p w14:paraId="2CC0E8E6">
                  <w:pPr>
                    <w:pStyle w:val="20"/>
                    <w:rPr>
                      <w:rFonts w:hint="default" w:ascii="Times New Roman" w:hAnsi="Times New Roman" w:eastAsia="宋体" w:cs="Times New Roman"/>
                    </w:rPr>
                  </w:pPr>
                  <w:r>
                    <w:rPr>
                      <w:rFonts w:hint="default" w:ascii="Times New Roman" w:hAnsi="Times New Roman" w:eastAsia="宋体" w:cs="Times New Roman"/>
                    </w:rPr>
                    <w:t>SS</w:t>
                  </w:r>
                </w:p>
              </w:tc>
              <w:tc>
                <w:tcPr>
                  <w:tcW w:w="1720" w:type="dxa"/>
                  <w:vAlign w:val="center"/>
                </w:tcPr>
                <w:p w14:paraId="626948F5">
                  <w:pPr>
                    <w:pStyle w:val="20"/>
                    <w:rPr>
                      <w:rFonts w:hint="default" w:ascii="Times New Roman" w:hAnsi="Times New Roman" w:eastAsia="宋体" w:cs="Times New Roman"/>
                    </w:rPr>
                  </w:pPr>
                  <w:r>
                    <w:rPr>
                      <w:rFonts w:hint="default" w:ascii="Times New Roman" w:hAnsi="Times New Roman" w:eastAsia="宋体" w:cs="Times New Roman"/>
                    </w:rPr>
                    <w:t>30</w:t>
                  </w:r>
                </w:p>
              </w:tc>
              <w:tc>
                <w:tcPr>
                  <w:tcW w:w="1257" w:type="dxa"/>
                  <w:vAlign w:val="center"/>
                </w:tcPr>
                <w:p w14:paraId="4A598491">
                  <w:pPr>
                    <w:pStyle w:val="20"/>
                    <w:rPr>
                      <w:rFonts w:hint="default" w:ascii="Times New Roman" w:hAnsi="Times New Roman" w:eastAsia="宋体" w:cs="Times New Roman"/>
                    </w:rPr>
                  </w:pPr>
                  <w:r>
                    <w:rPr>
                      <w:rFonts w:hint="default" w:ascii="Times New Roman" w:hAnsi="Times New Roman" w:eastAsia="宋体" w:cs="Times New Roman"/>
                    </w:rPr>
                    <w:t>0.2500</w:t>
                  </w:r>
                </w:p>
              </w:tc>
              <w:tc>
                <w:tcPr>
                  <w:tcW w:w="1538" w:type="dxa"/>
                  <w:vAlign w:val="center"/>
                </w:tcPr>
                <w:p w14:paraId="6D1445D1">
                  <w:pPr>
                    <w:pStyle w:val="20"/>
                    <w:rPr>
                      <w:rFonts w:hint="default" w:ascii="Times New Roman" w:hAnsi="Times New Roman" w:eastAsia="宋体" w:cs="Times New Roman"/>
                    </w:rPr>
                  </w:pPr>
                  <w:r>
                    <w:rPr>
                      <w:rFonts w:hint="default" w:ascii="Times New Roman" w:hAnsi="Times New Roman" w:eastAsia="宋体" w:cs="Times New Roman"/>
                    </w:rPr>
                    <w:t>0.075</w:t>
                  </w:r>
                </w:p>
              </w:tc>
            </w:tr>
            <w:tr w14:paraId="029A7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41" w:type="dxa"/>
                  <w:vMerge w:val="continue"/>
                  <w:vAlign w:val="center"/>
                </w:tcPr>
                <w:p w14:paraId="17C55DCA">
                  <w:pPr>
                    <w:pStyle w:val="41"/>
                    <w:rPr>
                      <w:rFonts w:hint="default" w:ascii="Times New Roman" w:hAnsi="Times New Roman" w:eastAsia="宋体" w:cs="Times New Roman"/>
                    </w:rPr>
                  </w:pPr>
                </w:p>
              </w:tc>
              <w:tc>
                <w:tcPr>
                  <w:tcW w:w="1336" w:type="dxa"/>
                  <w:vMerge w:val="continue"/>
                  <w:vAlign w:val="center"/>
                </w:tcPr>
                <w:p w14:paraId="0339718D">
                  <w:pPr>
                    <w:pStyle w:val="41"/>
                    <w:rPr>
                      <w:rFonts w:hint="default" w:ascii="Times New Roman" w:hAnsi="Times New Roman" w:eastAsia="宋体" w:cs="Times New Roman"/>
                    </w:rPr>
                  </w:pPr>
                </w:p>
              </w:tc>
              <w:tc>
                <w:tcPr>
                  <w:tcW w:w="1074" w:type="dxa"/>
                  <w:vAlign w:val="center"/>
                </w:tcPr>
                <w:p w14:paraId="7780423C">
                  <w:pPr>
                    <w:pStyle w:val="20"/>
                    <w:rPr>
                      <w:rFonts w:hint="default" w:ascii="Times New Roman" w:hAnsi="Times New Roman" w:eastAsia="宋体" w:cs="Times New Roman"/>
                    </w:rPr>
                  </w:pPr>
                  <w:r>
                    <w:rPr>
                      <w:rFonts w:hint="default" w:ascii="Times New Roman" w:hAnsi="Times New Roman" w:eastAsia="宋体" w:cs="Times New Roman"/>
                    </w:rPr>
                    <w:t>CODcr</w:t>
                  </w:r>
                </w:p>
              </w:tc>
              <w:tc>
                <w:tcPr>
                  <w:tcW w:w="1720" w:type="dxa"/>
                  <w:vAlign w:val="center"/>
                </w:tcPr>
                <w:p w14:paraId="3242486F">
                  <w:pPr>
                    <w:pStyle w:val="20"/>
                    <w:rPr>
                      <w:rFonts w:hint="default" w:ascii="Times New Roman" w:hAnsi="Times New Roman" w:eastAsia="宋体" w:cs="Times New Roman"/>
                    </w:rPr>
                  </w:pPr>
                  <w:r>
                    <w:rPr>
                      <w:rFonts w:hint="default" w:ascii="Times New Roman" w:hAnsi="Times New Roman" w:eastAsia="宋体" w:cs="Times New Roman"/>
                    </w:rPr>
                    <w:t>280</w:t>
                  </w:r>
                </w:p>
              </w:tc>
              <w:tc>
                <w:tcPr>
                  <w:tcW w:w="1257" w:type="dxa"/>
                  <w:vAlign w:val="center"/>
                </w:tcPr>
                <w:p w14:paraId="4F73220F">
                  <w:pPr>
                    <w:pStyle w:val="20"/>
                    <w:rPr>
                      <w:rFonts w:hint="default" w:ascii="Times New Roman" w:hAnsi="Times New Roman" w:eastAsia="宋体" w:cs="Times New Roman"/>
                    </w:rPr>
                  </w:pPr>
                  <w:r>
                    <w:rPr>
                      <w:rFonts w:hint="default" w:ascii="Times New Roman" w:hAnsi="Times New Roman" w:eastAsia="宋体" w:cs="Times New Roman"/>
                    </w:rPr>
                    <w:t>2.343</w:t>
                  </w:r>
                </w:p>
              </w:tc>
              <w:tc>
                <w:tcPr>
                  <w:tcW w:w="1538" w:type="dxa"/>
                  <w:vAlign w:val="center"/>
                </w:tcPr>
                <w:p w14:paraId="204823F4">
                  <w:pPr>
                    <w:pStyle w:val="20"/>
                    <w:rPr>
                      <w:rFonts w:hint="default" w:ascii="Times New Roman" w:hAnsi="Times New Roman" w:eastAsia="宋体" w:cs="Times New Roman"/>
                    </w:rPr>
                  </w:pPr>
                  <w:r>
                    <w:rPr>
                      <w:rFonts w:hint="default" w:ascii="Times New Roman" w:hAnsi="Times New Roman" w:eastAsia="宋体" w:cs="Times New Roman"/>
                    </w:rPr>
                    <w:t>0.703</w:t>
                  </w:r>
                </w:p>
              </w:tc>
            </w:tr>
            <w:tr w14:paraId="5005E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41" w:type="dxa"/>
                  <w:vMerge w:val="continue"/>
                  <w:vAlign w:val="center"/>
                </w:tcPr>
                <w:p w14:paraId="0EADA4BE">
                  <w:pPr>
                    <w:pStyle w:val="41"/>
                    <w:rPr>
                      <w:rFonts w:hint="default" w:ascii="Times New Roman" w:hAnsi="Times New Roman" w:eastAsia="宋体" w:cs="Times New Roman"/>
                    </w:rPr>
                  </w:pPr>
                </w:p>
              </w:tc>
              <w:tc>
                <w:tcPr>
                  <w:tcW w:w="1336" w:type="dxa"/>
                  <w:vMerge w:val="continue"/>
                  <w:vAlign w:val="center"/>
                </w:tcPr>
                <w:p w14:paraId="29DE4495">
                  <w:pPr>
                    <w:pStyle w:val="41"/>
                    <w:rPr>
                      <w:rFonts w:hint="default" w:ascii="Times New Roman" w:hAnsi="Times New Roman" w:eastAsia="宋体" w:cs="Times New Roman"/>
                    </w:rPr>
                  </w:pPr>
                </w:p>
              </w:tc>
              <w:tc>
                <w:tcPr>
                  <w:tcW w:w="1074" w:type="dxa"/>
                  <w:vAlign w:val="center"/>
                </w:tcPr>
                <w:p w14:paraId="3CD1E252">
                  <w:pPr>
                    <w:pStyle w:val="20"/>
                    <w:rPr>
                      <w:rFonts w:hint="default" w:ascii="Times New Roman" w:hAnsi="Times New Roman" w:eastAsia="宋体" w:cs="Times New Roman"/>
                    </w:rPr>
                  </w:pPr>
                  <w:r>
                    <w:rPr>
                      <w:rFonts w:hint="default" w:ascii="Times New Roman" w:hAnsi="Times New Roman" w:eastAsia="宋体" w:cs="Times New Roman"/>
                    </w:rPr>
                    <w:t>石油类</w:t>
                  </w:r>
                </w:p>
              </w:tc>
              <w:tc>
                <w:tcPr>
                  <w:tcW w:w="1720" w:type="dxa"/>
                  <w:vAlign w:val="center"/>
                </w:tcPr>
                <w:p w14:paraId="1F91BCCD">
                  <w:pPr>
                    <w:pStyle w:val="20"/>
                    <w:rPr>
                      <w:rFonts w:hint="default" w:ascii="Times New Roman" w:hAnsi="Times New Roman" w:eastAsia="宋体" w:cs="Times New Roman"/>
                    </w:rPr>
                  </w:pPr>
                  <w:r>
                    <w:rPr>
                      <w:rFonts w:hint="default" w:ascii="Times New Roman" w:hAnsi="Times New Roman" w:eastAsia="宋体" w:cs="Times New Roman"/>
                    </w:rPr>
                    <w:t>1.05</w:t>
                  </w:r>
                </w:p>
              </w:tc>
              <w:tc>
                <w:tcPr>
                  <w:tcW w:w="1257" w:type="dxa"/>
                  <w:vAlign w:val="center"/>
                </w:tcPr>
                <w:p w14:paraId="148B804A">
                  <w:pPr>
                    <w:pStyle w:val="20"/>
                    <w:rPr>
                      <w:rFonts w:hint="default" w:ascii="Times New Roman" w:hAnsi="Times New Roman" w:eastAsia="宋体" w:cs="Times New Roman"/>
                    </w:rPr>
                  </w:pPr>
                  <w:r>
                    <w:rPr>
                      <w:rFonts w:hint="default" w:ascii="Times New Roman" w:hAnsi="Times New Roman" w:eastAsia="宋体" w:cs="Times New Roman"/>
                    </w:rPr>
                    <w:t>0.0100</w:t>
                  </w:r>
                </w:p>
              </w:tc>
              <w:tc>
                <w:tcPr>
                  <w:tcW w:w="1538" w:type="dxa"/>
                  <w:vAlign w:val="center"/>
                </w:tcPr>
                <w:p w14:paraId="2E9C4D12">
                  <w:pPr>
                    <w:pStyle w:val="20"/>
                    <w:rPr>
                      <w:rFonts w:hint="default" w:ascii="Times New Roman" w:hAnsi="Times New Roman" w:eastAsia="宋体" w:cs="Times New Roman"/>
                    </w:rPr>
                  </w:pPr>
                  <w:r>
                    <w:rPr>
                      <w:rFonts w:hint="default" w:ascii="Times New Roman" w:hAnsi="Times New Roman" w:eastAsia="宋体" w:cs="Times New Roman"/>
                    </w:rPr>
                    <w:t>0.003</w:t>
                  </w:r>
                </w:p>
              </w:tc>
            </w:tr>
            <w:tr w14:paraId="52B89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41" w:type="dxa"/>
                  <w:vMerge w:val="continue"/>
                  <w:vAlign w:val="center"/>
                </w:tcPr>
                <w:p w14:paraId="66A9FEA1">
                  <w:pPr>
                    <w:pStyle w:val="41"/>
                    <w:rPr>
                      <w:rFonts w:hint="default" w:ascii="Times New Roman" w:hAnsi="Times New Roman" w:eastAsia="宋体" w:cs="Times New Roman"/>
                    </w:rPr>
                  </w:pPr>
                </w:p>
              </w:tc>
              <w:tc>
                <w:tcPr>
                  <w:tcW w:w="1336" w:type="dxa"/>
                  <w:vMerge w:val="continue"/>
                  <w:vAlign w:val="center"/>
                </w:tcPr>
                <w:p w14:paraId="328E4422">
                  <w:pPr>
                    <w:pStyle w:val="41"/>
                    <w:rPr>
                      <w:rFonts w:hint="default" w:ascii="Times New Roman" w:hAnsi="Times New Roman" w:eastAsia="宋体" w:cs="Times New Roman"/>
                    </w:rPr>
                  </w:pPr>
                </w:p>
              </w:tc>
              <w:tc>
                <w:tcPr>
                  <w:tcW w:w="1074" w:type="dxa"/>
                  <w:vAlign w:val="center"/>
                </w:tcPr>
                <w:p w14:paraId="318E357C">
                  <w:pPr>
                    <w:pStyle w:val="20"/>
                    <w:rPr>
                      <w:rFonts w:hint="default" w:ascii="Times New Roman" w:hAnsi="Times New Roman" w:eastAsia="宋体" w:cs="Times New Roman"/>
                    </w:rPr>
                  </w:pPr>
                  <w:r>
                    <w:rPr>
                      <w:rFonts w:hint="default" w:ascii="Times New Roman" w:hAnsi="Times New Roman" w:eastAsia="宋体" w:cs="Times New Roman"/>
                    </w:rPr>
                    <w:t>LAS</w:t>
                  </w:r>
                </w:p>
              </w:tc>
              <w:tc>
                <w:tcPr>
                  <w:tcW w:w="1720" w:type="dxa"/>
                  <w:vAlign w:val="center"/>
                </w:tcPr>
                <w:p w14:paraId="77CD6130">
                  <w:pPr>
                    <w:pStyle w:val="20"/>
                    <w:rPr>
                      <w:rFonts w:hint="default" w:ascii="Times New Roman" w:hAnsi="Times New Roman" w:eastAsia="宋体" w:cs="Times New Roman"/>
                    </w:rPr>
                  </w:pPr>
                  <w:r>
                    <w:rPr>
                      <w:rFonts w:hint="default" w:ascii="Times New Roman" w:hAnsi="Times New Roman" w:eastAsia="宋体" w:cs="Times New Roman"/>
                    </w:rPr>
                    <w:t>5.4</w:t>
                  </w:r>
                </w:p>
              </w:tc>
              <w:tc>
                <w:tcPr>
                  <w:tcW w:w="1257" w:type="dxa"/>
                  <w:vAlign w:val="center"/>
                </w:tcPr>
                <w:p w14:paraId="788CA29A">
                  <w:pPr>
                    <w:pStyle w:val="20"/>
                    <w:rPr>
                      <w:rFonts w:hint="default" w:ascii="Times New Roman" w:hAnsi="Times New Roman" w:eastAsia="宋体" w:cs="Times New Roman"/>
                    </w:rPr>
                  </w:pPr>
                  <w:r>
                    <w:rPr>
                      <w:rFonts w:hint="default" w:ascii="Times New Roman" w:hAnsi="Times New Roman" w:eastAsia="宋体" w:cs="Times New Roman"/>
                    </w:rPr>
                    <w:t>0.0467</w:t>
                  </w:r>
                </w:p>
              </w:tc>
              <w:tc>
                <w:tcPr>
                  <w:tcW w:w="1538" w:type="dxa"/>
                  <w:vAlign w:val="center"/>
                </w:tcPr>
                <w:p w14:paraId="289BBA64">
                  <w:pPr>
                    <w:pStyle w:val="20"/>
                    <w:rPr>
                      <w:rFonts w:hint="default" w:ascii="Times New Roman" w:hAnsi="Times New Roman" w:eastAsia="宋体" w:cs="Times New Roman"/>
                    </w:rPr>
                  </w:pPr>
                  <w:r>
                    <w:rPr>
                      <w:rFonts w:hint="default" w:ascii="Times New Roman" w:hAnsi="Times New Roman" w:eastAsia="宋体" w:cs="Times New Roman"/>
                    </w:rPr>
                    <w:t>0.014</w:t>
                  </w:r>
                </w:p>
              </w:tc>
            </w:tr>
            <w:tr w14:paraId="0FD3D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41" w:type="dxa"/>
                  <w:vMerge w:val="continue"/>
                  <w:vAlign w:val="center"/>
                </w:tcPr>
                <w:p w14:paraId="696C3A0D">
                  <w:pPr>
                    <w:pStyle w:val="41"/>
                    <w:rPr>
                      <w:rFonts w:hint="default" w:ascii="Times New Roman" w:hAnsi="Times New Roman" w:eastAsia="宋体" w:cs="Times New Roman"/>
                    </w:rPr>
                  </w:pPr>
                </w:p>
              </w:tc>
              <w:tc>
                <w:tcPr>
                  <w:tcW w:w="1336" w:type="dxa"/>
                  <w:vMerge w:val="continue"/>
                  <w:vAlign w:val="center"/>
                </w:tcPr>
                <w:p w14:paraId="36A4FCFD">
                  <w:pPr>
                    <w:pStyle w:val="41"/>
                    <w:rPr>
                      <w:rFonts w:hint="default" w:ascii="Times New Roman" w:hAnsi="Times New Roman" w:eastAsia="宋体" w:cs="Times New Roman"/>
                    </w:rPr>
                  </w:pPr>
                </w:p>
              </w:tc>
              <w:tc>
                <w:tcPr>
                  <w:tcW w:w="1074" w:type="dxa"/>
                  <w:vAlign w:val="center"/>
                </w:tcPr>
                <w:p w14:paraId="007F215E">
                  <w:pPr>
                    <w:pStyle w:val="20"/>
                    <w:rPr>
                      <w:rFonts w:hint="default" w:ascii="Times New Roman" w:hAnsi="Times New Roman" w:eastAsia="宋体" w:cs="Times New Roman"/>
                    </w:rPr>
                  </w:pPr>
                  <w:r>
                    <w:rPr>
                      <w:rFonts w:hint="default" w:ascii="Times New Roman" w:hAnsi="Times New Roman" w:eastAsia="宋体" w:cs="Times New Roman"/>
                    </w:rPr>
                    <w:t>BOD</w:t>
                  </w:r>
                  <w:r>
                    <w:rPr>
                      <w:rFonts w:hint="default" w:ascii="Times New Roman" w:hAnsi="Times New Roman" w:eastAsia="宋体" w:cs="Times New Roman"/>
                      <w:vertAlign w:val="subscript"/>
                    </w:rPr>
                    <w:t>5</w:t>
                  </w:r>
                </w:p>
              </w:tc>
              <w:tc>
                <w:tcPr>
                  <w:tcW w:w="1720" w:type="dxa"/>
                  <w:vAlign w:val="center"/>
                </w:tcPr>
                <w:p w14:paraId="0DB3113A">
                  <w:pPr>
                    <w:pStyle w:val="20"/>
                    <w:rPr>
                      <w:rFonts w:hint="default" w:ascii="Times New Roman" w:hAnsi="Times New Roman" w:eastAsia="宋体" w:cs="Times New Roman"/>
                    </w:rPr>
                  </w:pPr>
                  <w:r>
                    <w:rPr>
                      <w:rFonts w:hint="default" w:ascii="Times New Roman" w:hAnsi="Times New Roman" w:eastAsia="宋体" w:cs="Times New Roman"/>
                    </w:rPr>
                    <w:t>105</w:t>
                  </w:r>
                </w:p>
              </w:tc>
              <w:tc>
                <w:tcPr>
                  <w:tcW w:w="1257" w:type="dxa"/>
                  <w:vAlign w:val="center"/>
                </w:tcPr>
                <w:p w14:paraId="00DF9506">
                  <w:pPr>
                    <w:pStyle w:val="20"/>
                    <w:rPr>
                      <w:rFonts w:hint="default" w:ascii="Times New Roman" w:hAnsi="Times New Roman" w:eastAsia="宋体" w:cs="Times New Roman"/>
                    </w:rPr>
                  </w:pPr>
                  <w:r>
                    <w:rPr>
                      <w:rFonts w:hint="default" w:ascii="Times New Roman" w:hAnsi="Times New Roman" w:eastAsia="宋体" w:cs="Times New Roman"/>
                    </w:rPr>
                    <w:t>0.8800</w:t>
                  </w:r>
                </w:p>
              </w:tc>
              <w:tc>
                <w:tcPr>
                  <w:tcW w:w="1538" w:type="dxa"/>
                  <w:vAlign w:val="center"/>
                </w:tcPr>
                <w:p w14:paraId="06B9B19E">
                  <w:pPr>
                    <w:pStyle w:val="20"/>
                    <w:rPr>
                      <w:rFonts w:hint="default" w:ascii="Times New Roman" w:hAnsi="Times New Roman" w:eastAsia="宋体" w:cs="Times New Roman"/>
                    </w:rPr>
                  </w:pPr>
                  <w:r>
                    <w:rPr>
                      <w:rFonts w:hint="default" w:ascii="Times New Roman" w:hAnsi="Times New Roman" w:eastAsia="宋体" w:cs="Times New Roman"/>
                    </w:rPr>
                    <w:t>0.264</w:t>
                  </w:r>
                </w:p>
              </w:tc>
            </w:tr>
            <w:tr w14:paraId="2262A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41" w:type="dxa"/>
                  <w:vMerge w:val="continue"/>
                  <w:vAlign w:val="center"/>
                </w:tcPr>
                <w:p w14:paraId="28E25FB5">
                  <w:pPr>
                    <w:pStyle w:val="41"/>
                    <w:rPr>
                      <w:rFonts w:hint="default" w:ascii="Times New Roman" w:hAnsi="Times New Roman" w:eastAsia="宋体" w:cs="Times New Roman"/>
                    </w:rPr>
                  </w:pPr>
                </w:p>
              </w:tc>
              <w:tc>
                <w:tcPr>
                  <w:tcW w:w="1336" w:type="dxa"/>
                  <w:vMerge w:val="continue"/>
                  <w:vAlign w:val="center"/>
                </w:tcPr>
                <w:p w14:paraId="496974EE">
                  <w:pPr>
                    <w:pStyle w:val="41"/>
                    <w:rPr>
                      <w:rFonts w:hint="default" w:ascii="Times New Roman" w:hAnsi="Times New Roman" w:eastAsia="宋体" w:cs="Times New Roman"/>
                    </w:rPr>
                  </w:pPr>
                </w:p>
              </w:tc>
              <w:tc>
                <w:tcPr>
                  <w:tcW w:w="1074" w:type="dxa"/>
                  <w:vAlign w:val="center"/>
                </w:tcPr>
                <w:p w14:paraId="018FE364">
                  <w:pPr>
                    <w:pStyle w:val="20"/>
                    <w:rPr>
                      <w:rFonts w:hint="default" w:ascii="Times New Roman" w:hAnsi="Times New Roman" w:eastAsia="宋体" w:cs="Times New Roman"/>
                    </w:rPr>
                  </w:pPr>
                  <w:r>
                    <w:rPr>
                      <w:rFonts w:hint="default" w:ascii="Times New Roman" w:hAnsi="Times New Roman" w:eastAsia="宋体" w:cs="Times New Roman"/>
                    </w:rPr>
                    <w:t>氟化物</w:t>
                  </w:r>
                </w:p>
              </w:tc>
              <w:tc>
                <w:tcPr>
                  <w:tcW w:w="1720" w:type="dxa"/>
                  <w:vAlign w:val="center"/>
                </w:tcPr>
                <w:p w14:paraId="49F6F670">
                  <w:pPr>
                    <w:pStyle w:val="20"/>
                    <w:rPr>
                      <w:rFonts w:hint="default" w:ascii="Times New Roman" w:hAnsi="Times New Roman" w:eastAsia="宋体" w:cs="Times New Roman"/>
                    </w:rPr>
                  </w:pPr>
                  <w:r>
                    <w:rPr>
                      <w:rFonts w:hint="default" w:ascii="Times New Roman" w:hAnsi="Times New Roman" w:eastAsia="宋体" w:cs="Times New Roman"/>
                    </w:rPr>
                    <w:t>4.3</w:t>
                  </w:r>
                </w:p>
              </w:tc>
              <w:tc>
                <w:tcPr>
                  <w:tcW w:w="1257" w:type="dxa"/>
                  <w:vAlign w:val="center"/>
                </w:tcPr>
                <w:p w14:paraId="25B1E13F">
                  <w:pPr>
                    <w:pStyle w:val="20"/>
                    <w:rPr>
                      <w:rFonts w:hint="default" w:ascii="Times New Roman" w:hAnsi="Times New Roman" w:eastAsia="宋体" w:cs="Times New Roman"/>
                    </w:rPr>
                  </w:pPr>
                  <w:r>
                    <w:rPr>
                      <w:rFonts w:hint="default" w:ascii="Times New Roman" w:hAnsi="Times New Roman" w:eastAsia="宋体" w:cs="Times New Roman"/>
                    </w:rPr>
                    <w:t>0.0367</w:t>
                  </w:r>
                </w:p>
              </w:tc>
              <w:tc>
                <w:tcPr>
                  <w:tcW w:w="1538" w:type="dxa"/>
                  <w:vAlign w:val="center"/>
                </w:tcPr>
                <w:p w14:paraId="079BDBD7">
                  <w:pPr>
                    <w:pStyle w:val="20"/>
                    <w:rPr>
                      <w:rFonts w:hint="default" w:ascii="Times New Roman" w:hAnsi="Times New Roman" w:eastAsia="宋体" w:cs="Times New Roman"/>
                    </w:rPr>
                  </w:pPr>
                  <w:r>
                    <w:rPr>
                      <w:rFonts w:hint="default" w:ascii="Times New Roman" w:hAnsi="Times New Roman" w:eastAsia="宋体" w:cs="Times New Roman"/>
                    </w:rPr>
                    <w:t>0.011</w:t>
                  </w:r>
                </w:p>
              </w:tc>
            </w:tr>
            <w:tr w14:paraId="04FAF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41" w:type="dxa"/>
                  <w:vMerge w:val="restart"/>
                  <w:vAlign w:val="center"/>
                </w:tcPr>
                <w:p w14:paraId="4B1E5784">
                  <w:pPr>
                    <w:pStyle w:val="41"/>
                    <w:rPr>
                      <w:rFonts w:hint="default" w:ascii="Times New Roman" w:hAnsi="Times New Roman" w:eastAsia="宋体" w:cs="Times New Roman"/>
                    </w:rPr>
                  </w:pPr>
                  <w:r>
                    <w:rPr>
                      <w:rFonts w:hint="default" w:ascii="Times New Roman" w:hAnsi="Times New Roman" w:eastAsia="宋体" w:cs="Times New Roman"/>
                    </w:rPr>
                    <w:t>全厂排放口合计</w:t>
                  </w:r>
                </w:p>
              </w:tc>
              <w:tc>
                <w:tcPr>
                  <w:tcW w:w="5387" w:type="dxa"/>
                  <w:gridSpan w:val="4"/>
                  <w:vAlign w:val="center"/>
                </w:tcPr>
                <w:p w14:paraId="1C49B2EB">
                  <w:pPr>
                    <w:pStyle w:val="20"/>
                    <w:rPr>
                      <w:rFonts w:hint="default" w:ascii="Times New Roman" w:hAnsi="Times New Roman" w:eastAsia="宋体" w:cs="Times New Roman"/>
                    </w:rPr>
                  </w:pPr>
                  <w:r>
                    <w:rPr>
                      <w:rFonts w:hint="default" w:ascii="Times New Roman" w:hAnsi="Times New Roman" w:eastAsia="宋体" w:cs="Times New Roman"/>
                    </w:rPr>
                    <w:t>SS</w:t>
                  </w:r>
                </w:p>
              </w:tc>
              <w:tc>
                <w:tcPr>
                  <w:tcW w:w="1538" w:type="dxa"/>
                  <w:vAlign w:val="center"/>
                </w:tcPr>
                <w:p w14:paraId="02398D1A">
                  <w:pPr>
                    <w:pStyle w:val="20"/>
                    <w:rPr>
                      <w:rFonts w:hint="default" w:ascii="Times New Roman" w:hAnsi="Times New Roman" w:eastAsia="宋体" w:cs="Times New Roman"/>
                    </w:rPr>
                  </w:pPr>
                  <w:r>
                    <w:rPr>
                      <w:rFonts w:hint="default" w:ascii="Times New Roman" w:hAnsi="Times New Roman" w:eastAsia="宋体" w:cs="Times New Roman"/>
                    </w:rPr>
                    <w:t>0.075</w:t>
                  </w:r>
                </w:p>
              </w:tc>
            </w:tr>
            <w:tr w14:paraId="5AAC3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41" w:type="dxa"/>
                  <w:vMerge w:val="continue"/>
                  <w:vAlign w:val="center"/>
                </w:tcPr>
                <w:p w14:paraId="3327C7DD">
                  <w:pPr>
                    <w:pStyle w:val="41"/>
                    <w:rPr>
                      <w:rFonts w:hint="default" w:ascii="Times New Roman" w:hAnsi="Times New Roman" w:eastAsia="宋体" w:cs="Times New Roman"/>
                    </w:rPr>
                  </w:pPr>
                </w:p>
              </w:tc>
              <w:tc>
                <w:tcPr>
                  <w:tcW w:w="5387" w:type="dxa"/>
                  <w:gridSpan w:val="4"/>
                  <w:vAlign w:val="center"/>
                </w:tcPr>
                <w:p w14:paraId="14A588E7">
                  <w:pPr>
                    <w:pStyle w:val="20"/>
                    <w:rPr>
                      <w:rFonts w:hint="default" w:ascii="Times New Roman" w:hAnsi="Times New Roman" w:eastAsia="宋体" w:cs="Times New Roman"/>
                    </w:rPr>
                  </w:pPr>
                  <w:r>
                    <w:rPr>
                      <w:rFonts w:hint="default" w:ascii="Times New Roman" w:hAnsi="Times New Roman" w:eastAsia="宋体" w:cs="Times New Roman"/>
                    </w:rPr>
                    <w:t>CODcr</w:t>
                  </w:r>
                </w:p>
              </w:tc>
              <w:tc>
                <w:tcPr>
                  <w:tcW w:w="1538" w:type="dxa"/>
                  <w:vAlign w:val="center"/>
                </w:tcPr>
                <w:p w14:paraId="6A8BBA16">
                  <w:pPr>
                    <w:pStyle w:val="20"/>
                    <w:rPr>
                      <w:rFonts w:hint="default" w:ascii="Times New Roman" w:hAnsi="Times New Roman" w:eastAsia="宋体" w:cs="Times New Roman"/>
                    </w:rPr>
                  </w:pPr>
                  <w:r>
                    <w:rPr>
                      <w:rFonts w:hint="default" w:ascii="Times New Roman" w:hAnsi="Times New Roman" w:eastAsia="宋体" w:cs="Times New Roman"/>
                    </w:rPr>
                    <w:t>0.703</w:t>
                  </w:r>
                </w:p>
              </w:tc>
            </w:tr>
            <w:tr w14:paraId="132A1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41" w:type="dxa"/>
                  <w:vMerge w:val="continue"/>
                  <w:vAlign w:val="center"/>
                </w:tcPr>
                <w:p w14:paraId="14066373">
                  <w:pPr>
                    <w:pStyle w:val="41"/>
                    <w:rPr>
                      <w:rFonts w:hint="default" w:ascii="Times New Roman" w:hAnsi="Times New Roman" w:eastAsia="宋体" w:cs="Times New Roman"/>
                    </w:rPr>
                  </w:pPr>
                </w:p>
              </w:tc>
              <w:tc>
                <w:tcPr>
                  <w:tcW w:w="5387" w:type="dxa"/>
                  <w:gridSpan w:val="4"/>
                  <w:vAlign w:val="center"/>
                </w:tcPr>
                <w:p w14:paraId="5EB4FCB7">
                  <w:pPr>
                    <w:pStyle w:val="20"/>
                    <w:rPr>
                      <w:rFonts w:hint="default" w:ascii="Times New Roman" w:hAnsi="Times New Roman" w:eastAsia="宋体" w:cs="Times New Roman"/>
                    </w:rPr>
                  </w:pPr>
                  <w:r>
                    <w:rPr>
                      <w:rFonts w:hint="default" w:ascii="Times New Roman" w:hAnsi="Times New Roman" w:eastAsia="宋体" w:cs="Times New Roman"/>
                    </w:rPr>
                    <w:t>石油类</w:t>
                  </w:r>
                </w:p>
              </w:tc>
              <w:tc>
                <w:tcPr>
                  <w:tcW w:w="1538" w:type="dxa"/>
                  <w:vAlign w:val="center"/>
                </w:tcPr>
                <w:p w14:paraId="4C5728C4">
                  <w:pPr>
                    <w:pStyle w:val="20"/>
                    <w:rPr>
                      <w:rFonts w:hint="default" w:ascii="Times New Roman" w:hAnsi="Times New Roman" w:eastAsia="宋体" w:cs="Times New Roman"/>
                    </w:rPr>
                  </w:pPr>
                  <w:r>
                    <w:rPr>
                      <w:rFonts w:hint="default" w:ascii="Times New Roman" w:hAnsi="Times New Roman" w:eastAsia="宋体" w:cs="Times New Roman"/>
                    </w:rPr>
                    <w:t>0.003</w:t>
                  </w:r>
                </w:p>
              </w:tc>
            </w:tr>
            <w:tr w14:paraId="4576A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41" w:type="dxa"/>
                  <w:vMerge w:val="continue"/>
                  <w:vAlign w:val="center"/>
                </w:tcPr>
                <w:p w14:paraId="31CCE180">
                  <w:pPr>
                    <w:pStyle w:val="41"/>
                    <w:rPr>
                      <w:rFonts w:hint="default" w:ascii="Times New Roman" w:hAnsi="Times New Roman" w:eastAsia="宋体" w:cs="Times New Roman"/>
                    </w:rPr>
                  </w:pPr>
                </w:p>
              </w:tc>
              <w:tc>
                <w:tcPr>
                  <w:tcW w:w="5387" w:type="dxa"/>
                  <w:gridSpan w:val="4"/>
                  <w:vAlign w:val="center"/>
                </w:tcPr>
                <w:p w14:paraId="49F82AD6">
                  <w:pPr>
                    <w:pStyle w:val="20"/>
                    <w:rPr>
                      <w:rFonts w:hint="default" w:ascii="Times New Roman" w:hAnsi="Times New Roman" w:eastAsia="宋体" w:cs="Times New Roman"/>
                    </w:rPr>
                  </w:pPr>
                  <w:r>
                    <w:rPr>
                      <w:rFonts w:hint="default" w:ascii="Times New Roman" w:hAnsi="Times New Roman" w:eastAsia="宋体" w:cs="Times New Roman"/>
                    </w:rPr>
                    <w:t>LAS</w:t>
                  </w:r>
                </w:p>
              </w:tc>
              <w:tc>
                <w:tcPr>
                  <w:tcW w:w="1538" w:type="dxa"/>
                  <w:vAlign w:val="center"/>
                </w:tcPr>
                <w:p w14:paraId="4FEB5CC1">
                  <w:pPr>
                    <w:pStyle w:val="20"/>
                    <w:rPr>
                      <w:rFonts w:hint="default" w:ascii="Times New Roman" w:hAnsi="Times New Roman" w:eastAsia="宋体" w:cs="Times New Roman"/>
                    </w:rPr>
                  </w:pPr>
                  <w:r>
                    <w:rPr>
                      <w:rFonts w:hint="default" w:ascii="Times New Roman" w:hAnsi="Times New Roman" w:eastAsia="宋体" w:cs="Times New Roman"/>
                    </w:rPr>
                    <w:t>0.014</w:t>
                  </w:r>
                </w:p>
              </w:tc>
            </w:tr>
            <w:tr w14:paraId="55950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41" w:type="dxa"/>
                  <w:vMerge w:val="continue"/>
                  <w:vAlign w:val="center"/>
                </w:tcPr>
                <w:p w14:paraId="3F5175B0">
                  <w:pPr>
                    <w:pStyle w:val="41"/>
                    <w:rPr>
                      <w:rFonts w:hint="default" w:ascii="Times New Roman" w:hAnsi="Times New Roman" w:eastAsia="宋体" w:cs="Times New Roman"/>
                    </w:rPr>
                  </w:pPr>
                </w:p>
              </w:tc>
              <w:tc>
                <w:tcPr>
                  <w:tcW w:w="5387" w:type="dxa"/>
                  <w:gridSpan w:val="4"/>
                  <w:vAlign w:val="center"/>
                </w:tcPr>
                <w:p w14:paraId="1BC39789">
                  <w:pPr>
                    <w:pStyle w:val="20"/>
                    <w:rPr>
                      <w:rFonts w:hint="default" w:ascii="Times New Roman" w:hAnsi="Times New Roman" w:eastAsia="宋体" w:cs="Times New Roman"/>
                    </w:rPr>
                  </w:pPr>
                  <w:r>
                    <w:rPr>
                      <w:rFonts w:hint="default" w:ascii="Times New Roman" w:hAnsi="Times New Roman" w:eastAsia="宋体" w:cs="Times New Roman"/>
                    </w:rPr>
                    <w:t>BOD</w:t>
                  </w:r>
                  <w:r>
                    <w:rPr>
                      <w:rFonts w:hint="default" w:ascii="Times New Roman" w:hAnsi="Times New Roman" w:eastAsia="宋体" w:cs="Times New Roman"/>
                      <w:vertAlign w:val="subscript"/>
                    </w:rPr>
                    <w:t>5</w:t>
                  </w:r>
                </w:p>
              </w:tc>
              <w:tc>
                <w:tcPr>
                  <w:tcW w:w="1538" w:type="dxa"/>
                  <w:vAlign w:val="center"/>
                </w:tcPr>
                <w:p w14:paraId="253F3D88">
                  <w:pPr>
                    <w:pStyle w:val="20"/>
                    <w:rPr>
                      <w:rFonts w:hint="default" w:ascii="Times New Roman" w:hAnsi="Times New Roman" w:eastAsia="宋体" w:cs="Times New Roman"/>
                    </w:rPr>
                  </w:pPr>
                  <w:r>
                    <w:rPr>
                      <w:rFonts w:hint="default" w:ascii="Times New Roman" w:hAnsi="Times New Roman" w:eastAsia="宋体" w:cs="Times New Roman"/>
                    </w:rPr>
                    <w:t>0.264</w:t>
                  </w:r>
                </w:p>
              </w:tc>
            </w:tr>
            <w:tr w14:paraId="6AFDD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41" w:type="dxa"/>
                  <w:vMerge w:val="continue"/>
                  <w:vAlign w:val="center"/>
                </w:tcPr>
                <w:p w14:paraId="632D8C4F">
                  <w:pPr>
                    <w:pStyle w:val="41"/>
                    <w:rPr>
                      <w:rFonts w:hint="default" w:ascii="Times New Roman" w:hAnsi="Times New Roman" w:eastAsia="宋体" w:cs="Times New Roman"/>
                    </w:rPr>
                  </w:pPr>
                </w:p>
              </w:tc>
              <w:tc>
                <w:tcPr>
                  <w:tcW w:w="5387" w:type="dxa"/>
                  <w:gridSpan w:val="4"/>
                  <w:vAlign w:val="center"/>
                </w:tcPr>
                <w:p w14:paraId="3FF058DC">
                  <w:pPr>
                    <w:pStyle w:val="20"/>
                    <w:rPr>
                      <w:rFonts w:hint="default" w:ascii="Times New Roman" w:hAnsi="Times New Roman" w:eastAsia="宋体" w:cs="Times New Roman"/>
                    </w:rPr>
                  </w:pPr>
                  <w:r>
                    <w:rPr>
                      <w:rFonts w:hint="default" w:ascii="Times New Roman" w:hAnsi="Times New Roman" w:eastAsia="宋体" w:cs="Times New Roman"/>
                    </w:rPr>
                    <w:t>氟化物</w:t>
                  </w:r>
                </w:p>
              </w:tc>
              <w:tc>
                <w:tcPr>
                  <w:tcW w:w="1538" w:type="dxa"/>
                  <w:vAlign w:val="center"/>
                </w:tcPr>
                <w:p w14:paraId="11A14331">
                  <w:pPr>
                    <w:pStyle w:val="20"/>
                    <w:rPr>
                      <w:rFonts w:hint="default" w:ascii="Times New Roman" w:hAnsi="Times New Roman" w:eastAsia="宋体" w:cs="Times New Roman"/>
                    </w:rPr>
                  </w:pPr>
                  <w:r>
                    <w:rPr>
                      <w:rFonts w:hint="default" w:ascii="Times New Roman" w:hAnsi="Times New Roman" w:eastAsia="宋体" w:cs="Times New Roman"/>
                    </w:rPr>
                    <w:t>0.011</w:t>
                  </w:r>
                </w:p>
              </w:tc>
            </w:tr>
          </w:tbl>
          <w:p w14:paraId="31FCC00E">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表4-19 本项目废水监测指标及监测计划一览表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7"/>
              <w:gridCol w:w="1701"/>
              <w:gridCol w:w="1701"/>
              <w:gridCol w:w="992"/>
              <w:gridCol w:w="2485"/>
            </w:tblGrid>
            <w:tr w14:paraId="72C40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297" w:type="dxa"/>
                  <w:vAlign w:val="center"/>
                </w:tcPr>
                <w:p w14:paraId="64011431">
                  <w:pPr>
                    <w:pStyle w:val="41"/>
                    <w:rPr>
                      <w:rFonts w:hint="default" w:ascii="Times New Roman" w:hAnsi="Times New Roman" w:eastAsia="宋体" w:cs="Times New Roman"/>
                      <w:b/>
                      <w:bCs/>
                    </w:rPr>
                  </w:pPr>
                  <w:r>
                    <w:rPr>
                      <w:rFonts w:hint="default" w:ascii="Times New Roman" w:hAnsi="Times New Roman" w:eastAsia="宋体" w:cs="Times New Roman"/>
                      <w:b/>
                      <w:bCs/>
                    </w:rPr>
                    <w:t>项目</w:t>
                  </w:r>
                </w:p>
              </w:tc>
              <w:tc>
                <w:tcPr>
                  <w:tcW w:w="1701" w:type="dxa"/>
                  <w:vAlign w:val="center"/>
                </w:tcPr>
                <w:p w14:paraId="29C36E90">
                  <w:pPr>
                    <w:pStyle w:val="41"/>
                    <w:rPr>
                      <w:rFonts w:hint="default" w:ascii="Times New Roman" w:hAnsi="Times New Roman" w:eastAsia="宋体" w:cs="Times New Roman"/>
                      <w:b/>
                      <w:bCs/>
                    </w:rPr>
                  </w:pPr>
                  <w:r>
                    <w:rPr>
                      <w:rFonts w:hint="default" w:ascii="Times New Roman" w:hAnsi="Times New Roman" w:eastAsia="宋体" w:cs="Times New Roman"/>
                      <w:b/>
                      <w:bCs/>
                    </w:rPr>
                    <w:t>监测点位</w:t>
                  </w:r>
                </w:p>
              </w:tc>
              <w:tc>
                <w:tcPr>
                  <w:tcW w:w="1701" w:type="dxa"/>
                  <w:vAlign w:val="center"/>
                </w:tcPr>
                <w:p w14:paraId="56C3A6D4">
                  <w:pPr>
                    <w:pStyle w:val="41"/>
                    <w:rPr>
                      <w:rFonts w:hint="default" w:ascii="Times New Roman" w:hAnsi="Times New Roman" w:eastAsia="宋体" w:cs="Times New Roman"/>
                      <w:b/>
                      <w:bCs/>
                    </w:rPr>
                  </w:pPr>
                  <w:r>
                    <w:rPr>
                      <w:rFonts w:hint="default" w:ascii="Times New Roman" w:hAnsi="Times New Roman" w:eastAsia="宋体" w:cs="Times New Roman"/>
                      <w:b/>
                      <w:bCs/>
                    </w:rPr>
                    <w:t>监测指标</w:t>
                  </w:r>
                </w:p>
              </w:tc>
              <w:tc>
                <w:tcPr>
                  <w:tcW w:w="992" w:type="dxa"/>
                  <w:vAlign w:val="center"/>
                </w:tcPr>
                <w:p w14:paraId="621D43A5">
                  <w:pPr>
                    <w:pStyle w:val="41"/>
                    <w:rPr>
                      <w:rFonts w:hint="default" w:ascii="Times New Roman" w:hAnsi="Times New Roman" w:eastAsia="宋体" w:cs="Times New Roman"/>
                      <w:b/>
                      <w:bCs/>
                    </w:rPr>
                  </w:pPr>
                  <w:r>
                    <w:rPr>
                      <w:rFonts w:hint="default" w:ascii="Times New Roman" w:hAnsi="Times New Roman" w:eastAsia="宋体" w:cs="Times New Roman"/>
                      <w:b/>
                      <w:bCs/>
                    </w:rPr>
                    <w:t>监测</w:t>
                  </w:r>
                </w:p>
                <w:p w14:paraId="17E0FA66">
                  <w:pPr>
                    <w:pStyle w:val="41"/>
                    <w:rPr>
                      <w:rFonts w:hint="default" w:ascii="Times New Roman" w:hAnsi="Times New Roman" w:eastAsia="宋体" w:cs="Times New Roman"/>
                      <w:b/>
                      <w:bCs/>
                    </w:rPr>
                  </w:pPr>
                  <w:r>
                    <w:rPr>
                      <w:rFonts w:hint="default" w:ascii="Times New Roman" w:hAnsi="Times New Roman" w:eastAsia="宋体" w:cs="Times New Roman"/>
                      <w:b/>
                      <w:bCs/>
                    </w:rPr>
                    <w:t>频次</w:t>
                  </w:r>
                </w:p>
              </w:tc>
              <w:tc>
                <w:tcPr>
                  <w:tcW w:w="2485" w:type="dxa"/>
                  <w:vAlign w:val="center"/>
                </w:tcPr>
                <w:p w14:paraId="07D3A8A3">
                  <w:pPr>
                    <w:pStyle w:val="41"/>
                    <w:rPr>
                      <w:rFonts w:hint="default" w:ascii="Times New Roman" w:hAnsi="Times New Roman" w:eastAsia="宋体" w:cs="Times New Roman"/>
                      <w:b/>
                      <w:bCs/>
                    </w:rPr>
                  </w:pPr>
                  <w:r>
                    <w:rPr>
                      <w:rFonts w:hint="default" w:ascii="Times New Roman" w:hAnsi="Times New Roman" w:eastAsia="宋体" w:cs="Times New Roman"/>
                      <w:b/>
                      <w:bCs/>
                    </w:rPr>
                    <w:t>排放执行标准</w:t>
                  </w:r>
                </w:p>
              </w:tc>
            </w:tr>
            <w:tr w14:paraId="367C6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1297" w:type="dxa"/>
                  <w:vMerge w:val="restart"/>
                  <w:vAlign w:val="center"/>
                </w:tcPr>
                <w:p w14:paraId="5A6959C1">
                  <w:pPr>
                    <w:pStyle w:val="41"/>
                    <w:rPr>
                      <w:rFonts w:hint="default" w:ascii="Times New Roman" w:hAnsi="Times New Roman" w:eastAsia="宋体" w:cs="Times New Roman"/>
                    </w:rPr>
                  </w:pPr>
                  <w:r>
                    <w:rPr>
                      <w:rFonts w:hint="default" w:ascii="Times New Roman" w:hAnsi="Times New Roman" w:eastAsia="宋体" w:cs="Times New Roman"/>
                    </w:rPr>
                    <w:t>清洗废水</w:t>
                  </w:r>
                </w:p>
              </w:tc>
              <w:tc>
                <w:tcPr>
                  <w:tcW w:w="1701" w:type="dxa"/>
                  <w:vMerge w:val="restart"/>
                  <w:vAlign w:val="center"/>
                </w:tcPr>
                <w:p w14:paraId="3DA4D45E">
                  <w:pPr>
                    <w:pStyle w:val="41"/>
                    <w:rPr>
                      <w:rFonts w:hint="default" w:ascii="Times New Roman" w:hAnsi="Times New Roman" w:eastAsia="宋体" w:cs="Times New Roman"/>
                    </w:rPr>
                  </w:pPr>
                  <w:r>
                    <w:rPr>
                      <w:rFonts w:hint="default" w:ascii="Times New Roman" w:hAnsi="Times New Roman" w:eastAsia="宋体" w:cs="Times New Roman"/>
                    </w:rPr>
                    <w:t>生产车间废水排放口DW002</w:t>
                  </w:r>
                </w:p>
              </w:tc>
              <w:tc>
                <w:tcPr>
                  <w:tcW w:w="1701" w:type="dxa"/>
                  <w:vAlign w:val="center"/>
                </w:tcPr>
                <w:p w14:paraId="5D338253">
                  <w:pPr>
                    <w:pStyle w:val="41"/>
                    <w:rPr>
                      <w:rFonts w:hint="default" w:ascii="Times New Roman" w:hAnsi="Times New Roman" w:eastAsia="宋体" w:cs="Times New Roman"/>
                    </w:rPr>
                  </w:pPr>
                  <w:r>
                    <w:rPr>
                      <w:rFonts w:hint="default" w:ascii="Times New Roman" w:hAnsi="Times New Roman" w:eastAsia="宋体" w:cs="Times New Roman"/>
                    </w:rPr>
                    <w:t>pH、CODcr</w:t>
                  </w:r>
                </w:p>
              </w:tc>
              <w:tc>
                <w:tcPr>
                  <w:tcW w:w="992" w:type="dxa"/>
                  <w:vAlign w:val="center"/>
                </w:tcPr>
                <w:p w14:paraId="28D6D8B9">
                  <w:pPr>
                    <w:pStyle w:val="41"/>
                    <w:rPr>
                      <w:rFonts w:hint="default" w:ascii="Times New Roman" w:hAnsi="Times New Roman" w:eastAsia="宋体" w:cs="Times New Roman"/>
                      <w:lang w:val="zh-CN"/>
                    </w:rPr>
                  </w:pPr>
                  <w:r>
                    <w:rPr>
                      <w:rFonts w:hint="default" w:ascii="Times New Roman" w:hAnsi="Times New Roman" w:eastAsia="宋体" w:cs="Times New Roman"/>
                    </w:rPr>
                    <w:t>1次/季度</w:t>
                  </w:r>
                </w:p>
              </w:tc>
              <w:tc>
                <w:tcPr>
                  <w:tcW w:w="2485" w:type="dxa"/>
                  <w:vMerge w:val="restart"/>
                  <w:vAlign w:val="center"/>
                </w:tcPr>
                <w:p w14:paraId="49D147BA">
                  <w:pPr>
                    <w:pStyle w:val="41"/>
                    <w:rPr>
                      <w:rFonts w:hint="default" w:ascii="Times New Roman" w:hAnsi="Times New Roman" w:eastAsia="宋体" w:cs="Times New Roman"/>
                    </w:rPr>
                  </w:pPr>
                  <w:r>
                    <w:rPr>
                      <w:rFonts w:hint="default" w:ascii="Times New Roman" w:hAnsi="Times New Roman" w:eastAsia="宋体" w:cs="Times New Roman"/>
                    </w:rPr>
                    <w:t>广东省地方标准《水污染物排放限值》</w:t>
                  </w:r>
                  <w:r>
                    <w:rPr>
                      <w:rFonts w:hint="default" w:ascii="Times New Roman" w:hAnsi="Times New Roman" w:eastAsia="宋体" w:cs="Times New Roman"/>
                      <w:lang w:eastAsia="zh-CN"/>
                    </w:rPr>
                    <w:t>（</w:t>
                  </w:r>
                  <w:r>
                    <w:rPr>
                      <w:rFonts w:hint="default" w:ascii="Times New Roman" w:hAnsi="Times New Roman" w:eastAsia="宋体" w:cs="Times New Roman"/>
                    </w:rPr>
                    <w:t>DB44/26-2001</w:t>
                  </w:r>
                  <w:r>
                    <w:rPr>
                      <w:rFonts w:hint="default" w:ascii="Times New Roman" w:hAnsi="Times New Roman" w:eastAsia="宋体" w:cs="Times New Roman"/>
                      <w:lang w:eastAsia="zh-CN"/>
                    </w:rPr>
                    <w:t>）</w:t>
                  </w:r>
                  <w:r>
                    <w:rPr>
                      <w:rFonts w:hint="default" w:ascii="Times New Roman" w:hAnsi="Times New Roman" w:eastAsia="宋体" w:cs="Times New Roman"/>
                    </w:rPr>
                    <w:t>第二时段三级标准及园区污水处理厂接管水质要求较严值</w:t>
                  </w:r>
                </w:p>
              </w:tc>
            </w:tr>
            <w:tr w14:paraId="7B182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1297" w:type="dxa"/>
                  <w:vMerge w:val="continue"/>
                  <w:vAlign w:val="center"/>
                </w:tcPr>
                <w:p w14:paraId="351670A4">
                  <w:pPr>
                    <w:pStyle w:val="41"/>
                    <w:rPr>
                      <w:rFonts w:hint="default" w:ascii="Times New Roman" w:hAnsi="Times New Roman" w:eastAsia="宋体" w:cs="Times New Roman"/>
                    </w:rPr>
                  </w:pPr>
                </w:p>
              </w:tc>
              <w:tc>
                <w:tcPr>
                  <w:tcW w:w="1701" w:type="dxa"/>
                  <w:vMerge w:val="continue"/>
                  <w:vAlign w:val="center"/>
                </w:tcPr>
                <w:p w14:paraId="709F082B">
                  <w:pPr>
                    <w:pStyle w:val="41"/>
                    <w:rPr>
                      <w:rFonts w:hint="default" w:ascii="Times New Roman" w:hAnsi="Times New Roman" w:eastAsia="宋体" w:cs="Times New Roman"/>
                    </w:rPr>
                  </w:pPr>
                </w:p>
              </w:tc>
              <w:tc>
                <w:tcPr>
                  <w:tcW w:w="1701" w:type="dxa"/>
                  <w:vAlign w:val="center"/>
                </w:tcPr>
                <w:p w14:paraId="186E849F">
                  <w:pPr>
                    <w:pStyle w:val="41"/>
                    <w:rPr>
                      <w:rFonts w:hint="default" w:ascii="Times New Roman" w:hAnsi="Times New Roman" w:eastAsia="宋体" w:cs="Times New Roman"/>
                    </w:rPr>
                  </w:pPr>
                  <w:r>
                    <w:rPr>
                      <w:rFonts w:hint="default" w:ascii="Times New Roman" w:hAnsi="Times New Roman" w:eastAsia="宋体" w:cs="Times New Roman"/>
                    </w:rPr>
                    <w:t>SS、石油类、LAS、BOD</w:t>
                  </w:r>
                  <w:r>
                    <w:rPr>
                      <w:rFonts w:hint="default" w:ascii="Times New Roman" w:hAnsi="Times New Roman" w:eastAsia="宋体" w:cs="Times New Roman"/>
                      <w:vertAlign w:val="subscript"/>
                    </w:rPr>
                    <w:t>5</w:t>
                  </w:r>
                </w:p>
              </w:tc>
              <w:tc>
                <w:tcPr>
                  <w:tcW w:w="992" w:type="dxa"/>
                  <w:vAlign w:val="center"/>
                </w:tcPr>
                <w:p w14:paraId="3B9CF0C4">
                  <w:pPr>
                    <w:pStyle w:val="41"/>
                    <w:rPr>
                      <w:rFonts w:hint="default" w:ascii="Times New Roman" w:hAnsi="Times New Roman" w:eastAsia="宋体" w:cs="Times New Roman"/>
                    </w:rPr>
                  </w:pPr>
                  <w:r>
                    <w:rPr>
                      <w:rFonts w:hint="default" w:ascii="Times New Roman" w:hAnsi="Times New Roman" w:eastAsia="宋体" w:cs="Times New Roman"/>
                    </w:rPr>
                    <w:t>1次/半年</w:t>
                  </w:r>
                </w:p>
              </w:tc>
              <w:tc>
                <w:tcPr>
                  <w:tcW w:w="2485" w:type="dxa"/>
                  <w:vMerge w:val="continue"/>
                  <w:vAlign w:val="center"/>
                </w:tcPr>
                <w:p w14:paraId="115BC5CF">
                  <w:pPr>
                    <w:pStyle w:val="41"/>
                    <w:rPr>
                      <w:rFonts w:hint="default" w:ascii="Times New Roman" w:hAnsi="Times New Roman" w:eastAsia="宋体" w:cs="Times New Roman"/>
                    </w:rPr>
                  </w:pPr>
                </w:p>
              </w:tc>
            </w:tr>
          </w:tbl>
          <w:p w14:paraId="428CEF3A">
            <w:pPr>
              <w:adjustRightInd w:val="0"/>
              <w:snapToGrid w:val="0"/>
              <w:ind w:firstLine="0" w:firstLineChars="0"/>
              <w:rPr>
                <w:rFonts w:hint="default" w:ascii="Times New Roman" w:hAnsi="Times New Roman" w:eastAsia="宋体" w:cs="Times New Roman"/>
                <w:b/>
                <w:bCs/>
              </w:rPr>
            </w:pPr>
          </w:p>
          <w:p w14:paraId="1ABC1431">
            <w:pPr>
              <w:adjustRightInd w:val="0"/>
              <w:snapToGrid w:val="0"/>
              <w:ind w:firstLine="0" w:firstLineChars="0"/>
              <w:rPr>
                <w:rFonts w:hint="default" w:ascii="Times New Roman" w:hAnsi="Times New Roman" w:eastAsia="宋体" w:cs="Times New Roman"/>
                <w:b/>
                <w:bCs/>
              </w:rPr>
            </w:pPr>
            <w:r>
              <w:rPr>
                <w:rFonts w:hint="default" w:ascii="Times New Roman" w:hAnsi="Times New Roman" w:eastAsia="宋体" w:cs="Times New Roman"/>
                <w:b/>
                <w:bCs/>
              </w:rPr>
              <w:t>三、噪声</w:t>
            </w:r>
          </w:p>
          <w:p w14:paraId="2998F427">
            <w:pPr>
              <w:ind w:firstLine="480"/>
              <w:rPr>
                <w:rFonts w:hint="default" w:ascii="Times New Roman" w:hAnsi="Times New Roman" w:eastAsia="宋体" w:cs="Times New Roman"/>
              </w:rPr>
            </w:pPr>
            <w:r>
              <w:rPr>
                <w:rFonts w:hint="default" w:ascii="Times New Roman" w:hAnsi="Times New Roman" w:eastAsia="宋体" w:cs="Times New Roman"/>
              </w:rPr>
              <w:t>（1）噪声源强</w:t>
            </w:r>
          </w:p>
          <w:p w14:paraId="25C45EEF">
            <w:pPr>
              <w:ind w:firstLine="480"/>
              <w:rPr>
                <w:rFonts w:hint="default" w:ascii="Times New Roman" w:hAnsi="Times New Roman" w:eastAsia="宋体" w:cs="Times New Roman"/>
              </w:rPr>
            </w:pPr>
            <w:r>
              <w:rPr>
                <w:rFonts w:hint="default" w:ascii="Times New Roman" w:hAnsi="Times New Roman" w:eastAsia="宋体" w:cs="Times New Roman"/>
              </w:rPr>
              <w:t>本项目主要噪声污染源为各类切割机、焊机、手磨机、钻床、弯管机等设备运行过程中产生的噪声，噪声值约为75～85dB（A）。噪声特征以连续性噪声为主，间歇性噪声为辅，噪声污染源强核算结果及相关参数如下表4-17。</w:t>
            </w:r>
          </w:p>
          <w:p w14:paraId="33487C0C">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表4-20 项目主要噪声源强一览表 单位dB（A）</w:t>
            </w:r>
          </w:p>
          <w:tbl>
            <w:tblPr>
              <w:tblStyle w:val="23"/>
              <w:tblW w:w="82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
              <w:gridCol w:w="708"/>
              <w:gridCol w:w="851"/>
              <w:gridCol w:w="992"/>
              <w:gridCol w:w="851"/>
              <w:gridCol w:w="850"/>
              <w:gridCol w:w="851"/>
              <w:gridCol w:w="850"/>
              <w:gridCol w:w="1387"/>
            </w:tblGrid>
            <w:tr w14:paraId="4D13F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8" w:type="dxa"/>
                  <w:vMerge w:val="restart"/>
                  <w:vAlign w:val="center"/>
                </w:tcPr>
                <w:p w14:paraId="46583208">
                  <w:pPr>
                    <w:pStyle w:val="41"/>
                    <w:rPr>
                      <w:rFonts w:hint="default" w:ascii="Times New Roman" w:hAnsi="Times New Roman" w:eastAsia="宋体" w:cs="Times New Roman"/>
                      <w:b/>
                      <w:bCs/>
                    </w:rPr>
                  </w:pPr>
                  <w:r>
                    <w:rPr>
                      <w:rFonts w:hint="default" w:ascii="Times New Roman" w:hAnsi="Times New Roman" w:eastAsia="宋体" w:cs="Times New Roman"/>
                      <w:b/>
                      <w:bCs/>
                    </w:rPr>
                    <w:t>噪声源</w:t>
                  </w:r>
                </w:p>
              </w:tc>
              <w:tc>
                <w:tcPr>
                  <w:tcW w:w="708" w:type="dxa"/>
                  <w:vMerge w:val="restart"/>
                  <w:vAlign w:val="center"/>
                </w:tcPr>
                <w:p w14:paraId="5AEB5616">
                  <w:pPr>
                    <w:pStyle w:val="41"/>
                    <w:rPr>
                      <w:rFonts w:hint="default" w:ascii="Times New Roman" w:hAnsi="Times New Roman" w:eastAsia="宋体" w:cs="Times New Roman"/>
                      <w:b/>
                      <w:bCs/>
                    </w:rPr>
                  </w:pPr>
                  <w:r>
                    <w:rPr>
                      <w:rFonts w:hint="default" w:ascii="Times New Roman" w:hAnsi="Times New Roman" w:eastAsia="宋体" w:cs="Times New Roman"/>
                      <w:b/>
                      <w:bCs/>
                    </w:rPr>
                    <w:t>声源类型</w:t>
                  </w:r>
                </w:p>
              </w:tc>
              <w:tc>
                <w:tcPr>
                  <w:tcW w:w="1843" w:type="dxa"/>
                  <w:gridSpan w:val="2"/>
                  <w:vAlign w:val="center"/>
                </w:tcPr>
                <w:p w14:paraId="4F48924E">
                  <w:pPr>
                    <w:pStyle w:val="41"/>
                    <w:rPr>
                      <w:rFonts w:hint="default" w:ascii="Times New Roman" w:hAnsi="Times New Roman" w:eastAsia="宋体" w:cs="Times New Roman"/>
                      <w:b/>
                      <w:bCs/>
                    </w:rPr>
                  </w:pPr>
                  <w:r>
                    <w:rPr>
                      <w:rFonts w:hint="default" w:ascii="Times New Roman" w:hAnsi="Times New Roman" w:eastAsia="宋体" w:cs="Times New Roman"/>
                      <w:b/>
                      <w:bCs/>
                    </w:rPr>
                    <w:t>噪声源强</w:t>
                  </w:r>
                </w:p>
              </w:tc>
              <w:tc>
                <w:tcPr>
                  <w:tcW w:w="1701" w:type="dxa"/>
                  <w:gridSpan w:val="2"/>
                  <w:vAlign w:val="center"/>
                </w:tcPr>
                <w:p w14:paraId="216DD7E4">
                  <w:pPr>
                    <w:pStyle w:val="41"/>
                    <w:rPr>
                      <w:rFonts w:hint="default" w:ascii="Times New Roman" w:hAnsi="Times New Roman" w:eastAsia="宋体" w:cs="Times New Roman"/>
                      <w:b/>
                      <w:bCs/>
                    </w:rPr>
                  </w:pPr>
                  <w:r>
                    <w:rPr>
                      <w:rFonts w:hint="default" w:ascii="Times New Roman" w:hAnsi="Times New Roman" w:eastAsia="宋体" w:cs="Times New Roman"/>
                      <w:b/>
                      <w:bCs/>
                    </w:rPr>
                    <w:t>降噪措施</w:t>
                  </w:r>
                </w:p>
              </w:tc>
              <w:tc>
                <w:tcPr>
                  <w:tcW w:w="1701" w:type="dxa"/>
                  <w:gridSpan w:val="2"/>
                  <w:vAlign w:val="center"/>
                </w:tcPr>
                <w:p w14:paraId="285ABE05">
                  <w:pPr>
                    <w:pStyle w:val="41"/>
                    <w:rPr>
                      <w:rFonts w:hint="default" w:ascii="Times New Roman" w:hAnsi="Times New Roman" w:eastAsia="宋体" w:cs="Times New Roman"/>
                      <w:b/>
                      <w:bCs/>
                    </w:rPr>
                  </w:pPr>
                  <w:r>
                    <w:rPr>
                      <w:rFonts w:hint="default" w:ascii="Times New Roman" w:hAnsi="Times New Roman" w:eastAsia="宋体" w:cs="Times New Roman"/>
                      <w:b/>
                      <w:bCs/>
                    </w:rPr>
                    <w:t>噪声排放值</w:t>
                  </w:r>
                </w:p>
              </w:tc>
              <w:tc>
                <w:tcPr>
                  <w:tcW w:w="1387" w:type="dxa"/>
                  <w:vMerge w:val="restart"/>
                  <w:vAlign w:val="center"/>
                </w:tcPr>
                <w:p w14:paraId="3D1FD6B4">
                  <w:pPr>
                    <w:pStyle w:val="41"/>
                    <w:rPr>
                      <w:rFonts w:hint="default" w:ascii="Times New Roman" w:hAnsi="Times New Roman" w:eastAsia="宋体" w:cs="Times New Roman"/>
                      <w:b/>
                      <w:bCs/>
                    </w:rPr>
                  </w:pPr>
                  <w:r>
                    <w:rPr>
                      <w:rFonts w:hint="default" w:ascii="Times New Roman" w:hAnsi="Times New Roman" w:eastAsia="宋体" w:cs="Times New Roman"/>
                      <w:b/>
                      <w:bCs/>
                    </w:rPr>
                    <w:t>持续时间</w:t>
                  </w:r>
                </w:p>
              </w:tc>
            </w:tr>
            <w:tr w14:paraId="331C4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8" w:type="dxa"/>
                  <w:vMerge w:val="continue"/>
                  <w:vAlign w:val="center"/>
                </w:tcPr>
                <w:p w14:paraId="05FF387D">
                  <w:pPr>
                    <w:pStyle w:val="41"/>
                    <w:rPr>
                      <w:rFonts w:hint="default" w:ascii="Times New Roman" w:hAnsi="Times New Roman" w:eastAsia="宋体" w:cs="Times New Roman"/>
                    </w:rPr>
                  </w:pPr>
                </w:p>
              </w:tc>
              <w:tc>
                <w:tcPr>
                  <w:tcW w:w="708" w:type="dxa"/>
                  <w:vMerge w:val="continue"/>
                  <w:vAlign w:val="center"/>
                </w:tcPr>
                <w:p w14:paraId="77244B8B">
                  <w:pPr>
                    <w:pStyle w:val="41"/>
                    <w:rPr>
                      <w:rFonts w:hint="default" w:ascii="Times New Roman" w:hAnsi="Times New Roman" w:eastAsia="宋体" w:cs="Times New Roman"/>
                    </w:rPr>
                  </w:pPr>
                </w:p>
              </w:tc>
              <w:tc>
                <w:tcPr>
                  <w:tcW w:w="851" w:type="dxa"/>
                  <w:vAlign w:val="center"/>
                </w:tcPr>
                <w:p w14:paraId="43E7B7A4">
                  <w:pPr>
                    <w:pStyle w:val="41"/>
                    <w:rPr>
                      <w:rFonts w:hint="default" w:ascii="Times New Roman" w:hAnsi="Times New Roman" w:eastAsia="宋体" w:cs="Times New Roman"/>
                      <w:b/>
                      <w:bCs/>
                    </w:rPr>
                  </w:pPr>
                  <w:r>
                    <w:rPr>
                      <w:rFonts w:hint="default" w:ascii="Times New Roman" w:hAnsi="Times New Roman" w:eastAsia="宋体" w:cs="Times New Roman"/>
                      <w:b/>
                      <w:bCs/>
                    </w:rPr>
                    <w:t>核算</w:t>
                  </w:r>
                </w:p>
                <w:p w14:paraId="495A6247">
                  <w:pPr>
                    <w:pStyle w:val="41"/>
                    <w:rPr>
                      <w:rFonts w:hint="default" w:ascii="Times New Roman" w:hAnsi="Times New Roman" w:eastAsia="宋体" w:cs="Times New Roman"/>
                      <w:b/>
                      <w:bCs/>
                    </w:rPr>
                  </w:pPr>
                  <w:r>
                    <w:rPr>
                      <w:rFonts w:hint="default" w:ascii="Times New Roman" w:hAnsi="Times New Roman" w:eastAsia="宋体" w:cs="Times New Roman"/>
                      <w:b/>
                      <w:bCs/>
                    </w:rPr>
                    <w:t>方法</w:t>
                  </w:r>
                </w:p>
              </w:tc>
              <w:tc>
                <w:tcPr>
                  <w:tcW w:w="992" w:type="dxa"/>
                  <w:vAlign w:val="center"/>
                </w:tcPr>
                <w:p w14:paraId="59714FC0">
                  <w:pPr>
                    <w:pStyle w:val="41"/>
                    <w:rPr>
                      <w:rFonts w:hint="default" w:ascii="Times New Roman" w:hAnsi="Times New Roman" w:eastAsia="宋体" w:cs="Times New Roman"/>
                      <w:b/>
                      <w:bCs/>
                    </w:rPr>
                  </w:pPr>
                  <w:r>
                    <w:rPr>
                      <w:rFonts w:hint="default" w:ascii="Times New Roman" w:hAnsi="Times New Roman" w:eastAsia="宋体" w:cs="Times New Roman"/>
                      <w:b/>
                      <w:bCs/>
                    </w:rPr>
                    <w:t>噪声值</w:t>
                  </w:r>
                </w:p>
              </w:tc>
              <w:tc>
                <w:tcPr>
                  <w:tcW w:w="851" w:type="dxa"/>
                  <w:vAlign w:val="center"/>
                </w:tcPr>
                <w:p w14:paraId="7365D128">
                  <w:pPr>
                    <w:pStyle w:val="41"/>
                    <w:rPr>
                      <w:rFonts w:hint="default" w:ascii="Times New Roman" w:hAnsi="Times New Roman" w:eastAsia="宋体" w:cs="Times New Roman"/>
                      <w:b/>
                      <w:bCs/>
                    </w:rPr>
                  </w:pPr>
                  <w:r>
                    <w:rPr>
                      <w:rFonts w:hint="default" w:ascii="Times New Roman" w:hAnsi="Times New Roman" w:eastAsia="宋体" w:cs="Times New Roman"/>
                      <w:b/>
                      <w:bCs/>
                    </w:rPr>
                    <w:t>工艺</w:t>
                  </w:r>
                </w:p>
              </w:tc>
              <w:tc>
                <w:tcPr>
                  <w:tcW w:w="850" w:type="dxa"/>
                  <w:vAlign w:val="center"/>
                </w:tcPr>
                <w:p w14:paraId="2E3632D2">
                  <w:pPr>
                    <w:pStyle w:val="41"/>
                    <w:rPr>
                      <w:rFonts w:hint="default" w:ascii="Times New Roman" w:hAnsi="Times New Roman" w:eastAsia="宋体" w:cs="Times New Roman"/>
                      <w:b/>
                      <w:bCs/>
                    </w:rPr>
                  </w:pPr>
                  <w:r>
                    <w:rPr>
                      <w:rFonts w:hint="default" w:ascii="Times New Roman" w:hAnsi="Times New Roman" w:eastAsia="宋体" w:cs="Times New Roman"/>
                      <w:b/>
                      <w:bCs/>
                    </w:rPr>
                    <w:t>降噪</w:t>
                  </w:r>
                </w:p>
                <w:p w14:paraId="5BA11F55">
                  <w:pPr>
                    <w:pStyle w:val="41"/>
                    <w:rPr>
                      <w:rFonts w:hint="default" w:ascii="Times New Roman" w:hAnsi="Times New Roman" w:eastAsia="宋体" w:cs="Times New Roman"/>
                      <w:b/>
                      <w:bCs/>
                    </w:rPr>
                  </w:pPr>
                  <w:r>
                    <w:rPr>
                      <w:rFonts w:hint="default" w:ascii="Times New Roman" w:hAnsi="Times New Roman" w:eastAsia="宋体" w:cs="Times New Roman"/>
                      <w:b/>
                      <w:bCs/>
                    </w:rPr>
                    <w:t>效果</w:t>
                  </w:r>
                </w:p>
              </w:tc>
              <w:tc>
                <w:tcPr>
                  <w:tcW w:w="851" w:type="dxa"/>
                  <w:vAlign w:val="center"/>
                </w:tcPr>
                <w:p w14:paraId="1975CDAF">
                  <w:pPr>
                    <w:pStyle w:val="41"/>
                    <w:rPr>
                      <w:rFonts w:hint="default" w:ascii="Times New Roman" w:hAnsi="Times New Roman" w:eastAsia="宋体" w:cs="Times New Roman"/>
                      <w:b/>
                      <w:bCs/>
                    </w:rPr>
                  </w:pPr>
                  <w:r>
                    <w:rPr>
                      <w:rFonts w:hint="default" w:ascii="Times New Roman" w:hAnsi="Times New Roman" w:eastAsia="宋体" w:cs="Times New Roman"/>
                      <w:b/>
                      <w:bCs/>
                    </w:rPr>
                    <w:t>核算</w:t>
                  </w:r>
                </w:p>
                <w:p w14:paraId="1C4DD668">
                  <w:pPr>
                    <w:pStyle w:val="41"/>
                    <w:rPr>
                      <w:rFonts w:hint="default" w:ascii="Times New Roman" w:hAnsi="Times New Roman" w:eastAsia="宋体" w:cs="Times New Roman"/>
                      <w:b/>
                      <w:bCs/>
                    </w:rPr>
                  </w:pPr>
                  <w:r>
                    <w:rPr>
                      <w:rFonts w:hint="default" w:ascii="Times New Roman" w:hAnsi="Times New Roman" w:eastAsia="宋体" w:cs="Times New Roman"/>
                      <w:b/>
                      <w:bCs/>
                    </w:rPr>
                    <w:t>方法</w:t>
                  </w:r>
                </w:p>
              </w:tc>
              <w:tc>
                <w:tcPr>
                  <w:tcW w:w="850" w:type="dxa"/>
                  <w:vAlign w:val="center"/>
                </w:tcPr>
                <w:p w14:paraId="72211AF6">
                  <w:pPr>
                    <w:pStyle w:val="41"/>
                    <w:rPr>
                      <w:rFonts w:hint="default" w:ascii="Times New Roman" w:hAnsi="Times New Roman" w:eastAsia="宋体" w:cs="Times New Roman"/>
                      <w:b/>
                      <w:bCs/>
                    </w:rPr>
                  </w:pPr>
                  <w:r>
                    <w:rPr>
                      <w:rFonts w:hint="default" w:ascii="Times New Roman" w:hAnsi="Times New Roman" w:eastAsia="宋体" w:cs="Times New Roman"/>
                      <w:b/>
                      <w:bCs/>
                    </w:rPr>
                    <w:t>噪声值</w:t>
                  </w:r>
                </w:p>
              </w:tc>
              <w:tc>
                <w:tcPr>
                  <w:tcW w:w="1387" w:type="dxa"/>
                  <w:vMerge w:val="continue"/>
                  <w:vAlign w:val="center"/>
                </w:tcPr>
                <w:p w14:paraId="4A2DCEE2">
                  <w:pPr>
                    <w:pStyle w:val="41"/>
                    <w:rPr>
                      <w:rFonts w:hint="default" w:ascii="Times New Roman" w:hAnsi="Times New Roman" w:eastAsia="宋体" w:cs="Times New Roman"/>
                    </w:rPr>
                  </w:pPr>
                </w:p>
              </w:tc>
            </w:tr>
            <w:tr w14:paraId="7D4A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8" w:type="dxa"/>
                  <w:vAlign w:val="center"/>
                </w:tcPr>
                <w:p w14:paraId="730695CA">
                  <w:pPr>
                    <w:pStyle w:val="41"/>
                    <w:rPr>
                      <w:rFonts w:hint="default" w:ascii="Times New Roman" w:hAnsi="Times New Roman" w:eastAsia="宋体" w:cs="Times New Roman"/>
                    </w:rPr>
                  </w:pPr>
                  <w:r>
                    <w:rPr>
                      <w:rFonts w:hint="default" w:ascii="Times New Roman" w:hAnsi="Times New Roman" w:eastAsia="宋体" w:cs="Times New Roman"/>
                    </w:rPr>
                    <w:t>切割机</w:t>
                  </w:r>
                </w:p>
              </w:tc>
              <w:tc>
                <w:tcPr>
                  <w:tcW w:w="708" w:type="dxa"/>
                  <w:vAlign w:val="center"/>
                </w:tcPr>
                <w:p w14:paraId="4E2964D0">
                  <w:pPr>
                    <w:pStyle w:val="41"/>
                    <w:rPr>
                      <w:rFonts w:hint="default" w:ascii="Times New Roman" w:hAnsi="Times New Roman" w:eastAsia="宋体" w:cs="Times New Roman"/>
                    </w:rPr>
                  </w:pPr>
                  <w:r>
                    <w:rPr>
                      <w:rFonts w:hint="default" w:ascii="Times New Roman" w:hAnsi="Times New Roman" w:eastAsia="宋体" w:cs="Times New Roman"/>
                    </w:rPr>
                    <w:t>频发</w:t>
                  </w:r>
                </w:p>
              </w:tc>
              <w:tc>
                <w:tcPr>
                  <w:tcW w:w="851" w:type="dxa"/>
                  <w:vMerge w:val="restart"/>
                  <w:vAlign w:val="center"/>
                </w:tcPr>
                <w:p w14:paraId="1D094BAB">
                  <w:pPr>
                    <w:pStyle w:val="41"/>
                    <w:rPr>
                      <w:rFonts w:hint="default" w:ascii="Times New Roman" w:hAnsi="Times New Roman" w:eastAsia="宋体" w:cs="Times New Roman"/>
                    </w:rPr>
                  </w:pPr>
                  <w:r>
                    <w:rPr>
                      <w:rFonts w:hint="default" w:ascii="Times New Roman" w:hAnsi="Times New Roman" w:eastAsia="宋体" w:cs="Times New Roman"/>
                    </w:rPr>
                    <w:t>类比法</w:t>
                  </w:r>
                </w:p>
              </w:tc>
              <w:tc>
                <w:tcPr>
                  <w:tcW w:w="992" w:type="dxa"/>
                  <w:vAlign w:val="center"/>
                </w:tcPr>
                <w:p w14:paraId="6E2BDD9E">
                  <w:pPr>
                    <w:pStyle w:val="41"/>
                    <w:rPr>
                      <w:rFonts w:hint="default" w:ascii="Times New Roman" w:hAnsi="Times New Roman" w:eastAsia="宋体" w:cs="Times New Roman"/>
                    </w:rPr>
                  </w:pPr>
                  <w:r>
                    <w:rPr>
                      <w:rFonts w:hint="default" w:ascii="Times New Roman" w:hAnsi="Times New Roman" w:eastAsia="宋体" w:cs="Times New Roman"/>
                    </w:rPr>
                    <w:t>90</w:t>
                  </w:r>
                </w:p>
              </w:tc>
              <w:tc>
                <w:tcPr>
                  <w:tcW w:w="851" w:type="dxa"/>
                  <w:vMerge w:val="restart"/>
                  <w:vAlign w:val="center"/>
                </w:tcPr>
                <w:p w14:paraId="2574EDE4">
                  <w:pPr>
                    <w:pStyle w:val="41"/>
                    <w:rPr>
                      <w:rFonts w:hint="default" w:ascii="Times New Roman" w:hAnsi="Times New Roman" w:eastAsia="宋体" w:cs="Times New Roman"/>
                    </w:rPr>
                  </w:pPr>
                  <w:r>
                    <w:rPr>
                      <w:rFonts w:hint="default" w:ascii="Times New Roman" w:hAnsi="Times New Roman" w:eastAsia="宋体" w:cs="Times New Roman"/>
                    </w:rPr>
                    <w:t>选用低噪声设备、合理布局、隔声、减振</w:t>
                  </w:r>
                </w:p>
              </w:tc>
              <w:tc>
                <w:tcPr>
                  <w:tcW w:w="850" w:type="dxa"/>
                  <w:vMerge w:val="restart"/>
                  <w:vAlign w:val="center"/>
                </w:tcPr>
                <w:p w14:paraId="4F649504">
                  <w:pPr>
                    <w:pStyle w:val="41"/>
                    <w:rPr>
                      <w:rFonts w:hint="default" w:ascii="Times New Roman" w:hAnsi="Times New Roman" w:eastAsia="宋体" w:cs="Times New Roman"/>
                    </w:rPr>
                  </w:pPr>
                  <w:r>
                    <w:rPr>
                      <w:rFonts w:hint="default" w:ascii="Times New Roman" w:hAnsi="Times New Roman" w:eastAsia="宋体" w:cs="Times New Roman"/>
                    </w:rPr>
                    <w:t>可有效降低设备产生噪声和传播音量</w:t>
                  </w:r>
                </w:p>
              </w:tc>
              <w:tc>
                <w:tcPr>
                  <w:tcW w:w="851" w:type="dxa"/>
                  <w:vMerge w:val="restart"/>
                  <w:vAlign w:val="center"/>
                </w:tcPr>
                <w:p w14:paraId="34AD5C38">
                  <w:pPr>
                    <w:pStyle w:val="41"/>
                    <w:rPr>
                      <w:rFonts w:hint="default" w:ascii="Times New Roman" w:hAnsi="Times New Roman" w:eastAsia="宋体" w:cs="Times New Roman"/>
                    </w:rPr>
                  </w:pPr>
                  <w:r>
                    <w:rPr>
                      <w:rFonts w:hint="default" w:ascii="Times New Roman" w:hAnsi="Times New Roman" w:eastAsia="宋体" w:cs="Times New Roman"/>
                    </w:rPr>
                    <w:t>类比法</w:t>
                  </w:r>
                </w:p>
              </w:tc>
              <w:tc>
                <w:tcPr>
                  <w:tcW w:w="850" w:type="dxa"/>
                  <w:vAlign w:val="center"/>
                </w:tcPr>
                <w:p w14:paraId="619F4BF0">
                  <w:pPr>
                    <w:pStyle w:val="41"/>
                    <w:rPr>
                      <w:rFonts w:hint="default" w:ascii="Times New Roman" w:hAnsi="Times New Roman" w:eastAsia="宋体" w:cs="Times New Roman"/>
                    </w:rPr>
                  </w:pPr>
                  <w:r>
                    <w:rPr>
                      <w:rFonts w:hint="default" w:ascii="Times New Roman" w:hAnsi="Times New Roman" w:eastAsia="宋体" w:cs="Times New Roman"/>
                    </w:rPr>
                    <w:t>70</w:t>
                  </w:r>
                </w:p>
              </w:tc>
              <w:tc>
                <w:tcPr>
                  <w:tcW w:w="1387" w:type="dxa"/>
                  <w:vMerge w:val="restart"/>
                  <w:vAlign w:val="center"/>
                </w:tcPr>
                <w:p w14:paraId="4DC7ADE9">
                  <w:pPr>
                    <w:pStyle w:val="41"/>
                    <w:rPr>
                      <w:rFonts w:hint="default" w:ascii="Times New Roman" w:hAnsi="Times New Roman" w:eastAsia="宋体" w:cs="Times New Roman"/>
                    </w:rPr>
                  </w:pPr>
                  <w:r>
                    <w:rPr>
                      <w:rFonts w:hint="default" w:ascii="Times New Roman" w:hAnsi="Times New Roman" w:eastAsia="宋体" w:cs="Times New Roman"/>
                    </w:rPr>
                    <w:t>16h</w:t>
                  </w:r>
                </w:p>
              </w:tc>
            </w:tr>
            <w:tr w14:paraId="24B99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8" w:type="dxa"/>
                  <w:vAlign w:val="center"/>
                </w:tcPr>
                <w:p w14:paraId="5ECD6782">
                  <w:pPr>
                    <w:pStyle w:val="41"/>
                    <w:rPr>
                      <w:rFonts w:hint="default" w:ascii="Times New Roman" w:hAnsi="Times New Roman" w:eastAsia="宋体" w:cs="Times New Roman"/>
                    </w:rPr>
                  </w:pPr>
                  <w:r>
                    <w:rPr>
                      <w:rFonts w:hint="default" w:ascii="Times New Roman" w:hAnsi="Times New Roman" w:eastAsia="宋体" w:cs="Times New Roman"/>
                    </w:rPr>
                    <w:t>焊机</w:t>
                  </w:r>
                </w:p>
              </w:tc>
              <w:tc>
                <w:tcPr>
                  <w:tcW w:w="708" w:type="dxa"/>
                  <w:vAlign w:val="center"/>
                </w:tcPr>
                <w:p w14:paraId="6D53A872">
                  <w:pPr>
                    <w:pStyle w:val="41"/>
                    <w:rPr>
                      <w:rFonts w:hint="default" w:ascii="Times New Roman" w:hAnsi="Times New Roman" w:eastAsia="宋体" w:cs="Times New Roman"/>
                    </w:rPr>
                  </w:pPr>
                  <w:r>
                    <w:rPr>
                      <w:rFonts w:hint="default" w:ascii="Times New Roman" w:hAnsi="Times New Roman" w:eastAsia="宋体" w:cs="Times New Roman"/>
                    </w:rPr>
                    <w:t>频发</w:t>
                  </w:r>
                </w:p>
              </w:tc>
              <w:tc>
                <w:tcPr>
                  <w:tcW w:w="851" w:type="dxa"/>
                  <w:vMerge w:val="continue"/>
                  <w:vAlign w:val="center"/>
                </w:tcPr>
                <w:p w14:paraId="2166BA87">
                  <w:pPr>
                    <w:pStyle w:val="41"/>
                    <w:rPr>
                      <w:rFonts w:hint="default" w:ascii="Times New Roman" w:hAnsi="Times New Roman" w:eastAsia="宋体" w:cs="Times New Roman"/>
                    </w:rPr>
                  </w:pPr>
                </w:p>
              </w:tc>
              <w:tc>
                <w:tcPr>
                  <w:tcW w:w="992" w:type="dxa"/>
                  <w:vAlign w:val="center"/>
                </w:tcPr>
                <w:p w14:paraId="5F2F401A">
                  <w:pPr>
                    <w:pStyle w:val="41"/>
                    <w:rPr>
                      <w:rFonts w:hint="default" w:ascii="Times New Roman" w:hAnsi="Times New Roman" w:eastAsia="宋体" w:cs="Times New Roman"/>
                    </w:rPr>
                  </w:pPr>
                  <w:r>
                    <w:rPr>
                      <w:rFonts w:hint="default" w:ascii="Times New Roman" w:hAnsi="Times New Roman" w:eastAsia="宋体" w:cs="Times New Roman"/>
                    </w:rPr>
                    <w:t>85</w:t>
                  </w:r>
                </w:p>
              </w:tc>
              <w:tc>
                <w:tcPr>
                  <w:tcW w:w="851" w:type="dxa"/>
                  <w:vMerge w:val="continue"/>
                  <w:vAlign w:val="center"/>
                </w:tcPr>
                <w:p w14:paraId="5FE9B4D6">
                  <w:pPr>
                    <w:pStyle w:val="41"/>
                    <w:rPr>
                      <w:rFonts w:hint="default" w:ascii="Times New Roman" w:hAnsi="Times New Roman" w:eastAsia="宋体" w:cs="Times New Roman"/>
                    </w:rPr>
                  </w:pPr>
                </w:p>
              </w:tc>
              <w:tc>
                <w:tcPr>
                  <w:tcW w:w="850" w:type="dxa"/>
                  <w:vMerge w:val="continue"/>
                  <w:vAlign w:val="center"/>
                </w:tcPr>
                <w:p w14:paraId="2684776B">
                  <w:pPr>
                    <w:pStyle w:val="41"/>
                    <w:rPr>
                      <w:rFonts w:hint="default" w:ascii="Times New Roman" w:hAnsi="Times New Roman" w:eastAsia="宋体" w:cs="Times New Roman"/>
                    </w:rPr>
                  </w:pPr>
                </w:p>
              </w:tc>
              <w:tc>
                <w:tcPr>
                  <w:tcW w:w="851" w:type="dxa"/>
                  <w:vMerge w:val="continue"/>
                  <w:vAlign w:val="center"/>
                </w:tcPr>
                <w:p w14:paraId="05FB665D">
                  <w:pPr>
                    <w:pStyle w:val="41"/>
                    <w:rPr>
                      <w:rFonts w:hint="default" w:ascii="Times New Roman" w:hAnsi="Times New Roman" w:eastAsia="宋体" w:cs="Times New Roman"/>
                    </w:rPr>
                  </w:pPr>
                </w:p>
              </w:tc>
              <w:tc>
                <w:tcPr>
                  <w:tcW w:w="850" w:type="dxa"/>
                  <w:vAlign w:val="center"/>
                </w:tcPr>
                <w:p w14:paraId="5D9019E1">
                  <w:pPr>
                    <w:pStyle w:val="41"/>
                    <w:rPr>
                      <w:rFonts w:hint="default" w:ascii="Times New Roman" w:hAnsi="Times New Roman" w:eastAsia="宋体" w:cs="Times New Roman"/>
                    </w:rPr>
                  </w:pPr>
                  <w:r>
                    <w:rPr>
                      <w:rFonts w:hint="default" w:ascii="Times New Roman" w:hAnsi="Times New Roman" w:eastAsia="宋体" w:cs="Times New Roman"/>
                    </w:rPr>
                    <w:t>65</w:t>
                  </w:r>
                </w:p>
              </w:tc>
              <w:tc>
                <w:tcPr>
                  <w:tcW w:w="1387" w:type="dxa"/>
                  <w:vMerge w:val="continue"/>
                  <w:vAlign w:val="center"/>
                </w:tcPr>
                <w:p w14:paraId="06FF29D0">
                  <w:pPr>
                    <w:pStyle w:val="41"/>
                    <w:rPr>
                      <w:rFonts w:hint="default" w:ascii="Times New Roman" w:hAnsi="Times New Roman" w:eastAsia="宋体" w:cs="Times New Roman"/>
                    </w:rPr>
                  </w:pPr>
                </w:p>
              </w:tc>
            </w:tr>
            <w:tr w14:paraId="3348B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8" w:type="dxa"/>
                  <w:vAlign w:val="center"/>
                </w:tcPr>
                <w:p w14:paraId="560E2F3C">
                  <w:pPr>
                    <w:pStyle w:val="41"/>
                    <w:rPr>
                      <w:rFonts w:hint="default" w:ascii="Times New Roman" w:hAnsi="Times New Roman" w:eastAsia="宋体" w:cs="Times New Roman"/>
                    </w:rPr>
                  </w:pPr>
                  <w:r>
                    <w:rPr>
                      <w:rFonts w:hint="default" w:ascii="Times New Roman" w:hAnsi="Times New Roman" w:eastAsia="宋体" w:cs="Times New Roman"/>
                    </w:rPr>
                    <w:t>手磨机</w:t>
                  </w:r>
                </w:p>
              </w:tc>
              <w:tc>
                <w:tcPr>
                  <w:tcW w:w="708" w:type="dxa"/>
                  <w:vAlign w:val="center"/>
                </w:tcPr>
                <w:p w14:paraId="3D023001">
                  <w:pPr>
                    <w:pStyle w:val="41"/>
                    <w:rPr>
                      <w:rFonts w:hint="default" w:ascii="Times New Roman" w:hAnsi="Times New Roman" w:eastAsia="宋体" w:cs="Times New Roman"/>
                    </w:rPr>
                  </w:pPr>
                  <w:r>
                    <w:rPr>
                      <w:rFonts w:hint="default" w:ascii="Times New Roman" w:hAnsi="Times New Roman" w:eastAsia="宋体" w:cs="Times New Roman"/>
                    </w:rPr>
                    <w:t>频发</w:t>
                  </w:r>
                </w:p>
              </w:tc>
              <w:tc>
                <w:tcPr>
                  <w:tcW w:w="851" w:type="dxa"/>
                  <w:vMerge w:val="continue"/>
                  <w:vAlign w:val="center"/>
                </w:tcPr>
                <w:p w14:paraId="63C71BA2">
                  <w:pPr>
                    <w:pStyle w:val="41"/>
                    <w:rPr>
                      <w:rFonts w:hint="default" w:ascii="Times New Roman" w:hAnsi="Times New Roman" w:eastAsia="宋体" w:cs="Times New Roman"/>
                    </w:rPr>
                  </w:pPr>
                </w:p>
              </w:tc>
              <w:tc>
                <w:tcPr>
                  <w:tcW w:w="992" w:type="dxa"/>
                  <w:vAlign w:val="center"/>
                </w:tcPr>
                <w:p w14:paraId="70A9700B">
                  <w:pPr>
                    <w:pStyle w:val="41"/>
                    <w:rPr>
                      <w:rFonts w:hint="default" w:ascii="Times New Roman" w:hAnsi="Times New Roman" w:eastAsia="宋体" w:cs="Times New Roman"/>
                    </w:rPr>
                  </w:pPr>
                  <w:r>
                    <w:rPr>
                      <w:rFonts w:hint="default" w:ascii="Times New Roman" w:hAnsi="Times New Roman" w:eastAsia="宋体" w:cs="Times New Roman"/>
                    </w:rPr>
                    <w:t>85</w:t>
                  </w:r>
                </w:p>
              </w:tc>
              <w:tc>
                <w:tcPr>
                  <w:tcW w:w="851" w:type="dxa"/>
                  <w:vMerge w:val="continue"/>
                  <w:vAlign w:val="center"/>
                </w:tcPr>
                <w:p w14:paraId="48EAA8ED">
                  <w:pPr>
                    <w:pStyle w:val="41"/>
                    <w:rPr>
                      <w:rFonts w:hint="default" w:ascii="Times New Roman" w:hAnsi="Times New Roman" w:eastAsia="宋体" w:cs="Times New Roman"/>
                    </w:rPr>
                  </w:pPr>
                </w:p>
              </w:tc>
              <w:tc>
                <w:tcPr>
                  <w:tcW w:w="850" w:type="dxa"/>
                  <w:vMerge w:val="continue"/>
                  <w:vAlign w:val="center"/>
                </w:tcPr>
                <w:p w14:paraId="39AA7E99">
                  <w:pPr>
                    <w:pStyle w:val="41"/>
                    <w:rPr>
                      <w:rFonts w:hint="default" w:ascii="Times New Roman" w:hAnsi="Times New Roman" w:eastAsia="宋体" w:cs="Times New Roman"/>
                    </w:rPr>
                  </w:pPr>
                </w:p>
              </w:tc>
              <w:tc>
                <w:tcPr>
                  <w:tcW w:w="851" w:type="dxa"/>
                  <w:vMerge w:val="continue"/>
                  <w:vAlign w:val="center"/>
                </w:tcPr>
                <w:p w14:paraId="4A67D69F">
                  <w:pPr>
                    <w:pStyle w:val="41"/>
                    <w:rPr>
                      <w:rFonts w:hint="default" w:ascii="Times New Roman" w:hAnsi="Times New Roman" w:eastAsia="宋体" w:cs="Times New Roman"/>
                    </w:rPr>
                  </w:pPr>
                </w:p>
              </w:tc>
              <w:tc>
                <w:tcPr>
                  <w:tcW w:w="850" w:type="dxa"/>
                  <w:vAlign w:val="center"/>
                </w:tcPr>
                <w:p w14:paraId="68A2E4E1">
                  <w:pPr>
                    <w:pStyle w:val="41"/>
                    <w:rPr>
                      <w:rFonts w:hint="default" w:ascii="Times New Roman" w:hAnsi="Times New Roman" w:eastAsia="宋体" w:cs="Times New Roman"/>
                    </w:rPr>
                  </w:pPr>
                  <w:r>
                    <w:rPr>
                      <w:rFonts w:hint="default" w:ascii="Times New Roman" w:hAnsi="Times New Roman" w:eastAsia="宋体" w:cs="Times New Roman"/>
                    </w:rPr>
                    <w:t>65</w:t>
                  </w:r>
                </w:p>
              </w:tc>
              <w:tc>
                <w:tcPr>
                  <w:tcW w:w="1387" w:type="dxa"/>
                  <w:vMerge w:val="continue"/>
                  <w:vAlign w:val="center"/>
                </w:tcPr>
                <w:p w14:paraId="1E400248">
                  <w:pPr>
                    <w:pStyle w:val="41"/>
                    <w:rPr>
                      <w:rFonts w:hint="default" w:ascii="Times New Roman" w:hAnsi="Times New Roman" w:eastAsia="宋体" w:cs="Times New Roman"/>
                    </w:rPr>
                  </w:pPr>
                </w:p>
              </w:tc>
            </w:tr>
            <w:tr w14:paraId="30DA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908" w:type="dxa"/>
                  <w:vAlign w:val="center"/>
                </w:tcPr>
                <w:p w14:paraId="531F62A8">
                  <w:pPr>
                    <w:pStyle w:val="41"/>
                    <w:rPr>
                      <w:rFonts w:hint="default" w:ascii="Times New Roman" w:hAnsi="Times New Roman" w:eastAsia="宋体" w:cs="Times New Roman"/>
                    </w:rPr>
                  </w:pPr>
                  <w:r>
                    <w:rPr>
                      <w:rFonts w:hint="default" w:ascii="Times New Roman" w:hAnsi="Times New Roman" w:eastAsia="宋体" w:cs="Times New Roman"/>
                    </w:rPr>
                    <w:t>钻床</w:t>
                  </w:r>
                </w:p>
              </w:tc>
              <w:tc>
                <w:tcPr>
                  <w:tcW w:w="708" w:type="dxa"/>
                  <w:vAlign w:val="center"/>
                </w:tcPr>
                <w:p w14:paraId="0876CA6E">
                  <w:pPr>
                    <w:pStyle w:val="41"/>
                    <w:rPr>
                      <w:rFonts w:hint="default" w:ascii="Times New Roman" w:hAnsi="Times New Roman" w:eastAsia="宋体" w:cs="Times New Roman"/>
                    </w:rPr>
                  </w:pPr>
                  <w:r>
                    <w:rPr>
                      <w:rFonts w:hint="default" w:ascii="Times New Roman" w:hAnsi="Times New Roman" w:eastAsia="宋体" w:cs="Times New Roman"/>
                    </w:rPr>
                    <w:t>频发</w:t>
                  </w:r>
                </w:p>
              </w:tc>
              <w:tc>
                <w:tcPr>
                  <w:tcW w:w="851" w:type="dxa"/>
                  <w:vMerge w:val="continue"/>
                  <w:vAlign w:val="center"/>
                </w:tcPr>
                <w:p w14:paraId="35A716C4">
                  <w:pPr>
                    <w:pStyle w:val="41"/>
                    <w:rPr>
                      <w:rFonts w:hint="default" w:ascii="Times New Roman" w:hAnsi="Times New Roman" w:eastAsia="宋体" w:cs="Times New Roman"/>
                    </w:rPr>
                  </w:pPr>
                </w:p>
              </w:tc>
              <w:tc>
                <w:tcPr>
                  <w:tcW w:w="992" w:type="dxa"/>
                  <w:vAlign w:val="center"/>
                </w:tcPr>
                <w:p w14:paraId="4F31D923">
                  <w:pPr>
                    <w:pStyle w:val="41"/>
                    <w:rPr>
                      <w:rFonts w:hint="default" w:ascii="Times New Roman" w:hAnsi="Times New Roman" w:eastAsia="宋体" w:cs="Times New Roman"/>
                    </w:rPr>
                  </w:pPr>
                  <w:r>
                    <w:rPr>
                      <w:rFonts w:hint="default" w:ascii="Times New Roman" w:hAnsi="Times New Roman" w:eastAsia="宋体" w:cs="Times New Roman"/>
                    </w:rPr>
                    <w:t>85</w:t>
                  </w:r>
                </w:p>
              </w:tc>
              <w:tc>
                <w:tcPr>
                  <w:tcW w:w="851" w:type="dxa"/>
                  <w:vMerge w:val="continue"/>
                  <w:vAlign w:val="center"/>
                </w:tcPr>
                <w:p w14:paraId="38658C65">
                  <w:pPr>
                    <w:pStyle w:val="41"/>
                    <w:rPr>
                      <w:rFonts w:hint="default" w:ascii="Times New Roman" w:hAnsi="Times New Roman" w:eastAsia="宋体" w:cs="Times New Roman"/>
                    </w:rPr>
                  </w:pPr>
                </w:p>
              </w:tc>
              <w:tc>
                <w:tcPr>
                  <w:tcW w:w="850" w:type="dxa"/>
                  <w:vMerge w:val="continue"/>
                  <w:vAlign w:val="center"/>
                </w:tcPr>
                <w:p w14:paraId="5F283D6B">
                  <w:pPr>
                    <w:pStyle w:val="41"/>
                    <w:rPr>
                      <w:rFonts w:hint="default" w:ascii="Times New Roman" w:hAnsi="Times New Roman" w:eastAsia="宋体" w:cs="Times New Roman"/>
                    </w:rPr>
                  </w:pPr>
                </w:p>
              </w:tc>
              <w:tc>
                <w:tcPr>
                  <w:tcW w:w="851" w:type="dxa"/>
                  <w:vMerge w:val="continue"/>
                  <w:vAlign w:val="center"/>
                </w:tcPr>
                <w:p w14:paraId="14BC876E">
                  <w:pPr>
                    <w:pStyle w:val="41"/>
                    <w:rPr>
                      <w:rFonts w:hint="default" w:ascii="Times New Roman" w:hAnsi="Times New Roman" w:eastAsia="宋体" w:cs="Times New Roman"/>
                    </w:rPr>
                  </w:pPr>
                </w:p>
              </w:tc>
              <w:tc>
                <w:tcPr>
                  <w:tcW w:w="850" w:type="dxa"/>
                  <w:vAlign w:val="center"/>
                </w:tcPr>
                <w:p w14:paraId="0B5BCF1A">
                  <w:pPr>
                    <w:pStyle w:val="41"/>
                    <w:rPr>
                      <w:rFonts w:hint="default" w:ascii="Times New Roman" w:hAnsi="Times New Roman" w:eastAsia="宋体" w:cs="Times New Roman"/>
                    </w:rPr>
                  </w:pPr>
                  <w:r>
                    <w:rPr>
                      <w:rFonts w:hint="default" w:ascii="Times New Roman" w:hAnsi="Times New Roman" w:eastAsia="宋体" w:cs="Times New Roman"/>
                    </w:rPr>
                    <w:t>65</w:t>
                  </w:r>
                </w:p>
              </w:tc>
              <w:tc>
                <w:tcPr>
                  <w:tcW w:w="1387" w:type="dxa"/>
                  <w:vMerge w:val="continue"/>
                  <w:vAlign w:val="center"/>
                </w:tcPr>
                <w:p w14:paraId="4EC5BE50">
                  <w:pPr>
                    <w:pStyle w:val="41"/>
                    <w:rPr>
                      <w:rFonts w:hint="default" w:ascii="Times New Roman" w:hAnsi="Times New Roman" w:eastAsia="宋体" w:cs="Times New Roman"/>
                    </w:rPr>
                  </w:pPr>
                </w:p>
              </w:tc>
            </w:tr>
            <w:tr w14:paraId="4AEFD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8" w:type="dxa"/>
                  <w:vAlign w:val="center"/>
                </w:tcPr>
                <w:p w14:paraId="2D6420D8">
                  <w:pPr>
                    <w:pStyle w:val="41"/>
                    <w:rPr>
                      <w:rFonts w:hint="default" w:ascii="Times New Roman" w:hAnsi="Times New Roman" w:eastAsia="宋体" w:cs="Times New Roman"/>
                    </w:rPr>
                  </w:pPr>
                  <w:r>
                    <w:rPr>
                      <w:rFonts w:hint="default" w:ascii="Times New Roman" w:hAnsi="Times New Roman" w:eastAsia="宋体" w:cs="Times New Roman"/>
                    </w:rPr>
                    <w:t>弯管机</w:t>
                  </w:r>
                </w:p>
              </w:tc>
              <w:tc>
                <w:tcPr>
                  <w:tcW w:w="708" w:type="dxa"/>
                  <w:vAlign w:val="center"/>
                </w:tcPr>
                <w:p w14:paraId="76BBB6E1">
                  <w:pPr>
                    <w:pStyle w:val="41"/>
                    <w:rPr>
                      <w:rFonts w:hint="default" w:ascii="Times New Roman" w:hAnsi="Times New Roman" w:eastAsia="宋体" w:cs="Times New Roman"/>
                    </w:rPr>
                  </w:pPr>
                  <w:r>
                    <w:rPr>
                      <w:rFonts w:hint="default" w:ascii="Times New Roman" w:hAnsi="Times New Roman" w:eastAsia="宋体" w:cs="Times New Roman"/>
                    </w:rPr>
                    <w:t>频发</w:t>
                  </w:r>
                </w:p>
              </w:tc>
              <w:tc>
                <w:tcPr>
                  <w:tcW w:w="851" w:type="dxa"/>
                  <w:vMerge w:val="continue"/>
                  <w:vAlign w:val="center"/>
                </w:tcPr>
                <w:p w14:paraId="41002EB2">
                  <w:pPr>
                    <w:pStyle w:val="41"/>
                    <w:rPr>
                      <w:rFonts w:hint="default" w:ascii="Times New Roman" w:hAnsi="Times New Roman" w:eastAsia="宋体" w:cs="Times New Roman"/>
                    </w:rPr>
                  </w:pPr>
                </w:p>
              </w:tc>
              <w:tc>
                <w:tcPr>
                  <w:tcW w:w="992" w:type="dxa"/>
                  <w:vAlign w:val="center"/>
                </w:tcPr>
                <w:p w14:paraId="27018930">
                  <w:pPr>
                    <w:pStyle w:val="41"/>
                    <w:rPr>
                      <w:rFonts w:hint="default" w:ascii="Times New Roman" w:hAnsi="Times New Roman" w:eastAsia="宋体" w:cs="Times New Roman"/>
                    </w:rPr>
                  </w:pPr>
                  <w:r>
                    <w:rPr>
                      <w:rFonts w:hint="default" w:ascii="Times New Roman" w:hAnsi="Times New Roman" w:eastAsia="宋体" w:cs="Times New Roman"/>
                    </w:rPr>
                    <w:t>85</w:t>
                  </w:r>
                </w:p>
              </w:tc>
              <w:tc>
                <w:tcPr>
                  <w:tcW w:w="851" w:type="dxa"/>
                  <w:vMerge w:val="continue"/>
                  <w:vAlign w:val="center"/>
                </w:tcPr>
                <w:p w14:paraId="1575E31B">
                  <w:pPr>
                    <w:pStyle w:val="41"/>
                    <w:rPr>
                      <w:rFonts w:hint="default" w:ascii="Times New Roman" w:hAnsi="Times New Roman" w:eastAsia="宋体" w:cs="Times New Roman"/>
                    </w:rPr>
                  </w:pPr>
                </w:p>
              </w:tc>
              <w:tc>
                <w:tcPr>
                  <w:tcW w:w="850" w:type="dxa"/>
                  <w:vMerge w:val="continue"/>
                  <w:vAlign w:val="center"/>
                </w:tcPr>
                <w:p w14:paraId="7F9CC8E8">
                  <w:pPr>
                    <w:pStyle w:val="41"/>
                    <w:rPr>
                      <w:rFonts w:hint="default" w:ascii="Times New Roman" w:hAnsi="Times New Roman" w:eastAsia="宋体" w:cs="Times New Roman"/>
                    </w:rPr>
                  </w:pPr>
                </w:p>
              </w:tc>
              <w:tc>
                <w:tcPr>
                  <w:tcW w:w="851" w:type="dxa"/>
                  <w:vMerge w:val="continue"/>
                  <w:vAlign w:val="center"/>
                </w:tcPr>
                <w:p w14:paraId="2594D3C7">
                  <w:pPr>
                    <w:pStyle w:val="41"/>
                    <w:rPr>
                      <w:rFonts w:hint="default" w:ascii="Times New Roman" w:hAnsi="Times New Roman" w:eastAsia="宋体" w:cs="Times New Roman"/>
                    </w:rPr>
                  </w:pPr>
                </w:p>
              </w:tc>
              <w:tc>
                <w:tcPr>
                  <w:tcW w:w="850" w:type="dxa"/>
                  <w:vAlign w:val="center"/>
                </w:tcPr>
                <w:p w14:paraId="04350888">
                  <w:pPr>
                    <w:pStyle w:val="41"/>
                    <w:rPr>
                      <w:rFonts w:hint="default" w:ascii="Times New Roman" w:hAnsi="Times New Roman" w:eastAsia="宋体" w:cs="Times New Roman"/>
                    </w:rPr>
                  </w:pPr>
                  <w:r>
                    <w:rPr>
                      <w:rFonts w:hint="default" w:ascii="Times New Roman" w:hAnsi="Times New Roman" w:eastAsia="宋体" w:cs="Times New Roman"/>
                    </w:rPr>
                    <w:t>65</w:t>
                  </w:r>
                </w:p>
              </w:tc>
              <w:tc>
                <w:tcPr>
                  <w:tcW w:w="1387" w:type="dxa"/>
                  <w:vMerge w:val="continue"/>
                  <w:vAlign w:val="center"/>
                </w:tcPr>
                <w:p w14:paraId="5E7699FB">
                  <w:pPr>
                    <w:pStyle w:val="41"/>
                    <w:rPr>
                      <w:rFonts w:hint="default" w:ascii="Times New Roman" w:hAnsi="Times New Roman" w:eastAsia="宋体" w:cs="Times New Roman"/>
                    </w:rPr>
                  </w:pPr>
                </w:p>
              </w:tc>
            </w:tr>
          </w:tbl>
          <w:p w14:paraId="107D981B">
            <w:pPr>
              <w:ind w:firstLine="480"/>
              <w:rPr>
                <w:rFonts w:hint="default" w:ascii="Times New Roman" w:hAnsi="Times New Roman" w:eastAsia="宋体" w:cs="Times New Roman"/>
              </w:rPr>
            </w:pPr>
            <w:r>
              <w:rPr>
                <w:rFonts w:hint="default" w:ascii="Times New Roman" w:hAnsi="Times New Roman" w:eastAsia="宋体" w:cs="Times New Roman"/>
              </w:rPr>
              <w:t>为保证本项目厂界噪声排放达标，建设单位拟采取以下噪声防治措施：</w:t>
            </w:r>
          </w:p>
          <w:p w14:paraId="425B36A6">
            <w:pPr>
              <w:ind w:firstLine="480"/>
              <w:rPr>
                <w:rFonts w:hint="default" w:ascii="Times New Roman" w:hAnsi="Times New Roman" w:eastAsia="宋体" w:cs="Times New Roman"/>
              </w:rPr>
            </w:pPr>
            <w:r>
              <w:rPr>
                <w:rFonts w:hint="default" w:ascii="Times New Roman" w:hAnsi="Times New Roman" w:eastAsia="宋体" w:cs="Times New Roman"/>
              </w:rPr>
              <w:t>①在平面布置上优化设计，合理布局噪声源，尽量将高噪声远离噪声敏感区域和厂界；</w:t>
            </w:r>
          </w:p>
          <w:p w14:paraId="7427B539">
            <w:pPr>
              <w:ind w:firstLine="480"/>
              <w:rPr>
                <w:rFonts w:hint="default" w:ascii="Times New Roman" w:hAnsi="Times New Roman" w:eastAsia="宋体" w:cs="Times New Roman"/>
              </w:rPr>
            </w:pPr>
            <w:r>
              <w:rPr>
                <w:rFonts w:hint="default" w:ascii="Times New Roman" w:hAnsi="Times New Roman" w:eastAsia="宋体" w:cs="Times New Roman"/>
              </w:rPr>
              <w:t>②在满足运行需要的前提下，选用加工精度高、装配质量好、噪声低的设备；</w:t>
            </w:r>
          </w:p>
          <w:p w14:paraId="2FEB4004">
            <w:pPr>
              <w:adjustRightInd w:val="0"/>
              <w:snapToGrid w:val="0"/>
              <w:ind w:firstLine="480"/>
              <w:rPr>
                <w:rFonts w:hint="default" w:ascii="Times New Roman" w:hAnsi="Times New Roman" w:eastAsia="宋体" w:cs="Times New Roman"/>
                <w:bCs/>
              </w:rPr>
            </w:pPr>
            <w:r>
              <w:rPr>
                <w:rFonts w:hint="default" w:ascii="Times New Roman" w:hAnsi="Times New Roman" w:eastAsia="宋体" w:cs="Times New Roman"/>
                <w:bCs/>
              </w:rPr>
              <w:t>③对设备运行时振动产生的噪声，设计时将采取减震基础，如在设备底座安装防震垫等措施降低生产噪声等；</w:t>
            </w:r>
          </w:p>
          <w:p w14:paraId="6F57D9E6">
            <w:pPr>
              <w:ind w:firstLine="480"/>
              <w:rPr>
                <w:rFonts w:hint="default" w:ascii="Times New Roman" w:hAnsi="Times New Roman" w:eastAsia="宋体" w:cs="Times New Roman"/>
              </w:rPr>
            </w:pPr>
            <w:r>
              <w:rPr>
                <w:rFonts w:hint="default" w:ascii="Times New Roman" w:hAnsi="Times New Roman" w:eastAsia="宋体" w:cs="Times New Roman"/>
              </w:rPr>
              <w:t>④项目运营后加强设备的使用和日常维护管理，维持设备处于良好的运转状态，定期检查、维修，不符合要求的要及时更换，避免因设备运转不正常导致噪声的增高；</w:t>
            </w:r>
          </w:p>
          <w:p w14:paraId="3F3E3E09">
            <w:pPr>
              <w:ind w:firstLine="480"/>
              <w:rPr>
                <w:rFonts w:hint="default" w:ascii="Times New Roman" w:hAnsi="Times New Roman" w:eastAsia="宋体" w:cs="Times New Roman"/>
              </w:rPr>
            </w:pPr>
            <w:r>
              <w:rPr>
                <w:rFonts w:hint="default" w:ascii="Times New Roman" w:hAnsi="Times New Roman" w:eastAsia="宋体" w:cs="Times New Roman"/>
              </w:rPr>
              <w:t>⑤加强厂区绿化，也可以在一定程度上起到降低噪声的效果。</w:t>
            </w:r>
          </w:p>
          <w:p w14:paraId="1C6838FA">
            <w:pPr>
              <w:adjustRightInd w:val="0"/>
              <w:snapToGrid w:val="0"/>
              <w:ind w:firstLine="480"/>
              <w:rPr>
                <w:rFonts w:hint="default" w:ascii="Times New Roman" w:hAnsi="Times New Roman" w:eastAsia="宋体" w:cs="Times New Roman"/>
              </w:rPr>
            </w:pPr>
            <w:r>
              <w:rPr>
                <w:rFonts w:hint="default" w:ascii="Times New Roman" w:hAnsi="Times New Roman" w:eastAsia="宋体" w:cs="Times New Roman"/>
              </w:rPr>
              <w:t>以上各项减噪措施是行之有效的，经过合理布局、基础减震、建筑隔声等措施后，噪声源一般可衰减约20dB（A）。本项目主要设备等效综合噪声源强以73dB（A）计算。</w:t>
            </w:r>
          </w:p>
          <w:p w14:paraId="184E96BE">
            <w:pPr>
              <w:ind w:firstLine="480"/>
              <w:rPr>
                <w:rFonts w:hint="default" w:ascii="Times New Roman" w:hAnsi="Times New Roman" w:eastAsia="宋体" w:cs="Times New Roman"/>
              </w:rPr>
            </w:pPr>
            <w:r>
              <w:rPr>
                <w:rFonts w:hint="default" w:ascii="Times New Roman" w:hAnsi="Times New Roman" w:eastAsia="宋体" w:cs="Times New Roman"/>
              </w:rPr>
              <w:t>本项目厂界50m内无敏感点，不会对周围的声环境造成明显不良影响。参照《环境影响评价技术导则》（声环境）（HJ 2.4—2021）中附录A中的工业噪声预测计算模式，对项目主要噪声源在各预测点产生的A声级进行计算，计算过程入如下。</w:t>
            </w:r>
          </w:p>
          <w:p w14:paraId="75B23683">
            <w:pPr>
              <w:ind w:firstLine="480"/>
              <w:rPr>
                <w:rFonts w:hint="default" w:ascii="Times New Roman" w:hAnsi="Times New Roman" w:eastAsia="宋体" w:cs="Times New Roman"/>
              </w:rPr>
            </w:pPr>
            <w:r>
              <w:rPr>
                <w:rFonts w:hint="default" w:ascii="Times New Roman" w:hAnsi="Times New Roman" w:eastAsia="宋体" w:cs="Times New Roman"/>
              </w:rPr>
              <w:t>点声源在预测点产生的声级计算基本公式如下：</w:t>
            </w:r>
          </w:p>
          <w:p w14:paraId="0AB2F9DF">
            <w:pPr>
              <w:ind w:firstLine="480"/>
              <w:jc w:val="center"/>
              <w:rPr>
                <w:rFonts w:hint="default" w:ascii="Times New Roman" w:hAnsi="Times New Roman" w:eastAsia="宋体" w:cs="Times New Roman"/>
              </w:rPr>
            </w:pPr>
            <w:r>
              <w:rPr>
                <w:rFonts w:hint="default" w:ascii="Times New Roman" w:hAnsi="Times New Roman" w:eastAsia="宋体" w:cs="Times New Roman"/>
              </w:rPr>
              <w:t>Lp（r）＝Lw+DC－A</w:t>
            </w:r>
          </w:p>
          <w:p w14:paraId="037215A0">
            <w:pPr>
              <w:ind w:firstLine="480"/>
              <w:rPr>
                <w:rFonts w:hint="default" w:ascii="Times New Roman" w:hAnsi="Times New Roman" w:eastAsia="宋体" w:cs="Times New Roman"/>
              </w:rPr>
            </w:pPr>
            <w:r>
              <w:rPr>
                <w:rFonts w:hint="default" w:ascii="Times New Roman" w:hAnsi="Times New Roman" w:eastAsia="宋体" w:cs="Times New Roman"/>
              </w:rPr>
              <w:t>式中：Lp（r）——预测点处声压级，dB；</w:t>
            </w:r>
          </w:p>
          <w:p w14:paraId="5EEA9DDE">
            <w:pPr>
              <w:ind w:firstLine="480"/>
              <w:rPr>
                <w:rFonts w:hint="default" w:ascii="Times New Roman" w:hAnsi="Times New Roman" w:eastAsia="宋体" w:cs="Times New Roman"/>
              </w:rPr>
            </w:pPr>
            <w:r>
              <w:rPr>
                <w:rFonts w:hint="default" w:ascii="Times New Roman" w:hAnsi="Times New Roman" w:eastAsia="宋体" w:cs="Times New Roman"/>
              </w:rPr>
              <w:t>DC——指向性校正，本评价不考虑；</w:t>
            </w:r>
          </w:p>
          <w:p w14:paraId="55B2C4D8">
            <w:pPr>
              <w:ind w:firstLine="480"/>
              <w:rPr>
                <w:rFonts w:hint="default" w:ascii="Times New Roman" w:hAnsi="Times New Roman" w:eastAsia="宋体" w:cs="Times New Roman"/>
                <w:szCs w:val="22"/>
              </w:rPr>
            </w:pPr>
            <w:r>
              <w:rPr>
                <w:rFonts w:hint="default" w:ascii="Times New Roman" w:hAnsi="Times New Roman" w:eastAsia="宋体" w:cs="Times New Roman"/>
                <w:szCs w:val="22"/>
              </w:rPr>
              <w:t>A——衰减，项目所在区域讲进行地面硬化，地势平坦，因此本评价只考虑几何发散衰减A</w:t>
            </w:r>
            <w:r>
              <w:rPr>
                <w:rFonts w:hint="default" w:ascii="Times New Roman" w:hAnsi="Times New Roman" w:eastAsia="宋体" w:cs="Times New Roman"/>
                <w:sz w:val="32"/>
                <w:szCs w:val="22"/>
                <w:vertAlign w:val="subscript"/>
              </w:rPr>
              <w:t>div</w:t>
            </w:r>
            <w:r>
              <w:rPr>
                <w:rFonts w:hint="default" w:ascii="Times New Roman" w:hAnsi="Times New Roman" w:eastAsia="宋体" w:cs="Times New Roman"/>
              </w:rPr>
              <w:t>、大气吸收衰减A</w:t>
            </w:r>
            <w:r>
              <w:rPr>
                <w:rFonts w:hint="default" w:ascii="Times New Roman" w:hAnsi="Times New Roman" w:eastAsia="宋体" w:cs="Times New Roman"/>
                <w:sz w:val="32"/>
                <w:szCs w:val="32"/>
                <w:vertAlign w:val="subscript"/>
              </w:rPr>
              <w:t>atm</w:t>
            </w:r>
            <w:r>
              <w:rPr>
                <w:rFonts w:hint="default" w:ascii="Times New Roman" w:hAnsi="Times New Roman" w:eastAsia="宋体" w:cs="Times New Roman"/>
                <w:szCs w:val="22"/>
              </w:rPr>
              <w:t>等；</w:t>
            </w:r>
          </w:p>
          <w:p w14:paraId="4E355487">
            <w:pPr>
              <w:ind w:firstLine="480"/>
              <w:rPr>
                <w:rFonts w:hint="default" w:ascii="Times New Roman" w:hAnsi="Times New Roman" w:eastAsia="宋体" w:cs="Times New Roman"/>
              </w:rPr>
            </w:pPr>
            <w:r>
              <w:rPr>
                <w:rFonts w:hint="default" w:ascii="Times New Roman" w:hAnsi="Times New Roman" w:eastAsia="宋体" w:cs="Times New Roman"/>
              </w:rPr>
              <w:t>①几何发散衰减</w:t>
            </w:r>
          </w:p>
          <w:p w14:paraId="0B541294">
            <w:pPr>
              <w:ind w:firstLine="480"/>
              <w:rPr>
                <w:rFonts w:hint="default" w:ascii="Times New Roman" w:hAnsi="Times New Roman" w:eastAsia="宋体" w:cs="Times New Roman"/>
              </w:rPr>
            </w:pPr>
            <w:r>
              <w:rPr>
                <w:rFonts w:hint="default" w:ascii="Times New Roman" w:hAnsi="Times New Roman" w:eastAsia="宋体" w:cs="Times New Roman"/>
              </w:rPr>
              <w:t>声源发出的噪声在空间发散传播时，存在声压级不断衰减的过程，几何发散减量计算公式如下：</w:t>
            </w:r>
          </w:p>
          <w:p w14:paraId="2282EB00">
            <w:pPr>
              <w:ind w:firstLine="480"/>
              <w:jc w:val="center"/>
              <w:rPr>
                <w:rFonts w:hint="default" w:ascii="Times New Roman" w:hAnsi="Times New Roman" w:eastAsia="宋体" w:cs="Times New Roman"/>
                <w:szCs w:val="22"/>
              </w:rPr>
            </w:pPr>
            <w:r>
              <w:rPr>
                <w:rFonts w:hint="default" w:ascii="Times New Roman" w:hAnsi="Times New Roman" w:eastAsia="宋体" w:cs="Times New Roman"/>
              </w:rPr>
              <w:drawing>
                <wp:inline distT="0" distB="0" distL="114300" distR="114300">
                  <wp:extent cx="913765" cy="204470"/>
                  <wp:effectExtent l="0" t="0" r="635" b="5080"/>
                  <wp:docPr id="2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1"/>
                          <pic:cNvPicPr>
                            <a:picLocks noChangeAspect="1"/>
                          </pic:cNvPicPr>
                        </pic:nvPicPr>
                        <pic:blipFill>
                          <a:blip r:embed="rId33"/>
                          <a:stretch>
                            <a:fillRect/>
                          </a:stretch>
                        </pic:blipFill>
                        <pic:spPr>
                          <a:xfrm>
                            <a:off x="0" y="0"/>
                            <a:ext cx="913765" cy="204470"/>
                          </a:xfrm>
                          <a:prstGeom prst="rect">
                            <a:avLst/>
                          </a:prstGeom>
                          <a:noFill/>
                          <a:ln>
                            <a:noFill/>
                          </a:ln>
                        </pic:spPr>
                      </pic:pic>
                    </a:graphicData>
                  </a:graphic>
                </wp:inline>
              </w:drawing>
            </w:r>
          </w:p>
          <w:p w14:paraId="590AEC9C">
            <w:pPr>
              <w:ind w:firstLine="480"/>
              <w:rPr>
                <w:rFonts w:hint="default" w:ascii="Times New Roman" w:hAnsi="Times New Roman" w:eastAsia="宋体" w:cs="Times New Roman"/>
                <w:szCs w:val="22"/>
              </w:rPr>
            </w:pPr>
            <w:r>
              <w:rPr>
                <w:rFonts w:hint="default" w:ascii="Times New Roman" w:hAnsi="Times New Roman" w:eastAsia="宋体" w:cs="Times New Roman"/>
                <w:szCs w:val="22"/>
              </w:rPr>
              <w:t>式中：A</w:t>
            </w:r>
            <w:r>
              <w:rPr>
                <w:rFonts w:hint="default" w:ascii="Times New Roman" w:hAnsi="Times New Roman" w:eastAsia="宋体" w:cs="Times New Roman"/>
                <w:sz w:val="32"/>
                <w:szCs w:val="22"/>
                <w:vertAlign w:val="subscript"/>
              </w:rPr>
              <w:t>div</w:t>
            </w:r>
            <w:r>
              <w:rPr>
                <w:rFonts w:hint="default" w:ascii="Times New Roman" w:hAnsi="Times New Roman" w:eastAsia="宋体" w:cs="Times New Roman"/>
                <w:szCs w:val="22"/>
              </w:rPr>
              <w:t>——几何发散引起的衰减，dB；</w:t>
            </w:r>
          </w:p>
          <w:p w14:paraId="27CBCE42">
            <w:pPr>
              <w:ind w:firstLine="480"/>
              <w:rPr>
                <w:rFonts w:hint="default" w:ascii="Times New Roman" w:hAnsi="Times New Roman" w:eastAsia="宋体" w:cs="Times New Roman"/>
              </w:rPr>
            </w:pPr>
            <w:r>
              <w:rPr>
                <w:rFonts w:hint="default" w:ascii="Times New Roman" w:hAnsi="Times New Roman" w:eastAsia="宋体" w:cs="Times New Roman"/>
              </w:rPr>
              <w:t>r——预测点距声源的距离，取值见表4-18；</w:t>
            </w:r>
          </w:p>
          <w:p w14:paraId="0303FEE7">
            <w:pPr>
              <w:ind w:firstLine="480"/>
              <w:rPr>
                <w:rFonts w:hint="default" w:ascii="Times New Roman" w:hAnsi="Times New Roman" w:eastAsia="宋体" w:cs="Times New Roman"/>
                <w:szCs w:val="22"/>
              </w:rPr>
            </w:pPr>
            <w:r>
              <w:rPr>
                <w:rFonts w:hint="default" w:ascii="Times New Roman" w:hAnsi="Times New Roman" w:eastAsia="宋体" w:cs="Times New Roman"/>
                <w:szCs w:val="22"/>
              </w:rPr>
              <w:t>r</w:t>
            </w:r>
            <w:r>
              <w:rPr>
                <w:rFonts w:hint="default" w:ascii="Times New Roman" w:hAnsi="Times New Roman" w:eastAsia="宋体" w:cs="Times New Roman"/>
                <w:szCs w:val="22"/>
                <w:vertAlign w:val="subscript"/>
              </w:rPr>
              <w:t>0</w:t>
            </w:r>
            <w:r>
              <w:rPr>
                <w:rFonts w:hint="default" w:ascii="Times New Roman" w:hAnsi="Times New Roman" w:eastAsia="宋体" w:cs="Times New Roman"/>
                <w:szCs w:val="22"/>
              </w:rPr>
              <w:t>——参考位置距声源的距离，本评价取值1米。</w:t>
            </w:r>
          </w:p>
          <w:p w14:paraId="432B0C3B">
            <w:pPr>
              <w:ind w:firstLine="480"/>
              <w:rPr>
                <w:rFonts w:hint="default" w:ascii="Times New Roman" w:hAnsi="Times New Roman" w:eastAsia="宋体" w:cs="Times New Roman"/>
              </w:rPr>
            </w:pPr>
            <w:r>
              <w:rPr>
                <w:rFonts w:hint="default" w:ascii="Times New Roman" w:hAnsi="Times New Roman" w:eastAsia="宋体" w:cs="Times New Roman"/>
              </w:rPr>
              <w:t>②大气吸收衰减</w:t>
            </w:r>
          </w:p>
          <w:p w14:paraId="37CA3EE2">
            <w:pPr>
              <w:ind w:firstLine="480"/>
              <w:rPr>
                <w:rFonts w:hint="default" w:ascii="Times New Roman" w:hAnsi="Times New Roman" w:eastAsia="宋体" w:cs="Times New Roman"/>
              </w:rPr>
            </w:pPr>
            <w:r>
              <w:rPr>
                <w:rFonts w:hint="default" w:ascii="Times New Roman" w:hAnsi="Times New Roman" w:eastAsia="宋体" w:cs="Times New Roman"/>
              </w:rPr>
              <w:t>由于大气湿度的影响，噪声在空气传播过程中，会存在被空气吸收而导致声压级衰减的过程，大气吸收衰减量计算公式如下：</w:t>
            </w:r>
          </w:p>
          <w:p w14:paraId="7A484055">
            <w:pPr>
              <w:ind w:firstLine="480"/>
              <w:jc w:val="center"/>
              <w:rPr>
                <w:rFonts w:hint="default" w:ascii="Times New Roman" w:hAnsi="Times New Roman" w:eastAsia="宋体" w:cs="Times New Roman"/>
                <w:szCs w:val="22"/>
              </w:rPr>
            </w:pPr>
            <w:r>
              <w:rPr>
                <w:rFonts w:hint="default" w:ascii="Times New Roman" w:hAnsi="Times New Roman" w:eastAsia="宋体" w:cs="Times New Roman"/>
              </w:rPr>
              <w:drawing>
                <wp:inline distT="0" distB="0" distL="114300" distR="114300">
                  <wp:extent cx="871220" cy="341630"/>
                  <wp:effectExtent l="0" t="0" r="5080" b="1270"/>
                  <wp:docPr id="21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
                          <pic:cNvPicPr>
                            <a:picLocks noChangeAspect="1"/>
                          </pic:cNvPicPr>
                        </pic:nvPicPr>
                        <pic:blipFill>
                          <a:blip r:embed="rId34"/>
                          <a:stretch>
                            <a:fillRect/>
                          </a:stretch>
                        </pic:blipFill>
                        <pic:spPr>
                          <a:xfrm>
                            <a:off x="0" y="0"/>
                            <a:ext cx="871220" cy="341630"/>
                          </a:xfrm>
                          <a:prstGeom prst="rect">
                            <a:avLst/>
                          </a:prstGeom>
                          <a:noFill/>
                          <a:ln>
                            <a:noFill/>
                          </a:ln>
                        </pic:spPr>
                      </pic:pic>
                    </a:graphicData>
                  </a:graphic>
                </wp:inline>
              </w:drawing>
            </w:r>
          </w:p>
          <w:p w14:paraId="1AC6A905">
            <w:pPr>
              <w:ind w:firstLine="480"/>
              <w:rPr>
                <w:rFonts w:hint="default" w:ascii="Times New Roman" w:hAnsi="Times New Roman" w:eastAsia="宋体" w:cs="Times New Roman"/>
              </w:rPr>
            </w:pPr>
            <w:r>
              <w:rPr>
                <w:rFonts w:hint="default" w:ascii="Times New Roman" w:hAnsi="Times New Roman" w:eastAsia="宋体" w:cs="Times New Roman"/>
              </w:rPr>
              <w:t>式中α——大气吸收衰减系数，在通常情况下的温度19.8℃、相对湿度65%、倍频带中心频率取500Hz条件下，大气吸收衰减系数a取值2.8。；</w:t>
            </w:r>
          </w:p>
          <w:p w14:paraId="12207FF3">
            <w:pPr>
              <w:ind w:firstLine="480"/>
              <w:rPr>
                <w:rFonts w:hint="default" w:ascii="Times New Roman" w:hAnsi="Times New Roman" w:eastAsia="宋体" w:cs="Times New Roman"/>
                <w:szCs w:val="22"/>
              </w:rPr>
            </w:pPr>
            <w:r>
              <w:rPr>
                <w:rFonts w:hint="default" w:ascii="Times New Roman" w:hAnsi="Times New Roman" w:eastAsia="宋体" w:cs="Times New Roman"/>
                <w:szCs w:val="22"/>
              </w:rPr>
              <w:t>本项目边界及环境保护目标噪声预测值预测值如表4-21所示。</w:t>
            </w:r>
          </w:p>
          <w:p w14:paraId="103F38C5">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表4-21 项目厂界噪声贡献值一览表 单位dB（A）</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77"/>
              <w:gridCol w:w="2551"/>
              <w:gridCol w:w="2285"/>
            </w:tblGrid>
            <w:tr w14:paraId="1FEBA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1C293E2A">
                  <w:pPr>
                    <w:pStyle w:val="41"/>
                    <w:rPr>
                      <w:rFonts w:hint="default" w:ascii="Times New Roman" w:hAnsi="Times New Roman" w:eastAsia="宋体" w:cs="Times New Roman"/>
                      <w:b/>
                      <w:bCs/>
                    </w:rPr>
                  </w:pPr>
                  <w:r>
                    <w:rPr>
                      <w:rFonts w:hint="default" w:ascii="Times New Roman" w:hAnsi="Times New Roman" w:eastAsia="宋体" w:cs="Times New Roman"/>
                      <w:b/>
                      <w:bCs/>
                    </w:rPr>
                    <w:t>预测点</w:t>
                  </w:r>
                </w:p>
              </w:tc>
              <w:tc>
                <w:tcPr>
                  <w:tcW w:w="2551" w:type="dxa"/>
                  <w:vAlign w:val="center"/>
                </w:tcPr>
                <w:p w14:paraId="066B6311">
                  <w:pPr>
                    <w:pStyle w:val="41"/>
                    <w:rPr>
                      <w:rFonts w:hint="default" w:ascii="Times New Roman" w:hAnsi="Times New Roman" w:eastAsia="宋体" w:cs="Times New Roman"/>
                      <w:b/>
                      <w:bCs/>
                    </w:rPr>
                  </w:pPr>
                  <w:r>
                    <w:rPr>
                      <w:rFonts w:hint="default" w:ascii="Times New Roman" w:hAnsi="Times New Roman" w:eastAsia="宋体" w:cs="Times New Roman"/>
                      <w:b/>
                      <w:bCs/>
                    </w:rPr>
                    <w:t>距噪声源距离/m</w:t>
                  </w:r>
                </w:p>
              </w:tc>
              <w:tc>
                <w:tcPr>
                  <w:tcW w:w="2285" w:type="dxa"/>
                  <w:vAlign w:val="center"/>
                </w:tcPr>
                <w:p w14:paraId="5DEC1060">
                  <w:pPr>
                    <w:pStyle w:val="41"/>
                    <w:rPr>
                      <w:rFonts w:hint="default" w:ascii="Times New Roman" w:hAnsi="Times New Roman" w:eastAsia="宋体" w:cs="Times New Roman"/>
                      <w:b/>
                      <w:bCs/>
                    </w:rPr>
                  </w:pPr>
                  <w:r>
                    <w:rPr>
                      <w:rFonts w:hint="default" w:ascii="Times New Roman" w:hAnsi="Times New Roman" w:eastAsia="宋体" w:cs="Times New Roman"/>
                      <w:b/>
                      <w:bCs/>
                    </w:rPr>
                    <w:t>贡献值</w:t>
                  </w:r>
                </w:p>
              </w:tc>
            </w:tr>
            <w:tr w14:paraId="027E2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23EC3221">
                  <w:pPr>
                    <w:pStyle w:val="41"/>
                    <w:rPr>
                      <w:rFonts w:hint="default" w:ascii="Times New Roman" w:hAnsi="Times New Roman" w:eastAsia="宋体" w:cs="Times New Roman"/>
                    </w:rPr>
                  </w:pPr>
                  <w:r>
                    <w:rPr>
                      <w:rFonts w:hint="default" w:ascii="Times New Roman" w:hAnsi="Times New Roman" w:eastAsia="宋体" w:cs="Times New Roman"/>
                    </w:rPr>
                    <w:t>项目东边界外1m</w:t>
                  </w:r>
                </w:p>
              </w:tc>
              <w:tc>
                <w:tcPr>
                  <w:tcW w:w="2551" w:type="dxa"/>
                  <w:vAlign w:val="center"/>
                </w:tcPr>
                <w:p w14:paraId="410D2821">
                  <w:pPr>
                    <w:pStyle w:val="20"/>
                    <w:rPr>
                      <w:rFonts w:hint="default" w:ascii="Times New Roman" w:hAnsi="Times New Roman" w:eastAsia="宋体" w:cs="Times New Roman"/>
                    </w:rPr>
                  </w:pPr>
                  <w:r>
                    <w:rPr>
                      <w:rFonts w:hint="default" w:ascii="Times New Roman" w:hAnsi="Times New Roman" w:eastAsia="宋体" w:cs="Times New Roman"/>
                    </w:rPr>
                    <w:t>10.2</w:t>
                  </w:r>
                </w:p>
              </w:tc>
              <w:tc>
                <w:tcPr>
                  <w:tcW w:w="2285" w:type="dxa"/>
                  <w:vAlign w:val="center"/>
                </w:tcPr>
                <w:p w14:paraId="00103C76">
                  <w:pPr>
                    <w:pStyle w:val="20"/>
                    <w:rPr>
                      <w:rFonts w:hint="default" w:ascii="Times New Roman" w:hAnsi="Times New Roman" w:eastAsia="宋体" w:cs="Times New Roman"/>
                    </w:rPr>
                  </w:pPr>
                  <w:r>
                    <w:rPr>
                      <w:rFonts w:hint="default" w:ascii="Times New Roman" w:hAnsi="Times New Roman" w:eastAsia="宋体" w:cs="Times New Roman"/>
                    </w:rPr>
                    <w:t>52.8</w:t>
                  </w:r>
                </w:p>
              </w:tc>
            </w:tr>
            <w:tr w14:paraId="45BA7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5B9A280E">
                  <w:pPr>
                    <w:pStyle w:val="41"/>
                    <w:rPr>
                      <w:rFonts w:hint="default" w:ascii="Times New Roman" w:hAnsi="Times New Roman" w:eastAsia="宋体" w:cs="Times New Roman"/>
                    </w:rPr>
                  </w:pPr>
                  <w:r>
                    <w:rPr>
                      <w:rFonts w:hint="default" w:ascii="Times New Roman" w:hAnsi="Times New Roman" w:eastAsia="宋体" w:cs="Times New Roman"/>
                    </w:rPr>
                    <w:t>项目南边界外1m</w:t>
                  </w:r>
                </w:p>
              </w:tc>
              <w:tc>
                <w:tcPr>
                  <w:tcW w:w="2551" w:type="dxa"/>
                  <w:vAlign w:val="center"/>
                </w:tcPr>
                <w:p w14:paraId="652DEF21">
                  <w:pPr>
                    <w:pStyle w:val="20"/>
                    <w:rPr>
                      <w:rFonts w:hint="default" w:ascii="Times New Roman" w:hAnsi="Times New Roman" w:eastAsia="宋体" w:cs="Times New Roman"/>
                    </w:rPr>
                  </w:pPr>
                  <w:r>
                    <w:rPr>
                      <w:rFonts w:hint="default" w:ascii="Times New Roman" w:hAnsi="Times New Roman" w:eastAsia="宋体" w:cs="Times New Roman"/>
                    </w:rPr>
                    <w:t>43.7</w:t>
                  </w:r>
                </w:p>
              </w:tc>
              <w:tc>
                <w:tcPr>
                  <w:tcW w:w="2285" w:type="dxa"/>
                  <w:vAlign w:val="center"/>
                </w:tcPr>
                <w:p w14:paraId="2B9624F7">
                  <w:pPr>
                    <w:pStyle w:val="20"/>
                    <w:rPr>
                      <w:rFonts w:hint="default" w:ascii="Times New Roman" w:hAnsi="Times New Roman" w:eastAsia="宋体" w:cs="Times New Roman"/>
                    </w:rPr>
                  </w:pPr>
                  <w:r>
                    <w:rPr>
                      <w:rFonts w:hint="default" w:ascii="Times New Roman" w:hAnsi="Times New Roman" w:eastAsia="宋体" w:cs="Times New Roman"/>
                    </w:rPr>
                    <w:t>40.1</w:t>
                  </w:r>
                </w:p>
              </w:tc>
            </w:tr>
            <w:tr w14:paraId="5DFA0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609249E0">
                  <w:pPr>
                    <w:pStyle w:val="41"/>
                    <w:rPr>
                      <w:rFonts w:hint="default" w:ascii="Times New Roman" w:hAnsi="Times New Roman" w:eastAsia="宋体" w:cs="Times New Roman"/>
                    </w:rPr>
                  </w:pPr>
                  <w:r>
                    <w:rPr>
                      <w:rFonts w:hint="default" w:ascii="Times New Roman" w:hAnsi="Times New Roman" w:eastAsia="宋体" w:cs="Times New Roman"/>
                    </w:rPr>
                    <w:t>项目西边界外1m</w:t>
                  </w:r>
                </w:p>
              </w:tc>
              <w:tc>
                <w:tcPr>
                  <w:tcW w:w="2551" w:type="dxa"/>
                  <w:vAlign w:val="center"/>
                </w:tcPr>
                <w:p w14:paraId="1E0273FA">
                  <w:pPr>
                    <w:pStyle w:val="20"/>
                    <w:rPr>
                      <w:rFonts w:hint="default" w:ascii="Times New Roman" w:hAnsi="Times New Roman" w:eastAsia="宋体" w:cs="Times New Roman"/>
                    </w:rPr>
                  </w:pPr>
                  <w:r>
                    <w:rPr>
                      <w:rFonts w:hint="default" w:ascii="Times New Roman" w:hAnsi="Times New Roman" w:eastAsia="宋体" w:cs="Times New Roman"/>
                    </w:rPr>
                    <w:t>6.8</w:t>
                  </w:r>
                </w:p>
              </w:tc>
              <w:tc>
                <w:tcPr>
                  <w:tcW w:w="2285" w:type="dxa"/>
                  <w:vAlign w:val="center"/>
                </w:tcPr>
                <w:p w14:paraId="13CC9D91">
                  <w:pPr>
                    <w:pStyle w:val="20"/>
                    <w:rPr>
                      <w:rFonts w:hint="default" w:ascii="Times New Roman" w:hAnsi="Times New Roman" w:eastAsia="宋体" w:cs="Times New Roman"/>
                    </w:rPr>
                  </w:pPr>
                  <w:r>
                    <w:rPr>
                      <w:rFonts w:hint="default" w:ascii="Times New Roman" w:hAnsi="Times New Roman" w:eastAsia="宋体" w:cs="Times New Roman"/>
                    </w:rPr>
                    <w:t>56.3</w:t>
                  </w:r>
                </w:p>
              </w:tc>
            </w:tr>
            <w:tr w14:paraId="0E7BB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4346F857">
                  <w:pPr>
                    <w:pStyle w:val="41"/>
                    <w:rPr>
                      <w:rFonts w:hint="default" w:ascii="Times New Roman" w:hAnsi="Times New Roman" w:eastAsia="宋体" w:cs="Times New Roman"/>
                    </w:rPr>
                  </w:pPr>
                  <w:r>
                    <w:rPr>
                      <w:rFonts w:hint="default" w:ascii="Times New Roman" w:hAnsi="Times New Roman" w:eastAsia="宋体" w:cs="Times New Roman"/>
                    </w:rPr>
                    <w:t>项目北边界外1m</w:t>
                  </w:r>
                </w:p>
              </w:tc>
              <w:tc>
                <w:tcPr>
                  <w:tcW w:w="2551" w:type="dxa"/>
                  <w:vAlign w:val="center"/>
                </w:tcPr>
                <w:p w14:paraId="077F5A9C">
                  <w:pPr>
                    <w:pStyle w:val="20"/>
                    <w:rPr>
                      <w:rFonts w:hint="default" w:ascii="Times New Roman" w:hAnsi="Times New Roman" w:eastAsia="宋体" w:cs="Times New Roman"/>
                    </w:rPr>
                  </w:pPr>
                  <w:r>
                    <w:rPr>
                      <w:rFonts w:hint="default" w:ascii="Times New Roman" w:hAnsi="Times New Roman" w:eastAsia="宋体" w:cs="Times New Roman"/>
                    </w:rPr>
                    <w:t>30.5</w:t>
                  </w:r>
                </w:p>
              </w:tc>
              <w:tc>
                <w:tcPr>
                  <w:tcW w:w="2285" w:type="dxa"/>
                  <w:vAlign w:val="center"/>
                </w:tcPr>
                <w:p w14:paraId="57AAB4C9">
                  <w:pPr>
                    <w:pStyle w:val="20"/>
                    <w:rPr>
                      <w:rFonts w:hint="default" w:ascii="Times New Roman" w:hAnsi="Times New Roman" w:eastAsia="宋体" w:cs="Times New Roman"/>
                    </w:rPr>
                  </w:pPr>
                  <w:r>
                    <w:rPr>
                      <w:rFonts w:hint="default" w:ascii="Times New Roman" w:hAnsi="Times New Roman" w:eastAsia="宋体" w:cs="Times New Roman"/>
                    </w:rPr>
                    <w:t>43.2</w:t>
                  </w:r>
                </w:p>
              </w:tc>
            </w:tr>
            <w:tr w14:paraId="23642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261E1B93">
                  <w:pPr>
                    <w:pStyle w:val="41"/>
                    <w:rPr>
                      <w:rFonts w:hint="default" w:ascii="Times New Roman" w:hAnsi="Times New Roman" w:eastAsia="宋体" w:cs="Times New Roman"/>
                    </w:rPr>
                  </w:pPr>
                  <w:r>
                    <w:rPr>
                      <w:rFonts w:hint="default" w:ascii="Times New Roman" w:hAnsi="Times New Roman" w:eastAsia="宋体" w:cs="Times New Roman"/>
                    </w:rPr>
                    <w:t>东、南、北厂界标准限值</w:t>
                  </w:r>
                </w:p>
              </w:tc>
              <w:tc>
                <w:tcPr>
                  <w:tcW w:w="2551" w:type="dxa"/>
                  <w:vAlign w:val="center"/>
                </w:tcPr>
                <w:p w14:paraId="74E03523">
                  <w:pPr>
                    <w:pStyle w:val="41"/>
                    <w:rPr>
                      <w:rFonts w:hint="default" w:ascii="Times New Roman" w:hAnsi="Times New Roman" w:eastAsia="宋体" w:cs="Times New Roman"/>
                    </w:rPr>
                  </w:pPr>
                  <w:r>
                    <w:rPr>
                      <w:rFonts w:hint="default" w:ascii="Times New Roman" w:hAnsi="Times New Roman" w:eastAsia="宋体" w:cs="Times New Roman"/>
                    </w:rPr>
                    <w:t>--</w:t>
                  </w:r>
                </w:p>
              </w:tc>
              <w:tc>
                <w:tcPr>
                  <w:tcW w:w="2285" w:type="dxa"/>
                  <w:vAlign w:val="center"/>
                </w:tcPr>
                <w:p w14:paraId="070960F8">
                  <w:pPr>
                    <w:pStyle w:val="41"/>
                    <w:rPr>
                      <w:rFonts w:hint="default" w:ascii="Times New Roman" w:hAnsi="Times New Roman" w:eastAsia="宋体" w:cs="Times New Roman"/>
                    </w:rPr>
                  </w:pPr>
                  <w:r>
                    <w:rPr>
                      <w:rFonts w:hint="default" w:ascii="Times New Roman" w:hAnsi="Times New Roman" w:eastAsia="宋体" w:cs="Times New Roman"/>
                    </w:rPr>
                    <w:t>昼间：65dB（A）</w:t>
                  </w:r>
                </w:p>
                <w:p w14:paraId="2E80EDE8">
                  <w:pPr>
                    <w:pStyle w:val="41"/>
                    <w:rPr>
                      <w:rFonts w:hint="default" w:ascii="Times New Roman" w:hAnsi="Times New Roman" w:eastAsia="宋体" w:cs="Times New Roman"/>
                    </w:rPr>
                  </w:pPr>
                  <w:r>
                    <w:rPr>
                      <w:rFonts w:hint="default" w:ascii="Times New Roman" w:hAnsi="Times New Roman" w:eastAsia="宋体" w:cs="Times New Roman"/>
                    </w:rPr>
                    <w:t>夜间：55dB（A）</w:t>
                  </w:r>
                </w:p>
              </w:tc>
            </w:tr>
            <w:tr w14:paraId="15190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13D29096">
                  <w:pPr>
                    <w:pStyle w:val="41"/>
                    <w:rPr>
                      <w:rFonts w:hint="default" w:ascii="Times New Roman" w:hAnsi="Times New Roman" w:eastAsia="宋体" w:cs="Times New Roman"/>
                    </w:rPr>
                  </w:pPr>
                  <w:r>
                    <w:rPr>
                      <w:rFonts w:hint="default" w:ascii="Times New Roman" w:hAnsi="Times New Roman" w:eastAsia="宋体" w:cs="Times New Roman"/>
                    </w:rPr>
                    <w:t>西厂界标准限值</w:t>
                  </w:r>
                </w:p>
              </w:tc>
              <w:tc>
                <w:tcPr>
                  <w:tcW w:w="2551" w:type="dxa"/>
                  <w:vAlign w:val="center"/>
                </w:tcPr>
                <w:p w14:paraId="49DFB131">
                  <w:pPr>
                    <w:pStyle w:val="41"/>
                    <w:rPr>
                      <w:rFonts w:hint="default" w:ascii="Times New Roman" w:hAnsi="Times New Roman" w:eastAsia="宋体" w:cs="Times New Roman"/>
                    </w:rPr>
                  </w:pPr>
                  <w:r>
                    <w:rPr>
                      <w:rFonts w:hint="default" w:ascii="Times New Roman" w:hAnsi="Times New Roman" w:eastAsia="宋体" w:cs="Times New Roman"/>
                    </w:rPr>
                    <w:t>--</w:t>
                  </w:r>
                </w:p>
              </w:tc>
              <w:tc>
                <w:tcPr>
                  <w:tcW w:w="2285" w:type="dxa"/>
                  <w:vAlign w:val="center"/>
                </w:tcPr>
                <w:p w14:paraId="2459E3C4">
                  <w:pPr>
                    <w:pStyle w:val="41"/>
                    <w:rPr>
                      <w:rFonts w:hint="default" w:ascii="Times New Roman" w:hAnsi="Times New Roman" w:eastAsia="宋体" w:cs="Times New Roman"/>
                    </w:rPr>
                  </w:pPr>
                  <w:r>
                    <w:rPr>
                      <w:rFonts w:hint="default" w:ascii="Times New Roman" w:hAnsi="Times New Roman" w:eastAsia="宋体" w:cs="Times New Roman"/>
                    </w:rPr>
                    <w:t>昼间：70dB（A）</w:t>
                  </w:r>
                </w:p>
                <w:p w14:paraId="43E1C8EF">
                  <w:pPr>
                    <w:pStyle w:val="41"/>
                    <w:rPr>
                      <w:rFonts w:hint="default" w:ascii="Times New Roman" w:hAnsi="Times New Roman" w:eastAsia="宋体" w:cs="Times New Roman"/>
                    </w:rPr>
                  </w:pPr>
                  <w:r>
                    <w:rPr>
                      <w:rFonts w:hint="default" w:ascii="Times New Roman" w:hAnsi="Times New Roman" w:eastAsia="宋体" w:cs="Times New Roman"/>
                    </w:rPr>
                    <w:t>夜间：60dB（A）</w:t>
                  </w:r>
                </w:p>
              </w:tc>
            </w:tr>
            <w:tr w14:paraId="44CB9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977" w:type="dxa"/>
                  <w:vAlign w:val="center"/>
                </w:tcPr>
                <w:p w14:paraId="6CEE1A18">
                  <w:pPr>
                    <w:pStyle w:val="41"/>
                    <w:rPr>
                      <w:rFonts w:hint="default" w:ascii="Times New Roman" w:hAnsi="Times New Roman" w:eastAsia="宋体" w:cs="Times New Roman"/>
                    </w:rPr>
                  </w:pPr>
                  <w:r>
                    <w:rPr>
                      <w:rFonts w:hint="default" w:ascii="Times New Roman" w:hAnsi="Times New Roman" w:eastAsia="宋体" w:cs="Times New Roman"/>
                    </w:rPr>
                    <w:t>达标情况</w:t>
                  </w:r>
                </w:p>
              </w:tc>
              <w:tc>
                <w:tcPr>
                  <w:tcW w:w="2551" w:type="dxa"/>
                  <w:vAlign w:val="center"/>
                </w:tcPr>
                <w:p w14:paraId="1A72A677">
                  <w:pPr>
                    <w:pStyle w:val="41"/>
                    <w:rPr>
                      <w:rFonts w:hint="default" w:ascii="Times New Roman" w:hAnsi="Times New Roman" w:eastAsia="宋体" w:cs="Times New Roman"/>
                    </w:rPr>
                  </w:pPr>
                  <w:r>
                    <w:rPr>
                      <w:rFonts w:hint="default" w:ascii="Times New Roman" w:hAnsi="Times New Roman" w:eastAsia="宋体" w:cs="Times New Roman"/>
                    </w:rPr>
                    <w:t>--</w:t>
                  </w:r>
                </w:p>
              </w:tc>
              <w:tc>
                <w:tcPr>
                  <w:tcW w:w="2285" w:type="dxa"/>
                  <w:vAlign w:val="center"/>
                </w:tcPr>
                <w:p w14:paraId="39A7C794">
                  <w:pPr>
                    <w:pStyle w:val="41"/>
                    <w:rPr>
                      <w:rFonts w:hint="default" w:ascii="Times New Roman" w:hAnsi="Times New Roman" w:eastAsia="宋体" w:cs="Times New Roman"/>
                    </w:rPr>
                  </w:pPr>
                  <w:r>
                    <w:rPr>
                      <w:rFonts w:hint="default" w:ascii="Times New Roman" w:hAnsi="Times New Roman" w:eastAsia="宋体" w:cs="Times New Roman"/>
                    </w:rPr>
                    <w:t>达标</w:t>
                  </w:r>
                </w:p>
              </w:tc>
            </w:tr>
          </w:tbl>
          <w:p w14:paraId="0BA42FF4">
            <w:pPr>
              <w:ind w:firstLine="480"/>
              <w:rPr>
                <w:rFonts w:hint="default" w:ascii="Times New Roman" w:hAnsi="Times New Roman" w:eastAsia="宋体" w:cs="Times New Roman"/>
              </w:rPr>
            </w:pPr>
            <w:r>
              <w:rPr>
                <w:rFonts w:hint="default" w:ascii="Times New Roman" w:hAnsi="Times New Roman" w:eastAsia="宋体" w:cs="Times New Roman"/>
              </w:rPr>
              <w:t>由上表可知，项目噪声防治措施经济、技术可行，通过采取上述措施及距离衰减后，东、南、北厂界外1m的贡献值能达到《工业企业厂界环境噪声排放标准》（GB 12348-2008）3类标准、西厂界外1m的贡献值能达到《工业企业厂界环境噪声排放标准》（GB 12348-2008）4类标准，可见本项目营运期内产生的噪声对周围的环境影响较小。</w:t>
            </w:r>
          </w:p>
          <w:p w14:paraId="4E7AD1FD">
            <w:pPr>
              <w:ind w:firstLine="480"/>
              <w:rPr>
                <w:rFonts w:hint="default" w:ascii="Times New Roman" w:hAnsi="Times New Roman" w:eastAsia="宋体" w:cs="Times New Roman"/>
              </w:rPr>
            </w:pPr>
            <w:r>
              <w:rPr>
                <w:rFonts w:hint="default" w:ascii="Times New Roman" w:hAnsi="Times New Roman" w:eastAsia="宋体" w:cs="Times New Roman"/>
              </w:rPr>
              <w:t>（2）监测计划</w:t>
            </w:r>
          </w:p>
          <w:p w14:paraId="47252F4C">
            <w:pPr>
              <w:ind w:firstLine="480"/>
              <w:rPr>
                <w:rFonts w:hint="default" w:ascii="Times New Roman" w:hAnsi="Times New Roman" w:eastAsia="宋体" w:cs="Times New Roman"/>
              </w:rPr>
            </w:pPr>
            <w:r>
              <w:rPr>
                <w:rFonts w:hint="default" w:ascii="Times New Roman" w:hAnsi="Times New Roman" w:eastAsia="宋体" w:cs="Times New Roman"/>
              </w:rPr>
              <w:t>根据《排污单位自行监测技术指南 总则》（HJ 819-2017），并结合项目运营期间污染物排放特点，制定本项目的污染源监测计划，建设单位需保证按监测计划实施。监测分析方法按照现行国家、部颁标准和有关规定执行。</w:t>
            </w:r>
          </w:p>
          <w:p w14:paraId="5DD3BF79">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表4-22 项目噪声监测计划表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6"/>
              <w:gridCol w:w="905"/>
              <w:gridCol w:w="1096"/>
              <w:gridCol w:w="907"/>
              <w:gridCol w:w="4913"/>
            </w:tblGrid>
            <w:tr w14:paraId="09401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586" w:type="dxa"/>
                  <w:vAlign w:val="center"/>
                </w:tcPr>
                <w:p w14:paraId="7CF089BE">
                  <w:pPr>
                    <w:pStyle w:val="41"/>
                    <w:rPr>
                      <w:rFonts w:hint="default" w:ascii="Times New Roman" w:hAnsi="Times New Roman" w:eastAsia="宋体" w:cs="Times New Roman"/>
                      <w:b/>
                      <w:bCs/>
                    </w:rPr>
                  </w:pPr>
                  <w:r>
                    <w:rPr>
                      <w:rFonts w:hint="default" w:ascii="Times New Roman" w:hAnsi="Times New Roman" w:eastAsia="宋体" w:cs="Times New Roman"/>
                      <w:b/>
                      <w:bCs/>
                    </w:rPr>
                    <w:t>类别</w:t>
                  </w:r>
                </w:p>
              </w:tc>
              <w:tc>
                <w:tcPr>
                  <w:tcW w:w="905" w:type="dxa"/>
                  <w:vAlign w:val="center"/>
                </w:tcPr>
                <w:p w14:paraId="7BFC562D">
                  <w:pPr>
                    <w:pStyle w:val="41"/>
                    <w:rPr>
                      <w:rFonts w:hint="default" w:ascii="Times New Roman" w:hAnsi="Times New Roman" w:eastAsia="宋体" w:cs="Times New Roman"/>
                      <w:b/>
                      <w:bCs/>
                    </w:rPr>
                  </w:pPr>
                  <w:r>
                    <w:rPr>
                      <w:rFonts w:hint="default" w:ascii="Times New Roman" w:hAnsi="Times New Roman" w:eastAsia="宋体" w:cs="Times New Roman"/>
                      <w:b/>
                      <w:bCs/>
                    </w:rPr>
                    <w:t>监测点位</w:t>
                  </w:r>
                </w:p>
              </w:tc>
              <w:tc>
                <w:tcPr>
                  <w:tcW w:w="1096" w:type="dxa"/>
                  <w:vAlign w:val="center"/>
                </w:tcPr>
                <w:p w14:paraId="627A1A9E">
                  <w:pPr>
                    <w:pStyle w:val="41"/>
                    <w:rPr>
                      <w:rFonts w:hint="default" w:ascii="Times New Roman" w:hAnsi="Times New Roman" w:eastAsia="宋体" w:cs="Times New Roman"/>
                      <w:b/>
                      <w:bCs/>
                    </w:rPr>
                  </w:pPr>
                  <w:r>
                    <w:rPr>
                      <w:rFonts w:hint="default" w:ascii="Times New Roman" w:hAnsi="Times New Roman" w:eastAsia="宋体" w:cs="Times New Roman"/>
                      <w:b/>
                      <w:bCs/>
                    </w:rPr>
                    <w:t>监测指标</w:t>
                  </w:r>
                </w:p>
              </w:tc>
              <w:tc>
                <w:tcPr>
                  <w:tcW w:w="907" w:type="dxa"/>
                  <w:vAlign w:val="center"/>
                </w:tcPr>
                <w:p w14:paraId="242672EB">
                  <w:pPr>
                    <w:pStyle w:val="41"/>
                    <w:rPr>
                      <w:rFonts w:hint="default" w:ascii="Times New Roman" w:hAnsi="Times New Roman" w:eastAsia="宋体" w:cs="Times New Roman"/>
                      <w:b/>
                      <w:bCs/>
                    </w:rPr>
                  </w:pPr>
                  <w:r>
                    <w:rPr>
                      <w:rFonts w:hint="default" w:ascii="Times New Roman" w:hAnsi="Times New Roman" w:eastAsia="宋体" w:cs="Times New Roman"/>
                      <w:b/>
                      <w:bCs/>
                    </w:rPr>
                    <w:t>监测频次</w:t>
                  </w:r>
                </w:p>
              </w:tc>
              <w:tc>
                <w:tcPr>
                  <w:tcW w:w="4913" w:type="dxa"/>
                  <w:vAlign w:val="center"/>
                </w:tcPr>
                <w:p w14:paraId="0DC6AC84">
                  <w:pPr>
                    <w:pStyle w:val="41"/>
                    <w:rPr>
                      <w:rFonts w:hint="default" w:ascii="Times New Roman" w:hAnsi="Times New Roman" w:eastAsia="宋体" w:cs="Times New Roman"/>
                      <w:b/>
                      <w:bCs/>
                    </w:rPr>
                  </w:pPr>
                  <w:r>
                    <w:rPr>
                      <w:rFonts w:hint="default" w:ascii="Times New Roman" w:hAnsi="Times New Roman" w:eastAsia="宋体" w:cs="Times New Roman"/>
                      <w:b/>
                      <w:bCs/>
                    </w:rPr>
                    <w:t>排放执行标准</w:t>
                  </w:r>
                </w:p>
              </w:tc>
            </w:tr>
            <w:tr w14:paraId="2CFE8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586" w:type="dxa"/>
                  <w:vAlign w:val="center"/>
                </w:tcPr>
                <w:p w14:paraId="3A3CF33A">
                  <w:pPr>
                    <w:pStyle w:val="41"/>
                    <w:rPr>
                      <w:rFonts w:hint="default" w:ascii="Times New Roman" w:hAnsi="Times New Roman" w:eastAsia="宋体" w:cs="Times New Roman"/>
                    </w:rPr>
                  </w:pPr>
                  <w:r>
                    <w:rPr>
                      <w:rFonts w:hint="default" w:ascii="Times New Roman" w:hAnsi="Times New Roman" w:eastAsia="宋体" w:cs="Times New Roman"/>
                    </w:rPr>
                    <w:t>噪声</w:t>
                  </w:r>
                </w:p>
              </w:tc>
              <w:tc>
                <w:tcPr>
                  <w:tcW w:w="905" w:type="dxa"/>
                  <w:vAlign w:val="center"/>
                </w:tcPr>
                <w:p w14:paraId="48425DA3">
                  <w:pPr>
                    <w:pStyle w:val="41"/>
                    <w:rPr>
                      <w:rFonts w:hint="default" w:ascii="Times New Roman" w:hAnsi="Times New Roman" w:eastAsia="宋体" w:cs="Times New Roman"/>
                    </w:rPr>
                  </w:pPr>
                  <w:r>
                    <w:rPr>
                      <w:rFonts w:hint="default" w:ascii="Times New Roman" w:hAnsi="Times New Roman" w:eastAsia="宋体" w:cs="Times New Roman"/>
                    </w:rPr>
                    <w:t>厂界</w:t>
                  </w:r>
                </w:p>
              </w:tc>
              <w:tc>
                <w:tcPr>
                  <w:tcW w:w="1096" w:type="dxa"/>
                  <w:vAlign w:val="center"/>
                </w:tcPr>
                <w:p w14:paraId="1CEFE937">
                  <w:pPr>
                    <w:pStyle w:val="41"/>
                    <w:rPr>
                      <w:rFonts w:hint="default" w:ascii="Times New Roman" w:hAnsi="Times New Roman" w:eastAsia="宋体" w:cs="Times New Roman"/>
                    </w:rPr>
                  </w:pPr>
                  <w:r>
                    <w:rPr>
                      <w:rFonts w:hint="default" w:ascii="Times New Roman" w:hAnsi="Times New Roman" w:eastAsia="宋体" w:cs="Times New Roman"/>
                    </w:rPr>
                    <w:t>等效A声级</w:t>
                  </w:r>
                </w:p>
              </w:tc>
              <w:tc>
                <w:tcPr>
                  <w:tcW w:w="907" w:type="dxa"/>
                  <w:vAlign w:val="center"/>
                </w:tcPr>
                <w:p w14:paraId="6CB72A03">
                  <w:pPr>
                    <w:pStyle w:val="41"/>
                    <w:rPr>
                      <w:rFonts w:hint="default" w:ascii="Times New Roman" w:hAnsi="Times New Roman" w:eastAsia="宋体" w:cs="Times New Roman"/>
                    </w:rPr>
                  </w:pPr>
                  <w:r>
                    <w:rPr>
                      <w:rFonts w:hint="default" w:ascii="Times New Roman" w:hAnsi="Times New Roman" w:eastAsia="宋体" w:cs="Times New Roman"/>
                    </w:rPr>
                    <w:t>1次/季度</w:t>
                  </w:r>
                </w:p>
              </w:tc>
              <w:tc>
                <w:tcPr>
                  <w:tcW w:w="4913" w:type="dxa"/>
                  <w:vAlign w:val="center"/>
                </w:tcPr>
                <w:p w14:paraId="3A4B3FF9">
                  <w:pPr>
                    <w:pStyle w:val="41"/>
                    <w:rPr>
                      <w:rFonts w:hint="default" w:ascii="Times New Roman" w:hAnsi="Times New Roman" w:eastAsia="宋体" w:cs="Times New Roman"/>
                    </w:rPr>
                  </w:pPr>
                  <w:r>
                    <w:rPr>
                      <w:rFonts w:hint="default" w:ascii="Times New Roman" w:hAnsi="Times New Roman" w:eastAsia="宋体" w:cs="Times New Roman"/>
                    </w:rPr>
                    <w:t>《工业企业厂界环境噪声排放标准》（GB 12348-2008）3类标准</w:t>
                  </w:r>
                </w:p>
              </w:tc>
            </w:tr>
          </w:tbl>
          <w:p w14:paraId="4934BB4C">
            <w:pPr>
              <w:adjustRightInd w:val="0"/>
              <w:snapToGrid w:val="0"/>
              <w:ind w:firstLine="482"/>
              <w:rPr>
                <w:rFonts w:hint="default" w:ascii="Times New Roman" w:hAnsi="Times New Roman" w:eastAsia="宋体" w:cs="Times New Roman"/>
                <w:b/>
                <w:bCs/>
              </w:rPr>
            </w:pPr>
            <w:r>
              <w:rPr>
                <w:rFonts w:hint="default" w:ascii="Times New Roman" w:hAnsi="Times New Roman" w:eastAsia="宋体" w:cs="Times New Roman"/>
                <w:b/>
                <w:bCs/>
              </w:rPr>
              <w:t>四、固体废物</w:t>
            </w:r>
          </w:p>
          <w:p w14:paraId="0E9B244E">
            <w:pPr>
              <w:widowControl/>
              <w:ind w:firstLine="482"/>
              <w:rPr>
                <w:rFonts w:hint="default" w:ascii="Times New Roman" w:hAnsi="Times New Roman" w:eastAsia="宋体" w:cs="Times New Roman"/>
                <w:b/>
              </w:rPr>
            </w:pPr>
            <w:r>
              <w:rPr>
                <w:rFonts w:hint="default" w:ascii="Times New Roman" w:hAnsi="Times New Roman" w:eastAsia="宋体" w:cs="Times New Roman"/>
                <w:b/>
              </w:rPr>
              <w:t>1、固体废物产生情况</w:t>
            </w:r>
          </w:p>
          <w:p w14:paraId="0D221048">
            <w:pPr>
              <w:ind w:firstLine="480"/>
              <w:rPr>
                <w:rFonts w:hint="default" w:ascii="Times New Roman" w:hAnsi="Times New Roman" w:eastAsia="宋体" w:cs="Times New Roman"/>
              </w:rPr>
            </w:pPr>
            <w:r>
              <w:rPr>
                <w:rFonts w:hint="default" w:ascii="Times New Roman" w:hAnsi="Times New Roman" w:eastAsia="宋体" w:cs="Times New Roman"/>
              </w:rPr>
              <w:t>本项目产生的固废包括一般固体废物及危险废物。</w:t>
            </w:r>
          </w:p>
          <w:p w14:paraId="1C7FA02C">
            <w:pPr>
              <w:ind w:firstLine="480"/>
              <w:rPr>
                <w:rFonts w:hint="default" w:ascii="Times New Roman" w:hAnsi="Times New Roman" w:eastAsia="宋体" w:cs="Times New Roman"/>
              </w:rPr>
            </w:pPr>
            <w:r>
              <w:rPr>
                <w:rFonts w:hint="default" w:ascii="Times New Roman" w:hAnsi="Times New Roman" w:eastAsia="宋体" w:cs="Times New Roman"/>
              </w:rPr>
              <w:t>（1）一般固体废物</w:t>
            </w:r>
          </w:p>
          <w:p w14:paraId="42E7FE30">
            <w:pPr>
              <w:ind w:firstLine="480"/>
              <w:rPr>
                <w:rFonts w:hint="default" w:ascii="Times New Roman" w:hAnsi="Times New Roman" w:eastAsia="宋体" w:cs="Times New Roman"/>
              </w:rPr>
            </w:pPr>
            <w:r>
              <w:rPr>
                <w:rFonts w:hint="default" w:ascii="Times New Roman" w:hAnsi="Times New Roman" w:eastAsia="宋体" w:cs="Times New Roman"/>
              </w:rPr>
              <w:t>①生活垃圾</w:t>
            </w:r>
          </w:p>
          <w:p w14:paraId="449024D3">
            <w:pPr>
              <w:ind w:firstLine="480"/>
              <w:rPr>
                <w:rFonts w:hint="default" w:ascii="Times New Roman" w:hAnsi="Times New Roman" w:eastAsia="宋体" w:cs="Times New Roman"/>
              </w:rPr>
            </w:pPr>
            <w:r>
              <w:rPr>
                <w:rFonts w:hint="default" w:ascii="Times New Roman" w:hAnsi="Times New Roman" w:eastAsia="宋体" w:cs="Times New Roman"/>
              </w:rPr>
              <w:t>由于本项目员工从现有项目中调配，不新增员工，所以本项目不新增生活垃圾。项目产生的生活垃圾收集后交由环卫部门统一清运处置，不外排。本报告将不对生活垃圾产生情况进行分析。</w:t>
            </w:r>
          </w:p>
          <w:p w14:paraId="4E8978B1">
            <w:pPr>
              <w:ind w:firstLine="480"/>
              <w:rPr>
                <w:rFonts w:hint="default" w:ascii="Times New Roman" w:hAnsi="Times New Roman" w:eastAsia="宋体" w:cs="Times New Roman"/>
              </w:rPr>
            </w:pPr>
            <w:r>
              <w:rPr>
                <w:rFonts w:hint="default" w:ascii="Times New Roman" w:hAnsi="Times New Roman" w:eastAsia="宋体" w:cs="Times New Roman"/>
              </w:rPr>
              <w:t>②边角料</w:t>
            </w:r>
          </w:p>
          <w:p w14:paraId="038B8773">
            <w:pPr>
              <w:ind w:firstLine="480"/>
              <w:rPr>
                <w:rFonts w:hint="default" w:ascii="Times New Roman" w:hAnsi="Times New Roman" w:eastAsia="宋体" w:cs="Times New Roman"/>
              </w:rPr>
            </w:pPr>
            <w:r>
              <w:rPr>
                <w:rFonts w:hint="default" w:ascii="Times New Roman" w:hAnsi="Times New Roman" w:eastAsia="宋体" w:cs="Times New Roman"/>
              </w:rPr>
              <w:t>项目机加工过程会产生少量边角料，按原料的1%算，本项目钢材原料用量为18290.715t/a，则项目边角料产生量约为182.91t/a，主要成分为金属，建设单位拟收集后全部外售给资源回收部门回收利用。</w:t>
            </w:r>
          </w:p>
          <w:p w14:paraId="0380C468">
            <w:pPr>
              <w:ind w:firstLine="480"/>
              <w:rPr>
                <w:rFonts w:hint="default" w:ascii="Times New Roman" w:hAnsi="Times New Roman" w:eastAsia="宋体" w:cs="Times New Roman"/>
              </w:rPr>
            </w:pPr>
            <w:r>
              <w:rPr>
                <w:rFonts w:hint="default" w:ascii="Times New Roman" w:hAnsi="Times New Roman" w:eastAsia="宋体" w:cs="Times New Roman"/>
              </w:rPr>
              <w:t>③废金属粉尘</w:t>
            </w:r>
          </w:p>
          <w:p w14:paraId="2732B3E6">
            <w:pPr>
              <w:ind w:firstLine="480"/>
              <w:rPr>
                <w:rFonts w:hint="default" w:ascii="Times New Roman" w:hAnsi="Times New Roman" w:eastAsia="宋体" w:cs="Times New Roman"/>
              </w:rPr>
            </w:pPr>
            <w:r>
              <w:rPr>
                <w:rFonts w:hint="default" w:ascii="Times New Roman" w:hAnsi="Times New Roman" w:eastAsia="宋体" w:cs="Times New Roman"/>
              </w:rPr>
              <w:t>本项目机金属粉尘主要为：机加工粉尘、喷砂粉尘、开料粉尘。机加工粉尘粉尘通过移动式布袋除尘器收集至布袋中；开料产生的粉尘经重力沉降、厂房阻隔收集；喷砂粉尘经滤筒式除尘器收集至布袋中。项目金属粉尘总产生量见下表，建设单位拟收集后全部外售给资源回收部门回收利用。</w:t>
            </w:r>
          </w:p>
          <w:p w14:paraId="7A60AB28">
            <w:pPr>
              <w:pStyle w:val="22"/>
              <w:rPr>
                <w:rFonts w:hint="default" w:ascii="Times New Roman" w:hAnsi="Times New Roman" w:eastAsia="宋体" w:cs="Times New Roman"/>
                <w:szCs w:val="21"/>
              </w:rPr>
            </w:pPr>
            <w:r>
              <w:rPr>
                <w:rFonts w:hint="default" w:ascii="Times New Roman" w:hAnsi="Times New Roman" w:eastAsia="宋体" w:cs="Times New Roman"/>
                <w:szCs w:val="21"/>
              </w:rPr>
              <w:t>表4-23 金属粉尘收集量一览表</w:t>
            </w:r>
          </w:p>
          <w:tbl>
            <w:tblPr>
              <w:tblStyle w:val="23"/>
              <w:tblW w:w="4998" w:type="pct"/>
              <w:tblInd w:w="5" w:type="dxa"/>
              <w:tblLayout w:type="autofit"/>
              <w:tblCellMar>
                <w:top w:w="0" w:type="dxa"/>
                <w:left w:w="108" w:type="dxa"/>
                <w:bottom w:w="0" w:type="dxa"/>
                <w:right w:w="108" w:type="dxa"/>
              </w:tblCellMar>
            </w:tblPr>
            <w:tblGrid>
              <w:gridCol w:w="2008"/>
              <w:gridCol w:w="2007"/>
              <w:gridCol w:w="2673"/>
              <w:gridCol w:w="2012"/>
            </w:tblGrid>
            <w:tr w14:paraId="2412944C">
              <w:tblPrEx>
                <w:tblCellMar>
                  <w:top w:w="0" w:type="dxa"/>
                  <w:left w:w="108" w:type="dxa"/>
                  <w:bottom w:w="0" w:type="dxa"/>
                  <w:right w:w="108" w:type="dxa"/>
                </w:tblCellMar>
              </w:tblPrEx>
              <w:trPr>
                <w:trHeight w:val="283" w:hRule="atLeast"/>
              </w:trPr>
              <w:tc>
                <w:tcPr>
                  <w:tcW w:w="1154" w:type="pct"/>
                  <w:vMerge w:val="restart"/>
                  <w:tcBorders>
                    <w:top w:val="single" w:color="auto" w:sz="4" w:space="0"/>
                    <w:left w:val="single" w:color="000000" w:sz="4" w:space="0"/>
                    <w:bottom w:val="single" w:color="auto" w:sz="4" w:space="0"/>
                    <w:right w:val="single" w:color="auto" w:sz="4" w:space="0"/>
                  </w:tcBorders>
                  <w:vAlign w:val="center"/>
                </w:tcPr>
                <w:p w14:paraId="4068104E">
                  <w:pPr>
                    <w:pStyle w:val="41"/>
                    <w:rPr>
                      <w:rFonts w:hint="default" w:ascii="Times New Roman" w:hAnsi="Times New Roman" w:eastAsia="宋体" w:cs="Times New Roman"/>
                      <w:b/>
                      <w:bCs/>
                    </w:rPr>
                  </w:pPr>
                  <w:r>
                    <w:rPr>
                      <w:rFonts w:hint="default" w:ascii="Times New Roman" w:hAnsi="Times New Roman" w:eastAsia="宋体" w:cs="Times New Roman"/>
                      <w:b/>
                      <w:bCs/>
                    </w:rPr>
                    <w:t>污染物</w:t>
                  </w:r>
                </w:p>
              </w:tc>
              <w:tc>
                <w:tcPr>
                  <w:tcW w:w="1153" w:type="pct"/>
                  <w:tcBorders>
                    <w:top w:val="single" w:color="auto" w:sz="4" w:space="0"/>
                    <w:left w:val="single" w:color="auto" w:sz="4" w:space="0"/>
                    <w:bottom w:val="single" w:color="auto" w:sz="4" w:space="0"/>
                    <w:right w:val="single" w:color="auto" w:sz="4" w:space="0"/>
                  </w:tcBorders>
                  <w:vAlign w:val="center"/>
                </w:tcPr>
                <w:p w14:paraId="305CB17A">
                  <w:pPr>
                    <w:pStyle w:val="41"/>
                    <w:rPr>
                      <w:rFonts w:hint="default" w:ascii="Times New Roman" w:hAnsi="Times New Roman" w:eastAsia="宋体" w:cs="Times New Roman"/>
                    </w:rPr>
                  </w:pPr>
                  <w:r>
                    <w:rPr>
                      <w:rFonts w:hint="default" w:ascii="Times New Roman" w:hAnsi="Times New Roman" w:eastAsia="宋体" w:cs="Times New Roman"/>
                    </w:rPr>
                    <w:t>机加工</w:t>
                  </w:r>
                </w:p>
              </w:tc>
              <w:tc>
                <w:tcPr>
                  <w:tcW w:w="1536" w:type="pct"/>
                  <w:tcBorders>
                    <w:top w:val="single" w:color="auto" w:sz="4" w:space="0"/>
                    <w:left w:val="single" w:color="auto" w:sz="4" w:space="0"/>
                    <w:bottom w:val="single" w:color="auto" w:sz="4" w:space="0"/>
                    <w:right w:val="single" w:color="auto" w:sz="4" w:space="0"/>
                  </w:tcBorders>
                  <w:vAlign w:val="center"/>
                </w:tcPr>
                <w:p w14:paraId="6DA8B51C">
                  <w:pPr>
                    <w:pStyle w:val="41"/>
                    <w:rPr>
                      <w:rFonts w:hint="default" w:ascii="Times New Roman" w:hAnsi="Times New Roman" w:eastAsia="宋体" w:cs="Times New Roman"/>
                    </w:rPr>
                  </w:pPr>
                  <w:r>
                    <w:rPr>
                      <w:rFonts w:hint="default" w:ascii="Times New Roman" w:hAnsi="Times New Roman" w:eastAsia="宋体" w:cs="Times New Roman"/>
                    </w:rPr>
                    <w:t>开料</w:t>
                  </w:r>
                </w:p>
              </w:tc>
              <w:tc>
                <w:tcPr>
                  <w:tcW w:w="1155" w:type="pct"/>
                  <w:tcBorders>
                    <w:top w:val="single" w:color="auto" w:sz="4" w:space="0"/>
                    <w:left w:val="single" w:color="auto" w:sz="4" w:space="0"/>
                    <w:bottom w:val="single" w:color="auto" w:sz="4" w:space="0"/>
                    <w:right w:val="single" w:color="auto" w:sz="4" w:space="0"/>
                  </w:tcBorders>
                  <w:vAlign w:val="center"/>
                </w:tcPr>
                <w:p w14:paraId="79C05820">
                  <w:pPr>
                    <w:pStyle w:val="41"/>
                    <w:rPr>
                      <w:rFonts w:hint="default" w:ascii="Times New Roman" w:hAnsi="Times New Roman" w:eastAsia="宋体" w:cs="Times New Roman"/>
                    </w:rPr>
                  </w:pPr>
                  <w:r>
                    <w:rPr>
                      <w:rFonts w:hint="default" w:ascii="Times New Roman" w:hAnsi="Times New Roman" w:eastAsia="宋体" w:cs="Times New Roman"/>
                    </w:rPr>
                    <w:t>喷砂</w:t>
                  </w:r>
                </w:p>
              </w:tc>
            </w:tr>
            <w:tr w14:paraId="12E3337F">
              <w:tblPrEx>
                <w:tblCellMar>
                  <w:top w:w="0" w:type="dxa"/>
                  <w:left w:w="108" w:type="dxa"/>
                  <w:bottom w:w="0" w:type="dxa"/>
                  <w:right w:w="108" w:type="dxa"/>
                </w:tblCellMar>
              </w:tblPrEx>
              <w:trPr>
                <w:trHeight w:val="283" w:hRule="atLeast"/>
              </w:trPr>
              <w:tc>
                <w:tcPr>
                  <w:tcW w:w="1154" w:type="pct"/>
                  <w:vMerge w:val="continue"/>
                  <w:tcBorders>
                    <w:top w:val="single" w:color="auto" w:sz="4" w:space="0"/>
                    <w:left w:val="single" w:color="auto" w:sz="4" w:space="0"/>
                    <w:bottom w:val="single" w:color="auto" w:sz="4" w:space="0"/>
                    <w:right w:val="single" w:color="auto" w:sz="4" w:space="0"/>
                  </w:tcBorders>
                  <w:vAlign w:val="center"/>
                </w:tcPr>
                <w:p w14:paraId="67681200">
                  <w:pPr>
                    <w:pStyle w:val="41"/>
                    <w:rPr>
                      <w:rFonts w:hint="default" w:ascii="Times New Roman" w:hAnsi="Times New Roman" w:eastAsia="宋体" w:cs="Times New Roman"/>
                      <w:b/>
                      <w:bCs/>
                    </w:rPr>
                  </w:pPr>
                </w:p>
              </w:tc>
              <w:tc>
                <w:tcPr>
                  <w:tcW w:w="3845" w:type="pct"/>
                  <w:gridSpan w:val="3"/>
                  <w:tcBorders>
                    <w:top w:val="single" w:color="auto" w:sz="4" w:space="0"/>
                    <w:left w:val="single" w:color="auto" w:sz="4" w:space="0"/>
                    <w:bottom w:val="single" w:color="auto" w:sz="4" w:space="0"/>
                    <w:right w:val="single" w:color="auto" w:sz="4" w:space="0"/>
                  </w:tcBorders>
                  <w:vAlign w:val="center"/>
                </w:tcPr>
                <w:p w14:paraId="5D4CCEC2">
                  <w:pPr>
                    <w:pStyle w:val="41"/>
                    <w:rPr>
                      <w:rFonts w:hint="default" w:ascii="Times New Roman" w:hAnsi="Times New Roman" w:eastAsia="宋体" w:cs="Times New Roman"/>
                    </w:rPr>
                  </w:pPr>
                  <w:r>
                    <w:rPr>
                      <w:rFonts w:hint="default" w:ascii="Times New Roman" w:hAnsi="Times New Roman" w:eastAsia="宋体" w:cs="Times New Roman"/>
                    </w:rPr>
                    <w:t>金属粉尘</w:t>
                  </w:r>
                </w:p>
              </w:tc>
            </w:tr>
            <w:tr w14:paraId="2FE7FA6D">
              <w:tblPrEx>
                <w:tblCellMar>
                  <w:top w:w="0" w:type="dxa"/>
                  <w:left w:w="108" w:type="dxa"/>
                  <w:bottom w:w="0" w:type="dxa"/>
                  <w:right w:w="108" w:type="dxa"/>
                </w:tblCellMar>
              </w:tblPrEx>
              <w:trPr>
                <w:trHeight w:val="283" w:hRule="atLeast"/>
              </w:trPr>
              <w:tc>
                <w:tcPr>
                  <w:tcW w:w="1154" w:type="pct"/>
                  <w:tcBorders>
                    <w:top w:val="single" w:color="auto" w:sz="4" w:space="0"/>
                    <w:left w:val="single" w:color="000000" w:sz="8" w:space="0"/>
                    <w:bottom w:val="single" w:color="000000" w:sz="8" w:space="0"/>
                    <w:right w:val="single" w:color="000000" w:sz="8" w:space="0"/>
                  </w:tcBorders>
                  <w:vAlign w:val="center"/>
                </w:tcPr>
                <w:p w14:paraId="2632D9DD">
                  <w:pPr>
                    <w:pStyle w:val="41"/>
                    <w:rPr>
                      <w:rFonts w:hint="default" w:ascii="Times New Roman" w:hAnsi="Times New Roman" w:eastAsia="宋体" w:cs="Times New Roman"/>
                      <w:b/>
                      <w:bCs/>
                    </w:rPr>
                  </w:pPr>
                  <w:r>
                    <w:rPr>
                      <w:rFonts w:hint="default" w:ascii="Times New Roman" w:hAnsi="Times New Roman" w:eastAsia="宋体" w:cs="Times New Roman"/>
                      <w:b/>
                      <w:bCs/>
                    </w:rPr>
                    <w:t>产生量 t/a</w:t>
                  </w:r>
                </w:p>
              </w:tc>
              <w:tc>
                <w:tcPr>
                  <w:tcW w:w="1153" w:type="pct"/>
                  <w:tcBorders>
                    <w:top w:val="single" w:color="auto" w:sz="4" w:space="0"/>
                    <w:left w:val="nil"/>
                    <w:bottom w:val="single" w:color="000000" w:sz="8" w:space="0"/>
                    <w:right w:val="single" w:color="000000" w:sz="8" w:space="0"/>
                  </w:tcBorders>
                  <w:vAlign w:val="center"/>
                </w:tcPr>
                <w:p w14:paraId="1B24A5CE">
                  <w:pPr>
                    <w:pStyle w:val="41"/>
                    <w:rPr>
                      <w:rFonts w:hint="default" w:ascii="Times New Roman" w:hAnsi="Times New Roman" w:eastAsia="宋体" w:cs="Times New Roman"/>
                    </w:rPr>
                  </w:pPr>
                  <w:r>
                    <w:rPr>
                      <w:rFonts w:hint="default" w:ascii="Times New Roman" w:hAnsi="Times New Roman" w:eastAsia="宋体" w:cs="Times New Roman"/>
                    </w:rPr>
                    <w:t>0.8055</w:t>
                  </w:r>
                </w:p>
              </w:tc>
              <w:tc>
                <w:tcPr>
                  <w:tcW w:w="1536" w:type="pct"/>
                  <w:tcBorders>
                    <w:top w:val="single" w:color="auto" w:sz="4" w:space="0"/>
                    <w:left w:val="nil"/>
                    <w:bottom w:val="single" w:color="000000" w:sz="8" w:space="0"/>
                    <w:right w:val="single" w:color="000000" w:sz="8" w:space="0"/>
                  </w:tcBorders>
                  <w:vAlign w:val="center"/>
                </w:tcPr>
                <w:p w14:paraId="68EA635A">
                  <w:pPr>
                    <w:pStyle w:val="41"/>
                    <w:rPr>
                      <w:rFonts w:hint="default" w:ascii="Times New Roman" w:hAnsi="Times New Roman" w:eastAsia="宋体" w:cs="Times New Roman"/>
                    </w:rPr>
                  </w:pPr>
                  <w:r>
                    <w:rPr>
                      <w:rFonts w:hint="default" w:ascii="Times New Roman" w:hAnsi="Times New Roman" w:eastAsia="宋体" w:cs="Times New Roman"/>
                    </w:rPr>
                    <w:t>20.11</w:t>
                  </w:r>
                </w:p>
              </w:tc>
              <w:tc>
                <w:tcPr>
                  <w:tcW w:w="1155" w:type="pct"/>
                  <w:tcBorders>
                    <w:top w:val="single" w:color="auto" w:sz="4" w:space="0"/>
                    <w:left w:val="nil"/>
                    <w:bottom w:val="single" w:color="000000" w:sz="8" w:space="0"/>
                    <w:right w:val="single" w:color="000000" w:sz="8" w:space="0"/>
                  </w:tcBorders>
                  <w:vAlign w:val="center"/>
                </w:tcPr>
                <w:p w14:paraId="65B1058C">
                  <w:pPr>
                    <w:pStyle w:val="41"/>
                    <w:rPr>
                      <w:rFonts w:hint="default" w:ascii="Times New Roman" w:hAnsi="Times New Roman" w:eastAsia="宋体" w:cs="Times New Roman"/>
                    </w:rPr>
                  </w:pPr>
                  <w:r>
                    <w:rPr>
                      <w:rFonts w:hint="default" w:ascii="Times New Roman" w:hAnsi="Times New Roman" w:eastAsia="宋体" w:cs="Times New Roman"/>
                    </w:rPr>
                    <w:t>40.06</w:t>
                  </w:r>
                </w:p>
              </w:tc>
            </w:tr>
            <w:tr w14:paraId="1F75FE5B">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4D287A19">
                  <w:pPr>
                    <w:pStyle w:val="41"/>
                    <w:rPr>
                      <w:rFonts w:hint="default" w:ascii="Times New Roman" w:hAnsi="Times New Roman" w:eastAsia="宋体" w:cs="Times New Roman"/>
                      <w:b/>
                      <w:bCs/>
                    </w:rPr>
                  </w:pPr>
                  <w:r>
                    <w:rPr>
                      <w:rFonts w:hint="default" w:ascii="Times New Roman" w:hAnsi="Times New Roman" w:eastAsia="宋体" w:cs="Times New Roman"/>
                      <w:b/>
                      <w:bCs/>
                    </w:rPr>
                    <w:t>工作时长 h</w:t>
                  </w:r>
                </w:p>
              </w:tc>
              <w:tc>
                <w:tcPr>
                  <w:tcW w:w="1153" w:type="pct"/>
                  <w:tcBorders>
                    <w:top w:val="nil"/>
                    <w:left w:val="nil"/>
                    <w:bottom w:val="single" w:color="000000" w:sz="8" w:space="0"/>
                    <w:right w:val="single" w:color="000000" w:sz="8" w:space="0"/>
                  </w:tcBorders>
                  <w:vAlign w:val="center"/>
                </w:tcPr>
                <w:p w14:paraId="6B5DA0F5">
                  <w:pPr>
                    <w:spacing w:line="240" w:lineRule="atLeast"/>
                    <w:ind w:firstLine="0" w:firstLineChars="0"/>
                    <w:jc w:val="center"/>
                    <w:rPr>
                      <w:rFonts w:hint="default" w:ascii="Times New Roman" w:hAnsi="Times New Roman" w:eastAsia="宋体" w:cs="Times New Roman"/>
                      <w:kern w:val="2"/>
                    </w:rPr>
                  </w:pPr>
                  <w:r>
                    <w:rPr>
                      <w:rFonts w:hint="default" w:ascii="Times New Roman" w:hAnsi="Times New Roman" w:eastAsia="宋体" w:cs="Times New Roman"/>
                      <w:kern w:val="2"/>
                      <w:sz w:val="21"/>
                    </w:rPr>
                    <w:t>4800</w:t>
                  </w:r>
                </w:p>
              </w:tc>
              <w:tc>
                <w:tcPr>
                  <w:tcW w:w="1536" w:type="pct"/>
                  <w:tcBorders>
                    <w:top w:val="nil"/>
                    <w:left w:val="nil"/>
                    <w:bottom w:val="single" w:color="000000" w:sz="8" w:space="0"/>
                    <w:right w:val="single" w:color="000000" w:sz="8" w:space="0"/>
                  </w:tcBorders>
                  <w:vAlign w:val="center"/>
                </w:tcPr>
                <w:p w14:paraId="59683F6B">
                  <w:pPr>
                    <w:spacing w:line="240" w:lineRule="atLeast"/>
                    <w:ind w:firstLine="0" w:firstLineChars="0"/>
                    <w:jc w:val="center"/>
                    <w:rPr>
                      <w:rFonts w:hint="default" w:ascii="Times New Roman" w:hAnsi="Times New Roman" w:eastAsia="宋体" w:cs="Times New Roman"/>
                      <w:kern w:val="2"/>
                      <w:sz w:val="21"/>
                    </w:rPr>
                  </w:pPr>
                  <w:r>
                    <w:rPr>
                      <w:rFonts w:hint="default" w:ascii="Times New Roman" w:hAnsi="Times New Roman" w:eastAsia="宋体" w:cs="Times New Roman"/>
                      <w:kern w:val="2"/>
                      <w:sz w:val="21"/>
                    </w:rPr>
                    <w:t>4800</w:t>
                  </w:r>
                </w:p>
              </w:tc>
              <w:tc>
                <w:tcPr>
                  <w:tcW w:w="1155" w:type="pct"/>
                  <w:tcBorders>
                    <w:top w:val="nil"/>
                    <w:left w:val="nil"/>
                    <w:bottom w:val="single" w:color="000000" w:sz="8" w:space="0"/>
                    <w:right w:val="single" w:color="000000" w:sz="8" w:space="0"/>
                  </w:tcBorders>
                  <w:vAlign w:val="center"/>
                </w:tcPr>
                <w:p w14:paraId="1C475F8B">
                  <w:pPr>
                    <w:pStyle w:val="41"/>
                    <w:rPr>
                      <w:rFonts w:hint="default" w:ascii="Times New Roman" w:hAnsi="Times New Roman" w:eastAsia="宋体" w:cs="Times New Roman"/>
                    </w:rPr>
                  </w:pPr>
                  <w:r>
                    <w:rPr>
                      <w:rFonts w:hint="default" w:ascii="Times New Roman" w:hAnsi="Times New Roman" w:eastAsia="宋体" w:cs="Times New Roman"/>
                    </w:rPr>
                    <w:t>4800</w:t>
                  </w:r>
                </w:p>
              </w:tc>
            </w:tr>
            <w:tr w14:paraId="43F7E554">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4C881BBE">
                  <w:pPr>
                    <w:pStyle w:val="41"/>
                    <w:rPr>
                      <w:rFonts w:hint="default" w:ascii="Times New Roman" w:hAnsi="Times New Roman" w:eastAsia="宋体" w:cs="Times New Roman"/>
                      <w:b/>
                      <w:bCs/>
                    </w:rPr>
                  </w:pPr>
                  <w:r>
                    <w:rPr>
                      <w:rFonts w:hint="default" w:ascii="Times New Roman" w:hAnsi="Times New Roman" w:eastAsia="宋体" w:cs="Times New Roman"/>
                      <w:b/>
                      <w:bCs/>
                    </w:rPr>
                    <w:t>产生速率 kg/h</w:t>
                  </w:r>
                </w:p>
              </w:tc>
              <w:tc>
                <w:tcPr>
                  <w:tcW w:w="1153" w:type="pct"/>
                  <w:tcBorders>
                    <w:top w:val="nil"/>
                    <w:left w:val="nil"/>
                    <w:bottom w:val="single" w:color="000000" w:sz="8" w:space="0"/>
                    <w:right w:val="single" w:color="000000" w:sz="8" w:space="0"/>
                  </w:tcBorders>
                  <w:vAlign w:val="center"/>
                </w:tcPr>
                <w:p w14:paraId="796E31F3">
                  <w:pPr>
                    <w:spacing w:line="240" w:lineRule="atLeast"/>
                    <w:ind w:firstLine="0" w:firstLineChars="0"/>
                    <w:jc w:val="center"/>
                    <w:rPr>
                      <w:rFonts w:hint="default" w:ascii="Times New Roman" w:hAnsi="Times New Roman" w:eastAsia="宋体" w:cs="Times New Roman"/>
                      <w:kern w:val="2"/>
                    </w:rPr>
                  </w:pPr>
                  <w:r>
                    <w:rPr>
                      <w:rFonts w:hint="default" w:ascii="Times New Roman" w:hAnsi="Times New Roman" w:eastAsia="宋体" w:cs="Times New Roman"/>
                      <w:kern w:val="2"/>
                      <w:sz w:val="21"/>
                    </w:rPr>
                    <w:t>0.1663</w:t>
                  </w:r>
                </w:p>
              </w:tc>
              <w:tc>
                <w:tcPr>
                  <w:tcW w:w="1536" w:type="pct"/>
                  <w:tcBorders>
                    <w:top w:val="nil"/>
                    <w:left w:val="nil"/>
                    <w:bottom w:val="single" w:color="000000" w:sz="8" w:space="0"/>
                    <w:right w:val="single" w:color="000000" w:sz="8" w:space="0"/>
                  </w:tcBorders>
                  <w:vAlign w:val="center"/>
                </w:tcPr>
                <w:p w14:paraId="74D9A24C">
                  <w:pPr>
                    <w:spacing w:line="240" w:lineRule="atLeast"/>
                    <w:ind w:firstLine="0" w:firstLineChars="0"/>
                    <w:jc w:val="center"/>
                    <w:rPr>
                      <w:rFonts w:hint="default" w:ascii="Times New Roman" w:hAnsi="Times New Roman" w:eastAsia="宋体" w:cs="Times New Roman"/>
                      <w:kern w:val="2"/>
                      <w:sz w:val="21"/>
                    </w:rPr>
                  </w:pPr>
                  <w:r>
                    <w:rPr>
                      <w:rFonts w:hint="default" w:ascii="Times New Roman" w:hAnsi="Times New Roman" w:eastAsia="宋体" w:cs="Times New Roman"/>
                      <w:kern w:val="2"/>
                      <w:sz w:val="21"/>
                    </w:rPr>
                    <w:t>4.1896</w:t>
                  </w:r>
                </w:p>
              </w:tc>
              <w:tc>
                <w:tcPr>
                  <w:tcW w:w="1155" w:type="pct"/>
                  <w:tcBorders>
                    <w:top w:val="nil"/>
                    <w:left w:val="nil"/>
                    <w:bottom w:val="single" w:color="000000" w:sz="8" w:space="0"/>
                    <w:right w:val="single" w:color="000000" w:sz="8" w:space="0"/>
                  </w:tcBorders>
                  <w:vAlign w:val="center"/>
                </w:tcPr>
                <w:p w14:paraId="350A41D4">
                  <w:pPr>
                    <w:pStyle w:val="41"/>
                    <w:rPr>
                      <w:rFonts w:hint="default" w:ascii="Times New Roman" w:hAnsi="Times New Roman" w:eastAsia="宋体" w:cs="Times New Roman"/>
                    </w:rPr>
                  </w:pPr>
                  <w:r>
                    <w:rPr>
                      <w:rFonts w:hint="default" w:ascii="Times New Roman" w:hAnsi="Times New Roman" w:eastAsia="宋体" w:cs="Times New Roman"/>
                    </w:rPr>
                    <w:t>8.3458</w:t>
                  </w:r>
                </w:p>
              </w:tc>
            </w:tr>
            <w:tr w14:paraId="1D9BE539">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23012A86">
                  <w:pPr>
                    <w:pStyle w:val="41"/>
                    <w:rPr>
                      <w:rFonts w:hint="default" w:ascii="Times New Roman" w:hAnsi="Times New Roman" w:eastAsia="宋体" w:cs="Times New Roman"/>
                      <w:b/>
                      <w:bCs/>
                    </w:rPr>
                  </w:pPr>
                  <w:r>
                    <w:rPr>
                      <w:rFonts w:hint="default" w:ascii="Times New Roman" w:hAnsi="Times New Roman" w:eastAsia="宋体" w:cs="Times New Roman"/>
                      <w:b/>
                      <w:bCs/>
                    </w:rPr>
                    <w:t>粉尘收集处理措施</w:t>
                  </w:r>
                </w:p>
              </w:tc>
              <w:tc>
                <w:tcPr>
                  <w:tcW w:w="1153" w:type="pct"/>
                  <w:tcBorders>
                    <w:top w:val="nil"/>
                    <w:left w:val="nil"/>
                    <w:bottom w:val="single" w:color="000000" w:sz="8" w:space="0"/>
                    <w:right w:val="single" w:color="000000" w:sz="8" w:space="0"/>
                  </w:tcBorders>
                  <w:vAlign w:val="center"/>
                </w:tcPr>
                <w:p w14:paraId="0C05ADC2">
                  <w:pPr>
                    <w:pStyle w:val="41"/>
                    <w:rPr>
                      <w:rFonts w:hint="default" w:ascii="Times New Roman" w:hAnsi="Times New Roman" w:eastAsia="宋体" w:cs="Times New Roman"/>
                    </w:rPr>
                  </w:pPr>
                  <w:r>
                    <w:rPr>
                      <w:rFonts w:hint="default" w:ascii="Times New Roman" w:hAnsi="Times New Roman" w:eastAsia="宋体" w:cs="Times New Roman"/>
                    </w:rPr>
                    <w:t>移动式布袋除尘器</w:t>
                  </w:r>
                </w:p>
              </w:tc>
              <w:tc>
                <w:tcPr>
                  <w:tcW w:w="1536" w:type="pct"/>
                  <w:tcBorders>
                    <w:top w:val="nil"/>
                    <w:left w:val="nil"/>
                    <w:bottom w:val="single" w:color="000000" w:sz="8" w:space="0"/>
                    <w:right w:val="single" w:color="000000" w:sz="8" w:space="0"/>
                  </w:tcBorders>
                  <w:vAlign w:val="center"/>
                </w:tcPr>
                <w:p w14:paraId="098FDC80">
                  <w:pPr>
                    <w:pStyle w:val="41"/>
                    <w:rPr>
                      <w:rFonts w:hint="default" w:ascii="Times New Roman" w:hAnsi="Times New Roman" w:eastAsia="宋体" w:cs="Times New Roman"/>
                    </w:rPr>
                  </w:pPr>
                  <w:r>
                    <w:rPr>
                      <w:rFonts w:hint="default" w:ascii="Times New Roman" w:hAnsi="Times New Roman" w:eastAsia="宋体" w:cs="Times New Roman"/>
                    </w:rPr>
                    <w:t>重力沉降系统、厂房阻隔</w:t>
                  </w:r>
                </w:p>
              </w:tc>
              <w:tc>
                <w:tcPr>
                  <w:tcW w:w="1155" w:type="pct"/>
                  <w:tcBorders>
                    <w:top w:val="nil"/>
                    <w:left w:val="nil"/>
                    <w:bottom w:val="single" w:color="000000" w:sz="8" w:space="0"/>
                    <w:right w:val="single" w:color="000000" w:sz="8" w:space="0"/>
                  </w:tcBorders>
                  <w:vAlign w:val="center"/>
                </w:tcPr>
                <w:p w14:paraId="25EC844F">
                  <w:pPr>
                    <w:pStyle w:val="41"/>
                    <w:rPr>
                      <w:rFonts w:hint="default" w:ascii="Times New Roman" w:hAnsi="Times New Roman" w:eastAsia="宋体" w:cs="Times New Roman"/>
                    </w:rPr>
                  </w:pPr>
                  <w:r>
                    <w:rPr>
                      <w:rFonts w:hint="default" w:ascii="Times New Roman" w:hAnsi="Times New Roman" w:eastAsia="宋体" w:cs="Times New Roman"/>
                    </w:rPr>
                    <w:t>移动式布袋除尘器</w:t>
                  </w:r>
                </w:p>
              </w:tc>
            </w:tr>
            <w:tr w14:paraId="5493F933">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37980D20">
                  <w:pPr>
                    <w:pStyle w:val="41"/>
                    <w:rPr>
                      <w:rFonts w:hint="default" w:ascii="Times New Roman" w:hAnsi="Times New Roman" w:eastAsia="宋体" w:cs="Times New Roman"/>
                      <w:b/>
                      <w:bCs/>
                    </w:rPr>
                  </w:pPr>
                  <w:r>
                    <w:rPr>
                      <w:rFonts w:hint="default" w:ascii="Times New Roman" w:hAnsi="Times New Roman" w:eastAsia="宋体" w:cs="Times New Roman"/>
                      <w:b/>
                      <w:bCs/>
                    </w:rPr>
                    <w:t>收集效率</w:t>
                  </w:r>
                </w:p>
              </w:tc>
              <w:tc>
                <w:tcPr>
                  <w:tcW w:w="1153" w:type="pct"/>
                  <w:tcBorders>
                    <w:top w:val="nil"/>
                    <w:left w:val="nil"/>
                    <w:bottom w:val="single" w:color="000000" w:sz="8" w:space="0"/>
                    <w:right w:val="single" w:color="000000" w:sz="8" w:space="0"/>
                  </w:tcBorders>
                  <w:vAlign w:val="center"/>
                </w:tcPr>
                <w:p w14:paraId="516B09ED">
                  <w:pPr>
                    <w:pStyle w:val="41"/>
                    <w:rPr>
                      <w:rFonts w:hint="default" w:ascii="Times New Roman" w:hAnsi="Times New Roman" w:eastAsia="宋体" w:cs="Times New Roman"/>
                    </w:rPr>
                  </w:pPr>
                  <w:r>
                    <w:rPr>
                      <w:rFonts w:hint="default" w:ascii="Times New Roman" w:hAnsi="Times New Roman" w:eastAsia="宋体" w:cs="Times New Roman"/>
                    </w:rPr>
                    <w:t>30%</w:t>
                  </w:r>
                </w:p>
              </w:tc>
              <w:tc>
                <w:tcPr>
                  <w:tcW w:w="1536" w:type="pct"/>
                  <w:tcBorders>
                    <w:top w:val="nil"/>
                    <w:left w:val="nil"/>
                    <w:bottom w:val="single" w:color="000000" w:sz="8" w:space="0"/>
                    <w:right w:val="single" w:color="000000" w:sz="8" w:space="0"/>
                  </w:tcBorders>
                  <w:vAlign w:val="center"/>
                </w:tcPr>
                <w:p w14:paraId="50905F84">
                  <w:pPr>
                    <w:pStyle w:val="41"/>
                    <w:rPr>
                      <w:rFonts w:hint="default" w:ascii="Times New Roman" w:hAnsi="Times New Roman" w:eastAsia="宋体" w:cs="Times New Roman"/>
                    </w:rPr>
                  </w:pPr>
                  <w:r>
                    <w:rPr>
                      <w:rFonts w:hint="default" w:ascii="Times New Roman" w:hAnsi="Times New Roman" w:eastAsia="宋体" w:cs="Times New Roman"/>
                    </w:rPr>
                    <w:t>90%</w:t>
                  </w:r>
                  <w:r>
                    <w:rPr>
                      <w:rFonts w:hint="default" w:ascii="Times New Roman" w:hAnsi="Times New Roman" w:eastAsia="宋体" w:cs="Times New Roman"/>
                      <w:vertAlign w:val="superscript"/>
                    </w:rPr>
                    <w:t>①</w:t>
                  </w:r>
                </w:p>
              </w:tc>
              <w:tc>
                <w:tcPr>
                  <w:tcW w:w="1155" w:type="pct"/>
                  <w:tcBorders>
                    <w:top w:val="nil"/>
                    <w:left w:val="nil"/>
                    <w:bottom w:val="single" w:color="000000" w:sz="8" w:space="0"/>
                    <w:right w:val="single" w:color="000000" w:sz="8" w:space="0"/>
                  </w:tcBorders>
                  <w:vAlign w:val="center"/>
                </w:tcPr>
                <w:p w14:paraId="62A6B8C8">
                  <w:pPr>
                    <w:pStyle w:val="41"/>
                    <w:rPr>
                      <w:rFonts w:hint="default" w:ascii="Times New Roman" w:hAnsi="Times New Roman" w:eastAsia="宋体" w:cs="Times New Roman"/>
                    </w:rPr>
                  </w:pPr>
                  <w:r>
                    <w:rPr>
                      <w:rFonts w:hint="default" w:ascii="Times New Roman" w:hAnsi="Times New Roman" w:eastAsia="宋体" w:cs="Times New Roman"/>
                    </w:rPr>
                    <w:t>95%</w:t>
                  </w:r>
                </w:p>
              </w:tc>
            </w:tr>
            <w:tr w14:paraId="08239B11">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1ADD8DE7">
                  <w:pPr>
                    <w:pStyle w:val="41"/>
                    <w:rPr>
                      <w:rFonts w:hint="default" w:ascii="Times New Roman" w:hAnsi="Times New Roman" w:eastAsia="宋体" w:cs="Times New Roman"/>
                      <w:b/>
                      <w:bCs/>
                    </w:rPr>
                  </w:pPr>
                  <w:r>
                    <w:rPr>
                      <w:rFonts w:hint="default" w:ascii="Times New Roman" w:hAnsi="Times New Roman" w:eastAsia="宋体" w:cs="Times New Roman"/>
                      <w:b/>
                      <w:bCs/>
                    </w:rPr>
                    <w:t>处理效率</w:t>
                  </w:r>
                </w:p>
              </w:tc>
              <w:tc>
                <w:tcPr>
                  <w:tcW w:w="1153" w:type="pct"/>
                  <w:tcBorders>
                    <w:top w:val="nil"/>
                    <w:left w:val="nil"/>
                    <w:bottom w:val="single" w:color="000000" w:sz="8" w:space="0"/>
                    <w:right w:val="single" w:color="000000" w:sz="8" w:space="0"/>
                  </w:tcBorders>
                  <w:vAlign w:val="center"/>
                </w:tcPr>
                <w:p w14:paraId="2144C7F8">
                  <w:pPr>
                    <w:pStyle w:val="41"/>
                    <w:rPr>
                      <w:rFonts w:hint="default" w:ascii="Times New Roman" w:hAnsi="Times New Roman" w:eastAsia="宋体" w:cs="Times New Roman"/>
                    </w:rPr>
                  </w:pPr>
                  <w:r>
                    <w:rPr>
                      <w:rFonts w:hint="default" w:ascii="Times New Roman" w:hAnsi="Times New Roman" w:eastAsia="宋体" w:cs="Times New Roman"/>
                    </w:rPr>
                    <w:t>95%</w:t>
                  </w:r>
                </w:p>
              </w:tc>
              <w:tc>
                <w:tcPr>
                  <w:tcW w:w="1536" w:type="pct"/>
                  <w:tcBorders>
                    <w:top w:val="nil"/>
                    <w:left w:val="nil"/>
                    <w:bottom w:val="single" w:color="000000" w:sz="8" w:space="0"/>
                    <w:right w:val="single" w:color="000000" w:sz="8" w:space="0"/>
                  </w:tcBorders>
                  <w:vAlign w:val="center"/>
                </w:tcPr>
                <w:p w14:paraId="4AF9199E">
                  <w:pPr>
                    <w:pStyle w:val="41"/>
                    <w:rPr>
                      <w:rFonts w:hint="default" w:ascii="Times New Roman" w:hAnsi="Times New Roman" w:eastAsia="宋体" w:cs="Times New Roman"/>
                      <w:lang w:eastAsia="zh-CN"/>
                    </w:rPr>
                  </w:pPr>
                  <w:r>
                    <w:rPr>
                      <w:rFonts w:hint="default" w:ascii="Times New Roman" w:hAnsi="Times New Roman" w:eastAsia="宋体" w:cs="Times New Roman"/>
                      <w:lang w:val="en-US" w:eastAsia="zh-CN"/>
                    </w:rPr>
                    <w:t>/</w:t>
                  </w:r>
                </w:p>
              </w:tc>
              <w:tc>
                <w:tcPr>
                  <w:tcW w:w="1155" w:type="pct"/>
                  <w:tcBorders>
                    <w:top w:val="nil"/>
                    <w:left w:val="nil"/>
                    <w:bottom w:val="single" w:color="000000" w:sz="8" w:space="0"/>
                    <w:right w:val="single" w:color="000000" w:sz="8" w:space="0"/>
                  </w:tcBorders>
                  <w:vAlign w:val="center"/>
                </w:tcPr>
                <w:p w14:paraId="08614A69">
                  <w:pPr>
                    <w:pStyle w:val="41"/>
                    <w:rPr>
                      <w:rFonts w:hint="default" w:ascii="Times New Roman" w:hAnsi="Times New Roman" w:eastAsia="宋体" w:cs="Times New Roman"/>
                    </w:rPr>
                  </w:pPr>
                  <w:r>
                    <w:rPr>
                      <w:rFonts w:hint="default" w:ascii="Times New Roman" w:hAnsi="Times New Roman" w:eastAsia="宋体" w:cs="Times New Roman"/>
                    </w:rPr>
                    <w:t>95%</w:t>
                  </w:r>
                </w:p>
              </w:tc>
            </w:tr>
            <w:tr w14:paraId="0A75033F">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1008416F">
                  <w:pPr>
                    <w:pStyle w:val="41"/>
                    <w:rPr>
                      <w:rFonts w:hint="default" w:ascii="Times New Roman" w:hAnsi="Times New Roman" w:eastAsia="宋体" w:cs="Times New Roman"/>
                      <w:b/>
                      <w:bCs/>
                    </w:rPr>
                  </w:pPr>
                  <w:r>
                    <w:rPr>
                      <w:rFonts w:hint="default" w:ascii="Times New Roman" w:hAnsi="Times New Roman" w:eastAsia="宋体" w:cs="Times New Roman"/>
                      <w:b/>
                      <w:bCs/>
                    </w:rPr>
                    <w:t>粉尘收集量t/a</w:t>
                  </w:r>
                </w:p>
              </w:tc>
              <w:tc>
                <w:tcPr>
                  <w:tcW w:w="1153" w:type="pct"/>
                  <w:tcBorders>
                    <w:top w:val="nil"/>
                    <w:left w:val="nil"/>
                    <w:bottom w:val="single" w:color="000000" w:sz="8" w:space="0"/>
                    <w:right w:val="single" w:color="000000" w:sz="8" w:space="0"/>
                  </w:tcBorders>
                  <w:vAlign w:val="center"/>
                </w:tcPr>
                <w:p w14:paraId="28C72742">
                  <w:pPr>
                    <w:pStyle w:val="41"/>
                    <w:rPr>
                      <w:rFonts w:hint="default" w:ascii="Times New Roman" w:hAnsi="Times New Roman" w:eastAsia="宋体" w:cs="Times New Roman"/>
                    </w:rPr>
                  </w:pPr>
                  <w:r>
                    <w:rPr>
                      <w:rFonts w:hint="default" w:ascii="Times New Roman" w:hAnsi="Times New Roman" w:eastAsia="宋体" w:cs="Times New Roman"/>
                    </w:rPr>
                    <w:t>0.2296</w:t>
                  </w:r>
                </w:p>
              </w:tc>
              <w:tc>
                <w:tcPr>
                  <w:tcW w:w="1536" w:type="pct"/>
                  <w:tcBorders>
                    <w:top w:val="nil"/>
                    <w:left w:val="nil"/>
                    <w:bottom w:val="single" w:color="000000" w:sz="8" w:space="0"/>
                    <w:right w:val="single" w:color="000000" w:sz="8" w:space="0"/>
                  </w:tcBorders>
                  <w:vAlign w:val="center"/>
                </w:tcPr>
                <w:p w14:paraId="18757479">
                  <w:pPr>
                    <w:pStyle w:val="41"/>
                    <w:rPr>
                      <w:rFonts w:hint="default" w:ascii="Times New Roman" w:hAnsi="Times New Roman" w:eastAsia="宋体" w:cs="Times New Roman"/>
                      <w:lang w:val="en-US" w:eastAsia="zh-CN"/>
                    </w:rPr>
                  </w:pPr>
                  <w:r>
                    <w:rPr>
                      <w:rFonts w:hint="default" w:ascii="Times New Roman" w:hAnsi="Times New Roman" w:eastAsia="宋体" w:cs="Times New Roman"/>
                      <w:lang w:val="en-US" w:eastAsia="zh-CN"/>
                    </w:rPr>
                    <w:t>18.099</w:t>
                  </w:r>
                </w:p>
              </w:tc>
              <w:tc>
                <w:tcPr>
                  <w:tcW w:w="1155" w:type="pct"/>
                  <w:tcBorders>
                    <w:top w:val="nil"/>
                    <w:left w:val="nil"/>
                    <w:bottom w:val="single" w:color="000000" w:sz="8" w:space="0"/>
                    <w:right w:val="single" w:color="000000" w:sz="8" w:space="0"/>
                  </w:tcBorders>
                  <w:vAlign w:val="center"/>
                </w:tcPr>
                <w:p w14:paraId="0E118971">
                  <w:pPr>
                    <w:pStyle w:val="41"/>
                    <w:rPr>
                      <w:rFonts w:hint="default" w:ascii="Times New Roman" w:hAnsi="Times New Roman" w:eastAsia="宋体" w:cs="Times New Roman"/>
                    </w:rPr>
                  </w:pPr>
                  <w:r>
                    <w:rPr>
                      <w:rFonts w:hint="default" w:ascii="Times New Roman" w:hAnsi="Times New Roman" w:eastAsia="宋体" w:cs="Times New Roman"/>
                    </w:rPr>
                    <w:t>36.154</w:t>
                  </w:r>
                </w:p>
              </w:tc>
            </w:tr>
            <w:tr w14:paraId="34AF219A">
              <w:tblPrEx>
                <w:tblCellMar>
                  <w:top w:w="0" w:type="dxa"/>
                  <w:left w:w="108" w:type="dxa"/>
                  <w:bottom w:w="0" w:type="dxa"/>
                  <w:right w:w="108" w:type="dxa"/>
                </w:tblCellMar>
              </w:tblPrEx>
              <w:trPr>
                <w:trHeight w:val="283" w:hRule="atLeast"/>
              </w:trPr>
              <w:tc>
                <w:tcPr>
                  <w:tcW w:w="1154" w:type="pct"/>
                  <w:tcBorders>
                    <w:top w:val="nil"/>
                    <w:left w:val="single" w:color="000000" w:sz="8" w:space="0"/>
                    <w:bottom w:val="single" w:color="000000" w:sz="8" w:space="0"/>
                    <w:right w:val="single" w:color="000000" w:sz="8" w:space="0"/>
                  </w:tcBorders>
                  <w:vAlign w:val="center"/>
                </w:tcPr>
                <w:p w14:paraId="433FB9C5">
                  <w:pPr>
                    <w:pStyle w:val="41"/>
                    <w:rPr>
                      <w:rFonts w:hint="default" w:ascii="Times New Roman" w:hAnsi="Times New Roman" w:eastAsia="宋体" w:cs="Times New Roman"/>
                    </w:rPr>
                  </w:pPr>
                  <w:r>
                    <w:rPr>
                      <w:rFonts w:hint="default" w:ascii="Times New Roman" w:hAnsi="Times New Roman" w:eastAsia="宋体" w:cs="Times New Roman"/>
                      <w:b/>
                      <w:bCs/>
                    </w:rPr>
                    <w:t>合计t/a</w:t>
                  </w:r>
                </w:p>
              </w:tc>
              <w:tc>
                <w:tcPr>
                  <w:tcW w:w="3845" w:type="pct"/>
                  <w:gridSpan w:val="3"/>
                  <w:tcBorders>
                    <w:top w:val="nil"/>
                    <w:left w:val="nil"/>
                    <w:bottom w:val="single" w:color="000000" w:sz="8" w:space="0"/>
                    <w:right w:val="single" w:color="000000" w:sz="8" w:space="0"/>
                  </w:tcBorders>
                  <w:vAlign w:val="center"/>
                </w:tcPr>
                <w:p w14:paraId="6252CD4D">
                  <w:pPr>
                    <w:pStyle w:val="41"/>
                    <w:rPr>
                      <w:rFonts w:hint="default" w:ascii="Times New Roman" w:hAnsi="Times New Roman" w:eastAsia="宋体" w:cs="Times New Roman"/>
                      <w:lang w:val="en-US" w:eastAsia="zh-CN"/>
                    </w:rPr>
                  </w:pPr>
                  <w:r>
                    <w:rPr>
                      <w:rFonts w:hint="default" w:ascii="Times New Roman" w:hAnsi="Times New Roman" w:eastAsia="宋体" w:cs="Times New Roman"/>
                      <w:lang w:val="en-US" w:eastAsia="zh-CN"/>
                    </w:rPr>
                    <w:t>54.4826</w:t>
                  </w:r>
                </w:p>
              </w:tc>
            </w:tr>
          </w:tbl>
          <w:p w14:paraId="595E6972">
            <w:pPr>
              <w:ind w:firstLine="480"/>
              <w:rPr>
                <w:rFonts w:hint="default" w:ascii="Times New Roman" w:hAnsi="Times New Roman" w:eastAsia="宋体" w:cs="Times New Roman"/>
              </w:rPr>
            </w:pPr>
            <w:r>
              <w:rPr>
                <w:rFonts w:hint="default" w:ascii="Times New Roman" w:hAnsi="Times New Roman" w:eastAsia="宋体" w:cs="Times New Roman"/>
              </w:rPr>
              <w:t>④焊渣</w:t>
            </w:r>
          </w:p>
          <w:p w14:paraId="18D54901">
            <w:pPr>
              <w:ind w:firstLine="480"/>
              <w:rPr>
                <w:rFonts w:hint="default" w:ascii="Times New Roman" w:hAnsi="Times New Roman" w:eastAsia="宋体" w:cs="Times New Roman"/>
              </w:rPr>
            </w:pPr>
            <w:r>
              <w:rPr>
                <w:rFonts w:hint="default" w:ascii="Times New Roman" w:hAnsi="Times New Roman" w:eastAsia="宋体" w:cs="Times New Roman"/>
              </w:rPr>
              <w:t>查阅资料《机加工行业环境影响评价中常见污染物源强估算及污染治理-许海萍》可知，焊渣产生量=焊条使用量×（1/11+4%），本项目焊丝使用量为3t/a，则本项目焊渣产生量为0.3927t/a，建设单位拟收集后全部外售给资源回收部门回收利用。</w:t>
            </w:r>
          </w:p>
          <w:p w14:paraId="72CCE258">
            <w:pPr>
              <w:ind w:firstLine="480"/>
              <w:rPr>
                <w:rFonts w:hint="default" w:ascii="Times New Roman" w:hAnsi="Times New Roman" w:eastAsia="宋体" w:cs="Times New Roman"/>
              </w:rPr>
            </w:pPr>
            <w:r>
              <w:rPr>
                <w:rFonts w:hint="default" w:ascii="Times New Roman" w:hAnsi="Times New Roman" w:eastAsia="宋体" w:cs="Times New Roman"/>
              </w:rPr>
              <w:t>⑤废麻轮、布轮</w:t>
            </w:r>
          </w:p>
          <w:p w14:paraId="499B397A">
            <w:pPr>
              <w:ind w:firstLine="480"/>
              <w:rPr>
                <w:rFonts w:hint="default" w:ascii="Times New Roman" w:hAnsi="Times New Roman" w:eastAsia="宋体" w:cs="Times New Roman"/>
              </w:rPr>
            </w:pPr>
            <w:r>
              <w:rPr>
                <w:rFonts w:hint="default" w:ascii="Times New Roman" w:hAnsi="Times New Roman" w:eastAsia="宋体" w:cs="Times New Roman"/>
              </w:rPr>
              <w:t>项目使用麻轮、布轮对产品表面进行抛光，使用过程中会产生废麻轮、布轮，麻轮、布轮使用量为6.01t/a，根据《排放源统计调查产排污核算方法和系数手册》（公告2021年第24号）中《34 通用设备制造行业系数手册》中的06预处理“钢材（含板材、构件等）、铝材（含板材、构件等）、铝合金（含板材、构件等）、铁材、其它金属材料—抛丸、喷砂、打磨、滚筒”颗粒物的产污系数为2.19千克/吨-原料，则麻轮、布轮使用过程中粉尘产生量为0.0132t/a，则废麻轮、布轮产生量为6.0t/a。</w:t>
            </w:r>
          </w:p>
          <w:p w14:paraId="586B8A39">
            <w:pPr>
              <w:ind w:firstLine="480"/>
              <w:rPr>
                <w:rFonts w:hint="default" w:ascii="Times New Roman" w:hAnsi="Times New Roman" w:eastAsia="宋体" w:cs="Times New Roman"/>
              </w:rPr>
            </w:pPr>
            <w:r>
              <w:rPr>
                <w:rFonts w:hint="default" w:ascii="Times New Roman" w:hAnsi="Times New Roman" w:eastAsia="宋体" w:cs="Times New Roman"/>
              </w:rPr>
              <w:t>⑥废树脂粉末</w:t>
            </w:r>
          </w:p>
          <w:p w14:paraId="5C59B935">
            <w:pPr>
              <w:ind w:firstLine="480"/>
              <w:rPr>
                <w:rFonts w:hint="default" w:ascii="Times New Roman" w:hAnsi="Times New Roman" w:eastAsia="宋体" w:cs="Times New Roman"/>
              </w:rPr>
            </w:pPr>
            <w:r>
              <w:rPr>
                <w:rFonts w:hint="default" w:ascii="Times New Roman" w:hAnsi="Times New Roman" w:eastAsia="宋体" w:cs="Times New Roman"/>
              </w:rPr>
              <w:t>本项目树脂粉末涂料的使用量为101t/a，则喷粉房颗粒物的产生量为30.3t/a。本项目粉末喷涂工序在自动喷粉房内进行，废气的收集效率按95%计，处理效率按98%计，则废树脂粉末产生量为28.2093t/a。废树脂粉末重新倒入供粉桶内与新粉混合起来，再输入到喷粉枪中进行喷粉。</w:t>
            </w:r>
          </w:p>
          <w:p w14:paraId="1550454F">
            <w:pPr>
              <w:ind w:firstLine="480"/>
              <w:rPr>
                <w:rFonts w:hint="default" w:ascii="Times New Roman" w:hAnsi="Times New Roman" w:eastAsia="宋体" w:cs="Times New Roman"/>
              </w:rPr>
            </w:pPr>
            <w:r>
              <w:rPr>
                <w:rFonts w:hint="default" w:ascii="Times New Roman" w:hAnsi="Times New Roman" w:eastAsia="宋体" w:cs="Times New Roman"/>
              </w:rPr>
              <w:t>（2）危险废物</w:t>
            </w:r>
          </w:p>
          <w:p w14:paraId="60C8DFE7">
            <w:pPr>
              <w:ind w:firstLine="480"/>
              <w:rPr>
                <w:rFonts w:hint="default" w:ascii="Times New Roman" w:hAnsi="Times New Roman" w:eastAsia="宋体" w:cs="Times New Roman"/>
              </w:rPr>
            </w:pPr>
            <w:r>
              <w:rPr>
                <w:rFonts w:hint="default" w:ascii="Times New Roman" w:hAnsi="Times New Roman" w:eastAsia="宋体" w:cs="Times New Roman"/>
              </w:rPr>
              <w:t>① 废活性炭及其吸附物</w:t>
            </w:r>
          </w:p>
          <w:p w14:paraId="7344CEBD">
            <w:pPr>
              <w:ind w:firstLine="480"/>
              <w:rPr>
                <w:rFonts w:hint="default" w:ascii="Times New Roman" w:hAnsi="Times New Roman" w:eastAsia="宋体" w:cs="Times New Roman"/>
              </w:rPr>
            </w:pPr>
            <w:r>
              <w:rPr>
                <w:rFonts w:hint="default" w:ascii="Times New Roman" w:hAnsi="Times New Roman" w:eastAsia="宋体" w:cs="Times New Roman"/>
              </w:rPr>
              <w:t>项目生产过程会产生有机废气，采用“水喷淋+二级活性炭吸附装置”进行处理，活性炭吸附饱和后需整体更换，更换出来的废活性炭为VOCs治理过程中产生的废活性炭，属于《国家危险废物名录》（2021年版）规定的危险废物（类别为HW49其他废物，代码900-039-49）。根据前文分析，项目生产过程会产生有机废气，采用“二级活性炭吸附装置”进行处理，活性炭吸附饱和后需整体更换，更换出来的废活性炭为VOCs 治理过程中产生的废活性炭，属于《国家危险废物名录》（2021 年版）规定的危险废物（类别为 HW49 其他废物，代码 900-039-49）。根据前文分析，本项目粉末固化、电泳烘干工序VOCs收集量为1.7829t/a，二级活性炭吸附处理效率以</w:t>
            </w:r>
            <w:r>
              <w:rPr>
                <w:rFonts w:hint="default" w:ascii="Times New Roman" w:hAnsi="Times New Roman" w:eastAsia="宋体" w:cs="Times New Roman"/>
                <w:lang w:val="en-US" w:eastAsia="zh-CN"/>
              </w:rPr>
              <w:t>80</w:t>
            </w:r>
            <w:r>
              <w:rPr>
                <w:rFonts w:hint="default" w:ascii="Times New Roman" w:hAnsi="Times New Roman" w:eastAsia="宋体" w:cs="Times New Roman"/>
              </w:rPr>
              <w:t>%计，则活性炭吸附工艺吸附挥发性有机物的量为</w:t>
            </w:r>
            <w:r>
              <w:rPr>
                <w:rFonts w:hint="default" w:ascii="Times New Roman" w:hAnsi="Times New Roman" w:eastAsia="宋体" w:cs="Times New Roman"/>
                <w:lang w:val="en-US" w:eastAsia="zh-CN"/>
              </w:rPr>
              <w:t>1.4263</w:t>
            </w:r>
            <w:r>
              <w:rPr>
                <w:rFonts w:hint="default" w:ascii="Times New Roman" w:hAnsi="Times New Roman" w:eastAsia="宋体" w:cs="Times New Roman"/>
              </w:rPr>
              <w:t>t/a。根据《广东省工业源挥发性有机物减排量核算方法（2023年修订版）》，活性炭吸附</w:t>
            </w:r>
            <w:r>
              <w:rPr>
                <w:rFonts w:hint="default" w:ascii="Times New Roman" w:hAnsi="Times New Roman" w:eastAsia="宋体" w:cs="Times New Roman"/>
                <w:lang w:val="en-US" w:eastAsia="zh-CN"/>
              </w:rPr>
              <w:t>比例</w:t>
            </w:r>
            <w:r>
              <w:rPr>
                <w:rFonts w:hint="default" w:ascii="Times New Roman" w:hAnsi="Times New Roman" w:eastAsia="宋体" w:cs="Times New Roman"/>
              </w:rPr>
              <w:t>取15%，即本项目活性炭用量为</w:t>
            </w:r>
            <w:r>
              <w:rPr>
                <w:rFonts w:hint="default" w:ascii="Times New Roman" w:hAnsi="Times New Roman" w:eastAsia="宋体" w:cs="Times New Roman"/>
                <w:lang w:val="en-US" w:eastAsia="zh-CN"/>
              </w:rPr>
              <w:t>9.5088</w:t>
            </w:r>
            <w:r>
              <w:rPr>
                <w:rFonts w:hint="default" w:ascii="Times New Roman" w:hAnsi="Times New Roman" w:eastAsia="宋体" w:cs="Times New Roman"/>
              </w:rPr>
              <w:t>t/a，则废活性炭</w:t>
            </w:r>
            <w:r>
              <w:rPr>
                <w:rFonts w:hint="default" w:ascii="Times New Roman" w:hAnsi="Times New Roman" w:eastAsia="宋体" w:cs="Times New Roman"/>
                <w:lang w:val="en-US" w:eastAsia="zh-CN"/>
              </w:rPr>
              <w:t>及其吸附物</w:t>
            </w:r>
            <w:r>
              <w:rPr>
                <w:rFonts w:hint="default" w:ascii="Times New Roman" w:hAnsi="Times New Roman" w:eastAsia="宋体" w:cs="Times New Roman"/>
              </w:rPr>
              <w:t>产生量为</w:t>
            </w:r>
            <w:r>
              <w:rPr>
                <w:rFonts w:hint="default" w:ascii="Times New Roman" w:hAnsi="Times New Roman" w:eastAsia="宋体" w:cs="Times New Roman"/>
                <w:lang w:val="en-US" w:eastAsia="zh-CN"/>
              </w:rPr>
              <w:t>10.9</w:t>
            </w:r>
            <w:r>
              <w:rPr>
                <w:rFonts w:hint="default" w:ascii="Times New Roman" w:hAnsi="Times New Roman" w:eastAsia="宋体" w:cs="Times New Roman"/>
              </w:rPr>
              <w:t>t/a。收集后暂存于危废间，定期交由有资质单位处理。</w:t>
            </w:r>
          </w:p>
          <w:p w14:paraId="0538F6E3">
            <w:pPr>
              <w:ind w:firstLine="480"/>
              <w:rPr>
                <w:rFonts w:hint="default" w:ascii="Times New Roman" w:hAnsi="Times New Roman" w:eastAsia="宋体" w:cs="Times New Roman"/>
              </w:rPr>
            </w:pPr>
            <w:r>
              <w:rPr>
                <w:rFonts w:hint="default" w:ascii="Times New Roman" w:hAnsi="Times New Roman" w:eastAsia="宋体" w:cs="Times New Roman"/>
              </w:rPr>
              <w:t>② 废槽液</w:t>
            </w:r>
          </w:p>
          <w:p w14:paraId="19AAD29E">
            <w:pPr>
              <w:ind w:firstLine="480"/>
              <w:rPr>
                <w:rFonts w:hint="default" w:ascii="Times New Roman" w:hAnsi="Times New Roman" w:eastAsia="宋体" w:cs="Times New Roman"/>
              </w:rPr>
            </w:pPr>
            <w:r>
              <w:rPr>
                <w:rFonts w:hint="default" w:ascii="Times New Roman" w:hAnsi="Times New Roman" w:eastAsia="宋体" w:cs="Times New Roman"/>
              </w:rPr>
              <w:t>项目废槽液主要来源于四合一槽</w:t>
            </w:r>
            <w:r>
              <w:rPr>
                <w:rFonts w:hint="default" w:ascii="Times New Roman" w:hAnsi="Times New Roman" w:eastAsia="宋体" w:cs="Times New Roman"/>
                <w:lang w:val="en-US" w:eastAsia="zh-CN"/>
              </w:rPr>
              <w:t>及UF2槽</w:t>
            </w:r>
            <w:r>
              <w:rPr>
                <w:rFonts w:hint="default" w:ascii="Times New Roman" w:hAnsi="Times New Roman" w:eastAsia="宋体" w:cs="Times New Roman"/>
              </w:rPr>
              <w:t>，根据建设单位提供资料，建设单位每3个月清理一次</w:t>
            </w:r>
            <w:r>
              <w:rPr>
                <w:rFonts w:hint="default" w:ascii="Times New Roman" w:hAnsi="Times New Roman" w:eastAsia="宋体" w:cs="Times New Roman"/>
                <w:lang w:val="en-US" w:eastAsia="zh-CN"/>
              </w:rPr>
              <w:t>四合一</w:t>
            </w:r>
            <w:r>
              <w:rPr>
                <w:rFonts w:hint="default" w:ascii="Times New Roman" w:hAnsi="Times New Roman" w:eastAsia="宋体" w:cs="Times New Roman"/>
              </w:rPr>
              <w:t>槽底，每次保留2/3的槽液，则</w:t>
            </w:r>
            <w:r>
              <w:rPr>
                <w:rFonts w:hint="default" w:ascii="Times New Roman" w:hAnsi="Times New Roman" w:eastAsia="宋体" w:cs="Times New Roman"/>
                <w:lang w:val="en-US" w:eastAsia="zh-CN"/>
              </w:rPr>
              <w:t>四合一槽</w:t>
            </w:r>
            <w:r>
              <w:rPr>
                <w:rFonts w:hint="default" w:ascii="Times New Roman" w:hAnsi="Times New Roman" w:eastAsia="宋体" w:cs="Times New Roman"/>
              </w:rPr>
              <w:t>废槽液产生量为6t/a。</w:t>
            </w:r>
            <w:r>
              <w:rPr>
                <w:rFonts w:hint="default" w:ascii="Times New Roman" w:hAnsi="Times New Roman" w:eastAsia="宋体" w:cs="Times New Roman"/>
                <w:lang w:val="en-US" w:eastAsia="zh-CN"/>
              </w:rPr>
              <w:t>建设单位每半年更换一次UF2槽，整槽更换，单次更换量为5t，则UF2槽废槽液产生量为10t/a。则项目废槽液产生量为16t/a。</w:t>
            </w:r>
            <w:r>
              <w:rPr>
                <w:rFonts w:hint="default" w:ascii="Times New Roman" w:hAnsi="Times New Roman" w:eastAsia="宋体" w:cs="Times New Roman"/>
              </w:rPr>
              <w:t>废槽液属于《国家危险废物名录》（2021年版）规定的危险废物（类别为HW17表面处理废物，代码为336-064-17），收集后暂存于危废间，定期交由有资质单位处理处置。</w:t>
            </w:r>
          </w:p>
          <w:p w14:paraId="3ECC9707">
            <w:pPr>
              <w:ind w:firstLine="480"/>
              <w:rPr>
                <w:rFonts w:hint="default" w:ascii="Times New Roman" w:hAnsi="Times New Roman" w:eastAsia="宋体" w:cs="Times New Roman"/>
              </w:rPr>
            </w:pPr>
            <w:r>
              <w:rPr>
                <w:rFonts w:hint="default" w:ascii="Times New Roman" w:hAnsi="Times New Roman" w:eastAsia="宋体" w:cs="Times New Roman"/>
              </w:rPr>
              <w:t>本项目运营期固体废物产生情况详见表4-25，危险废物汇总详见表4-26。</w:t>
            </w:r>
          </w:p>
        </w:tc>
      </w:tr>
    </w:tbl>
    <w:p w14:paraId="4636821E">
      <w:pPr>
        <w:adjustRightInd w:val="0"/>
        <w:snapToGrid w:val="0"/>
        <w:ind w:firstLine="562"/>
        <w:rPr>
          <w:b/>
          <w:sz w:val="28"/>
          <w:szCs w:val="28"/>
        </w:rPr>
        <w:sectPr>
          <w:pgSz w:w="11907" w:h="16840"/>
          <w:pgMar w:top="1701" w:right="1531" w:bottom="2127" w:left="1531" w:header="851" w:footer="851" w:gutter="0"/>
          <w:cols w:space="720" w:num="1"/>
          <w:docGrid w:linePitch="312" w:charSpace="0"/>
        </w:sectPr>
      </w:pPr>
    </w:p>
    <w:tbl>
      <w:tblPr>
        <w:tblStyle w:val="23"/>
        <w:tblW w:w="4999"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32"/>
        <w:gridCol w:w="13117"/>
      </w:tblGrid>
      <w:tr w14:paraId="43D9BD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93" w:hRule="atLeast"/>
          <w:jc w:val="center"/>
        </w:trPr>
        <w:tc>
          <w:tcPr>
            <w:tcW w:w="195" w:type="pct"/>
            <w:vAlign w:val="center"/>
          </w:tcPr>
          <w:p w14:paraId="614991BD">
            <w:pPr>
              <w:adjustRightInd w:val="0"/>
              <w:snapToGrid w:val="0"/>
              <w:ind w:firstLine="480"/>
              <w:jc w:val="center"/>
            </w:pPr>
          </w:p>
        </w:tc>
        <w:tc>
          <w:tcPr>
            <w:tcW w:w="4804" w:type="pct"/>
            <w:vAlign w:val="center"/>
          </w:tcPr>
          <w:p w14:paraId="15621D10">
            <w:pPr>
              <w:pStyle w:val="22"/>
              <w:rPr>
                <w:szCs w:val="21"/>
              </w:rPr>
            </w:pPr>
            <w:r>
              <w:rPr>
                <w:szCs w:val="21"/>
              </w:rPr>
              <w:t>表4-2</w:t>
            </w:r>
            <w:r>
              <w:rPr>
                <w:rFonts w:hint="eastAsia"/>
                <w:szCs w:val="21"/>
                <w:lang w:val="en-US" w:eastAsia="zh-CN"/>
              </w:rPr>
              <w:t>4</w:t>
            </w:r>
            <w:r>
              <w:rPr>
                <w:szCs w:val="21"/>
              </w:rPr>
              <w:t xml:space="preserve"> 项目固体废物信息表</w:t>
            </w:r>
          </w:p>
          <w:tbl>
            <w:tblPr>
              <w:tblStyle w:val="23"/>
              <w:tblW w:w="12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
              <w:gridCol w:w="1134"/>
              <w:gridCol w:w="1276"/>
              <w:gridCol w:w="1559"/>
              <w:gridCol w:w="1170"/>
              <w:gridCol w:w="815"/>
              <w:gridCol w:w="1134"/>
              <w:gridCol w:w="992"/>
              <w:gridCol w:w="1134"/>
              <w:gridCol w:w="1701"/>
              <w:gridCol w:w="965"/>
            </w:tblGrid>
            <w:tr w14:paraId="51BA6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5D4B1D42">
                  <w:pPr>
                    <w:pStyle w:val="41"/>
                    <w:rPr>
                      <w:b/>
                      <w:bCs/>
                    </w:rPr>
                  </w:pPr>
                  <w:r>
                    <w:rPr>
                      <w:b/>
                      <w:bCs/>
                    </w:rPr>
                    <w:t>序号</w:t>
                  </w:r>
                </w:p>
              </w:tc>
              <w:tc>
                <w:tcPr>
                  <w:tcW w:w="1134" w:type="dxa"/>
                  <w:tcBorders>
                    <w:top w:val="single" w:color="auto" w:sz="4" w:space="0"/>
                    <w:left w:val="single" w:color="auto" w:sz="4" w:space="0"/>
                    <w:bottom w:val="single" w:color="auto" w:sz="4" w:space="0"/>
                    <w:right w:val="single" w:color="auto" w:sz="4" w:space="0"/>
                  </w:tcBorders>
                  <w:vAlign w:val="center"/>
                </w:tcPr>
                <w:p w14:paraId="5555C1CE">
                  <w:pPr>
                    <w:pStyle w:val="41"/>
                    <w:rPr>
                      <w:b/>
                      <w:bCs/>
                    </w:rPr>
                  </w:pPr>
                  <w:r>
                    <w:rPr>
                      <w:b/>
                      <w:bCs/>
                    </w:rPr>
                    <w:t>产生环节</w:t>
                  </w:r>
                </w:p>
              </w:tc>
              <w:tc>
                <w:tcPr>
                  <w:tcW w:w="1276" w:type="dxa"/>
                  <w:tcBorders>
                    <w:top w:val="single" w:color="auto" w:sz="4" w:space="0"/>
                    <w:left w:val="single" w:color="auto" w:sz="4" w:space="0"/>
                    <w:bottom w:val="single" w:color="auto" w:sz="4" w:space="0"/>
                    <w:right w:val="single" w:color="auto" w:sz="4" w:space="0"/>
                  </w:tcBorders>
                  <w:vAlign w:val="center"/>
                </w:tcPr>
                <w:p w14:paraId="2603D743">
                  <w:pPr>
                    <w:pStyle w:val="41"/>
                    <w:rPr>
                      <w:b/>
                      <w:bCs/>
                    </w:rPr>
                  </w:pPr>
                  <w:r>
                    <w:rPr>
                      <w:b/>
                      <w:bCs/>
                    </w:rPr>
                    <w:t>固废名称</w:t>
                  </w:r>
                </w:p>
              </w:tc>
              <w:tc>
                <w:tcPr>
                  <w:tcW w:w="1559" w:type="dxa"/>
                  <w:tcBorders>
                    <w:top w:val="single" w:color="auto" w:sz="4" w:space="0"/>
                    <w:left w:val="single" w:color="auto" w:sz="4" w:space="0"/>
                    <w:bottom w:val="single" w:color="auto" w:sz="4" w:space="0"/>
                    <w:right w:val="single" w:color="auto" w:sz="4" w:space="0"/>
                  </w:tcBorders>
                  <w:vAlign w:val="center"/>
                </w:tcPr>
                <w:p w14:paraId="67415399">
                  <w:pPr>
                    <w:pStyle w:val="41"/>
                    <w:rPr>
                      <w:b/>
                      <w:bCs/>
                    </w:rPr>
                  </w:pPr>
                  <w:r>
                    <w:rPr>
                      <w:b/>
                      <w:bCs/>
                    </w:rPr>
                    <w:t>属性</w:t>
                  </w:r>
                </w:p>
              </w:tc>
              <w:tc>
                <w:tcPr>
                  <w:tcW w:w="1170" w:type="dxa"/>
                  <w:tcBorders>
                    <w:top w:val="single" w:color="auto" w:sz="4" w:space="0"/>
                    <w:left w:val="single" w:color="auto" w:sz="4" w:space="0"/>
                    <w:bottom w:val="single" w:color="auto" w:sz="4" w:space="0"/>
                    <w:right w:val="single" w:color="auto" w:sz="4" w:space="0"/>
                  </w:tcBorders>
                  <w:vAlign w:val="center"/>
                </w:tcPr>
                <w:p w14:paraId="72723FA4">
                  <w:pPr>
                    <w:pStyle w:val="41"/>
                    <w:rPr>
                      <w:b/>
                      <w:bCs/>
                    </w:rPr>
                  </w:pPr>
                  <w:r>
                    <w:rPr>
                      <w:b/>
                      <w:bCs/>
                    </w:rPr>
                    <w:t>主要有毒有害物质名称</w:t>
                  </w:r>
                </w:p>
              </w:tc>
              <w:tc>
                <w:tcPr>
                  <w:tcW w:w="815" w:type="dxa"/>
                  <w:tcBorders>
                    <w:top w:val="single" w:color="auto" w:sz="4" w:space="0"/>
                    <w:left w:val="single" w:color="auto" w:sz="4" w:space="0"/>
                    <w:bottom w:val="single" w:color="auto" w:sz="4" w:space="0"/>
                    <w:right w:val="single" w:color="auto" w:sz="4" w:space="0"/>
                  </w:tcBorders>
                  <w:vAlign w:val="center"/>
                </w:tcPr>
                <w:p w14:paraId="6AD9DAB6">
                  <w:pPr>
                    <w:pStyle w:val="41"/>
                    <w:rPr>
                      <w:b/>
                      <w:bCs/>
                    </w:rPr>
                  </w:pPr>
                  <w:r>
                    <w:rPr>
                      <w:b/>
                      <w:bCs/>
                    </w:rPr>
                    <w:t>物理</w:t>
                  </w:r>
                </w:p>
                <w:p w14:paraId="251410D4">
                  <w:pPr>
                    <w:pStyle w:val="41"/>
                    <w:rPr>
                      <w:b/>
                      <w:bCs/>
                    </w:rPr>
                  </w:pPr>
                  <w:r>
                    <w:rPr>
                      <w:b/>
                      <w:bCs/>
                    </w:rPr>
                    <w:t>性质</w:t>
                  </w:r>
                </w:p>
              </w:tc>
              <w:tc>
                <w:tcPr>
                  <w:tcW w:w="1134" w:type="dxa"/>
                  <w:tcBorders>
                    <w:top w:val="single" w:color="auto" w:sz="4" w:space="0"/>
                    <w:left w:val="single" w:color="auto" w:sz="4" w:space="0"/>
                    <w:bottom w:val="single" w:color="auto" w:sz="4" w:space="0"/>
                    <w:right w:val="single" w:color="auto" w:sz="4" w:space="0"/>
                  </w:tcBorders>
                  <w:vAlign w:val="center"/>
                </w:tcPr>
                <w:p w14:paraId="6BFAEC14">
                  <w:pPr>
                    <w:pStyle w:val="41"/>
                    <w:rPr>
                      <w:b/>
                      <w:bCs/>
                    </w:rPr>
                  </w:pPr>
                  <w:r>
                    <w:rPr>
                      <w:b/>
                      <w:bCs/>
                    </w:rPr>
                    <w:t>环境危害特性</w:t>
                  </w:r>
                </w:p>
              </w:tc>
              <w:tc>
                <w:tcPr>
                  <w:tcW w:w="992" w:type="dxa"/>
                  <w:tcBorders>
                    <w:top w:val="single" w:color="auto" w:sz="4" w:space="0"/>
                    <w:left w:val="single" w:color="auto" w:sz="4" w:space="0"/>
                    <w:bottom w:val="single" w:color="auto" w:sz="4" w:space="0"/>
                    <w:right w:val="single" w:color="auto" w:sz="4" w:space="0"/>
                  </w:tcBorders>
                  <w:vAlign w:val="center"/>
                </w:tcPr>
                <w:p w14:paraId="7FE3F831">
                  <w:pPr>
                    <w:pStyle w:val="41"/>
                    <w:rPr>
                      <w:b/>
                      <w:bCs/>
                    </w:rPr>
                  </w:pPr>
                  <w:r>
                    <w:rPr>
                      <w:b/>
                      <w:bCs/>
                    </w:rPr>
                    <w:t>产生量（t/a）</w:t>
                  </w:r>
                </w:p>
              </w:tc>
              <w:tc>
                <w:tcPr>
                  <w:tcW w:w="1134" w:type="dxa"/>
                  <w:tcBorders>
                    <w:top w:val="single" w:color="auto" w:sz="4" w:space="0"/>
                    <w:left w:val="single" w:color="auto" w:sz="4" w:space="0"/>
                    <w:bottom w:val="single" w:color="auto" w:sz="4" w:space="0"/>
                    <w:right w:val="single" w:color="auto" w:sz="4" w:space="0"/>
                  </w:tcBorders>
                  <w:vAlign w:val="center"/>
                </w:tcPr>
                <w:p w14:paraId="15248B25">
                  <w:pPr>
                    <w:pStyle w:val="41"/>
                    <w:rPr>
                      <w:b/>
                      <w:bCs/>
                    </w:rPr>
                  </w:pPr>
                  <w:r>
                    <w:rPr>
                      <w:b/>
                      <w:bCs/>
                    </w:rPr>
                    <w:t>贮存方式</w:t>
                  </w:r>
                </w:p>
              </w:tc>
              <w:tc>
                <w:tcPr>
                  <w:tcW w:w="1701" w:type="dxa"/>
                  <w:tcBorders>
                    <w:top w:val="single" w:color="auto" w:sz="4" w:space="0"/>
                    <w:left w:val="single" w:color="auto" w:sz="4" w:space="0"/>
                    <w:bottom w:val="single" w:color="auto" w:sz="4" w:space="0"/>
                    <w:right w:val="single" w:color="auto" w:sz="4" w:space="0"/>
                  </w:tcBorders>
                  <w:vAlign w:val="center"/>
                </w:tcPr>
                <w:p w14:paraId="29745C5F">
                  <w:pPr>
                    <w:pStyle w:val="41"/>
                    <w:rPr>
                      <w:b/>
                      <w:bCs/>
                    </w:rPr>
                  </w:pPr>
                  <w:r>
                    <w:rPr>
                      <w:b/>
                      <w:bCs/>
                    </w:rPr>
                    <w:t>利用或处置措施</w:t>
                  </w:r>
                </w:p>
              </w:tc>
              <w:tc>
                <w:tcPr>
                  <w:tcW w:w="965" w:type="dxa"/>
                  <w:tcBorders>
                    <w:top w:val="single" w:color="auto" w:sz="4" w:space="0"/>
                    <w:left w:val="single" w:color="auto" w:sz="4" w:space="0"/>
                    <w:bottom w:val="single" w:color="auto" w:sz="4" w:space="0"/>
                    <w:right w:val="single" w:color="auto" w:sz="4" w:space="0"/>
                  </w:tcBorders>
                  <w:vAlign w:val="center"/>
                </w:tcPr>
                <w:p w14:paraId="2E224900">
                  <w:pPr>
                    <w:pStyle w:val="41"/>
                    <w:rPr>
                      <w:b/>
                      <w:bCs/>
                    </w:rPr>
                  </w:pPr>
                  <w:r>
                    <w:rPr>
                      <w:b/>
                      <w:bCs/>
                    </w:rPr>
                    <w:t>利用或处置量（t/a）</w:t>
                  </w:r>
                </w:p>
              </w:tc>
            </w:tr>
            <w:tr w14:paraId="6FEA7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17324A3C">
                  <w:pPr>
                    <w:pStyle w:val="41"/>
                  </w:pPr>
                  <w:r>
                    <w:rPr>
                      <w:rFonts w:hint="eastAsia"/>
                    </w:rPr>
                    <w:t>1</w:t>
                  </w:r>
                </w:p>
              </w:tc>
              <w:tc>
                <w:tcPr>
                  <w:tcW w:w="1134" w:type="dxa"/>
                  <w:tcBorders>
                    <w:top w:val="single" w:color="auto" w:sz="4" w:space="0"/>
                    <w:left w:val="single" w:color="auto" w:sz="4" w:space="0"/>
                    <w:bottom w:val="single" w:color="auto" w:sz="4" w:space="0"/>
                    <w:right w:val="single" w:color="auto" w:sz="4" w:space="0"/>
                  </w:tcBorders>
                  <w:vAlign w:val="center"/>
                </w:tcPr>
                <w:p w14:paraId="41EF397C">
                  <w:pPr>
                    <w:pStyle w:val="41"/>
                  </w:pPr>
                  <w:r>
                    <w:rPr>
                      <w:rFonts w:hint="eastAsia"/>
                    </w:rPr>
                    <w:t>开料</w:t>
                  </w:r>
                </w:p>
              </w:tc>
              <w:tc>
                <w:tcPr>
                  <w:tcW w:w="1276" w:type="dxa"/>
                  <w:tcBorders>
                    <w:top w:val="single" w:color="auto" w:sz="4" w:space="0"/>
                    <w:left w:val="single" w:color="auto" w:sz="4" w:space="0"/>
                    <w:bottom w:val="single" w:color="auto" w:sz="4" w:space="0"/>
                    <w:right w:val="single" w:color="auto" w:sz="4" w:space="0"/>
                  </w:tcBorders>
                  <w:vAlign w:val="center"/>
                </w:tcPr>
                <w:p w14:paraId="17858736">
                  <w:pPr>
                    <w:pStyle w:val="41"/>
                  </w:pPr>
                  <w:r>
                    <w:t>废边角料</w:t>
                  </w:r>
                </w:p>
              </w:tc>
              <w:tc>
                <w:tcPr>
                  <w:tcW w:w="1559" w:type="dxa"/>
                  <w:tcBorders>
                    <w:top w:val="single" w:color="auto" w:sz="4" w:space="0"/>
                    <w:left w:val="single" w:color="auto" w:sz="4" w:space="0"/>
                    <w:bottom w:val="single" w:color="auto" w:sz="4" w:space="0"/>
                    <w:right w:val="single" w:color="auto" w:sz="4" w:space="0"/>
                  </w:tcBorders>
                  <w:vAlign w:val="center"/>
                </w:tcPr>
                <w:p w14:paraId="486F4FD1">
                  <w:pPr>
                    <w:pStyle w:val="41"/>
                  </w:pPr>
                  <w:r>
                    <w:t>一般工业固废</w:t>
                  </w:r>
                </w:p>
              </w:tc>
              <w:tc>
                <w:tcPr>
                  <w:tcW w:w="1170" w:type="dxa"/>
                  <w:tcBorders>
                    <w:top w:val="single" w:color="auto" w:sz="4" w:space="0"/>
                    <w:left w:val="single" w:color="auto" w:sz="4" w:space="0"/>
                    <w:bottom w:val="single" w:color="auto" w:sz="4" w:space="0"/>
                    <w:right w:val="single" w:color="auto" w:sz="4" w:space="0"/>
                  </w:tcBorders>
                  <w:vAlign w:val="center"/>
                </w:tcPr>
                <w:p w14:paraId="009207C2">
                  <w:pPr>
                    <w:pStyle w:val="41"/>
                  </w:pPr>
                  <w:r>
                    <w:t>无</w:t>
                  </w:r>
                </w:p>
              </w:tc>
              <w:tc>
                <w:tcPr>
                  <w:tcW w:w="815" w:type="dxa"/>
                  <w:tcBorders>
                    <w:top w:val="single" w:color="auto" w:sz="4" w:space="0"/>
                    <w:left w:val="single" w:color="auto" w:sz="4" w:space="0"/>
                    <w:bottom w:val="single" w:color="auto" w:sz="4" w:space="0"/>
                    <w:right w:val="single" w:color="auto" w:sz="4" w:space="0"/>
                  </w:tcBorders>
                  <w:vAlign w:val="center"/>
                </w:tcPr>
                <w:p w14:paraId="42BA04D8">
                  <w:pPr>
                    <w:pStyle w:val="41"/>
                  </w:pPr>
                  <w:r>
                    <w:t>固态</w:t>
                  </w:r>
                </w:p>
              </w:tc>
              <w:tc>
                <w:tcPr>
                  <w:tcW w:w="1134" w:type="dxa"/>
                  <w:tcBorders>
                    <w:top w:val="single" w:color="auto" w:sz="4" w:space="0"/>
                    <w:left w:val="single" w:color="auto" w:sz="4" w:space="0"/>
                    <w:bottom w:val="single" w:color="auto" w:sz="4" w:space="0"/>
                    <w:right w:val="single" w:color="auto" w:sz="4" w:space="0"/>
                  </w:tcBorders>
                  <w:vAlign w:val="center"/>
                </w:tcPr>
                <w:p w14:paraId="094D3485">
                  <w:pPr>
                    <w:pStyle w:val="41"/>
                  </w:pPr>
                  <w:r>
                    <w:t>无</w:t>
                  </w:r>
                </w:p>
              </w:tc>
              <w:tc>
                <w:tcPr>
                  <w:tcW w:w="992" w:type="dxa"/>
                  <w:tcBorders>
                    <w:top w:val="single" w:color="auto" w:sz="4" w:space="0"/>
                    <w:left w:val="single" w:color="auto" w:sz="4" w:space="0"/>
                    <w:bottom w:val="single" w:color="auto" w:sz="4" w:space="0"/>
                    <w:right w:val="single" w:color="auto" w:sz="4" w:space="0"/>
                  </w:tcBorders>
                  <w:vAlign w:val="center"/>
                </w:tcPr>
                <w:p w14:paraId="253FF3EF">
                  <w:pPr>
                    <w:pStyle w:val="41"/>
                  </w:pPr>
                  <w:r>
                    <w:rPr>
                      <w:rFonts w:hint="eastAsia"/>
                    </w:rPr>
                    <w:t>182.91</w:t>
                  </w:r>
                </w:p>
              </w:tc>
              <w:tc>
                <w:tcPr>
                  <w:tcW w:w="1134" w:type="dxa"/>
                  <w:tcBorders>
                    <w:top w:val="single" w:color="auto" w:sz="4" w:space="0"/>
                    <w:left w:val="single" w:color="auto" w:sz="4" w:space="0"/>
                    <w:bottom w:val="single" w:color="auto" w:sz="4" w:space="0"/>
                    <w:right w:val="single" w:color="auto" w:sz="4" w:space="0"/>
                  </w:tcBorders>
                  <w:vAlign w:val="center"/>
                </w:tcPr>
                <w:p w14:paraId="4C9D290B">
                  <w:pPr>
                    <w:pStyle w:val="41"/>
                  </w:pPr>
                  <w:r>
                    <w:t>生产车间</w:t>
                  </w:r>
                </w:p>
              </w:tc>
              <w:tc>
                <w:tcPr>
                  <w:tcW w:w="1701" w:type="dxa"/>
                  <w:vMerge w:val="restart"/>
                  <w:tcBorders>
                    <w:top w:val="single" w:color="auto" w:sz="4" w:space="0"/>
                    <w:left w:val="single" w:color="auto" w:sz="4" w:space="0"/>
                    <w:right w:val="single" w:color="auto" w:sz="4" w:space="0"/>
                  </w:tcBorders>
                  <w:vAlign w:val="center"/>
                </w:tcPr>
                <w:p w14:paraId="21DF7169">
                  <w:pPr>
                    <w:pStyle w:val="41"/>
                  </w:pPr>
                  <w:r>
                    <w:t>收集后全部外售给资源回收部门回收利用</w:t>
                  </w:r>
                </w:p>
              </w:tc>
              <w:tc>
                <w:tcPr>
                  <w:tcW w:w="965" w:type="dxa"/>
                  <w:tcBorders>
                    <w:top w:val="single" w:color="auto" w:sz="4" w:space="0"/>
                    <w:left w:val="single" w:color="auto" w:sz="4" w:space="0"/>
                    <w:bottom w:val="single" w:color="auto" w:sz="4" w:space="0"/>
                    <w:right w:val="single" w:color="auto" w:sz="4" w:space="0"/>
                  </w:tcBorders>
                  <w:vAlign w:val="center"/>
                </w:tcPr>
                <w:p w14:paraId="329A0749">
                  <w:pPr>
                    <w:pStyle w:val="41"/>
                  </w:pPr>
                  <w:r>
                    <w:rPr>
                      <w:rFonts w:hint="eastAsia"/>
                    </w:rPr>
                    <w:t>182.91</w:t>
                  </w:r>
                </w:p>
              </w:tc>
            </w:tr>
            <w:tr w14:paraId="44577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3F699EEB">
                  <w:pPr>
                    <w:pStyle w:val="41"/>
                  </w:pPr>
                  <w:r>
                    <w:rPr>
                      <w:rFonts w:hint="eastAsia"/>
                    </w:rPr>
                    <w:t>2</w:t>
                  </w:r>
                </w:p>
              </w:tc>
              <w:tc>
                <w:tcPr>
                  <w:tcW w:w="1134" w:type="dxa"/>
                  <w:tcBorders>
                    <w:top w:val="single" w:color="auto" w:sz="4" w:space="0"/>
                    <w:left w:val="single" w:color="auto" w:sz="4" w:space="0"/>
                    <w:bottom w:val="single" w:color="auto" w:sz="4" w:space="0"/>
                    <w:right w:val="single" w:color="auto" w:sz="4" w:space="0"/>
                  </w:tcBorders>
                  <w:vAlign w:val="center"/>
                </w:tcPr>
                <w:p w14:paraId="559D88B5">
                  <w:pPr>
                    <w:pStyle w:val="41"/>
                  </w:pPr>
                  <w:r>
                    <w:rPr>
                      <w:rFonts w:hint="eastAsia"/>
                    </w:rPr>
                    <w:t>开料、</w:t>
                  </w:r>
                  <w:r>
                    <w:t>机加工</w:t>
                  </w:r>
                  <w:r>
                    <w:rPr>
                      <w:rFonts w:hint="eastAsia"/>
                    </w:rPr>
                    <w:t>、喷砂</w:t>
                  </w:r>
                </w:p>
              </w:tc>
              <w:tc>
                <w:tcPr>
                  <w:tcW w:w="1276" w:type="dxa"/>
                  <w:tcBorders>
                    <w:top w:val="single" w:color="auto" w:sz="4" w:space="0"/>
                    <w:left w:val="single" w:color="auto" w:sz="4" w:space="0"/>
                    <w:bottom w:val="single" w:color="auto" w:sz="4" w:space="0"/>
                    <w:right w:val="single" w:color="auto" w:sz="4" w:space="0"/>
                  </w:tcBorders>
                  <w:vAlign w:val="center"/>
                </w:tcPr>
                <w:p w14:paraId="7AEFF6BA">
                  <w:pPr>
                    <w:pStyle w:val="41"/>
                  </w:pPr>
                  <w:r>
                    <w:t>金属粉尘</w:t>
                  </w:r>
                </w:p>
              </w:tc>
              <w:tc>
                <w:tcPr>
                  <w:tcW w:w="1559" w:type="dxa"/>
                  <w:tcBorders>
                    <w:top w:val="single" w:color="auto" w:sz="4" w:space="0"/>
                    <w:left w:val="single" w:color="auto" w:sz="4" w:space="0"/>
                    <w:bottom w:val="single" w:color="auto" w:sz="4" w:space="0"/>
                    <w:right w:val="single" w:color="auto" w:sz="4" w:space="0"/>
                  </w:tcBorders>
                  <w:vAlign w:val="center"/>
                </w:tcPr>
                <w:p w14:paraId="61E89A96">
                  <w:pPr>
                    <w:pStyle w:val="41"/>
                  </w:pPr>
                  <w:r>
                    <w:t>一般工业固废</w:t>
                  </w:r>
                </w:p>
              </w:tc>
              <w:tc>
                <w:tcPr>
                  <w:tcW w:w="1170" w:type="dxa"/>
                  <w:tcBorders>
                    <w:top w:val="single" w:color="auto" w:sz="4" w:space="0"/>
                    <w:left w:val="single" w:color="auto" w:sz="4" w:space="0"/>
                    <w:bottom w:val="single" w:color="auto" w:sz="4" w:space="0"/>
                    <w:right w:val="single" w:color="auto" w:sz="4" w:space="0"/>
                  </w:tcBorders>
                  <w:vAlign w:val="center"/>
                </w:tcPr>
                <w:p w14:paraId="0365DC7E">
                  <w:pPr>
                    <w:pStyle w:val="41"/>
                  </w:pPr>
                  <w:r>
                    <w:t>无</w:t>
                  </w:r>
                </w:p>
              </w:tc>
              <w:tc>
                <w:tcPr>
                  <w:tcW w:w="815" w:type="dxa"/>
                  <w:tcBorders>
                    <w:top w:val="single" w:color="auto" w:sz="4" w:space="0"/>
                    <w:left w:val="single" w:color="auto" w:sz="4" w:space="0"/>
                    <w:bottom w:val="single" w:color="auto" w:sz="4" w:space="0"/>
                    <w:right w:val="single" w:color="auto" w:sz="4" w:space="0"/>
                  </w:tcBorders>
                  <w:vAlign w:val="center"/>
                </w:tcPr>
                <w:p w14:paraId="2E98A665">
                  <w:pPr>
                    <w:pStyle w:val="41"/>
                  </w:pPr>
                  <w:r>
                    <w:t>固态</w:t>
                  </w:r>
                </w:p>
              </w:tc>
              <w:tc>
                <w:tcPr>
                  <w:tcW w:w="1134" w:type="dxa"/>
                  <w:tcBorders>
                    <w:top w:val="single" w:color="auto" w:sz="4" w:space="0"/>
                    <w:left w:val="single" w:color="auto" w:sz="4" w:space="0"/>
                    <w:bottom w:val="single" w:color="auto" w:sz="4" w:space="0"/>
                    <w:right w:val="single" w:color="auto" w:sz="4" w:space="0"/>
                  </w:tcBorders>
                  <w:vAlign w:val="center"/>
                </w:tcPr>
                <w:p w14:paraId="2961D96E">
                  <w:pPr>
                    <w:pStyle w:val="41"/>
                  </w:pPr>
                  <w:r>
                    <w:t>无</w:t>
                  </w:r>
                </w:p>
              </w:tc>
              <w:tc>
                <w:tcPr>
                  <w:tcW w:w="992" w:type="dxa"/>
                  <w:tcBorders>
                    <w:top w:val="single" w:color="auto" w:sz="4" w:space="0"/>
                    <w:left w:val="single" w:color="auto" w:sz="4" w:space="0"/>
                    <w:bottom w:val="single" w:color="auto" w:sz="4" w:space="0"/>
                    <w:right w:val="single" w:color="auto" w:sz="4" w:space="0"/>
                  </w:tcBorders>
                  <w:vAlign w:val="center"/>
                </w:tcPr>
                <w:p w14:paraId="0D2F77DF">
                  <w:pPr>
                    <w:pStyle w:val="41"/>
                    <w:rPr>
                      <w:rFonts w:hint="eastAsia" w:eastAsia="宋体"/>
                      <w:lang w:eastAsia="zh-CN"/>
                    </w:rPr>
                  </w:pPr>
                  <w:r>
                    <w:rPr>
                      <w:rFonts w:hint="eastAsia"/>
                      <w:lang w:eastAsia="zh-CN"/>
                    </w:rPr>
                    <w:t>54.4826</w:t>
                  </w:r>
                </w:p>
              </w:tc>
              <w:tc>
                <w:tcPr>
                  <w:tcW w:w="1134" w:type="dxa"/>
                  <w:tcBorders>
                    <w:top w:val="single" w:color="auto" w:sz="4" w:space="0"/>
                    <w:left w:val="single" w:color="auto" w:sz="4" w:space="0"/>
                    <w:bottom w:val="single" w:color="auto" w:sz="4" w:space="0"/>
                    <w:right w:val="single" w:color="auto" w:sz="4" w:space="0"/>
                  </w:tcBorders>
                  <w:vAlign w:val="center"/>
                </w:tcPr>
                <w:p w14:paraId="03CF7754">
                  <w:pPr>
                    <w:pStyle w:val="41"/>
                  </w:pPr>
                  <w:r>
                    <w:t>生产车间</w:t>
                  </w:r>
                </w:p>
              </w:tc>
              <w:tc>
                <w:tcPr>
                  <w:tcW w:w="1701" w:type="dxa"/>
                  <w:vMerge w:val="continue"/>
                  <w:tcBorders>
                    <w:left w:val="single" w:color="auto" w:sz="4" w:space="0"/>
                    <w:right w:val="single" w:color="auto" w:sz="4" w:space="0"/>
                  </w:tcBorders>
                  <w:vAlign w:val="center"/>
                </w:tcPr>
                <w:p w14:paraId="20A479BD">
                  <w:pPr>
                    <w:pStyle w:val="41"/>
                  </w:pPr>
                </w:p>
              </w:tc>
              <w:tc>
                <w:tcPr>
                  <w:tcW w:w="965" w:type="dxa"/>
                  <w:tcBorders>
                    <w:top w:val="single" w:color="auto" w:sz="4" w:space="0"/>
                    <w:left w:val="single" w:color="auto" w:sz="4" w:space="0"/>
                    <w:bottom w:val="single" w:color="auto" w:sz="4" w:space="0"/>
                    <w:right w:val="single" w:color="auto" w:sz="4" w:space="0"/>
                  </w:tcBorders>
                  <w:vAlign w:val="center"/>
                </w:tcPr>
                <w:p w14:paraId="476EA71E">
                  <w:pPr>
                    <w:pStyle w:val="41"/>
                    <w:rPr>
                      <w:rFonts w:hint="eastAsia" w:eastAsia="宋体"/>
                      <w:lang w:eastAsia="zh-CN"/>
                    </w:rPr>
                  </w:pPr>
                  <w:r>
                    <w:rPr>
                      <w:rFonts w:hint="eastAsia"/>
                      <w:lang w:eastAsia="zh-CN"/>
                    </w:rPr>
                    <w:t>54.4826</w:t>
                  </w:r>
                </w:p>
              </w:tc>
            </w:tr>
            <w:tr w14:paraId="557BD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23E75A3E">
                  <w:pPr>
                    <w:pStyle w:val="41"/>
                  </w:pPr>
                  <w:r>
                    <w:rPr>
                      <w:rFonts w:hint="eastAsia"/>
                    </w:rPr>
                    <w:t>3</w:t>
                  </w:r>
                </w:p>
              </w:tc>
              <w:tc>
                <w:tcPr>
                  <w:tcW w:w="1134" w:type="dxa"/>
                  <w:tcBorders>
                    <w:top w:val="single" w:color="auto" w:sz="4" w:space="0"/>
                    <w:left w:val="single" w:color="auto" w:sz="4" w:space="0"/>
                    <w:bottom w:val="single" w:color="auto" w:sz="4" w:space="0"/>
                    <w:right w:val="single" w:color="auto" w:sz="4" w:space="0"/>
                  </w:tcBorders>
                  <w:vAlign w:val="center"/>
                </w:tcPr>
                <w:p w14:paraId="791AC003">
                  <w:pPr>
                    <w:pStyle w:val="41"/>
                  </w:pPr>
                  <w:r>
                    <w:rPr>
                      <w:rFonts w:hint="eastAsia"/>
                    </w:rPr>
                    <w:t>抛光</w:t>
                  </w:r>
                </w:p>
              </w:tc>
              <w:tc>
                <w:tcPr>
                  <w:tcW w:w="1276" w:type="dxa"/>
                  <w:tcBorders>
                    <w:top w:val="single" w:color="auto" w:sz="4" w:space="0"/>
                    <w:left w:val="single" w:color="auto" w:sz="4" w:space="0"/>
                    <w:bottom w:val="single" w:color="auto" w:sz="4" w:space="0"/>
                    <w:right w:val="single" w:color="auto" w:sz="4" w:space="0"/>
                  </w:tcBorders>
                  <w:vAlign w:val="center"/>
                </w:tcPr>
                <w:p w14:paraId="2234822A">
                  <w:pPr>
                    <w:pStyle w:val="41"/>
                  </w:pPr>
                  <w:r>
                    <w:rPr>
                      <w:rFonts w:hint="eastAsia"/>
                    </w:rPr>
                    <w:t>废麻轮、布轮</w:t>
                  </w:r>
                </w:p>
              </w:tc>
              <w:tc>
                <w:tcPr>
                  <w:tcW w:w="1559" w:type="dxa"/>
                  <w:tcBorders>
                    <w:top w:val="single" w:color="auto" w:sz="4" w:space="0"/>
                    <w:left w:val="single" w:color="auto" w:sz="4" w:space="0"/>
                    <w:bottom w:val="single" w:color="auto" w:sz="4" w:space="0"/>
                    <w:right w:val="single" w:color="auto" w:sz="4" w:space="0"/>
                  </w:tcBorders>
                  <w:vAlign w:val="center"/>
                </w:tcPr>
                <w:p w14:paraId="3B2AB9C0">
                  <w:pPr>
                    <w:pStyle w:val="41"/>
                  </w:pPr>
                  <w:r>
                    <w:rPr>
                      <w:rFonts w:hint="eastAsia"/>
                    </w:rPr>
                    <w:t>一般工业固废</w:t>
                  </w:r>
                </w:p>
              </w:tc>
              <w:tc>
                <w:tcPr>
                  <w:tcW w:w="1170" w:type="dxa"/>
                  <w:tcBorders>
                    <w:top w:val="single" w:color="auto" w:sz="4" w:space="0"/>
                    <w:left w:val="single" w:color="auto" w:sz="4" w:space="0"/>
                    <w:bottom w:val="single" w:color="auto" w:sz="4" w:space="0"/>
                    <w:right w:val="single" w:color="auto" w:sz="4" w:space="0"/>
                  </w:tcBorders>
                  <w:vAlign w:val="center"/>
                </w:tcPr>
                <w:p w14:paraId="3FA20622">
                  <w:pPr>
                    <w:pStyle w:val="41"/>
                  </w:pPr>
                  <w:r>
                    <w:rPr>
                      <w:rFonts w:hint="eastAsia"/>
                    </w:rPr>
                    <w:t>无</w:t>
                  </w:r>
                </w:p>
              </w:tc>
              <w:tc>
                <w:tcPr>
                  <w:tcW w:w="815" w:type="dxa"/>
                  <w:tcBorders>
                    <w:top w:val="single" w:color="auto" w:sz="4" w:space="0"/>
                    <w:left w:val="single" w:color="auto" w:sz="4" w:space="0"/>
                    <w:bottom w:val="single" w:color="auto" w:sz="4" w:space="0"/>
                    <w:right w:val="single" w:color="auto" w:sz="4" w:space="0"/>
                  </w:tcBorders>
                  <w:vAlign w:val="center"/>
                </w:tcPr>
                <w:p w14:paraId="78919CB3">
                  <w:pPr>
                    <w:pStyle w:val="41"/>
                  </w:pPr>
                  <w:r>
                    <w:rPr>
                      <w:rFonts w:hint="eastAsia"/>
                    </w:rPr>
                    <w:t>固态</w:t>
                  </w:r>
                </w:p>
              </w:tc>
              <w:tc>
                <w:tcPr>
                  <w:tcW w:w="1134" w:type="dxa"/>
                  <w:tcBorders>
                    <w:top w:val="single" w:color="auto" w:sz="4" w:space="0"/>
                    <w:left w:val="single" w:color="auto" w:sz="4" w:space="0"/>
                    <w:bottom w:val="single" w:color="auto" w:sz="4" w:space="0"/>
                    <w:right w:val="single" w:color="auto" w:sz="4" w:space="0"/>
                  </w:tcBorders>
                  <w:vAlign w:val="center"/>
                </w:tcPr>
                <w:p w14:paraId="38DC82AD">
                  <w:pPr>
                    <w:pStyle w:val="41"/>
                  </w:pPr>
                  <w:r>
                    <w:rPr>
                      <w:rFonts w:hint="eastAsia"/>
                    </w:rPr>
                    <w:t>无</w:t>
                  </w:r>
                </w:p>
              </w:tc>
              <w:tc>
                <w:tcPr>
                  <w:tcW w:w="992" w:type="dxa"/>
                  <w:tcBorders>
                    <w:top w:val="single" w:color="auto" w:sz="4" w:space="0"/>
                    <w:left w:val="single" w:color="auto" w:sz="4" w:space="0"/>
                    <w:bottom w:val="single" w:color="auto" w:sz="4" w:space="0"/>
                    <w:right w:val="single" w:color="auto" w:sz="4" w:space="0"/>
                  </w:tcBorders>
                  <w:vAlign w:val="center"/>
                </w:tcPr>
                <w:p w14:paraId="2936F9B1">
                  <w:pPr>
                    <w:pStyle w:val="41"/>
                  </w:pPr>
                  <w:r>
                    <w:rPr>
                      <w:rFonts w:hint="eastAsia"/>
                    </w:rPr>
                    <w:t>6.0</w:t>
                  </w:r>
                </w:p>
              </w:tc>
              <w:tc>
                <w:tcPr>
                  <w:tcW w:w="1134" w:type="dxa"/>
                  <w:tcBorders>
                    <w:top w:val="single" w:color="auto" w:sz="4" w:space="0"/>
                    <w:left w:val="single" w:color="auto" w:sz="4" w:space="0"/>
                    <w:bottom w:val="single" w:color="auto" w:sz="4" w:space="0"/>
                    <w:right w:val="single" w:color="auto" w:sz="4" w:space="0"/>
                  </w:tcBorders>
                  <w:vAlign w:val="center"/>
                </w:tcPr>
                <w:p w14:paraId="103B1EF9">
                  <w:pPr>
                    <w:pStyle w:val="41"/>
                  </w:pPr>
                  <w:r>
                    <w:rPr>
                      <w:rFonts w:hint="eastAsia"/>
                    </w:rPr>
                    <w:t>生产车间</w:t>
                  </w:r>
                </w:p>
              </w:tc>
              <w:tc>
                <w:tcPr>
                  <w:tcW w:w="1701" w:type="dxa"/>
                  <w:vMerge w:val="continue"/>
                  <w:tcBorders>
                    <w:left w:val="single" w:color="auto" w:sz="4" w:space="0"/>
                    <w:right w:val="single" w:color="auto" w:sz="4" w:space="0"/>
                  </w:tcBorders>
                  <w:vAlign w:val="center"/>
                </w:tcPr>
                <w:p w14:paraId="6845003A">
                  <w:pPr>
                    <w:pStyle w:val="41"/>
                  </w:pPr>
                </w:p>
              </w:tc>
              <w:tc>
                <w:tcPr>
                  <w:tcW w:w="965" w:type="dxa"/>
                  <w:tcBorders>
                    <w:top w:val="single" w:color="auto" w:sz="4" w:space="0"/>
                    <w:left w:val="single" w:color="auto" w:sz="4" w:space="0"/>
                    <w:bottom w:val="single" w:color="auto" w:sz="4" w:space="0"/>
                    <w:right w:val="single" w:color="auto" w:sz="4" w:space="0"/>
                  </w:tcBorders>
                  <w:vAlign w:val="center"/>
                </w:tcPr>
                <w:p w14:paraId="21D55EE9">
                  <w:pPr>
                    <w:pStyle w:val="41"/>
                  </w:pPr>
                  <w:r>
                    <w:rPr>
                      <w:rFonts w:hint="eastAsia"/>
                    </w:rPr>
                    <w:t>6.0</w:t>
                  </w:r>
                </w:p>
              </w:tc>
            </w:tr>
            <w:tr w14:paraId="73ADD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133A5D4C">
                  <w:pPr>
                    <w:pStyle w:val="41"/>
                  </w:pPr>
                  <w:r>
                    <w:rPr>
                      <w:rFonts w:hint="eastAsia"/>
                    </w:rPr>
                    <w:t>4</w:t>
                  </w:r>
                </w:p>
              </w:tc>
              <w:tc>
                <w:tcPr>
                  <w:tcW w:w="1134" w:type="dxa"/>
                  <w:tcBorders>
                    <w:top w:val="single" w:color="auto" w:sz="4" w:space="0"/>
                    <w:left w:val="single" w:color="auto" w:sz="4" w:space="0"/>
                    <w:bottom w:val="single" w:color="auto" w:sz="4" w:space="0"/>
                    <w:right w:val="single" w:color="auto" w:sz="4" w:space="0"/>
                  </w:tcBorders>
                  <w:vAlign w:val="center"/>
                </w:tcPr>
                <w:p w14:paraId="0CC30522">
                  <w:pPr>
                    <w:pStyle w:val="41"/>
                  </w:pPr>
                  <w:r>
                    <w:t>焊接工序</w:t>
                  </w:r>
                </w:p>
              </w:tc>
              <w:tc>
                <w:tcPr>
                  <w:tcW w:w="1276" w:type="dxa"/>
                  <w:tcBorders>
                    <w:top w:val="single" w:color="auto" w:sz="4" w:space="0"/>
                    <w:left w:val="single" w:color="auto" w:sz="4" w:space="0"/>
                    <w:bottom w:val="single" w:color="auto" w:sz="4" w:space="0"/>
                    <w:right w:val="single" w:color="auto" w:sz="4" w:space="0"/>
                  </w:tcBorders>
                  <w:vAlign w:val="center"/>
                </w:tcPr>
                <w:p w14:paraId="5912B1D0">
                  <w:pPr>
                    <w:pStyle w:val="41"/>
                  </w:pPr>
                  <w:r>
                    <w:t>焊渣</w:t>
                  </w:r>
                </w:p>
              </w:tc>
              <w:tc>
                <w:tcPr>
                  <w:tcW w:w="1559" w:type="dxa"/>
                  <w:tcBorders>
                    <w:top w:val="single" w:color="auto" w:sz="4" w:space="0"/>
                    <w:left w:val="single" w:color="auto" w:sz="4" w:space="0"/>
                    <w:bottom w:val="single" w:color="auto" w:sz="4" w:space="0"/>
                    <w:right w:val="single" w:color="auto" w:sz="4" w:space="0"/>
                  </w:tcBorders>
                  <w:vAlign w:val="center"/>
                </w:tcPr>
                <w:p w14:paraId="269E4C13">
                  <w:pPr>
                    <w:pStyle w:val="41"/>
                  </w:pPr>
                  <w:r>
                    <w:t>一般工业固废</w:t>
                  </w:r>
                </w:p>
              </w:tc>
              <w:tc>
                <w:tcPr>
                  <w:tcW w:w="1170" w:type="dxa"/>
                  <w:tcBorders>
                    <w:top w:val="single" w:color="auto" w:sz="4" w:space="0"/>
                    <w:left w:val="single" w:color="auto" w:sz="4" w:space="0"/>
                    <w:bottom w:val="single" w:color="auto" w:sz="4" w:space="0"/>
                    <w:right w:val="single" w:color="auto" w:sz="4" w:space="0"/>
                  </w:tcBorders>
                  <w:vAlign w:val="center"/>
                </w:tcPr>
                <w:p w14:paraId="04AA2689">
                  <w:pPr>
                    <w:pStyle w:val="41"/>
                  </w:pPr>
                  <w:r>
                    <w:t>无</w:t>
                  </w:r>
                </w:p>
              </w:tc>
              <w:tc>
                <w:tcPr>
                  <w:tcW w:w="815" w:type="dxa"/>
                  <w:tcBorders>
                    <w:top w:val="single" w:color="auto" w:sz="4" w:space="0"/>
                    <w:left w:val="single" w:color="auto" w:sz="4" w:space="0"/>
                    <w:bottom w:val="single" w:color="auto" w:sz="4" w:space="0"/>
                    <w:right w:val="single" w:color="auto" w:sz="4" w:space="0"/>
                  </w:tcBorders>
                  <w:vAlign w:val="center"/>
                </w:tcPr>
                <w:p w14:paraId="0DADE88B">
                  <w:pPr>
                    <w:pStyle w:val="41"/>
                  </w:pPr>
                  <w:r>
                    <w:t>固态</w:t>
                  </w:r>
                </w:p>
              </w:tc>
              <w:tc>
                <w:tcPr>
                  <w:tcW w:w="1134" w:type="dxa"/>
                  <w:tcBorders>
                    <w:top w:val="single" w:color="auto" w:sz="4" w:space="0"/>
                    <w:left w:val="single" w:color="auto" w:sz="4" w:space="0"/>
                    <w:bottom w:val="single" w:color="auto" w:sz="4" w:space="0"/>
                    <w:right w:val="single" w:color="auto" w:sz="4" w:space="0"/>
                  </w:tcBorders>
                  <w:vAlign w:val="center"/>
                </w:tcPr>
                <w:p w14:paraId="1AE936DB">
                  <w:pPr>
                    <w:pStyle w:val="41"/>
                  </w:pPr>
                  <w:r>
                    <w:t>无</w:t>
                  </w:r>
                </w:p>
              </w:tc>
              <w:tc>
                <w:tcPr>
                  <w:tcW w:w="992" w:type="dxa"/>
                  <w:tcBorders>
                    <w:top w:val="single" w:color="auto" w:sz="4" w:space="0"/>
                    <w:left w:val="single" w:color="auto" w:sz="4" w:space="0"/>
                    <w:bottom w:val="single" w:color="auto" w:sz="4" w:space="0"/>
                    <w:right w:val="single" w:color="auto" w:sz="4" w:space="0"/>
                  </w:tcBorders>
                  <w:vAlign w:val="center"/>
                </w:tcPr>
                <w:p w14:paraId="40C48659">
                  <w:pPr>
                    <w:pStyle w:val="41"/>
                  </w:pPr>
                  <w:r>
                    <w:rPr>
                      <w:rFonts w:hint="eastAsia"/>
                    </w:rPr>
                    <w:t>0.3927</w:t>
                  </w:r>
                </w:p>
              </w:tc>
              <w:tc>
                <w:tcPr>
                  <w:tcW w:w="1134" w:type="dxa"/>
                  <w:tcBorders>
                    <w:top w:val="single" w:color="auto" w:sz="4" w:space="0"/>
                    <w:left w:val="single" w:color="auto" w:sz="4" w:space="0"/>
                    <w:bottom w:val="single" w:color="auto" w:sz="4" w:space="0"/>
                    <w:right w:val="single" w:color="auto" w:sz="4" w:space="0"/>
                  </w:tcBorders>
                  <w:vAlign w:val="center"/>
                </w:tcPr>
                <w:p w14:paraId="3616BB59">
                  <w:pPr>
                    <w:pStyle w:val="41"/>
                  </w:pPr>
                  <w:r>
                    <w:t>生产车间</w:t>
                  </w:r>
                </w:p>
              </w:tc>
              <w:tc>
                <w:tcPr>
                  <w:tcW w:w="1701" w:type="dxa"/>
                  <w:vMerge w:val="continue"/>
                  <w:tcBorders>
                    <w:left w:val="single" w:color="auto" w:sz="4" w:space="0"/>
                    <w:bottom w:val="single" w:color="auto" w:sz="4" w:space="0"/>
                    <w:right w:val="single" w:color="auto" w:sz="4" w:space="0"/>
                  </w:tcBorders>
                  <w:vAlign w:val="center"/>
                </w:tcPr>
                <w:p w14:paraId="312D62AD">
                  <w:pPr>
                    <w:pStyle w:val="41"/>
                  </w:pPr>
                </w:p>
              </w:tc>
              <w:tc>
                <w:tcPr>
                  <w:tcW w:w="965" w:type="dxa"/>
                  <w:tcBorders>
                    <w:top w:val="single" w:color="auto" w:sz="4" w:space="0"/>
                    <w:left w:val="single" w:color="auto" w:sz="4" w:space="0"/>
                    <w:bottom w:val="single" w:color="auto" w:sz="4" w:space="0"/>
                    <w:right w:val="single" w:color="auto" w:sz="4" w:space="0"/>
                  </w:tcBorders>
                  <w:vAlign w:val="center"/>
                </w:tcPr>
                <w:p w14:paraId="3AA3AD60">
                  <w:pPr>
                    <w:pStyle w:val="41"/>
                  </w:pPr>
                  <w:r>
                    <w:rPr>
                      <w:rFonts w:hint="eastAsia"/>
                    </w:rPr>
                    <w:t>0.3927</w:t>
                  </w:r>
                </w:p>
              </w:tc>
            </w:tr>
            <w:tr w14:paraId="45D02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1EB53208">
                  <w:pPr>
                    <w:pStyle w:val="41"/>
                  </w:pPr>
                  <w:r>
                    <w:rPr>
                      <w:rFonts w:hint="eastAsia"/>
                    </w:rPr>
                    <w:t>5</w:t>
                  </w:r>
                </w:p>
              </w:tc>
              <w:tc>
                <w:tcPr>
                  <w:tcW w:w="1134" w:type="dxa"/>
                  <w:tcBorders>
                    <w:top w:val="single" w:color="auto" w:sz="4" w:space="0"/>
                    <w:left w:val="single" w:color="auto" w:sz="4" w:space="0"/>
                    <w:bottom w:val="single" w:color="auto" w:sz="4" w:space="0"/>
                    <w:right w:val="single" w:color="auto" w:sz="4" w:space="0"/>
                  </w:tcBorders>
                  <w:vAlign w:val="center"/>
                </w:tcPr>
                <w:p w14:paraId="6C072A8E">
                  <w:pPr>
                    <w:pStyle w:val="41"/>
                  </w:pPr>
                  <w:r>
                    <w:rPr>
                      <w:rFonts w:hint="eastAsia"/>
                    </w:rPr>
                    <w:t>喷粉</w:t>
                  </w:r>
                </w:p>
              </w:tc>
              <w:tc>
                <w:tcPr>
                  <w:tcW w:w="1276" w:type="dxa"/>
                  <w:tcBorders>
                    <w:top w:val="single" w:color="auto" w:sz="4" w:space="0"/>
                    <w:left w:val="single" w:color="auto" w:sz="4" w:space="0"/>
                    <w:bottom w:val="single" w:color="auto" w:sz="4" w:space="0"/>
                    <w:right w:val="single" w:color="auto" w:sz="4" w:space="0"/>
                  </w:tcBorders>
                  <w:vAlign w:val="center"/>
                </w:tcPr>
                <w:p w14:paraId="5E5B2D11">
                  <w:pPr>
                    <w:pStyle w:val="41"/>
                  </w:pPr>
                  <w:r>
                    <w:rPr>
                      <w:rFonts w:hint="eastAsia"/>
                    </w:rPr>
                    <w:t>废树脂粉末</w:t>
                  </w:r>
                </w:p>
              </w:tc>
              <w:tc>
                <w:tcPr>
                  <w:tcW w:w="1559" w:type="dxa"/>
                  <w:tcBorders>
                    <w:top w:val="single" w:color="auto" w:sz="4" w:space="0"/>
                    <w:left w:val="single" w:color="auto" w:sz="4" w:space="0"/>
                    <w:bottom w:val="single" w:color="auto" w:sz="4" w:space="0"/>
                    <w:right w:val="single" w:color="auto" w:sz="4" w:space="0"/>
                  </w:tcBorders>
                  <w:vAlign w:val="center"/>
                </w:tcPr>
                <w:p w14:paraId="324BD304">
                  <w:pPr>
                    <w:pStyle w:val="41"/>
                  </w:pPr>
                  <w:r>
                    <w:rPr>
                      <w:rFonts w:hint="eastAsia"/>
                    </w:rPr>
                    <w:t>一般工业固废</w:t>
                  </w:r>
                </w:p>
              </w:tc>
              <w:tc>
                <w:tcPr>
                  <w:tcW w:w="1170" w:type="dxa"/>
                  <w:tcBorders>
                    <w:top w:val="single" w:color="auto" w:sz="4" w:space="0"/>
                    <w:left w:val="single" w:color="auto" w:sz="4" w:space="0"/>
                    <w:bottom w:val="single" w:color="auto" w:sz="4" w:space="0"/>
                    <w:right w:val="single" w:color="auto" w:sz="4" w:space="0"/>
                  </w:tcBorders>
                  <w:vAlign w:val="center"/>
                </w:tcPr>
                <w:p w14:paraId="3EF2AEEE">
                  <w:pPr>
                    <w:pStyle w:val="41"/>
                  </w:pPr>
                  <w:r>
                    <w:rPr>
                      <w:rFonts w:hint="eastAsia"/>
                    </w:rPr>
                    <w:t>无</w:t>
                  </w:r>
                </w:p>
              </w:tc>
              <w:tc>
                <w:tcPr>
                  <w:tcW w:w="815" w:type="dxa"/>
                  <w:tcBorders>
                    <w:top w:val="single" w:color="auto" w:sz="4" w:space="0"/>
                    <w:left w:val="single" w:color="auto" w:sz="4" w:space="0"/>
                    <w:bottom w:val="single" w:color="auto" w:sz="4" w:space="0"/>
                    <w:right w:val="single" w:color="auto" w:sz="4" w:space="0"/>
                  </w:tcBorders>
                  <w:vAlign w:val="center"/>
                </w:tcPr>
                <w:p w14:paraId="2979B834">
                  <w:pPr>
                    <w:pStyle w:val="41"/>
                  </w:pPr>
                  <w:r>
                    <w:rPr>
                      <w:rFonts w:hint="eastAsia"/>
                    </w:rPr>
                    <w:t>固态</w:t>
                  </w:r>
                </w:p>
              </w:tc>
              <w:tc>
                <w:tcPr>
                  <w:tcW w:w="1134" w:type="dxa"/>
                  <w:tcBorders>
                    <w:top w:val="single" w:color="auto" w:sz="4" w:space="0"/>
                    <w:left w:val="single" w:color="auto" w:sz="4" w:space="0"/>
                    <w:bottom w:val="single" w:color="auto" w:sz="4" w:space="0"/>
                    <w:right w:val="single" w:color="auto" w:sz="4" w:space="0"/>
                  </w:tcBorders>
                  <w:vAlign w:val="center"/>
                </w:tcPr>
                <w:p w14:paraId="6DA68F43">
                  <w:pPr>
                    <w:pStyle w:val="41"/>
                  </w:pPr>
                  <w:r>
                    <w:rPr>
                      <w:rFonts w:hint="eastAsia"/>
                    </w:rPr>
                    <w:t>无</w:t>
                  </w:r>
                </w:p>
              </w:tc>
              <w:tc>
                <w:tcPr>
                  <w:tcW w:w="992" w:type="dxa"/>
                  <w:tcBorders>
                    <w:top w:val="single" w:color="auto" w:sz="4" w:space="0"/>
                    <w:left w:val="single" w:color="auto" w:sz="4" w:space="0"/>
                    <w:bottom w:val="single" w:color="auto" w:sz="4" w:space="0"/>
                    <w:right w:val="single" w:color="auto" w:sz="4" w:space="0"/>
                  </w:tcBorders>
                  <w:vAlign w:val="center"/>
                </w:tcPr>
                <w:p w14:paraId="2C24EA81">
                  <w:pPr>
                    <w:pStyle w:val="41"/>
                  </w:pPr>
                  <w:r>
                    <w:rPr>
                      <w:rFonts w:hint="eastAsia"/>
                    </w:rPr>
                    <w:t>17.163</w:t>
                  </w:r>
                </w:p>
              </w:tc>
              <w:tc>
                <w:tcPr>
                  <w:tcW w:w="1134" w:type="dxa"/>
                  <w:tcBorders>
                    <w:top w:val="single" w:color="auto" w:sz="4" w:space="0"/>
                    <w:left w:val="single" w:color="auto" w:sz="4" w:space="0"/>
                    <w:bottom w:val="single" w:color="auto" w:sz="4" w:space="0"/>
                    <w:right w:val="single" w:color="auto" w:sz="4" w:space="0"/>
                  </w:tcBorders>
                  <w:vAlign w:val="center"/>
                </w:tcPr>
                <w:p w14:paraId="39CAE554">
                  <w:pPr>
                    <w:pStyle w:val="41"/>
                  </w:pPr>
                  <w:r>
                    <w:rPr>
                      <w:rFonts w:hint="eastAsia"/>
                    </w:rPr>
                    <w:t>生产车间</w:t>
                  </w:r>
                </w:p>
              </w:tc>
              <w:tc>
                <w:tcPr>
                  <w:tcW w:w="1701" w:type="dxa"/>
                  <w:tcBorders>
                    <w:left w:val="single" w:color="auto" w:sz="4" w:space="0"/>
                    <w:bottom w:val="single" w:color="auto" w:sz="4" w:space="0"/>
                    <w:right w:val="single" w:color="auto" w:sz="4" w:space="0"/>
                  </w:tcBorders>
                  <w:vAlign w:val="center"/>
                </w:tcPr>
                <w:p w14:paraId="325A18E5">
                  <w:pPr>
                    <w:pStyle w:val="41"/>
                  </w:pPr>
                  <w:r>
                    <w:rPr>
                      <w:rFonts w:hint="eastAsia"/>
                    </w:rPr>
                    <w:t>回用于喷粉工序</w:t>
                  </w:r>
                </w:p>
              </w:tc>
              <w:tc>
                <w:tcPr>
                  <w:tcW w:w="965" w:type="dxa"/>
                  <w:tcBorders>
                    <w:top w:val="single" w:color="auto" w:sz="4" w:space="0"/>
                    <w:left w:val="single" w:color="auto" w:sz="4" w:space="0"/>
                    <w:bottom w:val="single" w:color="auto" w:sz="4" w:space="0"/>
                    <w:right w:val="single" w:color="auto" w:sz="4" w:space="0"/>
                  </w:tcBorders>
                  <w:vAlign w:val="center"/>
                </w:tcPr>
                <w:p w14:paraId="3648B585">
                  <w:pPr>
                    <w:pStyle w:val="41"/>
                  </w:pPr>
                  <w:r>
                    <w:rPr>
                      <w:rFonts w:hint="eastAsia"/>
                    </w:rPr>
                    <w:t>17.163</w:t>
                  </w:r>
                </w:p>
              </w:tc>
            </w:tr>
            <w:tr w14:paraId="5C0A2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31B43D87">
                  <w:pPr>
                    <w:pStyle w:val="41"/>
                  </w:pPr>
                  <w:r>
                    <w:rPr>
                      <w:rFonts w:hint="eastAsia"/>
                    </w:rPr>
                    <w:t>6</w:t>
                  </w:r>
                </w:p>
              </w:tc>
              <w:tc>
                <w:tcPr>
                  <w:tcW w:w="1134" w:type="dxa"/>
                  <w:tcBorders>
                    <w:top w:val="single" w:color="auto" w:sz="4" w:space="0"/>
                    <w:left w:val="single" w:color="auto" w:sz="4" w:space="0"/>
                    <w:bottom w:val="single" w:color="auto" w:sz="4" w:space="0"/>
                    <w:right w:val="single" w:color="auto" w:sz="4" w:space="0"/>
                  </w:tcBorders>
                  <w:vAlign w:val="center"/>
                </w:tcPr>
                <w:p w14:paraId="41423B67">
                  <w:pPr>
                    <w:pStyle w:val="41"/>
                  </w:pPr>
                  <w:r>
                    <w:t>废气处理</w:t>
                  </w:r>
                </w:p>
              </w:tc>
              <w:tc>
                <w:tcPr>
                  <w:tcW w:w="1276" w:type="dxa"/>
                  <w:tcBorders>
                    <w:top w:val="single" w:color="auto" w:sz="4" w:space="0"/>
                    <w:left w:val="single" w:color="auto" w:sz="4" w:space="0"/>
                    <w:bottom w:val="single" w:color="auto" w:sz="4" w:space="0"/>
                    <w:right w:val="single" w:color="auto" w:sz="4" w:space="0"/>
                  </w:tcBorders>
                  <w:vAlign w:val="center"/>
                </w:tcPr>
                <w:p w14:paraId="25C06631">
                  <w:pPr>
                    <w:pStyle w:val="41"/>
                  </w:pPr>
                  <w:r>
                    <w:t>废活性炭及其吸附物</w:t>
                  </w:r>
                </w:p>
              </w:tc>
              <w:tc>
                <w:tcPr>
                  <w:tcW w:w="1559" w:type="dxa"/>
                  <w:tcBorders>
                    <w:top w:val="single" w:color="auto" w:sz="4" w:space="0"/>
                    <w:left w:val="single" w:color="auto" w:sz="4" w:space="0"/>
                    <w:bottom w:val="single" w:color="auto" w:sz="4" w:space="0"/>
                    <w:right w:val="single" w:color="auto" w:sz="4" w:space="0"/>
                  </w:tcBorders>
                  <w:vAlign w:val="center"/>
                </w:tcPr>
                <w:p w14:paraId="2D19268C">
                  <w:pPr>
                    <w:pStyle w:val="41"/>
                  </w:pPr>
                  <w:r>
                    <w:t>危险废物</w:t>
                  </w:r>
                </w:p>
                <w:p w14:paraId="1A139E71">
                  <w:pPr>
                    <w:pStyle w:val="41"/>
                  </w:pPr>
                  <w:r>
                    <w:t>900-039-49</w:t>
                  </w:r>
                </w:p>
              </w:tc>
              <w:tc>
                <w:tcPr>
                  <w:tcW w:w="1170" w:type="dxa"/>
                  <w:tcBorders>
                    <w:top w:val="single" w:color="auto" w:sz="4" w:space="0"/>
                    <w:left w:val="single" w:color="auto" w:sz="4" w:space="0"/>
                    <w:bottom w:val="single" w:color="auto" w:sz="4" w:space="0"/>
                    <w:right w:val="single" w:color="auto" w:sz="4" w:space="0"/>
                  </w:tcBorders>
                  <w:vAlign w:val="center"/>
                </w:tcPr>
                <w:p w14:paraId="530B0409">
                  <w:pPr>
                    <w:pStyle w:val="41"/>
                  </w:pPr>
                  <w:r>
                    <w:t>废活性炭</w:t>
                  </w:r>
                </w:p>
              </w:tc>
              <w:tc>
                <w:tcPr>
                  <w:tcW w:w="815" w:type="dxa"/>
                  <w:tcBorders>
                    <w:top w:val="single" w:color="auto" w:sz="4" w:space="0"/>
                    <w:left w:val="single" w:color="auto" w:sz="4" w:space="0"/>
                    <w:bottom w:val="single" w:color="auto" w:sz="4" w:space="0"/>
                    <w:right w:val="single" w:color="auto" w:sz="4" w:space="0"/>
                  </w:tcBorders>
                  <w:vAlign w:val="center"/>
                </w:tcPr>
                <w:p w14:paraId="4A7354C2">
                  <w:pPr>
                    <w:pStyle w:val="41"/>
                  </w:pPr>
                  <w:r>
                    <w:t>固态</w:t>
                  </w:r>
                </w:p>
              </w:tc>
              <w:tc>
                <w:tcPr>
                  <w:tcW w:w="1134" w:type="dxa"/>
                  <w:vMerge w:val="restart"/>
                  <w:tcBorders>
                    <w:left w:val="single" w:color="auto" w:sz="4" w:space="0"/>
                    <w:right w:val="single" w:color="auto" w:sz="4" w:space="0"/>
                  </w:tcBorders>
                  <w:vAlign w:val="center"/>
                </w:tcPr>
                <w:p w14:paraId="26705BCB">
                  <w:pPr>
                    <w:pStyle w:val="41"/>
                  </w:pPr>
                  <w:r>
                    <w:rPr>
                      <w:rFonts w:hint="eastAsia"/>
                    </w:rPr>
                    <w:t>土壤、地下水、地表水危害</w:t>
                  </w:r>
                </w:p>
              </w:tc>
              <w:tc>
                <w:tcPr>
                  <w:tcW w:w="992" w:type="dxa"/>
                  <w:tcBorders>
                    <w:top w:val="single" w:color="auto" w:sz="4" w:space="0"/>
                    <w:left w:val="single" w:color="auto" w:sz="4" w:space="0"/>
                    <w:bottom w:val="single" w:color="auto" w:sz="4" w:space="0"/>
                    <w:right w:val="single" w:color="auto" w:sz="4" w:space="0"/>
                  </w:tcBorders>
                  <w:vAlign w:val="center"/>
                </w:tcPr>
                <w:p w14:paraId="5FAC7427">
                  <w:pPr>
                    <w:pStyle w:val="41"/>
                    <w:rPr>
                      <w:rFonts w:hint="eastAsia" w:eastAsia="宋体"/>
                      <w:lang w:eastAsia="zh-CN"/>
                    </w:rPr>
                  </w:pPr>
                  <w:r>
                    <w:rPr>
                      <w:rFonts w:hint="eastAsia"/>
                      <w:lang w:eastAsia="zh-CN"/>
                    </w:rPr>
                    <w:t>10.9</w:t>
                  </w:r>
                </w:p>
              </w:tc>
              <w:tc>
                <w:tcPr>
                  <w:tcW w:w="1134" w:type="dxa"/>
                  <w:vMerge w:val="restart"/>
                  <w:tcBorders>
                    <w:left w:val="single" w:color="auto" w:sz="4" w:space="0"/>
                    <w:right w:val="single" w:color="auto" w:sz="4" w:space="0"/>
                  </w:tcBorders>
                  <w:vAlign w:val="center"/>
                </w:tcPr>
                <w:p w14:paraId="246AC076">
                  <w:pPr>
                    <w:pStyle w:val="41"/>
                  </w:pPr>
                  <w:r>
                    <w:rPr>
                      <w:rFonts w:hint="eastAsia"/>
                    </w:rPr>
                    <w:t>危废暂存间</w:t>
                  </w:r>
                </w:p>
              </w:tc>
              <w:tc>
                <w:tcPr>
                  <w:tcW w:w="1701" w:type="dxa"/>
                  <w:vMerge w:val="restart"/>
                  <w:tcBorders>
                    <w:left w:val="single" w:color="auto" w:sz="4" w:space="0"/>
                    <w:right w:val="single" w:color="auto" w:sz="4" w:space="0"/>
                  </w:tcBorders>
                  <w:vAlign w:val="center"/>
                </w:tcPr>
                <w:p w14:paraId="0A399F3D">
                  <w:pPr>
                    <w:pStyle w:val="41"/>
                  </w:pPr>
                  <w:r>
                    <w:rPr>
                      <w:rFonts w:hint="eastAsia"/>
                    </w:rPr>
                    <w:t>定期交由有资质单位进行处理处置</w:t>
                  </w:r>
                </w:p>
              </w:tc>
              <w:tc>
                <w:tcPr>
                  <w:tcW w:w="965" w:type="dxa"/>
                  <w:tcBorders>
                    <w:top w:val="single" w:color="auto" w:sz="4" w:space="0"/>
                    <w:left w:val="single" w:color="auto" w:sz="4" w:space="0"/>
                    <w:bottom w:val="single" w:color="auto" w:sz="4" w:space="0"/>
                    <w:right w:val="single" w:color="auto" w:sz="4" w:space="0"/>
                  </w:tcBorders>
                  <w:vAlign w:val="center"/>
                </w:tcPr>
                <w:p w14:paraId="36DE71C1">
                  <w:pPr>
                    <w:pStyle w:val="41"/>
                    <w:rPr>
                      <w:rFonts w:hint="eastAsia" w:eastAsia="宋体"/>
                      <w:lang w:eastAsia="zh-CN"/>
                    </w:rPr>
                  </w:pPr>
                  <w:r>
                    <w:rPr>
                      <w:rFonts w:hint="eastAsia"/>
                      <w:lang w:eastAsia="zh-CN"/>
                    </w:rPr>
                    <w:t>10.9</w:t>
                  </w:r>
                </w:p>
              </w:tc>
            </w:tr>
            <w:tr w14:paraId="236AD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7" w:type="dxa"/>
                  <w:tcBorders>
                    <w:top w:val="single" w:color="auto" w:sz="4" w:space="0"/>
                    <w:left w:val="single" w:color="auto" w:sz="4" w:space="0"/>
                    <w:bottom w:val="single" w:color="auto" w:sz="4" w:space="0"/>
                    <w:right w:val="single" w:color="auto" w:sz="4" w:space="0"/>
                  </w:tcBorders>
                  <w:vAlign w:val="center"/>
                </w:tcPr>
                <w:p w14:paraId="7194132C">
                  <w:pPr>
                    <w:pStyle w:val="41"/>
                  </w:pPr>
                  <w:r>
                    <w:rPr>
                      <w:rFonts w:hint="eastAsia"/>
                    </w:rPr>
                    <w:t>7</w:t>
                  </w:r>
                </w:p>
              </w:tc>
              <w:tc>
                <w:tcPr>
                  <w:tcW w:w="1134" w:type="dxa"/>
                  <w:tcBorders>
                    <w:top w:val="single" w:color="auto" w:sz="4" w:space="0"/>
                    <w:left w:val="single" w:color="auto" w:sz="4" w:space="0"/>
                    <w:bottom w:val="single" w:color="auto" w:sz="4" w:space="0"/>
                    <w:right w:val="single" w:color="auto" w:sz="4" w:space="0"/>
                  </w:tcBorders>
                  <w:vAlign w:val="center"/>
                </w:tcPr>
                <w:p w14:paraId="5CBB4DA6">
                  <w:pPr>
                    <w:pStyle w:val="41"/>
                  </w:pPr>
                  <w:r>
                    <w:rPr>
                      <w:rFonts w:hint="eastAsia"/>
                    </w:rPr>
                    <w:t>四合一</w:t>
                  </w:r>
                </w:p>
              </w:tc>
              <w:tc>
                <w:tcPr>
                  <w:tcW w:w="1276" w:type="dxa"/>
                  <w:tcBorders>
                    <w:top w:val="single" w:color="auto" w:sz="4" w:space="0"/>
                    <w:left w:val="single" w:color="auto" w:sz="4" w:space="0"/>
                    <w:bottom w:val="single" w:color="auto" w:sz="4" w:space="0"/>
                    <w:right w:val="single" w:color="auto" w:sz="4" w:space="0"/>
                  </w:tcBorders>
                  <w:vAlign w:val="center"/>
                </w:tcPr>
                <w:p w14:paraId="669F17A7">
                  <w:pPr>
                    <w:pStyle w:val="41"/>
                  </w:pPr>
                  <w:r>
                    <w:rPr>
                      <w:rFonts w:hint="eastAsia"/>
                    </w:rPr>
                    <w:t>废槽液</w:t>
                  </w:r>
                </w:p>
              </w:tc>
              <w:tc>
                <w:tcPr>
                  <w:tcW w:w="1559" w:type="dxa"/>
                  <w:tcBorders>
                    <w:top w:val="single" w:color="auto" w:sz="4" w:space="0"/>
                    <w:left w:val="single" w:color="auto" w:sz="4" w:space="0"/>
                    <w:bottom w:val="single" w:color="auto" w:sz="4" w:space="0"/>
                    <w:right w:val="single" w:color="auto" w:sz="4" w:space="0"/>
                  </w:tcBorders>
                  <w:vAlign w:val="center"/>
                </w:tcPr>
                <w:p w14:paraId="498E57BD">
                  <w:pPr>
                    <w:pStyle w:val="41"/>
                  </w:pPr>
                  <w:r>
                    <w:t>危险废物</w:t>
                  </w:r>
                </w:p>
                <w:p w14:paraId="6676E37C">
                  <w:pPr>
                    <w:pStyle w:val="41"/>
                  </w:pPr>
                  <w:r>
                    <w:rPr>
                      <w:rFonts w:hint="eastAsia"/>
                    </w:rPr>
                    <w:t>336-064-17</w:t>
                  </w:r>
                </w:p>
              </w:tc>
              <w:tc>
                <w:tcPr>
                  <w:tcW w:w="1170" w:type="dxa"/>
                  <w:tcBorders>
                    <w:top w:val="single" w:color="auto" w:sz="4" w:space="0"/>
                    <w:left w:val="single" w:color="auto" w:sz="4" w:space="0"/>
                    <w:bottom w:val="single" w:color="auto" w:sz="4" w:space="0"/>
                    <w:right w:val="single" w:color="auto" w:sz="4" w:space="0"/>
                  </w:tcBorders>
                  <w:vAlign w:val="center"/>
                </w:tcPr>
                <w:p w14:paraId="5973A1D8">
                  <w:pPr>
                    <w:pStyle w:val="41"/>
                  </w:pPr>
                  <w:r>
                    <w:rPr>
                      <w:rFonts w:hint="eastAsia"/>
                    </w:rPr>
                    <w:t>脱脂剂、硅烷处理剂</w:t>
                  </w:r>
                </w:p>
              </w:tc>
              <w:tc>
                <w:tcPr>
                  <w:tcW w:w="815" w:type="dxa"/>
                  <w:tcBorders>
                    <w:top w:val="single" w:color="auto" w:sz="4" w:space="0"/>
                    <w:left w:val="single" w:color="auto" w:sz="4" w:space="0"/>
                    <w:bottom w:val="single" w:color="auto" w:sz="4" w:space="0"/>
                    <w:right w:val="single" w:color="auto" w:sz="4" w:space="0"/>
                  </w:tcBorders>
                  <w:vAlign w:val="center"/>
                </w:tcPr>
                <w:p w14:paraId="25997B4C">
                  <w:pPr>
                    <w:pStyle w:val="41"/>
                  </w:pPr>
                  <w:r>
                    <w:t>液体</w:t>
                  </w:r>
                </w:p>
              </w:tc>
              <w:tc>
                <w:tcPr>
                  <w:tcW w:w="1134" w:type="dxa"/>
                  <w:vMerge w:val="continue"/>
                  <w:tcBorders>
                    <w:left w:val="single" w:color="auto" w:sz="4" w:space="0"/>
                    <w:right w:val="single" w:color="auto" w:sz="4" w:space="0"/>
                  </w:tcBorders>
                  <w:vAlign w:val="center"/>
                </w:tcPr>
                <w:p w14:paraId="4C69C3CD">
                  <w:pPr>
                    <w:pStyle w:val="41"/>
                  </w:pPr>
                </w:p>
              </w:tc>
              <w:tc>
                <w:tcPr>
                  <w:tcW w:w="992" w:type="dxa"/>
                  <w:tcBorders>
                    <w:top w:val="single" w:color="auto" w:sz="4" w:space="0"/>
                    <w:left w:val="single" w:color="auto" w:sz="4" w:space="0"/>
                    <w:bottom w:val="single" w:color="auto" w:sz="4" w:space="0"/>
                    <w:right w:val="single" w:color="auto" w:sz="4" w:space="0"/>
                  </w:tcBorders>
                  <w:vAlign w:val="center"/>
                </w:tcPr>
                <w:p w14:paraId="5095A466">
                  <w:pPr>
                    <w:pStyle w:val="41"/>
                  </w:pPr>
                  <w:r>
                    <w:rPr>
                      <w:rFonts w:hint="eastAsia"/>
                    </w:rPr>
                    <w:t>6</w:t>
                  </w:r>
                </w:p>
              </w:tc>
              <w:tc>
                <w:tcPr>
                  <w:tcW w:w="1134" w:type="dxa"/>
                  <w:vMerge w:val="continue"/>
                  <w:tcBorders>
                    <w:left w:val="single" w:color="auto" w:sz="4" w:space="0"/>
                    <w:right w:val="single" w:color="auto" w:sz="4" w:space="0"/>
                  </w:tcBorders>
                  <w:vAlign w:val="center"/>
                </w:tcPr>
                <w:p w14:paraId="077EB0B3">
                  <w:pPr>
                    <w:pStyle w:val="41"/>
                  </w:pPr>
                </w:p>
              </w:tc>
              <w:tc>
                <w:tcPr>
                  <w:tcW w:w="1701" w:type="dxa"/>
                  <w:vMerge w:val="continue"/>
                  <w:tcBorders>
                    <w:left w:val="single" w:color="auto" w:sz="4" w:space="0"/>
                    <w:right w:val="single" w:color="auto" w:sz="4" w:space="0"/>
                  </w:tcBorders>
                  <w:vAlign w:val="center"/>
                </w:tcPr>
                <w:p w14:paraId="7231E5DD">
                  <w:pPr>
                    <w:pStyle w:val="41"/>
                  </w:pPr>
                </w:p>
              </w:tc>
              <w:tc>
                <w:tcPr>
                  <w:tcW w:w="965" w:type="dxa"/>
                  <w:tcBorders>
                    <w:top w:val="single" w:color="auto" w:sz="4" w:space="0"/>
                    <w:left w:val="single" w:color="auto" w:sz="4" w:space="0"/>
                    <w:bottom w:val="single" w:color="auto" w:sz="4" w:space="0"/>
                    <w:right w:val="single" w:color="auto" w:sz="4" w:space="0"/>
                  </w:tcBorders>
                  <w:vAlign w:val="center"/>
                </w:tcPr>
                <w:p w14:paraId="73BCF59E">
                  <w:pPr>
                    <w:pStyle w:val="41"/>
                  </w:pPr>
                  <w:r>
                    <w:rPr>
                      <w:rFonts w:hint="eastAsia"/>
                    </w:rPr>
                    <w:t>6</w:t>
                  </w:r>
                </w:p>
              </w:tc>
            </w:tr>
          </w:tbl>
          <w:p w14:paraId="21AB25C8">
            <w:pPr>
              <w:pStyle w:val="22"/>
              <w:rPr>
                <w:szCs w:val="21"/>
              </w:rPr>
            </w:pPr>
          </w:p>
          <w:p w14:paraId="4C6A5709">
            <w:pPr>
              <w:pStyle w:val="22"/>
              <w:rPr>
                <w:szCs w:val="21"/>
              </w:rPr>
            </w:pPr>
          </w:p>
          <w:p w14:paraId="20D63109">
            <w:pPr>
              <w:pStyle w:val="22"/>
              <w:rPr>
                <w:szCs w:val="21"/>
              </w:rPr>
            </w:pPr>
          </w:p>
          <w:p w14:paraId="4E80D885">
            <w:pPr>
              <w:pStyle w:val="22"/>
              <w:rPr>
                <w:szCs w:val="21"/>
              </w:rPr>
            </w:pPr>
          </w:p>
          <w:p w14:paraId="6F890A1E">
            <w:pPr>
              <w:pStyle w:val="22"/>
              <w:rPr>
                <w:szCs w:val="21"/>
              </w:rPr>
            </w:pPr>
          </w:p>
          <w:p w14:paraId="1D0F8BFD">
            <w:pPr>
              <w:pStyle w:val="22"/>
              <w:rPr>
                <w:szCs w:val="21"/>
              </w:rPr>
            </w:pPr>
          </w:p>
          <w:p w14:paraId="6AC2B4A4">
            <w:pPr>
              <w:pStyle w:val="22"/>
              <w:rPr>
                <w:szCs w:val="21"/>
              </w:rPr>
            </w:pPr>
          </w:p>
          <w:p w14:paraId="6466D0D1">
            <w:pPr>
              <w:pStyle w:val="22"/>
              <w:rPr>
                <w:szCs w:val="21"/>
              </w:rPr>
            </w:pPr>
          </w:p>
          <w:p w14:paraId="28BA886B">
            <w:pPr>
              <w:pStyle w:val="22"/>
              <w:rPr>
                <w:szCs w:val="21"/>
              </w:rPr>
            </w:pPr>
          </w:p>
          <w:p w14:paraId="27FF87CE">
            <w:pPr>
              <w:pStyle w:val="22"/>
              <w:rPr>
                <w:szCs w:val="21"/>
              </w:rPr>
            </w:pPr>
          </w:p>
          <w:p w14:paraId="78BCA5D2">
            <w:pPr>
              <w:pStyle w:val="22"/>
              <w:rPr>
                <w:szCs w:val="21"/>
              </w:rPr>
            </w:pPr>
          </w:p>
          <w:p w14:paraId="5F0A34B8">
            <w:pPr>
              <w:pStyle w:val="22"/>
              <w:rPr>
                <w:szCs w:val="21"/>
              </w:rPr>
            </w:pPr>
          </w:p>
          <w:p w14:paraId="32CF2B0E">
            <w:pPr>
              <w:pStyle w:val="22"/>
              <w:rPr>
                <w:szCs w:val="21"/>
              </w:rPr>
            </w:pPr>
          </w:p>
          <w:p w14:paraId="74B478D5">
            <w:pPr>
              <w:pStyle w:val="22"/>
              <w:rPr>
                <w:szCs w:val="21"/>
              </w:rPr>
            </w:pPr>
          </w:p>
          <w:p w14:paraId="179B3D11">
            <w:pPr>
              <w:pStyle w:val="22"/>
              <w:rPr>
                <w:szCs w:val="21"/>
              </w:rPr>
            </w:pPr>
          </w:p>
          <w:p w14:paraId="3F1F8767">
            <w:pPr>
              <w:pStyle w:val="22"/>
              <w:rPr>
                <w:szCs w:val="21"/>
              </w:rPr>
            </w:pPr>
            <w:r>
              <w:rPr>
                <w:szCs w:val="21"/>
              </w:rPr>
              <w:t>表4-2</w:t>
            </w:r>
            <w:r>
              <w:rPr>
                <w:rFonts w:hint="eastAsia"/>
                <w:szCs w:val="21"/>
                <w:lang w:val="en-US" w:eastAsia="zh-CN"/>
              </w:rPr>
              <w:t>5</w:t>
            </w:r>
            <w:r>
              <w:rPr>
                <w:szCs w:val="21"/>
              </w:rPr>
              <w:t>项目危险废物汇总表</w:t>
            </w:r>
          </w:p>
          <w:tbl>
            <w:tblPr>
              <w:tblStyle w:val="23"/>
              <w:tblW w:w="12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1049"/>
              <w:gridCol w:w="968"/>
              <w:gridCol w:w="1268"/>
              <w:gridCol w:w="900"/>
              <w:gridCol w:w="1159"/>
              <w:gridCol w:w="832"/>
              <w:gridCol w:w="1904"/>
              <w:gridCol w:w="850"/>
              <w:gridCol w:w="851"/>
              <w:gridCol w:w="2007"/>
            </w:tblGrid>
            <w:tr w14:paraId="277DE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0" w:type="dxa"/>
                  <w:vAlign w:val="center"/>
                </w:tcPr>
                <w:p w14:paraId="6FFD4398">
                  <w:pPr>
                    <w:pStyle w:val="41"/>
                    <w:rPr>
                      <w:b/>
                      <w:bCs/>
                    </w:rPr>
                  </w:pPr>
                  <w:r>
                    <w:rPr>
                      <w:b/>
                      <w:bCs/>
                    </w:rPr>
                    <w:t>序号</w:t>
                  </w:r>
                </w:p>
              </w:tc>
              <w:tc>
                <w:tcPr>
                  <w:tcW w:w="1049" w:type="dxa"/>
                  <w:vAlign w:val="center"/>
                </w:tcPr>
                <w:p w14:paraId="0F3D0542">
                  <w:pPr>
                    <w:pStyle w:val="41"/>
                    <w:rPr>
                      <w:b/>
                      <w:bCs/>
                    </w:rPr>
                  </w:pPr>
                  <w:r>
                    <w:rPr>
                      <w:b/>
                      <w:bCs/>
                    </w:rPr>
                    <w:t>危险废物名称</w:t>
                  </w:r>
                </w:p>
              </w:tc>
              <w:tc>
                <w:tcPr>
                  <w:tcW w:w="968" w:type="dxa"/>
                  <w:vAlign w:val="center"/>
                </w:tcPr>
                <w:p w14:paraId="0DCECD53">
                  <w:pPr>
                    <w:pStyle w:val="41"/>
                    <w:rPr>
                      <w:b/>
                      <w:bCs/>
                    </w:rPr>
                  </w:pPr>
                  <w:r>
                    <w:rPr>
                      <w:b/>
                      <w:bCs/>
                    </w:rPr>
                    <w:t>危险废物类别</w:t>
                  </w:r>
                </w:p>
              </w:tc>
              <w:tc>
                <w:tcPr>
                  <w:tcW w:w="1268" w:type="dxa"/>
                  <w:vAlign w:val="center"/>
                </w:tcPr>
                <w:p w14:paraId="7405135C">
                  <w:pPr>
                    <w:pStyle w:val="41"/>
                    <w:rPr>
                      <w:b/>
                      <w:bCs/>
                    </w:rPr>
                  </w:pPr>
                  <w:r>
                    <w:rPr>
                      <w:b/>
                      <w:bCs/>
                    </w:rPr>
                    <w:t>危险废物代码</w:t>
                  </w:r>
                </w:p>
              </w:tc>
              <w:tc>
                <w:tcPr>
                  <w:tcW w:w="900" w:type="dxa"/>
                  <w:vAlign w:val="center"/>
                </w:tcPr>
                <w:p w14:paraId="0F175A7D">
                  <w:pPr>
                    <w:pStyle w:val="41"/>
                    <w:rPr>
                      <w:b/>
                      <w:bCs/>
                    </w:rPr>
                  </w:pPr>
                  <w:r>
                    <w:rPr>
                      <w:b/>
                      <w:bCs/>
                    </w:rPr>
                    <w:t>产生量</w:t>
                  </w:r>
                </w:p>
                <w:p w14:paraId="70154BC3">
                  <w:pPr>
                    <w:pStyle w:val="41"/>
                    <w:rPr>
                      <w:b/>
                      <w:bCs/>
                    </w:rPr>
                  </w:pPr>
                  <w:r>
                    <w:rPr>
                      <w:b/>
                      <w:bCs/>
                    </w:rPr>
                    <w:t>（t/a）</w:t>
                  </w:r>
                </w:p>
              </w:tc>
              <w:tc>
                <w:tcPr>
                  <w:tcW w:w="1159" w:type="dxa"/>
                  <w:vAlign w:val="center"/>
                </w:tcPr>
                <w:p w14:paraId="4BC9A418">
                  <w:pPr>
                    <w:pStyle w:val="41"/>
                    <w:rPr>
                      <w:b/>
                      <w:bCs/>
                    </w:rPr>
                  </w:pPr>
                  <w:r>
                    <w:rPr>
                      <w:b/>
                      <w:bCs/>
                    </w:rPr>
                    <w:t>产生工序及装置</w:t>
                  </w:r>
                </w:p>
              </w:tc>
              <w:tc>
                <w:tcPr>
                  <w:tcW w:w="832" w:type="dxa"/>
                  <w:vAlign w:val="center"/>
                </w:tcPr>
                <w:p w14:paraId="43D9BCA5">
                  <w:pPr>
                    <w:pStyle w:val="41"/>
                    <w:rPr>
                      <w:b/>
                      <w:bCs/>
                    </w:rPr>
                  </w:pPr>
                  <w:r>
                    <w:rPr>
                      <w:b/>
                      <w:bCs/>
                    </w:rPr>
                    <w:t>形态</w:t>
                  </w:r>
                </w:p>
              </w:tc>
              <w:tc>
                <w:tcPr>
                  <w:tcW w:w="1904" w:type="dxa"/>
                  <w:vAlign w:val="center"/>
                </w:tcPr>
                <w:p w14:paraId="17E3C7AD">
                  <w:pPr>
                    <w:pStyle w:val="41"/>
                    <w:rPr>
                      <w:b/>
                      <w:bCs/>
                    </w:rPr>
                  </w:pPr>
                  <w:r>
                    <w:rPr>
                      <w:b/>
                      <w:bCs/>
                    </w:rPr>
                    <w:t>主要</w:t>
                  </w:r>
                </w:p>
                <w:p w14:paraId="1B30D37C">
                  <w:pPr>
                    <w:pStyle w:val="41"/>
                    <w:rPr>
                      <w:b/>
                      <w:bCs/>
                    </w:rPr>
                  </w:pPr>
                  <w:r>
                    <w:rPr>
                      <w:b/>
                      <w:bCs/>
                    </w:rPr>
                    <w:t>成分</w:t>
                  </w:r>
                </w:p>
              </w:tc>
              <w:tc>
                <w:tcPr>
                  <w:tcW w:w="850" w:type="dxa"/>
                  <w:vAlign w:val="center"/>
                </w:tcPr>
                <w:p w14:paraId="1B6782BE">
                  <w:pPr>
                    <w:pStyle w:val="41"/>
                    <w:rPr>
                      <w:b/>
                      <w:bCs/>
                    </w:rPr>
                  </w:pPr>
                  <w:r>
                    <w:rPr>
                      <w:b/>
                      <w:bCs/>
                    </w:rPr>
                    <w:t>产废</w:t>
                  </w:r>
                </w:p>
                <w:p w14:paraId="6E873BA1">
                  <w:pPr>
                    <w:pStyle w:val="41"/>
                    <w:rPr>
                      <w:b/>
                      <w:bCs/>
                    </w:rPr>
                  </w:pPr>
                  <w:r>
                    <w:rPr>
                      <w:b/>
                      <w:bCs/>
                    </w:rPr>
                    <w:t>周期</w:t>
                  </w:r>
                </w:p>
              </w:tc>
              <w:tc>
                <w:tcPr>
                  <w:tcW w:w="851" w:type="dxa"/>
                  <w:vAlign w:val="center"/>
                </w:tcPr>
                <w:p w14:paraId="4D82675D">
                  <w:pPr>
                    <w:pStyle w:val="41"/>
                    <w:rPr>
                      <w:b/>
                      <w:bCs/>
                    </w:rPr>
                  </w:pPr>
                  <w:r>
                    <w:rPr>
                      <w:b/>
                      <w:bCs/>
                    </w:rPr>
                    <w:t>危险特性</w:t>
                  </w:r>
                </w:p>
              </w:tc>
              <w:tc>
                <w:tcPr>
                  <w:tcW w:w="2007" w:type="dxa"/>
                  <w:vAlign w:val="center"/>
                </w:tcPr>
                <w:p w14:paraId="6B887ED1">
                  <w:pPr>
                    <w:pStyle w:val="41"/>
                    <w:rPr>
                      <w:b/>
                      <w:bCs/>
                    </w:rPr>
                  </w:pPr>
                  <w:r>
                    <w:rPr>
                      <w:b/>
                      <w:bCs/>
                    </w:rPr>
                    <w:t>污染防治措施</w:t>
                  </w:r>
                </w:p>
              </w:tc>
            </w:tr>
            <w:tr w14:paraId="081F6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70" w:type="dxa"/>
                  <w:vAlign w:val="center"/>
                </w:tcPr>
                <w:p w14:paraId="3853DD93">
                  <w:pPr>
                    <w:pStyle w:val="41"/>
                  </w:pPr>
                  <w:r>
                    <w:rPr>
                      <w:rFonts w:hint="eastAsia"/>
                    </w:rPr>
                    <w:t>1</w:t>
                  </w:r>
                </w:p>
              </w:tc>
              <w:tc>
                <w:tcPr>
                  <w:tcW w:w="1049" w:type="dxa"/>
                  <w:vAlign w:val="center"/>
                </w:tcPr>
                <w:p w14:paraId="39E5CB57">
                  <w:pPr>
                    <w:pStyle w:val="41"/>
                  </w:pPr>
                  <w:r>
                    <w:rPr>
                      <w:rFonts w:hint="eastAsia"/>
                    </w:rPr>
                    <w:t>废活性炭及其吸附物</w:t>
                  </w:r>
                </w:p>
              </w:tc>
              <w:tc>
                <w:tcPr>
                  <w:tcW w:w="968" w:type="dxa"/>
                  <w:vAlign w:val="center"/>
                </w:tcPr>
                <w:p w14:paraId="4C489313">
                  <w:pPr>
                    <w:pStyle w:val="41"/>
                  </w:pPr>
                  <w:r>
                    <w:t>HW49</w:t>
                  </w:r>
                </w:p>
              </w:tc>
              <w:tc>
                <w:tcPr>
                  <w:tcW w:w="1268" w:type="dxa"/>
                  <w:vAlign w:val="center"/>
                </w:tcPr>
                <w:p w14:paraId="5F04698B">
                  <w:pPr>
                    <w:pStyle w:val="41"/>
                  </w:pPr>
                  <w:r>
                    <w:t>900-039-49</w:t>
                  </w:r>
                </w:p>
              </w:tc>
              <w:tc>
                <w:tcPr>
                  <w:tcW w:w="900" w:type="dxa"/>
                  <w:vAlign w:val="center"/>
                </w:tcPr>
                <w:p w14:paraId="434BF238">
                  <w:pPr>
                    <w:pStyle w:val="41"/>
                    <w:rPr>
                      <w:rFonts w:hint="eastAsia" w:eastAsia="宋体"/>
                      <w:lang w:eastAsia="zh-CN"/>
                    </w:rPr>
                  </w:pPr>
                  <w:r>
                    <w:rPr>
                      <w:rFonts w:hint="eastAsia"/>
                      <w:lang w:eastAsia="zh-CN"/>
                    </w:rPr>
                    <w:t>10.9</w:t>
                  </w:r>
                </w:p>
              </w:tc>
              <w:tc>
                <w:tcPr>
                  <w:tcW w:w="1159" w:type="dxa"/>
                  <w:vAlign w:val="center"/>
                </w:tcPr>
                <w:p w14:paraId="4ADEAB09">
                  <w:pPr>
                    <w:pStyle w:val="41"/>
                  </w:pPr>
                  <w:r>
                    <w:rPr>
                      <w:rFonts w:hint="eastAsia"/>
                    </w:rPr>
                    <w:t>废气处理</w:t>
                  </w:r>
                </w:p>
              </w:tc>
              <w:tc>
                <w:tcPr>
                  <w:tcW w:w="832" w:type="dxa"/>
                  <w:vAlign w:val="center"/>
                </w:tcPr>
                <w:p w14:paraId="24F20337">
                  <w:pPr>
                    <w:pStyle w:val="41"/>
                  </w:pPr>
                  <w:r>
                    <w:t>固态</w:t>
                  </w:r>
                </w:p>
              </w:tc>
              <w:tc>
                <w:tcPr>
                  <w:tcW w:w="1904" w:type="dxa"/>
                  <w:vAlign w:val="center"/>
                </w:tcPr>
                <w:p w14:paraId="7F4AE5ED">
                  <w:pPr>
                    <w:pStyle w:val="41"/>
                  </w:pPr>
                  <w:r>
                    <w:t>废活性炭</w:t>
                  </w:r>
                </w:p>
              </w:tc>
              <w:tc>
                <w:tcPr>
                  <w:tcW w:w="850" w:type="dxa"/>
                  <w:vAlign w:val="center"/>
                </w:tcPr>
                <w:p w14:paraId="0F09E16D">
                  <w:pPr>
                    <w:pStyle w:val="41"/>
                  </w:pPr>
                  <w:r>
                    <w:rPr>
                      <w:rFonts w:hint="eastAsia"/>
                    </w:rPr>
                    <w:t>3</w:t>
                  </w:r>
                  <w:r>
                    <w:t>个月</w:t>
                  </w:r>
                </w:p>
              </w:tc>
              <w:tc>
                <w:tcPr>
                  <w:tcW w:w="851" w:type="dxa"/>
                  <w:vAlign w:val="center"/>
                </w:tcPr>
                <w:p w14:paraId="44CCBD8C">
                  <w:pPr>
                    <w:pStyle w:val="41"/>
                  </w:pPr>
                  <w:r>
                    <w:t>T</w:t>
                  </w:r>
                </w:p>
              </w:tc>
              <w:tc>
                <w:tcPr>
                  <w:tcW w:w="2007" w:type="dxa"/>
                  <w:vMerge w:val="restart"/>
                  <w:vAlign w:val="center"/>
                </w:tcPr>
                <w:p w14:paraId="3B9916EC">
                  <w:pPr>
                    <w:pStyle w:val="41"/>
                  </w:pPr>
                  <w:r>
                    <w:rPr>
                      <w:rFonts w:hint="eastAsia"/>
                    </w:rPr>
                    <w:t>厂区按GB 18597-2023要求建设危险废物暂存间的，进行分类收集、分类存放，并委托相关资质单位处理处置</w:t>
                  </w:r>
                </w:p>
              </w:tc>
            </w:tr>
            <w:tr w14:paraId="7A5ED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0" w:type="dxa"/>
                  <w:vAlign w:val="center"/>
                </w:tcPr>
                <w:p w14:paraId="4E63ED1B">
                  <w:pPr>
                    <w:pStyle w:val="41"/>
                  </w:pPr>
                  <w:r>
                    <w:rPr>
                      <w:rFonts w:hint="eastAsia"/>
                    </w:rPr>
                    <w:t>2</w:t>
                  </w:r>
                </w:p>
              </w:tc>
              <w:tc>
                <w:tcPr>
                  <w:tcW w:w="1049" w:type="dxa"/>
                  <w:vAlign w:val="center"/>
                </w:tcPr>
                <w:p w14:paraId="712BFA2B">
                  <w:pPr>
                    <w:pStyle w:val="41"/>
                  </w:pPr>
                  <w:r>
                    <w:rPr>
                      <w:rFonts w:hint="eastAsia"/>
                    </w:rPr>
                    <w:t>废槽液</w:t>
                  </w:r>
                </w:p>
              </w:tc>
              <w:tc>
                <w:tcPr>
                  <w:tcW w:w="968" w:type="dxa"/>
                  <w:vAlign w:val="center"/>
                </w:tcPr>
                <w:p w14:paraId="1F05FBB3">
                  <w:pPr>
                    <w:pStyle w:val="41"/>
                  </w:pPr>
                  <w:r>
                    <w:t>HW</w:t>
                  </w:r>
                  <w:r>
                    <w:rPr>
                      <w:rFonts w:hint="eastAsia"/>
                    </w:rPr>
                    <w:t>17</w:t>
                  </w:r>
                </w:p>
              </w:tc>
              <w:tc>
                <w:tcPr>
                  <w:tcW w:w="1268" w:type="dxa"/>
                  <w:vAlign w:val="center"/>
                </w:tcPr>
                <w:p w14:paraId="7E5C9F8D">
                  <w:pPr>
                    <w:pStyle w:val="41"/>
                  </w:pPr>
                  <w:r>
                    <w:rPr>
                      <w:rFonts w:hint="eastAsia"/>
                    </w:rPr>
                    <w:t>336-064-17</w:t>
                  </w:r>
                </w:p>
              </w:tc>
              <w:tc>
                <w:tcPr>
                  <w:tcW w:w="900" w:type="dxa"/>
                  <w:vAlign w:val="center"/>
                </w:tcPr>
                <w:p w14:paraId="2764C57D">
                  <w:pPr>
                    <w:pStyle w:val="41"/>
                    <w:rPr>
                      <w:rFonts w:hint="eastAsia" w:eastAsia="宋体"/>
                      <w:lang w:eastAsia="zh-CN"/>
                    </w:rPr>
                  </w:pPr>
                  <w:r>
                    <w:rPr>
                      <w:rFonts w:hint="eastAsia"/>
                      <w:lang w:eastAsia="zh-CN"/>
                    </w:rPr>
                    <w:t>16</w:t>
                  </w:r>
                </w:p>
              </w:tc>
              <w:tc>
                <w:tcPr>
                  <w:tcW w:w="1159" w:type="dxa"/>
                  <w:vAlign w:val="center"/>
                </w:tcPr>
                <w:p w14:paraId="573BA669">
                  <w:pPr>
                    <w:pStyle w:val="41"/>
                  </w:pPr>
                  <w:r>
                    <w:rPr>
                      <w:rFonts w:hint="eastAsia"/>
                    </w:rPr>
                    <w:t>四合一</w:t>
                  </w:r>
                </w:p>
              </w:tc>
              <w:tc>
                <w:tcPr>
                  <w:tcW w:w="832" w:type="dxa"/>
                  <w:vAlign w:val="center"/>
                </w:tcPr>
                <w:p w14:paraId="40E59118">
                  <w:pPr>
                    <w:pStyle w:val="41"/>
                  </w:pPr>
                  <w:r>
                    <w:t>固态</w:t>
                  </w:r>
                </w:p>
              </w:tc>
              <w:tc>
                <w:tcPr>
                  <w:tcW w:w="1904" w:type="dxa"/>
                  <w:vAlign w:val="center"/>
                </w:tcPr>
                <w:p w14:paraId="152B9CEC">
                  <w:pPr>
                    <w:pStyle w:val="41"/>
                  </w:pPr>
                  <w:r>
                    <w:rPr>
                      <w:rFonts w:hint="eastAsia"/>
                    </w:rPr>
                    <w:t>脱脂剂、硅烷处理剂</w:t>
                  </w:r>
                </w:p>
              </w:tc>
              <w:tc>
                <w:tcPr>
                  <w:tcW w:w="850" w:type="dxa"/>
                  <w:vAlign w:val="center"/>
                </w:tcPr>
                <w:p w14:paraId="007C070B">
                  <w:pPr>
                    <w:pStyle w:val="41"/>
                  </w:pPr>
                  <w:r>
                    <w:rPr>
                      <w:rFonts w:hint="eastAsia"/>
                    </w:rPr>
                    <w:t>3个月</w:t>
                  </w:r>
                </w:p>
              </w:tc>
              <w:tc>
                <w:tcPr>
                  <w:tcW w:w="851" w:type="dxa"/>
                  <w:vAlign w:val="center"/>
                </w:tcPr>
                <w:p w14:paraId="46532FA8">
                  <w:pPr>
                    <w:pStyle w:val="41"/>
                  </w:pPr>
                  <w:r>
                    <w:t>T/C</w:t>
                  </w:r>
                </w:p>
              </w:tc>
              <w:tc>
                <w:tcPr>
                  <w:tcW w:w="2007" w:type="dxa"/>
                  <w:vMerge w:val="continue"/>
                  <w:vAlign w:val="center"/>
                </w:tcPr>
                <w:p w14:paraId="4D185098">
                  <w:pPr>
                    <w:pStyle w:val="41"/>
                  </w:pPr>
                </w:p>
              </w:tc>
            </w:tr>
          </w:tbl>
          <w:p w14:paraId="339E63CC">
            <w:pPr>
              <w:ind w:firstLine="480"/>
            </w:pPr>
            <w:r>
              <w:t>项目危险废物的暂存场所设置情况如下表：</w:t>
            </w:r>
          </w:p>
          <w:p w14:paraId="08ACE2EB">
            <w:pPr>
              <w:pStyle w:val="22"/>
              <w:rPr>
                <w:szCs w:val="21"/>
              </w:rPr>
            </w:pPr>
            <w:r>
              <w:rPr>
                <w:szCs w:val="21"/>
              </w:rPr>
              <w:t>表4-2</w:t>
            </w:r>
            <w:r>
              <w:rPr>
                <w:rFonts w:hint="eastAsia"/>
                <w:szCs w:val="21"/>
                <w:lang w:val="en-US" w:eastAsia="zh-CN"/>
              </w:rPr>
              <w:t>6</w:t>
            </w:r>
            <w:r>
              <w:rPr>
                <w:szCs w:val="21"/>
              </w:rPr>
              <w:t xml:space="preserve"> 建设项目危险废物贮存场所（设施）基本情况表</w:t>
            </w:r>
          </w:p>
          <w:tbl>
            <w:tblPr>
              <w:tblStyle w:val="23"/>
              <w:tblW w:w="124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8"/>
              <w:gridCol w:w="1984"/>
              <w:gridCol w:w="1560"/>
              <w:gridCol w:w="1559"/>
              <w:gridCol w:w="1134"/>
              <w:gridCol w:w="1559"/>
              <w:gridCol w:w="1134"/>
              <w:gridCol w:w="1145"/>
            </w:tblGrid>
            <w:tr w14:paraId="06E0F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358" w:type="dxa"/>
                  <w:vAlign w:val="center"/>
                </w:tcPr>
                <w:p w14:paraId="7CA6224B">
                  <w:pPr>
                    <w:pStyle w:val="41"/>
                    <w:rPr>
                      <w:b/>
                      <w:bCs/>
                    </w:rPr>
                  </w:pPr>
                  <w:r>
                    <w:rPr>
                      <w:b/>
                      <w:bCs/>
                    </w:rPr>
                    <w:t>贮存场所（设施名称）</w:t>
                  </w:r>
                </w:p>
              </w:tc>
              <w:tc>
                <w:tcPr>
                  <w:tcW w:w="1984" w:type="dxa"/>
                  <w:vAlign w:val="center"/>
                </w:tcPr>
                <w:p w14:paraId="393401B6">
                  <w:pPr>
                    <w:pStyle w:val="41"/>
                    <w:rPr>
                      <w:b/>
                      <w:bCs/>
                    </w:rPr>
                  </w:pPr>
                  <w:r>
                    <w:rPr>
                      <w:b/>
                      <w:bCs/>
                    </w:rPr>
                    <w:t>危险废物名称</w:t>
                  </w:r>
                </w:p>
              </w:tc>
              <w:tc>
                <w:tcPr>
                  <w:tcW w:w="1560" w:type="dxa"/>
                  <w:vAlign w:val="center"/>
                </w:tcPr>
                <w:p w14:paraId="634DCA80">
                  <w:pPr>
                    <w:pStyle w:val="41"/>
                    <w:rPr>
                      <w:b/>
                      <w:bCs/>
                    </w:rPr>
                  </w:pPr>
                  <w:r>
                    <w:rPr>
                      <w:b/>
                      <w:bCs/>
                    </w:rPr>
                    <w:t>危险废物类别</w:t>
                  </w:r>
                </w:p>
              </w:tc>
              <w:tc>
                <w:tcPr>
                  <w:tcW w:w="1559" w:type="dxa"/>
                  <w:vAlign w:val="center"/>
                </w:tcPr>
                <w:p w14:paraId="53B47FE4">
                  <w:pPr>
                    <w:pStyle w:val="41"/>
                    <w:rPr>
                      <w:b/>
                      <w:bCs/>
                    </w:rPr>
                  </w:pPr>
                  <w:r>
                    <w:rPr>
                      <w:b/>
                      <w:bCs/>
                    </w:rPr>
                    <w:t>危险废物代码</w:t>
                  </w:r>
                </w:p>
              </w:tc>
              <w:tc>
                <w:tcPr>
                  <w:tcW w:w="1134" w:type="dxa"/>
                  <w:vAlign w:val="center"/>
                </w:tcPr>
                <w:p w14:paraId="3595EABE">
                  <w:pPr>
                    <w:pStyle w:val="41"/>
                    <w:rPr>
                      <w:b/>
                      <w:bCs/>
                    </w:rPr>
                  </w:pPr>
                  <w:r>
                    <w:rPr>
                      <w:b/>
                      <w:bCs/>
                    </w:rPr>
                    <w:t>占地面积</w:t>
                  </w:r>
                </w:p>
              </w:tc>
              <w:tc>
                <w:tcPr>
                  <w:tcW w:w="1559" w:type="dxa"/>
                  <w:vAlign w:val="center"/>
                </w:tcPr>
                <w:p w14:paraId="275E62DF">
                  <w:pPr>
                    <w:pStyle w:val="41"/>
                    <w:rPr>
                      <w:b/>
                      <w:bCs/>
                    </w:rPr>
                  </w:pPr>
                  <w:r>
                    <w:rPr>
                      <w:b/>
                      <w:bCs/>
                    </w:rPr>
                    <w:t>贮存方式</w:t>
                  </w:r>
                </w:p>
              </w:tc>
              <w:tc>
                <w:tcPr>
                  <w:tcW w:w="1134" w:type="dxa"/>
                  <w:vAlign w:val="center"/>
                </w:tcPr>
                <w:p w14:paraId="2609FADF">
                  <w:pPr>
                    <w:pStyle w:val="41"/>
                    <w:rPr>
                      <w:b/>
                      <w:bCs/>
                    </w:rPr>
                  </w:pPr>
                  <w:r>
                    <w:rPr>
                      <w:b/>
                      <w:bCs/>
                    </w:rPr>
                    <w:t>贮存能力</w:t>
                  </w:r>
                </w:p>
              </w:tc>
              <w:tc>
                <w:tcPr>
                  <w:tcW w:w="1145" w:type="dxa"/>
                  <w:vAlign w:val="center"/>
                </w:tcPr>
                <w:p w14:paraId="6DBA22D8">
                  <w:pPr>
                    <w:pStyle w:val="41"/>
                    <w:rPr>
                      <w:b/>
                      <w:bCs/>
                    </w:rPr>
                  </w:pPr>
                  <w:r>
                    <w:rPr>
                      <w:b/>
                      <w:bCs/>
                    </w:rPr>
                    <w:t>转运周期</w:t>
                  </w:r>
                </w:p>
              </w:tc>
            </w:tr>
            <w:tr w14:paraId="08168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358" w:type="dxa"/>
                  <w:vMerge w:val="restart"/>
                  <w:vAlign w:val="center"/>
                </w:tcPr>
                <w:p w14:paraId="23295768">
                  <w:pPr>
                    <w:pStyle w:val="41"/>
                  </w:pPr>
                  <w:r>
                    <w:t>危废暂存间</w:t>
                  </w:r>
                </w:p>
              </w:tc>
              <w:tc>
                <w:tcPr>
                  <w:tcW w:w="1984" w:type="dxa"/>
                  <w:vAlign w:val="center"/>
                </w:tcPr>
                <w:p w14:paraId="08C1B10D">
                  <w:pPr>
                    <w:pStyle w:val="41"/>
                    <w:rPr>
                      <w:rFonts w:eastAsia="Times New Roman"/>
                    </w:rPr>
                  </w:pPr>
                  <w:r>
                    <w:t>废活性炭及其吸附物</w:t>
                  </w:r>
                </w:p>
              </w:tc>
              <w:tc>
                <w:tcPr>
                  <w:tcW w:w="1560" w:type="dxa"/>
                  <w:vAlign w:val="center"/>
                </w:tcPr>
                <w:p w14:paraId="4D3A3BA0">
                  <w:pPr>
                    <w:pStyle w:val="41"/>
                    <w:rPr>
                      <w:rFonts w:eastAsia="Times New Roman"/>
                    </w:rPr>
                  </w:pPr>
                  <w:r>
                    <w:rPr>
                      <w:rFonts w:eastAsia="Times New Roman"/>
                    </w:rPr>
                    <w:t>HW49</w:t>
                  </w:r>
                </w:p>
              </w:tc>
              <w:tc>
                <w:tcPr>
                  <w:tcW w:w="1559" w:type="dxa"/>
                  <w:vAlign w:val="center"/>
                </w:tcPr>
                <w:p w14:paraId="2082DAD4">
                  <w:pPr>
                    <w:pStyle w:val="41"/>
                    <w:rPr>
                      <w:rFonts w:eastAsia="Times New Roman"/>
                    </w:rPr>
                  </w:pPr>
                  <w:r>
                    <w:rPr>
                      <w:rFonts w:eastAsia="Times New Roman"/>
                    </w:rPr>
                    <w:t>900-039-49</w:t>
                  </w:r>
                </w:p>
              </w:tc>
              <w:tc>
                <w:tcPr>
                  <w:tcW w:w="1134" w:type="dxa"/>
                  <w:vMerge w:val="restart"/>
                  <w:vAlign w:val="center"/>
                </w:tcPr>
                <w:p w14:paraId="5A498932">
                  <w:pPr>
                    <w:pStyle w:val="41"/>
                  </w:pPr>
                  <w:r>
                    <w:rPr>
                      <w:rFonts w:hint="eastAsia"/>
                    </w:rPr>
                    <w:t>10m</w:t>
                  </w:r>
                  <w:r>
                    <w:rPr>
                      <w:rFonts w:hint="eastAsia"/>
                      <w:vertAlign w:val="superscript"/>
                    </w:rPr>
                    <w:t>2</w:t>
                  </w:r>
                </w:p>
              </w:tc>
              <w:tc>
                <w:tcPr>
                  <w:tcW w:w="1559" w:type="dxa"/>
                  <w:vAlign w:val="center"/>
                </w:tcPr>
                <w:p w14:paraId="59AE0DA0">
                  <w:pPr>
                    <w:pStyle w:val="41"/>
                  </w:pPr>
                  <w:r>
                    <w:t>防漏密封袋装</w:t>
                  </w:r>
                </w:p>
              </w:tc>
              <w:tc>
                <w:tcPr>
                  <w:tcW w:w="1134" w:type="dxa"/>
                  <w:vAlign w:val="center"/>
                </w:tcPr>
                <w:p w14:paraId="075084BA">
                  <w:pPr>
                    <w:pStyle w:val="41"/>
                  </w:pPr>
                  <w:r>
                    <w:rPr>
                      <w:rFonts w:hint="eastAsia"/>
                    </w:rPr>
                    <w:t>5</w:t>
                  </w:r>
                </w:p>
              </w:tc>
              <w:tc>
                <w:tcPr>
                  <w:tcW w:w="1145" w:type="dxa"/>
                  <w:vAlign w:val="center"/>
                </w:tcPr>
                <w:p w14:paraId="06F1ADFB">
                  <w:pPr>
                    <w:pStyle w:val="41"/>
                  </w:pPr>
                  <w:r>
                    <w:rPr>
                      <w:rFonts w:hint="eastAsia"/>
                    </w:rPr>
                    <w:t>半年一次</w:t>
                  </w:r>
                </w:p>
              </w:tc>
            </w:tr>
            <w:tr w14:paraId="19C9C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358" w:type="dxa"/>
                  <w:vMerge w:val="continue"/>
                  <w:vAlign w:val="center"/>
                </w:tcPr>
                <w:p w14:paraId="67B423FB">
                  <w:pPr>
                    <w:pStyle w:val="41"/>
                  </w:pPr>
                </w:p>
              </w:tc>
              <w:tc>
                <w:tcPr>
                  <w:tcW w:w="1984" w:type="dxa"/>
                  <w:vAlign w:val="center"/>
                </w:tcPr>
                <w:p w14:paraId="6E8C248B">
                  <w:pPr>
                    <w:pStyle w:val="41"/>
                    <w:rPr>
                      <w:rFonts w:eastAsia="Times New Roman"/>
                    </w:rPr>
                  </w:pPr>
                  <w:r>
                    <w:t>废槽液</w:t>
                  </w:r>
                </w:p>
              </w:tc>
              <w:tc>
                <w:tcPr>
                  <w:tcW w:w="1560" w:type="dxa"/>
                  <w:vAlign w:val="center"/>
                </w:tcPr>
                <w:p w14:paraId="381728D3">
                  <w:pPr>
                    <w:pStyle w:val="41"/>
                    <w:rPr>
                      <w:rFonts w:eastAsia="Times New Roman"/>
                    </w:rPr>
                  </w:pPr>
                  <w:r>
                    <w:rPr>
                      <w:rFonts w:eastAsia="Times New Roman"/>
                    </w:rPr>
                    <w:t>HW</w:t>
                  </w:r>
                  <w:r>
                    <w:t>17</w:t>
                  </w:r>
                </w:p>
              </w:tc>
              <w:tc>
                <w:tcPr>
                  <w:tcW w:w="1559" w:type="dxa"/>
                  <w:vAlign w:val="center"/>
                </w:tcPr>
                <w:p w14:paraId="7C89D56C">
                  <w:pPr>
                    <w:pStyle w:val="41"/>
                    <w:rPr>
                      <w:rFonts w:eastAsia="Times New Roman"/>
                    </w:rPr>
                  </w:pPr>
                  <w:r>
                    <w:t>336-064-17</w:t>
                  </w:r>
                </w:p>
              </w:tc>
              <w:tc>
                <w:tcPr>
                  <w:tcW w:w="1134" w:type="dxa"/>
                  <w:vMerge w:val="continue"/>
                  <w:vAlign w:val="center"/>
                </w:tcPr>
                <w:p w14:paraId="4CB7C218">
                  <w:pPr>
                    <w:pStyle w:val="41"/>
                  </w:pPr>
                </w:p>
              </w:tc>
              <w:tc>
                <w:tcPr>
                  <w:tcW w:w="1559" w:type="dxa"/>
                  <w:vAlign w:val="center"/>
                </w:tcPr>
                <w:p w14:paraId="11D881C7">
                  <w:pPr>
                    <w:pStyle w:val="41"/>
                  </w:pPr>
                  <w:r>
                    <w:t>密封桶装</w:t>
                  </w:r>
                </w:p>
              </w:tc>
              <w:tc>
                <w:tcPr>
                  <w:tcW w:w="1134" w:type="dxa"/>
                  <w:vAlign w:val="center"/>
                </w:tcPr>
                <w:p w14:paraId="3BBC9D6D">
                  <w:pPr>
                    <w:pStyle w:val="41"/>
                  </w:pPr>
                  <w:r>
                    <w:rPr>
                      <w:rFonts w:hint="eastAsia"/>
                    </w:rPr>
                    <w:t>5</w:t>
                  </w:r>
                </w:p>
              </w:tc>
              <w:tc>
                <w:tcPr>
                  <w:tcW w:w="1145" w:type="dxa"/>
                  <w:vAlign w:val="center"/>
                </w:tcPr>
                <w:p w14:paraId="776579A4">
                  <w:pPr>
                    <w:pStyle w:val="41"/>
                    <w:rPr>
                      <w:rFonts w:hint="default" w:eastAsia="宋体"/>
                      <w:lang w:val="en-US" w:eastAsia="zh-CN"/>
                    </w:rPr>
                  </w:pPr>
                  <w:r>
                    <w:rPr>
                      <w:rFonts w:hint="eastAsia"/>
                      <w:lang w:val="en-US" w:eastAsia="zh-CN"/>
                    </w:rPr>
                    <w:t>一季度一次</w:t>
                  </w:r>
                </w:p>
              </w:tc>
            </w:tr>
          </w:tbl>
          <w:p w14:paraId="672CA01E">
            <w:pPr>
              <w:snapToGrid w:val="0"/>
              <w:spacing w:before="240" w:beforeLines="100"/>
              <w:ind w:firstLine="480"/>
            </w:pPr>
          </w:p>
        </w:tc>
      </w:tr>
    </w:tbl>
    <w:p w14:paraId="7EA74D12">
      <w:pPr>
        <w:pStyle w:val="21"/>
        <w:ind w:firstLine="600"/>
        <w:outlineLvl w:val="0"/>
        <w:rPr>
          <w:rFonts w:ascii="Times New Roman" w:hAnsi="Times New Roman" w:eastAsia="黑体"/>
          <w:snapToGrid w:val="0"/>
          <w:sz w:val="30"/>
          <w:szCs w:val="30"/>
        </w:rPr>
        <w:sectPr>
          <w:pgSz w:w="16838" w:h="11906" w:orient="landscape"/>
          <w:pgMar w:top="1531" w:right="1701" w:bottom="1531" w:left="1701" w:header="851" w:footer="851" w:gutter="0"/>
          <w:cols w:space="720" w:num="1"/>
          <w:docGrid w:linePitch="312" w:charSpace="0"/>
        </w:sectPr>
      </w:pPr>
    </w:p>
    <w:tbl>
      <w:tblPr>
        <w:tblStyle w:val="23"/>
        <w:tblW w:w="4999"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8281"/>
      </w:tblGrid>
      <w:tr w14:paraId="20F5C4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27" w:hRule="atLeast"/>
          <w:jc w:val="center"/>
        </w:trPr>
        <w:tc>
          <w:tcPr>
            <w:tcW w:w="388" w:type="pct"/>
            <w:tcMar>
              <w:left w:w="28" w:type="dxa"/>
              <w:right w:w="28" w:type="dxa"/>
            </w:tcMar>
            <w:vAlign w:val="center"/>
          </w:tcPr>
          <w:p w14:paraId="70150A00">
            <w:pPr>
              <w:ind w:firstLine="480"/>
            </w:pPr>
          </w:p>
        </w:tc>
        <w:tc>
          <w:tcPr>
            <w:tcW w:w="4611" w:type="pct"/>
            <w:vAlign w:val="center"/>
          </w:tcPr>
          <w:p w14:paraId="7CAF0588">
            <w:pPr>
              <w:ind w:firstLine="480"/>
            </w:pPr>
            <w:r>
              <w:t>2、固体废物环境管理要求</w:t>
            </w:r>
          </w:p>
          <w:p w14:paraId="60B58DF7">
            <w:pPr>
              <w:ind w:firstLine="480"/>
            </w:pPr>
            <w:r>
              <w:t>（1）生活垃圾</w:t>
            </w:r>
          </w:p>
          <w:p w14:paraId="4C4AD471">
            <w:pPr>
              <w:ind w:firstLine="480"/>
            </w:pPr>
            <w:r>
              <w:t>建设单位应设置分类收集桶，将生活垃圾分类收集后，交由环卫部门统一清运处理。</w:t>
            </w:r>
          </w:p>
          <w:p w14:paraId="5E102856">
            <w:pPr>
              <w:ind w:firstLine="480"/>
            </w:pPr>
            <w:r>
              <w:t>（2）一般工业固废</w:t>
            </w:r>
          </w:p>
          <w:p w14:paraId="7C34E318">
            <w:pPr>
              <w:ind w:firstLine="480"/>
            </w:pPr>
            <w:r>
              <w:t>建设单位应严格按照《中华人民共和国固体废物污染环境防治法》（2020年修订）的要求：</w:t>
            </w:r>
          </w:p>
          <w:p w14:paraId="737ADFE6">
            <w:pPr>
              <w:ind w:firstLine="480"/>
            </w:pPr>
            <w:r>
              <w:rPr>
                <w:rFonts w:hint="eastAsia" w:ascii="宋体" w:hAnsi="宋体" w:cs="宋体"/>
              </w:rPr>
              <w:t>①</w:t>
            </w:r>
            <w:r>
              <w:t>建立健全一般工业固体废物产生、收集、贮存、运输、利用、处置全过程的污染环境防治责任制度，建立工业固体废物管理台账，如实记录产生工业固体废物的种类、数量、流向、贮存、利用、处置等信息，实现工业固体废物可追溯、可查询，并采取防治工业固体废物污染环境的措施。禁止向生活垃圾收集设施中投放工业固体废物。</w:t>
            </w:r>
          </w:p>
          <w:p w14:paraId="0692F763">
            <w:pPr>
              <w:ind w:firstLine="480"/>
            </w:pPr>
            <w:r>
              <w:rPr>
                <w:rFonts w:hint="eastAsia" w:ascii="宋体" w:hAnsi="宋体" w:cs="宋体"/>
              </w:rPr>
              <w:t>②</w:t>
            </w:r>
            <w:r>
              <w:t>采取防扬散、防流失、防渗漏或者其他防止污染环境的措施设置一般工业固体废物贮存场所，不得擅自倾倒、堆放、丢弃、遗撒固体废物。</w:t>
            </w:r>
          </w:p>
          <w:p w14:paraId="3E45AB98">
            <w:pPr>
              <w:ind w:firstLine="480"/>
            </w:pPr>
            <w:r>
              <w:rPr>
                <w:rFonts w:hint="eastAsia" w:ascii="宋体" w:hAnsi="宋体" w:cs="宋体"/>
              </w:rPr>
              <w:t>③</w:t>
            </w:r>
            <w:r>
              <w:t>设置分类收集制度，将一般工业固体废物交由专业公司回收处理。</w:t>
            </w:r>
          </w:p>
          <w:p w14:paraId="5DC6B848">
            <w:pPr>
              <w:ind w:firstLine="480"/>
            </w:pPr>
            <w:r>
              <w:t>（3）危险废物</w:t>
            </w:r>
          </w:p>
          <w:p w14:paraId="56EA22FE">
            <w:pPr>
              <w:ind w:firstLine="480"/>
            </w:pPr>
            <w:r>
              <w:t>建设单位应严格落实《危险废物规范化管理指标体系》（环办</w:t>
            </w:r>
            <w:r>
              <w:rPr>
                <w:rFonts w:hint="eastAsia"/>
                <w:lang w:eastAsia="zh-CN"/>
              </w:rPr>
              <w:t>〔</w:t>
            </w:r>
            <w:r>
              <w:t>2015</w:t>
            </w:r>
            <w:r>
              <w:rPr>
                <w:rFonts w:hint="eastAsia"/>
                <w:lang w:eastAsia="zh-CN"/>
              </w:rPr>
              <w:t>〕</w:t>
            </w:r>
            <w:r>
              <w:t>99号）的要求：</w:t>
            </w:r>
          </w:p>
          <w:p w14:paraId="218FCF34">
            <w:pPr>
              <w:ind w:firstLine="480"/>
            </w:pPr>
            <w:r>
              <w:rPr>
                <w:rFonts w:hint="eastAsia" w:ascii="宋体" w:hAnsi="宋体" w:cs="宋体"/>
              </w:rPr>
              <w:t>①</w:t>
            </w:r>
            <w:r>
              <w:t xml:space="preserve"> 产生工业固体废物的单位应当建立、健全污染环境防治责任制度，采取防治工业固体废物污染环境的措施。</w:t>
            </w:r>
          </w:p>
          <w:p w14:paraId="1E3316FE">
            <w:pPr>
              <w:ind w:firstLine="480"/>
            </w:pPr>
            <w:r>
              <w:rPr>
                <w:rFonts w:hint="eastAsia" w:ascii="宋体" w:hAnsi="宋体" w:cs="宋体"/>
              </w:rPr>
              <w:t>②</w:t>
            </w:r>
            <w:r>
              <w:t xml:space="preserve"> 对危险废物的容器和包装物以及收集、贮存的设施、场所，应当按照《危险废物贮存污染控制标准》</w:t>
            </w:r>
            <w:r>
              <w:rPr>
                <w:rFonts w:hint="eastAsia"/>
              </w:rPr>
              <w:t>（</w:t>
            </w:r>
            <w:r>
              <w:t>GB 18597-2023</w:t>
            </w:r>
            <w:r>
              <w:rPr>
                <w:rFonts w:hint="eastAsia"/>
              </w:rPr>
              <w:t>）</w:t>
            </w:r>
            <w:r>
              <w:t>附录A和《环境保护图形标志 固体废物贮存（处置）场》（GB 15562.2）的规定设置危险废物识别标志。</w:t>
            </w:r>
          </w:p>
          <w:p w14:paraId="3C8FD377">
            <w:pPr>
              <w:ind w:firstLine="480"/>
            </w:pPr>
            <w:r>
              <w:rPr>
                <w:rFonts w:hint="eastAsia" w:ascii="宋体" w:hAnsi="宋体" w:cs="宋体"/>
              </w:rPr>
              <w:t>③</w:t>
            </w:r>
            <w:r>
              <w:t xml:space="preserve"> 应当按照国家有关规定制定危险废物管理计划；建立危险废物管理台账，如实记录有关信息，并通过国家危险废物信息管理系统向所在地生态环境主管部门申报危险废物的种类、产生量、流向、贮存、处置等有关资料，申报事项有重大改变的，应当及时申报。</w:t>
            </w:r>
          </w:p>
          <w:p w14:paraId="54C20D31">
            <w:pPr>
              <w:ind w:firstLine="480"/>
            </w:pPr>
            <w:r>
              <w:rPr>
                <w:rFonts w:hint="eastAsia" w:ascii="宋体" w:hAnsi="宋体" w:cs="宋体"/>
              </w:rPr>
              <w:t>④</w:t>
            </w:r>
            <w:r>
              <w:t xml:space="preserve"> 应当按照危险废物特性分类进行。禁止混合收集、贮存性质不相容而未经安全性处置的危险废物；</w:t>
            </w:r>
          </w:p>
          <w:p w14:paraId="376CCEB4">
            <w:pPr>
              <w:ind w:firstLine="480"/>
            </w:pPr>
            <w:r>
              <w:rPr>
                <w:rFonts w:hint="eastAsia" w:ascii="宋体" w:hAnsi="宋体" w:cs="宋体"/>
              </w:rPr>
              <w:t>⑤</w:t>
            </w:r>
            <w:r>
              <w:t xml:space="preserve"> 转移危险废物</w:t>
            </w:r>
            <w:r>
              <w:rPr>
                <w:rFonts w:hint="eastAsia"/>
              </w:rPr>
              <w:t>前</w:t>
            </w:r>
            <w:r>
              <w:t>，应当按照《危险废物转移管理办法》有关规定</w:t>
            </w:r>
            <w:r>
              <w:rPr>
                <w:rFonts w:hint="eastAsia"/>
              </w:rPr>
              <w:t>，在</w:t>
            </w:r>
            <w:r>
              <w:t>国家危险废物信息管理系统（以下简称信息系统）填写、运行危险废物电子转移联单，并依照国家有关规定公开危险废物转移相关污染环境防治信息</w:t>
            </w:r>
            <w:r>
              <w:rPr>
                <w:rFonts w:hint="eastAsia"/>
              </w:rPr>
              <w:t>；</w:t>
            </w:r>
          </w:p>
          <w:p w14:paraId="56C45932">
            <w:pPr>
              <w:ind w:firstLine="480"/>
            </w:pPr>
            <w:r>
              <w:rPr>
                <w:rFonts w:hint="eastAsia" w:ascii="宋体" w:hAnsi="宋体" w:cs="宋体"/>
              </w:rPr>
              <w:t>⑥</w:t>
            </w:r>
            <w:r>
              <w:t xml:space="preserve"> 制定意外事故的防范措施和应急预案，并向所在地县级以上地方人民政府环境保护行政主管部门备案。按照预案要求每年组织应急演练</w:t>
            </w:r>
            <w:r>
              <w:rPr>
                <w:rFonts w:hint="eastAsia"/>
              </w:rPr>
              <w:t>；</w:t>
            </w:r>
          </w:p>
          <w:p w14:paraId="70EA6808">
            <w:pPr>
              <w:ind w:firstLine="480"/>
            </w:pPr>
            <w:r>
              <w:rPr>
                <w:rFonts w:hint="eastAsia" w:ascii="宋体" w:hAnsi="宋体" w:cs="宋体"/>
              </w:rPr>
              <w:t>⑦</w:t>
            </w:r>
            <w:r>
              <w:t xml:space="preserve"> 应根据废物特性设置符合《危险废物贮存污染控制标准》（GB 18597-2023）要求的危险废物暂存场所。贮存设施地面与裙脚应采取表面防渗措施；表面防渗材料应与所接触的物料或污染物相容，可采用抗渗混凝土、高密度聚乙烯膜、钠基膨润土防水毯或其他防渗性能等效的材料。贮存的危险废物直接接触地面的，还应进行基础防渗，防渗层为至少1m厚黏土层（渗透系数不大于10</w:t>
            </w:r>
            <w:r>
              <w:rPr>
                <w:vertAlign w:val="superscript"/>
              </w:rPr>
              <w:t>-7</w:t>
            </w:r>
            <w:r>
              <w:t>cm/s），或至少2mm厚高密度聚乙烯膜等人工防渗材料（渗透系数不大于10</w:t>
            </w:r>
            <w:r>
              <w:rPr>
                <w:vertAlign w:val="superscript"/>
              </w:rPr>
              <w:t>-10</w:t>
            </w:r>
            <w:r>
              <w:t>cm/s），或其他防渗性能等效的材料</w:t>
            </w:r>
            <w:r>
              <w:rPr>
                <w:rFonts w:hint="eastAsia"/>
              </w:rPr>
              <w:t>；</w:t>
            </w:r>
          </w:p>
          <w:p w14:paraId="1939CD1A">
            <w:pPr>
              <w:ind w:firstLine="480"/>
            </w:pPr>
            <w:r>
              <w:rPr>
                <w:rFonts w:hint="eastAsia" w:ascii="宋体" w:hAnsi="宋体" w:cs="宋体"/>
              </w:rPr>
              <w:t>⑧</w:t>
            </w:r>
            <w:r>
              <w:t xml:space="preserve"> 危废仓内应按危险废物的种类和特征设置各类收集桶进行贮存，收集桶所用材料应防渗防腐。收集桶外围应设置20cm高的围堰，在围堰范围内地面和墙体应设置防渗防漏层。危险废物堆放要防风、防雨、防晒。采用双钥匙封闭式管理，24小时都有专人看管</w:t>
            </w:r>
            <w:r>
              <w:rPr>
                <w:rFonts w:hint="eastAsia"/>
              </w:rPr>
              <w:t>；</w:t>
            </w:r>
          </w:p>
          <w:p w14:paraId="406CDD01">
            <w:pPr>
              <w:ind w:firstLine="480"/>
            </w:pPr>
            <w:r>
              <w:rPr>
                <w:rFonts w:hint="eastAsia" w:ascii="宋体" w:hAnsi="宋体" w:cs="宋体"/>
              </w:rPr>
              <w:t>⑨</w:t>
            </w:r>
            <w:r>
              <w:t xml:space="preserve"> 应将产生的危险废物收集后交由有危险废物处理资质单位回收处置</w:t>
            </w:r>
            <w:r>
              <w:rPr>
                <w:rFonts w:hint="eastAsia"/>
              </w:rPr>
              <w:t>；</w:t>
            </w:r>
          </w:p>
          <w:p w14:paraId="6B64F69C">
            <w:pPr>
              <w:ind w:firstLine="480"/>
            </w:pPr>
            <w:r>
              <w:rPr>
                <w:rFonts w:hint="eastAsia" w:ascii="宋体" w:hAnsi="宋体" w:cs="宋体"/>
              </w:rPr>
              <w:t>⑩</w:t>
            </w:r>
            <w:r>
              <w:t xml:space="preserve"> 危险废物内部转运应综合考虑厂区的实际情况确认转运路线，尽量避开办公区。危险废物内部转运作业应采用专用的工具，危险废物内部转运应参照《危险废物收集、贮存、运输技术规范》（HJ 2025-2012）附录B填写《危险废物厂内转运记录表》</w:t>
            </w:r>
            <w:r>
              <w:rPr>
                <w:rFonts w:hint="eastAsia"/>
              </w:rPr>
              <w:t>；</w:t>
            </w:r>
          </w:p>
          <w:p w14:paraId="3C7B81CB">
            <w:pPr>
              <w:ind w:firstLine="480"/>
            </w:pPr>
            <w:r>
              <w:rPr>
                <w:rFonts w:hint="eastAsia" w:ascii="宋体" w:hAnsi="宋体" w:cs="宋体"/>
              </w:rPr>
              <w:t>⑪</w:t>
            </w:r>
            <w:r>
              <w:t xml:space="preserve"> 依法进行环境影响评价，完成</w:t>
            </w:r>
            <w:r>
              <w:rPr>
                <w:rFonts w:hint="eastAsia"/>
              </w:rPr>
              <w:t>“</w:t>
            </w:r>
            <w:r>
              <w:t>三同时</w:t>
            </w:r>
            <w:r>
              <w:rPr>
                <w:rFonts w:hint="eastAsia"/>
              </w:rPr>
              <w:t>”</w:t>
            </w:r>
            <w:r>
              <w:t>验收。建立危险废物贮存台账，并如实和规范记录危险废物贮存情况。</w:t>
            </w:r>
          </w:p>
          <w:p w14:paraId="5DF8BD2C">
            <w:pPr>
              <w:ind w:firstLine="480"/>
            </w:pPr>
            <w:r>
              <w:t>采取上述措施后，本项目产生的固体废物可以得到妥善处理和处置，对周围环境影响不明显。</w:t>
            </w:r>
          </w:p>
          <w:p w14:paraId="3C8379AE">
            <w:pPr>
              <w:ind w:firstLine="480"/>
            </w:pPr>
          </w:p>
          <w:p w14:paraId="7237A849">
            <w:pPr>
              <w:ind w:firstLine="480"/>
            </w:pPr>
            <w:r>
              <w:t>五、地下水、土壤环境影响分析</w:t>
            </w:r>
          </w:p>
          <w:p w14:paraId="078CE916">
            <w:pPr>
              <w:ind w:firstLine="480"/>
            </w:pPr>
            <w:r>
              <w:t>本项目占地范围内进行硬底化处理，生产区按要求做好防渗措施，危险废物暂存间严格按照《危险废物贮存污染控制标准》（GB 18597-2023）的有关规范设计，做到防渗防漏，因此本项目不存在地下水、土壤污染途径。</w:t>
            </w:r>
          </w:p>
          <w:p w14:paraId="7B8BBD88">
            <w:pPr>
              <w:ind w:firstLine="480"/>
            </w:pPr>
            <w:r>
              <w:t>六、生态环境影响分析</w:t>
            </w:r>
          </w:p>
          <w:p w14:paraId="170D96E2">
            <w:pPr>
              <w:ind w:firstLine="480"/>
            </w:pPr>
            <w:r>
              <w:t>项目所在区域为工业用地，用地范围内不含生态环境保护目标。</w:t>
            </w:r>
          </w:p>
          <w:p w14:paraId="03601E87">
            <w:pPr>
              <w:ind w:firstLine="480"/>
            </w:pPr>
            <w:r>
              <w:t>七、环境风险分析</w:t>
            </w:r>
          </w:p>
          <w:p w14:paraId="358286BA">
            <w:pPr>
              <w:ind w:firstLine="480"/>
            </w:pPr>
            <w:r>
              <w:t>环境风险评价的目的是分析和预测建设项目存在的潜在危险、有害因素，项目建设和运行期间可能发生的突发性事件或事故（一般不包括人为破坏及自然灾害），引起有毒有害和易燃易爆等物质泄漏，所造成的人身安全与环境影响和损害程度，提出合理可行的防范、应急与减缓措施，以使建设项目事故率，损失和环境影响达到可接受水平。</w:t>
            </w:r>
          </w:p>
          <w:p w14:paraId="77155786">
            <w:pPr>
              <w:ind w:firstLine="480"/>
            </w:pPr>
            <w:r>
              <w:t>（1）风险调查</w:t>
            </w:r>
          </w:p>
          <w:p w14:paraId="445AD518">
            <w:pPr>
              <w:ind w:firstLine="480"/>
            </w:pPr>
            <w:r>
              <w:t>根据《建设项目环境风险评价技术导则》（HJ 169-2018）附录B及《危险化学品重大危险源辨识》（GB 18218-2018）对项目进行辨识，项目生产过程中涉及的环境风险物质为</w:t>
            </w:r>
            <w:r>
              <w:rPr>
                <w:rFonts w:hint="eastAsia"/>
              </w:rPr>
              <w:t>废活性炭及其吸附物、废槽液、脱脂剂、硅烷处理剂、色浆、乳浆、液化石油气</w:t>
            </w:r>
            <w:r>
              <w:t>等。</w:t>
            </w:r>
          </w:p>
          <w:p w14:paraId="6BF72EF5">
            <w:pPr>
              <w:ind w:firstLine="480"/>
            </w:pPr>
            <w:r>
              <w:t>（</w:t>
            </w:r>
            <w:r>
              <w:rPr>
                <w:rFonts w:hint="eastAsia"/>
              </w:rPr>
              <w:t>2</w:t>
            </w:r>
            <w:r>
              <w:t>）环境风险潜势判定</w:t>
            </w:r>
          </w:p>
          <w:p w14:paraId="0052AFC4">
            <w:pPr>
              <w:ind w:firstLine="480"/>
            </w:pPr>
            <w:r>
              <w:t>根据《建设项目环境风险评价技术导则》（HJ 169-2018），环境风险评价工作等级分为一级、二级、三级。根据建设项目涉及的物质及工艺系统危险性和所在地环境敏感性确定环境风险潜势。风险评价工作等级见下表4-26。</w:t>
            </w:r>
          </w:p>
          <w:p w14:paraId="29125CC0">
            <w:pPr>
              <w:pStyle w:val="22"/>
              <w:rPr>
                <w:szCs w:val="21"/>
              </w:rPr>
            </w:pPr>
            <w:r>
              <w:rPr>
                <w:szCs w:val="21"/>
              </w:rPr>
              <w:t>表4-2</w:t>
            </w:r>
            <w:r>
              <w:rPr>
                <w:rFonts w:hint="eastAsia"/>
                <w:szCs w:val="21"/>
                <w:lang w:val="en-US" w:eastAsia="zh-CN"/>
              </w:rPr>
              <w:t>7</w:t>
            </w:r>
            <w:r>
              <w:rPr>
                <w:szCs w:val="21"/>
              </w:rPr>
              <w:t xml:space="preserve"> 风险评价工作等级</w:t>
            </w:r>
          </w:p>
          <w:tbl>
            <w:tblPr>
              <w:tblStyle w:val="2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9"/>
              <w:gridCol w:w="1610"/>
              <w:gridCol w:w="1610"/>
              <w:gridCol w:w="1610"/>
              <w:gridCol w:w="1613"/>
            </w:tblGrid>
            <w:tr w14:paraId="2E995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99" w:type="pct"/>
                  <w:vAlign w:val="center"/>
                </w:tcPr>
                <w:p w14:paraId="7ED29BCA">
                  <w:pPr>
                    <w:pStyle w:val="41"/>
                    <w:rPr>
                      <w:b/>
                      <w:bCs/>
                    </w:rPr>
                  </w:pPr>
                  <w:r>
                    <w:rPr>
                      <w:b/>
                      <w:bCs/>
                    </w:rPr>
                    <w:t>环境风险潜势</w:t>
                  </w:r>
                </w:p>
              </w:tc>
              <w:tc>
                <w:tcPr>
                  <w:tcW w:w="1000" w:type="pct"/>
                  <w:vAlign w:val="center"/>
                </w:tcPr>
                <w:p w14:paraId="3B975751">
                  <w:pPr>
                    <w:pStyle w:val="41"/>
                    <w:rPr>
                      <w:b/>
                      <w:bCs/>
                    </w:rPr>
                  </w:pPr>
                  <w:r>
                    <w:rPr>
                      <w:rFonts w:hint="eastAsia" w:ascii="宋体" w:hAnsi="宋体" w:cs="宋体"/>
                      <w:b/>
                      <w:bCs/>
                    </w:rPr>
                    <w:t>Ⅳ</w:t>
                  </w:r>
                  <w:r>
                    <w:rPr>
                      <w:b/>
                      <w:bCs/>
                    </w:rPr>
                    <w:t>、</w:t>
                  </w:r>
                  <w:r>
                    <w:rPr>
                      <w:rFonts w:hint="eastAsia" w:ascii="宋体" w:hAnsi="宋体" w:cs="宋体"/>
                      <w:b/>
                      <w:bCs/>
                    </w:rPr>
                    <w:t>Ⅳ</w:t>
                  </w:r>
                  <w:r>
                    <w:rPr>
                      <w:b/>
                      <w:bCs/>
                    </w:rPr>
                    <w:t>+</w:t>
                  </w:r>
                </w:p>
              </w:tc>
              <w:tc>
                <w:tcPr>
                  <w:tcW w:w="1000" w:type="pct"/>
                  <w:vAlign w:val="center"/>
                </w:tcPr>
                <w:p w14:paraId="43801BC4">
                  <w:pPr>
                    <w:pStyle w:val="41"/>
                    <w:rPr>
                      <w:b/>
                      <w:bCs/>
                    </w:rPr>
                  </w:pPr>
                  <w:r>
                    <w:rPr>
                      <w:rFonts w:hint="eastAsia" w:ascii="宋体" w:hAnsi="宋体" w:cs="宋体"/>
                      <w:b/>
                      <w:bCs/>
                    </w:rPr>
                    <w:t>Ⅲ</w:t>
                  </w:r>
                </w:p>
              </w:tc>
              <w:tc>
                <w:tcPr>
                  <w:tcW w:w="1000" w:type="pct"/>
                  <w:vAlign w:val="center"/>
                </w:tcPr>
                <w:p w14:paraId="14BFF017">
                  <w:pPr>
                    <w:pStyle w:val="41"/>
                    <w:rPr>
                      <w:b/>
                      <w:bCs/>
                    </w:rPr>
                  </w:pPr>
                  <w:r>
                    <w:rPr>
                      <w:rFonts w:hint="eastAsia" w:ascii="宋体" w:hAnsi="宋体" w:cs="宋体"/>
                      <w:b/>
                      <w:bCs/>
                    </w:rPr>
                    <w:t>Ⅱ</w:t>
                  </w:r>
                </w:p>
              </w:tc>
              <w:tc>
                <w:tcPr>
                  <w:tcW w:w="1000" w:type="pct"/>
                  <w:vAlign w:val="center"/>
                </w:tcPr>
                <w:p w14:paraId="70EC1F59">
                  <w:pPr>
                    <w:pStyle w:val="41"/>
                    <w:rPr>
                      <w:b/>
                      <w:bCs/>
                    </w:rPr>
                  </w:pPr>
                  <w:r>
                    <w:rPr>
                      <w:rFonts w:hint="eastAsia" w:ascii="宋体" w:hAnsi="宋体" w:cs="宋体"/>
                      <w:b/>
                      <w:bCs/>
                    </w:rPr>
                    <w:t>Ⅰ</w:t>
                  </w:r>
                </w:p>
              </w:tc>
            </w:tr>
            <w:tr w14:paraId="2718B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9" w:type="pct"/>
                  <w:vAlign w:val="center"/>
                </w:tcPr>
                <w:p w14:paraId="71F0DA45">
                  <w:pPr>
                    <w:pStyle w:val="41"/>
                  </w:pPr>
                  <w:r>
                    <w:t>评价工作等级</w:t>
                  </w:r>
                </w:p>
              </w:tc>
              <w:tc>
                <w:tcPr>
                  <w:tcW w:w="1000" w:type="pct"/>
                  <w:vAlign w:val="center"/>
                </w:tcPr>
                <w:p w14:paraId="583604A0">
                  <w:pPr>
                    <w:pStyle w:val="41"/>
                  </w:pPr>
                  <w:r>
                    <w:t>一</w:t>
                  </w:r>
                </w:p>
              </w:tc>
              <w:tc>
                <w:tcPr>
                  <w:tcW w:w="1000" w:type="pct"/>
                  <w:vAlign w:val="center"/>
                </w:tcPr>
                <w:p w14:paraId="7D8F3419">
                  <w:pPr>
                    <w:pStyle w:val="41"/>
                  </w:pPr>
                  <w:r>
                    <w:t>二</w:t>
                  </w:r>
                </w:p>
              </w:tc>
              <w:tc>
                <w:tcPr>
                  <w:tcW w:w="1000" w:type="pct"/>
                  <w:vAlign w:val="center"/>
                </w:tcPr>
                <w:p w14:paraId="073B7986">
                  <w:pPr>
                    <w:pStyle w:val="41"/>
                  </w:pPr>
                  <w:r>
                    <w:t>三</w:t>
                  </w:r>
                </w:p>
              </w:tc>
              <w:tc>
                <w:tcPr>
                  <w:tcW w:w="1000" w:type="pct"/>
                  <w:vAlign w:val="center"/>
                </w:tcPr>
                <w:p w14:paraId="7CB08822">
                  <w:pPr>
                    <w:pStyle w:val="41"/>
                  </w:pPr>
                  <w:r>
                    <w:t>简单分析a</w:t>
                  </w:r>
                </w:p>
              </w:tc>
            </w:tr>
            <w:tr w14:paraId="40CE5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5"/>
                  <w:vAlign w:val="center"/>
                </w:tcPr>
                <w:p w14:paraId="6C78ED6A">
                  <w:pPr>
                    <w:pStyle w:val="41"/>
                  </w:pPr>
                  <w:r>
                    <w:t>a是相对于详细评价工作内容而言，在描述危险物质、环境影响途径、环境危害后果、风险防范措施等方面给出定性的说明。</w:t>
                  </w:r>
                </w:p>
              </w:tc>
            </w:tr>
          </w:tbl>
          <w:p w14:paraId="4BB0DC21">
            <w:pPr>
              <w:ind w:firstLine="480"/>
            </w:pPr>
            <w:r>
              <w:t>建设项目环境风险潜势划分为Ⅰ、Ⅱ、Ⅲ、Ⅳ/Ⅳ+级。按下表确定环境风险潜势。</w:t>
            </w:r>
          </w:p>
          <w:p w14:paraId="1681B088">
            <w:pPr>
              <w:ind w:firstLine="480"/>
            </w:pPr>
            <w:r>
              <w:t>其中危险物质数量与临界量比值（Q）按以下方法确定：</w:t>
            </w:r>
          </w:p>
          <w:p w14:paraId="47481236">
            <w:pPr>
              <w:ind w:firstLine="480"/>
            </w:pPr>
            <w:r>
              <w:t>当只涉及一种环境风险物质时，计算该物质的总数量与其临界量比值，即为Q；</w:t>
            </w:r>
          </w:p>
          <w:p w14:paraId="41ADF9C7">
            <w:pPr>
              <w:ind w:firstLine="480"/>
            </w:pPr>
            <w:r>
              <w:t>当存在多种环境风险物质时，则按下式计算物质数量与其临界量比值（Q）：</w:t>
            </w:r>
          </w:p>
          <w:p w14:paraId="455F50FC">
            <w:pPr>
              <w:ind w:firstLine="480"/>
              <w:jc w:val="center"/>
            </w:pPr>
            <w:r>
              <w:t>Q=q1/Q1+q2/Q2+..+q/Qn</w:t>
            </w:r>
          </w:p>
          <w:p w14:paraId="4490B963">
            <w:pPr>
              <w:ind w:firstLine="480"/>
            </w:pPr>
            <w:r>
              <w:t>式中：q1、q2...、qn－每种危险物质实际存在量（t）：</w:t>
            </w:r>
          </w:p>
          <w:p w14:paraId="2B1A2874">
            <w:pPr>
              <w:ind w:firstLine="480"/>
            </w:pPr>
            <w:r>
              <w:t>Q、Q2、…、Qn－与各危险物质相对应的生产场所或贮存区的临界量（t）</w:t>
            </w:r>
          </w:p>
          <w:p w14:paraId="44670FC3">
            <w:pPr>
              <w:ind w:firstLine="480"/>
            </w:pPr>
            <w:r>
              <w:t>当Q＜1时，该项目环境风险潜势为Ⅰ。</w:t>
            </w:r>
          </w:p>
          <w:p w14:paraId="4283213A">
            <w:pPr>
              <w:ind w:firstLine="480"/>
            </w:pPr>
            <w:r>
              <w:t>当Q≥1时，将Q值划分为（1）1≤Q＜10：（2）1≤Q＜100：（3）Q≥100</w:t>
            </w:r>
          </w:p>
          <w:p w14:paraId="249D0B9D">
            <w:pPr>
              <w:ind w:firstLine="480"/>
            </w:pPr>
            <w:r>
              <w:t>项目使用的危险化学品其Q值计算如下。</w:t>
            </w:r>
          </w:p>
          <w:p w14:paraId="1513BF30">
            <w:pPr>
              <w:pStyle w:val="22"/>
              <w:rPr>
                <w:szCs w:val="21"/>
              </w:rPr>
            </w:pPr>
            <w:r>
              <w:rPr>
                <w:szCs w:val="21"/>
              </w:rPr>
              <w:t>表4-2</w:t>
            </w:r>
            <w:r>
              <w:rPr>
                <w:rFonts w:hint="eastAsia"/>
                <w:szCs w:val="21"/>
                <w:lang w:val="en-US" w:eastAsia="zh-CN"/>
              </w:rPr>
              <w:t>8</w:t>
            </w:r>
            <w:r>
              <w:rPr>
                <w:szCs w:val="21"/>
              </w:rPr>
              <w:t xml:space="preserve"> 危险物质数量与临界量比值Q核算表</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8"/>
              <w:gridCol w:w="1701"/>
              <w:gridCol w:w="1842"/>
              <w:gridCol w:w="1602"/>
              <w:gridCol w:w="1823"/>
            </w:tblGrid>
            <w:tr w14:paraId="2D6DA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61F8B4CB">
                  <w:pPr>
                    <w:pStyle w:val="41"/>
                    <w:rPr>
                      <w:b/>
                      <w:bCs/>
                    </w:rPr>
                  </w:pPr>
                  <w:r>
                    <w:rPr>
                      <w:b/>
                      <w:bCs/>
                    </w:rPr>
                    <w:t>序号</w:t>
                  </w:r>
                </w:p>
              </w:tc>
              <w:tc>
                <w:tcPr>
                  <w:tcW w:w="1701" w:type="dxa"/>
                  <w:vAlign w:val="center"/>
                </w:tcPr>
                <w:p w14:paraId="4F2E8FD6">
                  <w:pPr>
                    <w:pStyle w:val="41"/>
                    <w:rPr>
                      <w:b/>
                      <w:bCs/>
                    </w:rPr>
                  </w:pPr>
                  <w:r>
                    <w:rPr>
                      <w:b/>
                      <w:bCs/>
                    </w:rPr>
                    <w:t>类别</w:t>
                  </w:r>
                </w:p>
              </w:tc>
              <w:tc>
                <w:tcPr>
                  <w:tcW w:w="1842" w:type="dxa"/>
                  <w:vAlign w:val="center"/>
                </w:tcPr>
                <w:p w14:paraId="688983C2">
                  <w:pPr>
                    <w:pStyle w:val="41"/>
                    <w:rPr>
                      <w:b/>
                      <w:bCs/>
                    </w:rPr>
                  </w:pPr>
                  <w:r>
                    <w:rPr>
                      <w:b/>
                      <w:bCs/>
                    </w:rPr>
                    <w:t>最大存在总量（t）</w:t>
                  </w:r>
                </w:p>
              </w:tc>
              <w:tc>
                <w:tcPr>
                  <w:tcW w:w="1602" w:type="dxa"/>
                  <w:vAlign w:val="center"/>
                </w:tcPr>
                <w:p w14:paraId="0371CFB2">
                  <w:pPr>
                    <w:pStyle w:val="41"/>
                    <w:rPr>
                      <w:b/>
                      <w:bCs/>
                    </w:rPr>
                  </w:pPr>
                  <w:r>
                    <w:rPr>
                      <w:b/>
                      <w:bCs/>
                    </w:rPr>
                    <w:t>临界量（t）</w:t>
                  </w:r>
                </w:p>
              </w:tc>
              <w:tc>
                <w:tcPr>
                  <w:tcW w:w="1823" w:type="dxa"/>
                  <w:vAlign w:val="center"/>
                </w:tcPr>
                <w:p w14:paraId="1785A5EA">
                  <w:pPr>
                    <w:pStyle w:val="41"/>
                    <w:rPr>
                      <w:b/>
                      <w:bCs/>
                    </w:rPr>
                  </w:pPr>
                  <w:r>
                    <w:rPr>
                      <w:b/>
                      <w:bCs/>
                    </w:rPr>
                    <w:t>比值/Q</w:t>
                  </w:r>
                </w:p>
              </w:tc>
            </w:tr>
            <w:tr w14:paraId="10097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5D459132">
                  <w:pPr>
                    <w:pStyle w:val="41"/>
                  </w:pPr>
                  <w:r>
                    <w:rPr>
                      <w:rFonts w:hint="eastAsia"/>
                    </w:rPr>
                    <w:t>1</w:t>
                  </w:r>
                </w:p>
              </w:tc>
              <w:tc>
                <w:tcPr>
                  <w:tcW w:w="1701" w:type="dxa"/>
                  <w:vAlign w:val="center"/>
                </w:tcPr>
                <w:p w14:paraId="50C175EC">
                  <w:pPr>
                    <w:pStyle w:val="41"/>
                  </w:pPr>
                  <w:r>
                    <w:rPr>
                      <w:rFonts w:ascii="宋体"/>
                    </w:rPr>
                    <w:t>废活性炭及其吸附物</w:t>
                  </w:r>
                </w:p>
              </w:tc>
              <w:tc>
                <w:tcPr>
                  <w:tcW w:w="1842" w:type="dxa"/>
                  <w:vAlign w:val="center"/>
                </w:tcPr>
                <w:p w14:paraId="7119642C">
                  <w:pPr>
                    <w:pStyle w:val="41"/>
                    <w:rPr>
                      <w:rFonts w:hint="default" w:eastAsia="宋体"/>
                      <w:lang w:val="en-US" w:eastAsia="zh-CN"/>
                    </w:rPr>
                  </w:pPr>
                  <w:r>
                    <w:rPr>
                      <w:rFonts w:hint="eastAsia"/>
                      <w:lang w:val="en-US" w:eastAsia="zh-CN"/>
                    </w:rPr>
                    <w:t>2.725</w:t>
                  </w:r>
                </w:p>
              </w:tc>
              <w:tc>
                <w:tcPr>
                  <w:tcW w:w="1602" w:type="dxa"/>
                  <w:vAlign w:val="center"/>
                </w:tcPr>
                <w:p w14:paraId="4F66DE5D">
                  <w:pPr>
                    <w:pStyle w:val="41"/>
                  </w:pPr>
                  <w:r>
                    <w:rPr>
                      <w:rFonts w:hint="eastAsia"/>
                    </w:rPr>
                    <w:t>50</w:t>
                  </w:r>
                </w:p>
              </w:tc>
              <w:tc>
                <w:tcPr>
                  <w:tcW w:w="1823" w:type="dxa"/>
                  <w:vAlign w:val="center"/>
                </w:tcPr>
                <w:p w14:paraId="7E042F2D">
                  <w:pPr>
                    <w:pStyle w:val="41"/>
                    <w:rPr>
                      <w:rFonts w:hint="default" w:eastAsia="宋体"/>
                      <w:lang w:val="en-US" w:eastAsia="zh-CN"/>
                    </w:rPr>
                  </w:pPr>
                  <w:r>
                    <w:rPr>
                      <w:rFonts w:hint="eastAsia"/>
                    </w:rPr>
                    <w:t>0.05</w:t>
                  </w:r>
                  <w:r>
                    <w:rPr>
                      <w:rFonts w:hint="eastAsia"/>
                      <w:lang w:val="en-US" w:eastAsia="zh-CN"/>
                    </w:rPr>
                    <w:t>45</w:t>
                  </w:r>
                </w:p>
              </w:tc>
            </w:tr>
            <w:tr w14:paraId="1BBCC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3BA5F117">
                  <w:pPr>
                    <w:pStyle w:val="41"/>
                  </w:pPr>
                  <w:r>
                    <w:rPr>
                      <w:rFonts w:hint="eastAsia"/>
                    </w:rPr>
                    <w:t>2</w:t>
                  </w:r>
                </w:p>
              </w:tc>
              <w:tc>
                <w:tcPr>
                  <w:tcW w:w="1701" w:type="dxa"/>
                  <w:vAlign w:val="center"/>
                </w:tcPr>
                <w:p w14:paraId="437EEA93">
                  <w:pPr>
                    <w:pStyle w:val="41"/>
                  </w:pPr>
                  <w:r>
                    <w:rPr>
                      <w:rFonts w:ascii="宋体"/>
                    </w:rPr>
                    <w:t>废槽液</w:t>
                  </w:r>
                </w:p>
              </w:tc>
              <w:tc>
                <w:tcPr>
                  <w:tcW w:w="1842" w:type="dxa"/>
                  <w:vAlign w:val="center"/>
                </w:tcPr>
                <w:p w14:paraId="68AEF7A7">
                  <w:pPr>
                    <w:pStyle w:val="41"/>
                    <w:rPr>
                      <w:rFonts w:hint="eastAsia" w:eastAsia="宋体"/>
                      <w:lang w:eastAsia="zh-CN"/>
                    </w:rPr>
                  </w:pPr>
                  <w:r>
                    <w:rPr>
                      <w:rFonts w:hint="eastAsia"/>
                      <w:lang w:val="en-US" w:eastAsia="zh-CN"/>
                    </w:rPr>
                    <w:t>4</w:t>
                  </w:r>
                </w:p>
              </w:tc>
              <w:tc>
                <w:tcPr>
                  <w:tcW w:w="1602" w:type="dxa"/>
                  <w:vAlign w:val="center"/>
                </w:tcPr>
                <w:p w14:paraId="3ED08C42">
                  <w:pPr>
                    <w:pStyle w:val="41"/>
                  </w:pPr>
                  <w:r>
                    <w:rPr>
                      <w:rFonts w:hint="eastAsia"/>
                    </w:rPr>
                    <w:t>50</w:t>
                  </w:r>
                </w:p>
              </w:tc>
              <w:tc>
                <w:tcPr>
                  <w:tcW w:w="1823" w:type="dxa"/>
                  <w:vAlign w:val="center"/>
                </w:tcPr>
                <w:p w14:paraId="140B3C2F">
                  <w:pPr>
                    <w:pStyle w:val="41"/>
                    <w:rPr>
                      <w:rFonts w:hint="eastAsia" w:eastAsia="宋体"/>
                      <w:lang w:eastAsia="zh-CN"/>
                    </w:rPr>
                  </w:pPr>
                  <w:r>
                    <w:rPr>
                      <w:rFonts w:hint="eastAsia"/>
                    </w:rPr>
                    <w:t>0.0</w:t>
                  </w:r>
                  <w:r>
                    <w:rPr>
                      <w:rFonts w:hint="eastAsia"/>
                      <w:lang w:val="en-US" w:eastAsia="zh-CN"/>
                    </w:rPr>
                    <w:t>8</w:t>
                  </w:r>
                </w:p>
              </w:tc>
            </w:tr>
            <w:tr w14:paraId="1DE23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2AF4AA37">
                  <w:pPr>
                    <w:pStyle w:val="41"/>
                  </w:pPr>
                  <w:r>
                    <w:rPr>
                      <w:rFonts w:hint="eastAsia"/>
                    </w:rPr>
                    <w:t>3</w:t>
                  </w:r>
                </w:p>
              </w:tc>
              <w:tc>
                <w:tcPr>
                  <w:tcW w:w="1701" w:type="dxa"/>
                  <w:vAlign w:val="center"/>
                </w:tcPr>
                <w:p w14:paraId="7E085F8C">
                  <w:pPr>
                    <w:pStyle w:val="41"/>
                  </w:pPr>
                  <w:r>
                    <w:rPr>
                      <w:rFonts w:hint="eastAsia"/>
                    </w:rPr>
                    <w:t>脱脂剂</w:t>
                  </w:r>
                </w:p>
              </w:tc>
              <w:tc>
                <w:tcPr>
                  <w:tcW w:w="1842" w:type="dxa"/>
                  <w:vAlign w:val="center"/>
                </w:tcPr>
                <w:p w14:paraId="7EC3D8E1">
                  <w:pPr>
                    <w:pStyle w:val="41"/>
                  </w:pPr>
                  <w:r>
                    <w:t>0.4</w:t>
                  </w:r>
                </w:p>
              </w:tc>
              <w:tc>
                <w:tcPr>
                  <w:tcW w:w="1602" w:type="dxa"/>
                  <w:vAlign w:val="center"/>
                </w:tcPr>
                <w:p w14:paraId="19E0DDA3">
                  <w:pPr>
                    <w:pStyle w:val="41"/>
                  </w:pPr>
                  <w:r>
                    <w:rPr>
                      <w:rFonts w:hint="eastAsia"/>
                    </w:rPr>
                    <w:t>50</w:t>
                  </w:r>
                </w:p>
              </w:tc>
              <w:tc>
                <w:tcPr>
                  <w:tcW w:w="1823" w:type="dxa"/>
                  <w:vAlign w:val="center"/>
                </w:tcPr>
                <w:p w14:paraId="3DAC1A7C">
                  <w:pPr>
                    <w:pStyle w:val="41"/>
                  </w:pPr>
                  <w:r>
                    <w:t>0.008</w:t>
                  </w:r>
                </w:p>
              </w:tc>
            </w:tr>
            <w:tr w14:paraId="3C7F8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685DEEB3">
                  <w:pPr>
                    <w:pStyle w:val="41"/>
                  </w:pPr>
                  <w:r>
                    <w:rPr>
                      <w:rFonts w:hint="eastAsia"/>
                    </w:rPr>
                    <w:t>4</w:t>
                  </w:r>
                </w:p>
              </w:tc>
              <w:tc>
                <w:tcPr>
                  <w:tcW w:w="1701" w:type="dxa"/>
                  <w:vAlign w:val="center"/>
                </w:tcPr>
                <w:p w14:paraId="7C8E4E54">
                  <w:pPr>
                    <w:pStyle w:val="41"/>
                  </w:pPr>
                  <w:r>
                    <w:rPr>
                      <w:rFonts w:hint="eastAsia"/>
                    </w:rPr>
                    <w:t>硅烷处理剂</w:t>
                  </w:r>
                </w:p>
              </w:tc>
              <w:tc>
                <w:tcPr>
                  <w:tcW w:w="1842" w:type="dxa"/>
                  <w:vAlign w:val="center"/>
                </w:tcPr>
                <w:p w14:paraId="354AAA7B">
                  <w:pPr>
                    <w:pStyle w:val="41"/>
                  </w:pPr>
                  <w:r>
                    <w:rPr>
                      <w:rFonts w:hint="eastAsia"/>
                    </w:rPr>
                    <w:t>0.4</w:t>
                  </w:r>
                </w:p>
              </w:tc>
              <w:tc>
                <w:tcPr>
                  <w:tcW w:w="1602" w:type="dxa"/>
                  <w:vAlign w:val="center"/>
                </w:tcPr>
                <w:p w14:paraId="557D289F">
                  <w:pPr>
                    <w:pStyle w:val="41"/>
                  </w:pPr>
                  <w:r>
                    <w:rPr>
                      <w:rFonts w:hint="eastAsia"/>
                    </w:rPr>
                    <w:t>50</w:t>
                  </w:r>
                </w:p>
              </w:tc>
              <w:tc>
                <w:tcPr>
                  <w:tcW w:w="1823" w:type="dxa"/>
                  <w:vAlign w:val="center"/>
                </w:tcPr>
                <w:p w14:paraId="26E652FA">
                  <w:pPr>
                    <w:pStyle w:val="41"/>
                  </w:pPr>
                  <w:r>
                    <w:rPr>
                      <w:rFonts w:hint="eastAsia"/>
                    </w:rPr>
                    <w:t>0.008</w:t>
                  </w:r>
                </w:p>
              </w:tc>
            </w:tr>
            <w:tr w14:paraId="1EF17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3DD557EF">
                  <w:pPr>
                    <w:pStyle w:val="41"/>
                  </w:pPr>
                  <w:r>
                    <w:rPr>
                      <w:rFonts w:hint="eastAsia"/>
                    </w:rPr>
                    <w:t>5</w:t>
                  </w:r>
                </w:p>
              </w:tc>
              <w:tc>
                <w:tcPr>
                  <w:tcW w:w="1701" w:type="dxa"/>
                  <w:vAlign w:val="center"/>
                </w:tcPr>
                <w:p w14:paraId="6279DECE">
                  <w:pPr>
                    <w:pStyle w:val="41"/>
                  </w:pPr>
                  <w:r>
                    <w:rPr>
                      <w:rFonts w:hint="eastAsia"/>
                    </w:rPr>
                    <w:t>色浆</w:t>
                  </w:r>
                </w:p>
              </w:tc>
              <w:tc>
                <w:tcPr>
                  <w:tcW w:w="1842" w:type="dxa"/>
                  <w:vAlign w:val="center"/>
                </w:tcPr>
                <w:p w14:paraId="7A938CFC">
                  <w:pPr>
                    <w:pStyle w:val="41"/>
                  </w:pPr>
                  <w:r>
                    <w:rPr>
                      <w:rFonts w:hint="eastAsia"/>
                    </w:rPr>
                    <w:t>0.54</w:t>
                  </w:r>
                </w:p>
              </w:tc>
              <w:tc>
                <w:tcPr>
                  <w:tcW w:w="1602" w:type="dxa"/>
                  <w:vAlign w:val="center"/>
                </w:tcPr>
                <w:p w14:paraId="03B4E7AC">
                  <w:pPr>
                    <w:pStyle w:val="41"/>
                  </w:pPr>
                  <w:r>
                    <w:rPr>
                      <w:rFonts w:hint="eastAsia"/>
                    </w:rPr>
                    <w:t>50</w:t>
                  </w:r>
                </w:p>
              </w:tc>
              <w:tc>
                <w:tcPr>
                  <w:tcW w:w="1823" w:type="dxa"/>
                  <w:vAlign w:val="center"/>
                </w:tcPr>
                <w:p w14:paraId="2D8496C1">
                  <w:pPr>
                    <w:pStyle w:val="41"/>
                  </w:pPr>
                  <w:r>
                    <w:rPr>
                      <w:rFonts w:hint="eastAsia"/>
                    </w:rPr>
                    <w:t>0.0108</w:t>
                  </w:r>
                </w:p>
              </w:tc>
            </w:tr>
            <w:tr w14:paraId="24A7E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4077AEA3">
                  <w:pPr>
                    <w:pStyle w:val="41"/>
                  </w:pPr>
                  <w:r>
                    <w:rPr>
                      <w:rFonts w:hint="eastAsia"/>
                    </w:rPr>
                    <w:t>6</w:t>
                  </w:r>
                </w:p>
              </w:tc>
              <w:tc>
                <w:tcPr>
                  <w:tcW w:w="1701" w:type="dxa"/>
                  <w:vAlign w:val="center"/>
                </w:tcPr>
                <w:p w14:paraId="115C3CDB">
                  <w:pPr>
                    <w:pStyle w:val="41"/>
                  </w:pPr>
                  <w:r>
                    <w:rPr>
                      <w:rFonts w:hint="eastAsia"/>
                    </w:rPr>
                    <w:t>乳浆</w:t>
                  </w:r>
                </w:p>
              </w:tc>
              <w:tc>
                <w:tcPr>
                  <w:tcW w:w="1842" w:type="dxa"/>
                  <w:vAlign w:val="center"/>
                </w:tcPr>
                <w:p w14:paraId="252B6213">
                  <w:pPr>
                    <w:pStyle w:val="41"/>
                  </w:pPr>
                  <w:r>
                    <w:rPr>
                      <w:rFonts w:hint="eastAsia"/>
                    </w:rPr>
                    <w:t>2.76</w:t>
                  </w:r>
                </w:p>
              </w:tc>
              <w:tc>
                <w:tcPr>
                  <w:tcW w:w="1602" w:type="dxa"/>
                  <w:vAlign w:val="center"/>
                </w:tcPr>
                <w:p w14:paraId="33E8F300">
                  <w:pPr>
                    <w:pStyle w:val="41"/>
                  </w:pPr>
                  <w:r>
                    <w:rPr>
                      <w:rFonts w:hint="eastAsia"/>
                    </w:rPr>
                    <w:t>50</w:t>
                  </w:r>
                </w:p>
              </w:tc>
              <w:tc>
                <w:tcPr>
                  <w:tcW w:w="1823" w:type="dxa"/>
                  <w:vAlign w:val="center"/>
                </w:tcPr>
                <w:p w14:paraId="1F0DE749">
                  <w:pPr>
                    <w:pStyle w:val="41"/>
                  </w:pPr>
                  <w:r>
                    <w:rPr>
                      <w:rFonts w:hint="eastAsia"/>
                    </w:rPr>
                    <w:t>0.0552</w:t>
                  </w:r>
                </w:p>
              </w:tc>
            </w:tr>
            <w:tr w14:paraId="4E002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18" w:type="dxa"/>
                  <w:vAlign w:val="center"/>
                </w:tcPr>
                <w:p w14:paraId="0A0A7FF9">
                  <w:pPr>
                    <w:pStyle w:val="41"/>
                  </w:pPr>
                  <w:r>
                    <w:rPr>
                      <w:rFonts w:hint="eastAsia"/>
                    </w:rPr>
                    <w:t>7</w:t>
                  </w:r>
                </w:p>
              </w:tc>
              <w:tc>
                <w:tcPr>
                  <w:tcW w:w="1701" w:type="dxa"/>
                  <w:vAlign w:val="center"/>
                </w:tcPr>
                <w:p w14:paraId="06132696">
                  <w:pPr>
                    <w:pStyle w:val="41"/>
                  </w:pPr>
                  <w:r>
                    <w:rPr>
                      <w:rFonts w:hint="eastAsia"/>
                    </w:rPr>
                    <w:t>液化石油气</w:t>
                  </w:r>
                </w:p>
              </w:tc>
              <w:tc>
                <w:tcPr>
                  <w:tcW w:w="1842" w:type="dxa"/>
                  <w:vAlign w:val="center"/>
                </w:tcPr>
                <w:p w14:paraId="57218F58">
                  <w:pPr>
                    <w:pStyle w:val="41"/>
                  </w:pPr>
                  <w:r>
                    <w:rPr>
                      <w:rFonts w:hint="eastAsia"/>
                    </w:rPr>
                    <w:t>0.4</w:t>
                  </w:r>
                </w:p>
              </w:tc>
              <w:tc>
                <w:tcPr>
                  <w:tcW w:w="1602" w:type="dxa"/>
                  <w:vAlign w:val="center"/>
                </w:tcPr>
                <w:p w14:paraId="6C1A2A36">
                  <w:pPr>
                    <w:pStyle w:val="41"/>
                  </w:pPr>
                  <w:r>
                    <w:rPr>
                      <w:rFonts w:hint="eastAsia"/>
                    </w:rPr>
                    <w:t>10</w:t>
                  </w:r>
                </w:p>
              </w:tc>
              <w:tc>
                <w:tcPr>
                  <w:tcW w:w="1823" w:type="dxa"/>
                  <w:vAlign w:val="center"/>
                </w:tcPr>
                <w:p w14:paraId="041CF0FE">
                  <w:pPr>
                    <w:pStyle w:val="41"/>
                  </w:pPr>
                  <w:r>
                    <w:rPr>
                      <w:rFonts w:hint="eastAsia"/>
                    </w:rPr>
                    <w:t>0.04</w:t>
                  </w:r>
                </w:p>
              </w:tc>
            </w:tr>
            <w:tr w14:paraId="49DB1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63" w:type="dxa"/>
                  <w:gridSpan w:val="4"/>
                  <w:vAlign w:val="center"/>
                </w:tcPr>
                <w:p w14:paraId="67FA4636">
                  <w:pPr>
                    <w:pStyle w:val="41"/>
                  </w:pPr>
                  <w:r>
                    <w:t>合计</w:t>
                  </w:r>
                </w:p>
              </w:tc>
              <w:tc>
                <w:tcPr>
                  <w:tcW w:w="1823" w:type="dxa"/>
                  <w:vAlign w:val="center"/>
                </w:tcPr>
                <w:p w14:paraId="5E6DE48E">
                  <w:pPr>
                    <w:pStyle w:val="41"/>
                    <w:rPr>
                      <w:rFonts w:hint="eastAsia" w:eastAsia="宋体"/>
                      <w:lang w:eastAsia="zh-CN"/>
                    </w:rPr>
                  </w:pPr>
                  <w:r>
                    <w:rPr>
                      <w:rFonts w:hint="eastAsia"/>
                    </w:rPr>
                    <w:t>0.2</w:t>
                  </w:r>
                  <w:r>
                    <w:rPr>
                      <w:rFonts w:hint="eastAsia"/>
                      <w:lang w:val="en-US" w:eastAsia="zh-CN"/>
                    </w:rPr>
                    <w:t>6</w:t>
                  </w:r>
                </w:p>
              </w:tc>
            </w:tr>
            <w:tr w14:paraId="300CB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86" w:type="dxa"/>
                  <w:gridSpan w:val="5"/>
                  <w:vAlign w:val="center"/>
                </w:tcPr>
                <w:p w14:paraId="2CF286B3">
                  <w:pPr>
                    <w:pStyle w:val="41"/>
                  </w:pPr>
                  <w:r>
                    <w:t>注：1、</w:t>
                  </w:r>
                  <w:r>
                    <w:rPr>
                      <w:rFonts w:hint="eastAsia"/>
                    </w:rPr>
                    <w:t>废活性炭及其吸附物、废槽液、脱脂剂、硅烷处理剂、色浆、乳浆、液化石油气</w:t>
                  </w:r>
                  <w:r>
                    <w:t>等临界量参考《建设项目环境风险评价技术导则》</w:t>
                  </w:r>
                  <w:r>
                    <w:rPr>
                      <w:rFonts w:hint="eastAsia"/>
                    </w:rPr>
                    <w:t>（</w:t>
                  </w:r>
                  <w:r>
                    <w:t>HJ 169-2018</w:t>
                  </w:r>
                  <w:r>
                    <w:rPr>
                      <w:rFonts w:hint="eastAsia"/>
                    </w:rPr>
                    <w:t>）</w:t>
                  </w:r>
                  <w:r>
                    <w:t>表B.2中的其他危险物质临界量推荐值；</w:t>
                  </w:r>
                  <w:r>
                    <w:rPr>
                      <w:rFonts w:hint="eastAsia"/>
                    </w:rPr>
                    <w:t>液化石油气临界量参考《建设项目环境风险评价技术导则》（HJ 169-2018）表B.1石油气物质临界量推荐值。</w:t>
                  </w:r>
                </w:p>
                <w:p w14:paraId="185E41D6">
                  <w:pPr>
                    <w:pStyle w:val="41"/>
                  </w:pPr>
                  <w:r>
                    <w:t>2、项目产生的危险废物最大存在总量按产生量/转运周期计算。</w:t>
                  </w:r>
                </w:p>
              </w:tc>
            </w:tr>
          </w:tbl>
          <w:p w14:paraId="1D0B080C">
            <w:pPr>
              <w:ind w:firstLine="480"/>
            </w:pPr>
            <w:r>
              <w:t>如上表所示，本项目Q=0.</w:t>
            </w:r>
            <w:r>
              <w:rPr>
                <w:rFonts w:hint="eastAsia"/>
              </w:rPr>
              <w:t>2</w:t>
            </w:r>
            <w:r>
              <w:rPr>
                <w:rFonts w:hint="eastAsia"/>
                <w:lang w:val="en-US" w:eastAsia="zh-CN"/>
              </w:rPr>
              <w:t>6</w:t>
            </w:r>
            <w:r>
              <w:t>＜1，项目环境风险潜势为Ⅰ。</w:t>
            </w:r>
          </w:p>
          <w:p w14:paraId="6A697F18">
            <w:pPr>
              <w:ind w:firstLine="480"/>
            </w:pPr>
            <w:r>
              <w:t>根据《建设项目环境影响报告表编制技术指南（污染影响类）（试行）》中</w:t>
            </w:r>
            <w:r>
              <w:rPr>
                <w:rFonts w:hint="eastAsia"/>
              </w:rPr>
              <w:t>“</w:t>
            </w:r>
            <w:r>
              <w:t>表1专项评价设置原则表</w:t>
            </w:r>
            <w:r>
              <w:rPr>
                <w:rFonts w:hint="eastAsia"/>
              </w:rPr>
              <w:t>”</w:t>
            </w:r>
            <w:r>
              <w:t>的要求，本项目Q＜1，无需设置环境风险专项评价，本项目仅进行简单分析。</w:t>
            </w:r>
          </w:p>
          <w:p w14:paraId="3A5B4176">
            <w:pPr>
              <w:ind w:firstLine="480"/>
            </w:pPr>
            <w:r>
              <w:t>（3）环境风险识别</w:t>
            </w:r>
          </w:p>
          <w:p w14:paraId="1A6854FD">
            <w:pPr>
              <w:ind w:firstLine="480"/>
            </w:pPr>
            <w:r>
              <w:t>根据《危险化学品重大危险源识别》</w:t>
            </w:r>
            <w:r>
              <w:rPr>
                <w:rFonts w:hint="eastAsia"/>
              </w:rPr>
              <w:t>（</w:t>
            </w:r>
            <w:r>
              <w:t>GB 18218-2018</w:t>
            </w:r>
            <w:r>
              <w:rPr>
                <w:rFonts w:hint="eastAsia"/>
              </w:rPr>
              <w:t>）</w:t>
            </w:r>
            <w:r>
              <w:t>，本项目各环境风险物质常储量未超出临界量，不识别为重大危险源。项目主要环境风险为危险物质（</w:t>
            </w:r>
            <w:r>
              <w:rPr>
                <w:rFonts w:hint="eastAsia"/>
              </w:rPr>
              <w:t>废活性炭及其吸附物、废槽液、脱脂剂、硅烷处理剂、色浆、乳浆、液化石油气</w:t>
            </w:r>
            <w:r>
              <w:t>等）泄漏及次生火灾事故。以下评价针对可能产生的环境风险提出相应环境风险防范措施。</w:t>
            </w:r>
          </w:p>
          <w:p w14:paraId="5383B93F">
            <w:pPr>
              <w:ind w:firstLine="480"/>
            </w:pPr>
            <w:r>
              <w:t>（4）环境风险事故分析</w:t>
            </w:r>
          </w:p>
          <w:p w14:paraId="2D8FB4B8">
            <w:pPr>
              <w:ind w:firstLine="480"/>
            </w:pPr>
            <w:r>
              <w:rPr>
                <w:rFonts w:hint="eastAsia" w:ascii="宋体" w:hAnsi="宋体" w:cs="宋体"/>
              </w:rPr>
              <w:t>①</w:t>
            </w:r>
            <w:r>
              <w:t>危险物质泄漏</w:t>
            </w:r>
          </w:p>
          <w:p w14:paraId="6C30ABA1">
            <w:pPr>
              <w:ind w:firstLine="480"/>
            </w:pPr>
            <w:r>
              <w:t>本项目</w:t>
            </w:r>
            <w:r>
              <w:rPr>
                <w:rFonts w:hint="eastAsia"/>
              </w:rPr>
              <w:t>废原料桶、废活性炭及其吸附物、废槽液、脱脂剂、硅烷处理剂、色浆、乳浆、液化石油气</w:t>
            </w:r>
            <w:r>
              <w:t>等危险物若发生泄漏，未及时处理会导致环境污染事件，会造成水体及土壤环境污染。因本项目各危险物质</w:t>
            </w:r>
            <w:r>
              <w:rPr>
                <w:rFonts w:hint="eastAsia"/>
              </w:rPr>
              <w:t>存放</w:t>
            </w:r>
            <w:r>
              <w:t>量少，泄漏很少，在厂区内可以处理，不会泄露到厂外，对外部环境基本无影响。</w:t>
            </w:r>
          </w:p>
          <w:p w14:paraId="09CD3679">
            <w:pPr>
              <w:ind w:firstLine="480"/>
            </w:pPr>
            <w:r>
              <w:rPr>
                <w:rFonts w:hint="eastAsia" w:ascii="宋体" w:hAnsi="宋体" w:cs="宋体"/>
              </w:rPr>
              <w:t>②</w:t>
            </w:r>
            <w:r>
              <w:t>火灾爆炸事故</w:t>
            </w:r>
          </w:p>
          <w:p w14:paraId="46471FC8">
            <w:pPr>
              <w:ind w:firstLine="480"/>
            </w:pPr>
            <w:r>
              <w:t>危险物质泄漏导致火灾事故，未完全燃烧产生的有毒有害物质，以及完全燃烧后伴生/次生的有害物质进入环境空气，从而对大气环境造成影响，次生物质为CO。</w:t>
            </w:r>
          </w:p>
          <w:p w14:paraId="3FB94544">
            <w:pPr>
              <w:ind w:firstLine="480"/>
            </w:pPr>
            <w:r>
              <w:t>（5）环境风险防范措施</w:t>
            </w:r>
          </w:p>
          <w:p w14:paraId="3BC7B5D6">
            <w:pPr>
              <w:ind w:firstLine="480"/>
            </w:pPr>
            <w:r>
              <w:rPr>
                <w:rFonts w:hint="eastAsia" w:ascii="宋体" w:hAnsi="宋体" w:cs="宋体"/>
              </w:rPr>
              <w:t>①</w:t>
            </w:r>
            <w:r>
              <w:t>为保证人身安全和设备正常运转，应制定各工序生产操作规程和防火规程；</w:t>
            </w:r>
          </w:p>
          <w:p w14:paraId="2DCD6632">
            <w:pPr>
              <w:ind w:firstLine="480"/>
            </w:pPr>
            <w:r>
              <w:rPr>
                <w:rFonts w:hint="eastAsia" w:ascii="宋体" w:hAnsi="宋体" w:cs="宋体"/>
              </w:rPr>
              <w:t>②</w:t>
            </w:r>
            <w:r>
              <w:t>危废经收集暂存在危废暂存间，项目危废暂存间应采用重点防渗、防雨、防风、防流失，储存废切削液、废火花油的桶下均设置防渗托盘接漏；</w:t>
            </w:r>
          </w:p>
          <w:p w14:paraId="2B9D3B91">
            <w:pPr>
              <w:ind w:firstLine="480"/>
            </w:pPr>
            <w:r>
              <w:rPr>
                <w:rFonts w:hint="eastAsia" w:ascii="宋体" w:hAnsi="宋体" w:cs="宋体"/>
              </w:rPr>
              <w:t>③</w:t>
            </w:r>
            <w:r>
              <w:t>本项目所用危险物质均用桶装，随买随用，厂区内不大量储存，如泄漏，尽快用抹布擦拭，统一收集至指定区域的收集桶内。</w:t>
            </w:r>
          </w:p>
          <w:p w14:paraId="221C4BBC">
            <w:pPr>
              <w:ind w:firstLine="480"/>
            </w:pPr>
            <w:r>
              <w:rPr>
                <w:rFonts w:hint="eastAsia" w:ascii="宋体" w:hAnsi="宋体" w:cs="宋体"/>
              </w:rPr>
              <w:t>④</w:t>
            </w:r>
            <w:r>
              <w:t>建设单位严格按照相关要求，应设置专人管理危废暂存间，完善和落实安全管理制度和岗位责任制；定期对储存区安全进行检查，并做好记录；在危险废物暂存间内要挂牌标识）。定期检查防渗、防漏性，确保不发生泄漏，应按照《危险废物贮存污染控制标准》（GB 18597-2023）的相关要求，贮存设施地面与裙脚应采取表面防渗措施；表面防渗材料应与所接触的物料或污染物相容，可采用抗渗混凝土、高密度聚乙烯膜、钠基膨润土防水毯或其他防渗性能等效的材料。贮存的危险废物直接接触地面的，还应进行基础防渗，防渗层为至少1m厚黏土层（渗透系数不大于10</w:t>
            </w:r>
            <w:r>
              <w:rPr>
                <w:vertAlign w:val="superscript"/>
              </w:rPr>
              <w:t>-7</w:t>
            </w:r>
            <w:r>
              <w:t>cm/s），或至少2mm厚高密度聚乙烯膜等人工防渗材料（渗透系数不大于10</w:t>
            </w:r>
            <w:r>
              <w:rPr>
                <w:vertAlign w:val="superscript"/>
              </w:rPr>
              <w:t>-10</w:t>
            </w:r>
            <w:r>
              <w:t>cm/s），或其他防渗性能等效的材料。危险废物定期交有资质单位处理，运输过程落实防渗、防漏措施。</w:t>
            </w:r>
          </w:p>
          <w:p w14:paraId="7955FC5D">
            <w:pPr>
              <w:ind w:firstLine="480"/>
            </w:pPr>
            <w:r>
              <w:t>（5）环境风险结论</w:t>
            </w:r>
          </w:p>
          <w:p w14:paraId="67ED88EA">
            <w:pPr>
              <w:ind w:firstLine="480"/>
            </w:pPr>
            <w:r>
              <w:t>建设单位只要按照设计要求严格施工，并在切实落实评价中所提出的各项综合风险防范、事故处置、应急措施的基础上，强化运营中的环境保护管理，可将风险事故降至最低。</w:t>
            </w:r>
          </w:p>
          <w:p w14:paraId="6A3EA833">
            <w:pPr>
              <w:ind w:firstLine="480"/>
            </w:pPr>
            <w:r>
              <w:t>本项目风险防范措施可行有效，风险事故的环境影响控制在可接受范围。</w:t>
            </w:r>
          </w:p>
          <w:p w14:paraId="6B678F96">
            <w:pPr>
              <w:ind w:firstLine="480"/>
            </w:pPr>
            <w:r>
              <w:t>九、电磁辐射</w:t>
            </w:r>
          </w:p>
          <w:p w14:paraId="3A5FC379">
            <w:pPr>
              <w:ind w:firstLine="480"/>
            </w:pPr>
            <w:r>
              <w:t>本项目不涉及电磁辐射。</w:t>
            </w:r>
          </w:p>
          <w:p w14:paraId="442BF2D9">
            <w:pPr>
              <w:ind w:firstLine="480"/>
            </w:pPr>
          </w:p>
          <w:p w14:paraId="13EEBE14">
            <w:pPr>
              <w:ind w:firstLine="480"/>
            </w:pPr>
          </w:p>
        </w:tc>
      </w:tr>
    </w:tbl>
    <w:p w14:paraId="0195EF39">
      <w:pPr>
        <w:pStyle w:val="21"/>
        <w:ind w:firstLine="600"/>
        <w:jc w:val="center"/>
        <w:outlineLvl w:val="0"/>
        <w:rPr>
          <w:rFonts w:ascii="Times New Roman" w:hAnsi="Times New Roman" w:eastAsia="黑体"/>
          <w:snapToGrid w:val="0"/>
          <w:sz w:val="30"/>
          <w:szCs w:val="30"/>
        </w:rPr>
      </w:pPr>
    </w:p>
    <w:p w14:paraId="1BF35B15">
      <w:pPr>
        <w:pStyle w:val="5"/>
        <w:ind w:firstLine="602"/>
        <w:rPr>
          <w:rFonts w:ascii="Times New Roman" w:hAnsi="Times New Roman"/>
        </w:rPr>
      </w:pPr>
      <w:r>
        <w:rPr>
          <w:rFonts w:ascii="Times New Roman" w:hAnsi="Times New Roman"/>
        </w:rPr>
        <w:t>五、</w:t>
      </w:r>
      <w:bookmarkStart w:id="3" w:name="_Hlk54167917"/>
      <w:r>
        <w:rPr>
          <w:rFonts w:ascii="Times New Roman" w:hAnsi="Times New Roman"/>
        </w:rPr>
        <w:t>环境保护措施监督检查清单</w:t>
      </w:r>
      <w:bookmarkEnd w:id="3"/>
    </w:p>
    <w:tbl>
      <w:tblPr>
        <w:tblStyle w:val="23"/>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698"/>
        <w:gridCol w:w="1710"/>
        <w:gridCol w:w="1714"/>
        <w:gridCol w:w="1714"/>
        <w:gridCol w:w="2219"/>
      </w:tblGrid>
      <w:tr w14:paraId="3C46A9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jc w:val="center"/>
        </w:trPr>
        <w:tc>
          <w:tcPr>
            <w:tcW w:w="938" w:type="pct"/>
            <w:tcBorders>
              <w:tl2br w:val="single" w:color="auto" w:sz="4" w:space="0"/>
            </w:tcBorders>
          </w:tcPr>
          <w:p w14:paraId="4AD92F27">
            <w:pPr>
              <w:pStyle w:val="41"/>
              <w:rPr>
                <w:b/>
                <w:bCs/>
              </w:rPr>
            </w:pPr>
            <w:r>
              <w:rPr>
                <w:b/>
                <w:bCs/>
              </w:rPr>
              <w:t>内容</w:t>
            </w:r>
          </w:p>
          <w:p w14:paraId="51A77D7D">
            <w:pPr>
              <w:pStyle w:val="41"/>
              <w:rPr>
                <w:b/>
                <w:bCs/>
              </w:rPr>
            </w:pPr>
            <w:r>
              <w:rPr>
                <w:b/>
                <w:bCs/>
              </w:rPr>
              <w:t>要素</w:t>
            </w:r>
          </w:p>
        </w:tc>
        <w:tc>
          <w:tcPr>
            <w:tcW w:w="944" w:type="pct"/>
            <w:vAlign w:val="center"/>
          </w:tcPr>
          <w:p w14:paraId="3C939BFA">
            <w:pPr>
              <w:pStyle w:val="41"/>
              <w:rPr>
                <w:b/>
                <w:bCs/>
              </w:rPr>
            </w:pPr>
            <w:r>
              <w:rPr>
                <w:b/>
                <w:bCs/>
              </w:rPr>
              <w:t>排放口</w:t>
            </w:r>
            <w:r>
              <w:rPr>
                <w:rFonts w:hint="eastAsia"/>
                <w:b/>
                <w:bCs/>
              </w:rPr>
              <w:t>（</w:t>
            </w:r>
            <w:r>
              <w:rPr>
                <w:b/>
                <w:bCs/>
              </w:rPr>
              <w:t>编号、</w:t>
            </w:r>
          </w:p>
          <w:p w14:paraId="15BE0956">
            <w:pPr>
              <w:pStyle w:val="41"/>
              <w:rPr>
                <w:b/>
                <w:bCs/>
              </w:rPr>
            </w:pPr>
            <w:r>
              <w:rPr>
                <w:b/>
                <w:bCs/>
              </w:rPr>
              <w:t>名称</w:t>
            </w:r>
            <w:r>
              <w:rPr>
                <w:rFonts w:hint="eastAsia"/>
                <w:b/>
                <w:bCs/>
              </w:rPr>
              <w:t>）</w:t>
            </w:r>
            <w:r>
              <w:rPr>
                <w:b/>
                <w:bCs/>
              </w:rPr>
              <w:t>/污染源</w:t>
            </w:r>
          </w:p>
        </w:tc>
        <w:tc>
          <w:tcPr>
            <w:tcW w:w="946" w:type="pct"/>
            <w:vAlign w:val="center"/>
          </w:tcPr>
          <w:p w14:paraId="25953E07">
            <w:pPr>
              <w:pStyle w:val="41"/>
              <w:rPr>
                <w:b/>
                <w:bCs/>
              </w:rPr>
            </w:pPr>
            <w:r>
              <w:rPr>
                <w:b/>
                <w:bCs/>
              </w:rPr>
              <w:t>污染物项目</w:t>
            </w:r>
          </w:p>
        </w:tc>
        <w:tc>
          <w:tcPr>
            <w:tcW w:w="946" w:type="pct"/>
            <w:tcBorders>
              <w:bottom w:val="single" w:color="auto" w:sz="4" w:space="0"/>
            </w:tcBorders>
            <w:vAlign w:val="center"/>
          </w:tcPr>
          <w:p w14:paraId="5E1FB0F0">
            <w:pPr>
              <w:pStyle w:val="41"/>
              <w:rPr>
                <w:b/>
                <w:bCs/>
              </w:rPr>
            </w:pPr>
            <w:r>
              <w:rPr>
                <w:b/>
                <w:bCs/>
              </w:rPr>
              <w:t>环境保护措施</w:t>
            </w:r>
          </w:p>
        </w:tc>
        <w:tc>
          <w:tcPr>
            <w:tcW w:w="1224" w:type="pct"/>
            <w:tcBorders>
              <w:bottom w:val="single" w:color="auto" w:sz="4" w:space="0"/>
            </w:tcBorders>
            <w:vAlign w:val="center"/>
          </w:tcPr>
          <w:p w14:paraId="478DF741">
            <w:pPr>
              <w:pStyle w:val="41"/>
              <w:rPr>
                <w:b/>
                <w:bCs/>
              </w:rPr>
            </w:pPr>
            <w:r>
              <w:rPr>
                <w:b/>
                <w:bCs/>
              </w:rPr>
              <w:t>执行标准</w:t>
            </w:r>
          </w:p>
        </w:tc>
      </w:tr>
      <w:tr w14:paraId="3918D0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938" w:type="pct"/>
            <w:vMerge w:val="restart"/>
            <w:vAlign w:val="center"/>
          </w:tcPr>
          <w:p w14:paraId="345780BC">
            <w:pPr>
              <w:pStyle w:val="41"/>
            </w:pPr>
            <w:r>
              <w:t>大气环境</w:t>
            </w:r>
          </w:p>
        </w:tc>
        <w:tc>
          <w:tcPr>
            <w:tcW w:w="944" w:type="pct"/>
            <w:vMerge w:val="restart"/>
            <w:vAlign w:val="center"/>
          </w:tcPr>
          <w:p w14:paraId="01FADDAA">
            <w:pPr>
              <w:pStyle w:val="41"/>
            </w:pPr>
            <w:r>
              <w:rPr>
                <w:rFonts w:hint="eastAsia"/>
              </w:rPr>
              <w:t>电泳烘干废气排放口DA003</w:t>
            </w:r>
          </w:p>
        </w:tc>
        <w:tc>
          <w:tcPr>
            <w:tcW w:w="946" w:type="pct"/>
            <w:vAlign w:val="center"/>
          </w:tcPr>
          <w:p w14:paraId="690B869E">
            <w:pPr>
              <w:pStyle w:val="41"/>
              <w:rPr>
                <w:rFonts w:hint="eastAsia" w:eastAsia="宋体"/>
                <w:lang w:eastAsia="zh-CN"/>
              </w:rPr>
            </w:pPr>
            <w:r>
              <w:rPr>
                <w:rFonts w:hint="eastAsia"/>
                <w:lang w:eastAsia="zh-CN"/>
              </w:rPr>
              <w:t>VOCs</w:t>
            </w:r>
          </w:p>
        </w:tc>
        <w:tc>
          <w:tcPr>
            <w:tcW w:w="946" w:type="pct"/>
            <w:vAlign w:val="center"/>
          </w:tcPr>
          <w:p w14:paraId="605843D2">
            <w:pPr>
              <w:pStyle w:val="41"/>
            </w:pPr>
            <w:r>
              <w:rPr>
                <w:rFonts w:hint="eastAsia"/>
                <w:lang w:eastAsia="zh-CN"/>
              </w:rPr>
              <w:t>喷淋塔+干式过滤+二级活性炭吸附装置</w:t>
            </w:r>
            <w:r>
              <w:t>吸附装置+15m高排气筒（DA00</w:t>
            </w:r>
            <w:r>
              <w:rPr>
                <w:rFonts w:hint="eastAsia"/>
              </w:rPr>
              <w:t>3</w:t>
            </w:r>
            <w:r>
              <w:t>）</w:t>
            </w:r>
          </w:p>
        </w:tc>
        <w:tc>
          <w:tcPr>
            <w:tcW w:w="1224" w:type="pct"/>
            <w:vAlign w:val="center"/>
          </w:tcPr>
          <w:p w14:paraId="34E42112">
            <w:pPr>
              <w:pStyle w:val="41"/>
            </w:pPr>
            <w:r>
              <w:rPr>
                <w:rFonts w:hint="eastAsia"/>
              </w:rPr>
              <w:t>广东省地方标准《固定污染源挥发性有机物综合排放标准》（DB44/2367-2022）表1挥发性有机物排放限值</w:t>
            </w:r>
          </w:p>
        </w:tc>
      </w:tr>
      <w:tr w14:paraId="5AD497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938" w:type="pct"/>
            <w:vMerge w:val="continue"/>
            <w:vAlign w:val="center"/>
          </w:tcPr>
          <w:p w14:paraId="47228E22">
            <w:pPr>
              <w:pStyle w:val="41"/>
              <w:rPr>
                <w:rFonts w:ascii="Calibri" w:hAnsi="Calibri" w:cs="Calibri"/>
              </w:rPr>
            </w:pPr>
          </w:p>
        </w:tc>
        <w:tc>
          <w:tcPr>
            <w:tcW w:w="944" w:type="pct"/>
            <w:vMerge w:val="continue"/>
            <w:vAlign w:val="center"/>
          </w:tcPr>
          <w:p w14:paraId="58724FD3">
            <w:pPr>
              <w:pStyle w:val="41"/>
            </w:pPr>
          </w:p>
        </w:tc>
        <w:tc>
          <w:tcPr>
            <w:tcW w:w="946" w:type="pct"/>
            <w:vAlign w:val="center"/>
          </w:tcPr>
          <w:p w14:paraId="2F1E66C5">
            <w:pPr>
              <w:pStyle w:val="41"/>
            </w:pPr>
            <w:r>
              <w:rPr>
                <w:rFonts w:hint="eastAsia"/>
              </w:rPr>
              <w:t>颗粒物、SO</w:t>
            </w:r>
            <w:r>
              <w:rPr>
                <w:rFonts w:hint="eastAsia"/>
                <w:vertAlign w:val="subscript"/>
              </w:rPr>
              <w:t>2</w:t>
            </w:r>
            <w:r>
              <w:rPr>
                <w:rFonts w:hint="eastAsia"/>
              </w:rPr>
              <w:t>、NOx</w:t>
            </w:r>
          </w:p>
        </w:tc>
        <w:tc>
          <w:tcPr>
            <w:tcW w:w="946" w:type="pct"/>
            <w:vAlign w:val="center"/>
          </w:tcPr>
          <w:p w14:paraId="4C9F7EAF">
            <w:pPr>
              <w:pStyle w:val="41"/>
            </w:pPr>
            <w:r>
              <w:rPr>
                <w:rFonts w:hint="eastAsia"/>
              </w:rPr>
              <w:t>15m高排气筒（DA003）</w:t>
            </w:r>
          </w:p>
        </w:tc>
        <w:tc>
          <w:tcPr>
            <w:tcW w:w="1224" w:type="pct"/>
            <w:vAlign w:val="center"/>
          </w:tcPr>
          <w:p w14:paraId="61F85FA7">
            <w:pPr>
              <w:pStyle w:val="41"/>
            </w:pPr>
            <w:r>
              <w:rPr>
                <w:rFonts w:hint="eastAsia"/>
              </w:rPr>
              <w:t>《工业炉窑大气污染综合治理方案》（环大气</w:t>
            </w:r>
            <w:r>
              <w:rPr>
                <w:rFonts w:hint="eastAsia"/>
                <w:lang w:eastAsia="zh-CN"/>
              </w:rPr>
              <w:t>〔</w:t>
            </w:r>
            <w:r>
              <w:rPr>
                <w:rFonts w:hint="eastAsia"/>
              </w:rPr>
              <w:t>2019</w:t>
            </w:r>
            <w:r>
              <w:rPr>
                <w:rFonts w:hint="eastAsia"/>
                <w:lang w:eastAsia="zh-CN"/>
              </w:rPr>
              <w:t>〕</w:t>
            </w:r>
            <w:r>
              <w:rPr>
                <w:rFonts w:hint="eastAsia"/>
              </w:rPr>
              <w:t>56号）中重点区域排放限值</w:t>
            </w:r>
          </w:p>
        </w:tc>
      </w:tr>
      <w:tr w14:paraId="2333E6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Merge w:val="continue"/>
            <w:vAlign w:val="center"/>
          </w:tcPr>
          <w:p w14:paraId="57E4B29F">
            <w:pPr>
              <w:pStyle w:val="41"/>
            </w:pPr>
          </w:p>
        </w:tc>
        <w:tc>
          <w:tcPr>
            <w:tcW w:w="944" w:type="pct"/>
            <w:vMerge w:val="restart"/>
            <w:vAlign w:val="center"/>
          </w:tcPr>
          <w:p w14:paraId="258F9124">
            <w:pPr>
              <w:pStyle w:val="41"/>
            </w:pPr>
            <w:r>
              <w:rPr>
                <w:rFonts w:hint="eastAsia"/>
              </w:rPr>
              <w:t>粉末固化废气排放口DA004</w:t>
            </w:r>
          </w:p>
        </w:tc>
        <w:tc>
          <w:tcPr>
            <w:tcW w:w="946" w:type="pct"/>
            <w:vAlign w:val="center"/>
          </w:tcPr>
          <w:p w14:paraId="0E1FC991">
            <w:pPr>
              <w:pStyle w:val="41"/>
              <w:rPr>
                <w:rFonts w:hint="eastAsia" w:eastAsia="宋体"/>
                <w:lang w:eastAsia="zh-CN"/>
              </w:rPr>
            </w:pPr>
            <w:r>
              <w:rPr>
                <w:rFonts w:hint="eastAsia"/>
                <w:lang w:eastAsia="zh-CN"/>
              </w:rPr>
              <w:t>VOCs</w:t>
            </w:r>
          </w:p>
        </w:tc>
        <w:tc>
          <w:tcPr>
            <w:tcW w:w="946" w:type="pct"/>
            <w:vAlign w:val="center"/>
          </w:tcPr>
          <w:p w14:paraId="1C33302C">
            <w:pPr>
              <w:pStyle w:val="41"/>
            </w:pPr>
            <w:r>
              <w:rPr>
                <w:rFonts w:hint="eastAsia"/>
                <w:lang w:eastAsia="zh-CN"/>
              </w:rPr>
              <w:t>喷淋塔+干式过滤+二级活性炭吸附装置</w:t>
            </w:r>
            <w:r>
              <w:rPr>
                <w:rFonts w:hint="eastAsia"/>
              </w:rPr>
              <w:t>吸附装置+15m高排气筒（DA004）</w:t>
            </w:r>
          </w:p>
        </w:tc>
        <w:tc>
          <w:tcPr>
            <w:tcW w:w="1224" w:type="pct"/>
            <w:vAlign w:val="center"/>
          </w:tcPr>
          <w:p w14:paraId="1E0530B1">
            <w:pPr>
              <w:pStyle w:val="41"/>
            </w:pPr>
            <w:r>
              <w:rPr>
                <w:rFonts w:hint="eastAsia"/>
              </w:rPr>
              <w:t>广东省地方标准《固定污染源挥发性有机物综合排放标准》（DB44/2367-2022）表1挥发性有机物排放限值</w:t>
            </w:r>
          </w:p>
        </w:tc>
      </w:tr>
      <w:tr w14:paraId="6C9EC0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jc w:val="center"/>
        </w:trPr>
        <w:tc>
          <w:tcPr>
            <w:tcW w:w="938" w:type="pct"/>
            <w:vMerge w:val="continue"/>
            <w:vAlign w:val="center"/>
          </w:tcPr>
          <w:p w14:paraId="7A0A4F82">
            <w:pPr>
              <w:pStyle w:val="41"/>
            </w:pPr>
          </w:p>
        </w:tc>
        <w:tc>
          <w:tcPr>
            <w:tcW w:w="944" w:type="pct"/>
            <w:vMerge w:val="continue"/>
            <w:vAlign w:val="center"/>
          </w:tcPr>
          <w:p w14:paraId="484E63EE">
            <w:pPr>
              <w:pStyle w:val="41"/>
            </w:pPr>
          </w:p>
        </w:tc>
        <w:tc>
          <w:tcPr>
            <w:tcW w:w="946" w:type="pct"/>
            <w:vAlign w:val="center"/>
          </w:tcPr>
          <w:p w14:paraId="1D50DA22">
            <w:pPr>
              <w:pStyle w:val="41"/>
            </w:pPr>
            <w:r>
              <w:rPr>
                <w:rFonts w:hint="eastAsia"/>
              </w:rPr>
              <w:t>颗粒物、SO</w:t>
            </w:r>
            <w:r>
              <w:rPr>
                <w:rFonts w:hint="eastAsia"/>
                <w:vertAlign w:val="subscript"/>
              </w:rPr>
              <w:t>2</w:t>
            </w:r>
            <w:r>
              <w:rPr>
                <w:rFonts w:hint="eastAsia"/>
              </w:rPr>
              <w:t>、NOx</w:t>
            </w:r>
          </w:p>
        </w:tc>
        <w:tc>
          <w:tcPr>
            <w:tcW w:w="946" w:type="pct"/>
            <w:vAlign w:val="center"/>
          </w:tcPr>
          <w:p w14:paraId="5410740C">
            <w:pPr>
              <w:pStyle w:val="41"/>
            </w:pPr>
            <w:r>
              <w:rPr>
                <w:rFonts w:hint="eastAsia"/>
              </w:rPr>
              <w:t>15m高排气筒（DA004）</w:t>
            </w:r>
          </w:p>
        </w:tc>
        <w:tc>
          <w:tcPr>
            <w:tcW w:w="1224" w:type="pct"/>
            <w:vAlign w:val="center"/>
          </w:tcPr>
          <w:p w14:paraId="747B6EDF">
            <w:pPr>
              <w:pStyle w:val="41"/>
            </w:pPr>
            <w:r>
              <w:rPr>
                <w:rFonts w:hint="eastAsia"/>
              </w:rPr>
              <w:t>《工业炉窑大气污染综合治理方案》（环大气</w:t>
            </w:r>
            <w:r>
              <w:rPr>
                <w:rFonts w:hint="eastAsia"/>
                <w:lang w:eastAsia="zh-CN"/>
              </w:rPr>
              <w:t>〔</w:t>
            </w:r>
            <w:r>
              <w:rPr>
                <w:rFonts w:hint="eastAsia"/>
              </w:rPr>
              <w:t>2019</w:t>
            </w:r>
            <w:r>
              <w:rPr>
                <w:rFonts w:hint="eastAsia"/>
                <w:lang w:eastAsia="zh-CN"/>
              </w:rPr>
              <w:t>〕</w:t>
            </w:r>
            <w:r>
              <w:rPr>
                <w:rFonts w:hint="eastAsia"/>
              </w:rPr>
              <w:t>56号）中重点区域排放限值</w:t>
            </w:r>
          </w:p>
        </w:tc>
      </w:tr>
      <w:tr w14:paraId="13CD21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Merge w:val="continue"/>
            <w:vAlign w:val="center"/>
          </w:tcPr>
          <w:p w14:paraId="34481509">
            <w:pPr>
              <w:pStyle w:val="41"/>
            </w:pPr>
          </w:p>
        </w:tc>
        <w:tc>
          <w:tcPr>
            <w:tcW w:w="944" w:type="pct"/>
            <w:vAlign w:val="center"/>
          </w:tcPr>
          <w:p w14:paraId="1CD8BAE8">
            <w:pPr>
              <w:pStyle w:val="41"/>
            </w:pPr>
            <w:r>
              <w:rPr>
                <w:rFonts w:hint="eastAsia"/>
              </w:rPr>
              <w:t>喷砂废气排放口DA002</w:t>
            </w:r>
          </w:p>
        </w:tc>
        <w:tc>
          <w:tcPr>
            <w:tcW w:w="946" w:type="pct"/>
            <w:vAlign w:val="center"/>
          </w:tcPr>
          <w:p w14:paraId="1F536CA0">
            <w:pPr>
              <w:pStyle w:val="41"/>
            </w:pPr>
            <w:r>
              <w:rPr>
                <w:rFonts w:hint="eastAsia"/>
              </w:rPr>
              <w:t>颗粒物</w:t>
            </w:r>
          </w:p>
        </w:tc>
        <w:tc>
          <w:tcPr>
            <w:tcW w:w="946" w:type="pct"/>
            <w:vAlign w:val="center"/>
          </w:tcPr>
          <w:p w14:paraId="3B55ECA5">
            <w:pPr>
              <w:pStyle w:val="41"/>
            </w:pPr>
            <w:r>
              <w:rPr>
                <w:rFonts w:hint="eastAsia"/>
              </w:rPr>
              <w:t>滤筒式除尘器+15m高排气筒（DA002）</w:t>
            </w:r>
          </w:p>
        </w:tc>
        <w:tc>
          <w:tcPr>
            <w:tcW w:w="1224" w:type="pct"/>
            <w:vAlign w:val="center"/>
          </w:tcPr>
          <w:p w14:paraId="6A719DBA">
            <w:pPr>
              <w:pStyle w:val="41"/>
            </w:pPr>
            <w:r>
              <w:rPr>
                <w:rFonts w:hint="eastAsia"/>
              </w:rPr>
              <w:t>广东省地方标准《大气污染物排放限值》（DB44/27-2001）第二时段二级标准</w:t>
            </w:r>
          </w:p>
        </w:tc>
      </w:tr>
      <w:tr w14:paraId="0F28DF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jc w:val="center"/>
        </w:trPr>
        <w:tc>
          <w:tcPr>
            <w:tcW w:w="938" w:type="pct"/>
            <w:vMerge w:val="continue"/>
            <w:vAlign w:val="center"/>
          </w:tcPr>
          <w:p w14:paraId="670F7A68">
            <w:pPr>
              <w:pStyle w:val="41"/>
            </w:pPr>
          </w:p>
        </w:tc>
        <w:tc>
          <w:tcPr>
            <w:tcW w:w="944" w:type="pct"/>
            <w:vMerge w:val="restart"/>
            <w:vAlign w:val="center"/>
          </w:tcPr>
          <w:p w14:paraId="6EB41BA4">
            <w:pPr>
              <w:pStyle w:val="41"/>
            </w:pPr>
            <w:r>
              <w:t>厂界</w:t>
            </w:r>
          </w:p>
        </w:tc>
        <w:tc>
          <w:tcPr>
            <w:tcW w:w="946" w:type="pct"/>
            <w:vAlign w:val="center"/>
          </w:tcPr>
          <w:p w14:paraId="3681FD9F">
            <w:pPr>
              <w:pStyle w:val="20"/>
              <w:rPr>
                <w:lang w:val="ru-RU"/>
              </w:rPr>
            </w:pPr>
            <w:r>
              <w:rPr>
                <w:lang w:val="ru-RU"/>
              </w:rPr>
              <w:t>颗粒物</w:t>
            </w:r>
          </w:p>
        </w:tc>
        <w:tc>
          <w:tcPr>
            <w:tcW w:w="946" w:type="pct"/>
            <w:vMerge w:val="restart"/>
            <w:vAlign w:val="center"/>
          </w:tcPr>
          <w:p w14:paraId="04651A1A">
            <w:pPr>
              <w:pStyle w:val="20"/>
            </w:pPr>
            <w:r>
              <w:rPr>
                <w:rFonts w:hint="eastAsia"/>
              </w:rPr>
              <w:t>加强收集</w:t>
            </w:r>
          </w:p>
        </w:tc>
        <w:tc>
          <w:tcPr>
            <w:tcW w:w="1224" w:type="pct"/>
            <w:vMerge w:val="restart"/>
            <w:vAlign w:val="center"/>
          </w:tcPr>
          <w:p w14:paraId="1F0754E2">
            <w:pPr>
              <w:pStyle w:val="20"/>
              <w:rPr>
                <w:rFonts w:hint="eastAsia"/>
              </w:rPr>
            </w:pPr>
            <w:r>
              <w:rPr>
                <w:rFonts w:hint="eastAsia"/>
              </w:rPr>
              <w:t>广东省地方标准《大气污染物排放限值》（DB44/27-2001）第二时段无组织排放监控浓度限值</w:t>
            </w:r>
          </w:p>
          <w:p w14:paraId="5EABF0B3">
            <w:pPr>
              <w:pStyle w:val="20"/>
            </w:pPr>
          </w:p>
        </w:tc>
      </w:tr>
      <w:tr w14:paraId="3DAD09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Merge w:val="continue"/>
            <w:vAlign w:val="center"/>
          </w:tcPr>
          <w:p w14:paraId="72FCB80D">
            <w:pPr>
              <w:pStyle w:val="41"/>
            </w:pPr>
          </w:p>
        </w:tc>
        <w:tc>
          <w:tcPr>
            <w:tcW w:w="944" w:type="pct"/>
            <w:vMerge w:val="continue"/>
            <w:vAlign w:val="center"/>
          </w:tcPr>
          <w:p w14:paraId="20E8C97B">
            <w:pPr>
              <w:pStyle w:val="41"/>
            </w:pPr>
          </w:p>
        </w:tc>
        <w:tc>
          <w:tcPr>
            <w:tcW w:w="946" w:type="pct"/>
            <w:vAlign w:val="center"/>
          </w:tcPr>
          <w:p w14:paraId="2D40BDC1">
            <w:pPr>
              <w:pStyle w:val="20"/>
              <w:rPr>
                <w:lang w:val="ru-RU"/>
              </w:rPr>
            </w:pPr>
            <w:r>
              <w:t>SO</w:t>
            </w:r>
            <w:r>
              <w:rPr>
                <w:vertAlign w:val="subscript"/>
              </w:rPr>
              <w:t>2</w:t>
            </w:r>
          </w:p>
        </w:tc>
        <w:tc>
          <w:tcPr>
            <w:tcW w:w="946" w:type="pct"/>
            <w:vMerge w:val="continue"/>
            <w:vAlign w:val="center"/>
          </w:tcPr>
          <w:p w14:paraId="0295087B">
            <w:pPr>
              <w:pStyle w:val="20"/>
            </w:pPr>
          </w:p>
        </w:tc>
        <w:tc>
          <w:tcPr>
            <w:tcW w:w="1224" w:type="pct"/>
            <w:vMerge w:val="continue"/>
            <w:vAlign w:val="center"/>
          </w:tcPr>
          <w:p w14:paraId="585F47F9">
            <w:pPr>
              <w:pStyle w:val="20"/>
            </w:pPr>
          </w:p>
        </w:tc>
      </w:tr>
      <w:tr w14:paraId="6CB6E3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Merge w:val="continue"/>
            <w:vAlign w:val="center"/>
          </w:tcPr>
          <w:p w14:paraId="33B9CAB1">
            <w:pPr>
              <w:pStyle w:val="41"/>
            </w:pPr>
          </w:p>
        </w:tc>
        <w:tc>
          <w:tcPr>
            <w:tcW w:w="944" w:type="pct"/>
            <w:vMerge w:val="continue"/>
            <w:vAlign w:val="center"/>
          </w:tcPr>
          <w:p w14:paraId="191DDD33">
            <w:pPr>
              <w:pStyle w:val="41"/>
            </w:pPr>
          </w:p>
        </w:tc>
        <w:tc>
          <w:tcPr>
            <w:tcW w:w="946" w:type="pct"/>
            <w:vAlign w:val="center"/>
          </w:tcPr>
          <w:p w14:paraId="0F6F7EE8">
            <w:pPr>
              <w:pStyle w:val="20"/>
            </w:pPr>
            <w:r>
              <w:t>NO</w:t>
            </w:r>
            <w:r>
              <w:rPr>
                <w:rFonts w:hint="eastAsia"/>
              </w:rPr>
              <w:t>x</w:t>
            </w:r>
          </w:p>
        </w:tc>
        <w:tc>
          <w:tcPr>
            <w:tcW w:w="946" w:type="pct"/>
            <w:vMerge w:val="continue"/>
            <w:vAlign w:val="center"/>
          </w:tcPr>
          <w:p w14:paraId="5B7A1EE8">
            <w:pPr>
              <w:pStyle w:val="20"/>
            </w:pPr>
          </w:p>
        </w:tc>
        <w:tc>
          <w:tcPr>
            <w:tcW w:w="1224" w:type="pct"/>
            <w:vMerge w:val="continue"/>
            <w:vAlign w:val="center"/>
          </w:tcPr>
          <w:p w14:paraId="5245AD93">
            <w:pPr>
              <w:pStyle w:val="20"/>
            </w:pPr>
          </w:p>
        </w:tc>
      </w:tr>
      <w:tr w14:paraId="564FD5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jc w:val="center"/>
        </w:trPr>
        <w:tc>
          <w:tcPr>
            <w:tcW w:w="938" w:type="pct"/>
            <w:vMerge w:val="continue"/>
            <w:vAlign w:val="center"/>
          </w:tcPr>
          <w:p w14:paraId="1423401B">
            <w:pPr>
              <w:pStyle w:val="41"/>
            </w:pPr>
          </w:p>
        </w:tc>
        <w:tc>
          <w:tcPr>
            <w:tcW w:w="944" w:type="pct"/>
            <w:vMerge w:val="continue"/>
            <w:vAlign w:val="center"/>
          </w:tcPr>
          <w:p w14:paraId="4F2D4383">
            <w:pPr>
              <w:pStyle w:val="41"/>
            </w:pPr>
          </w:p>
        </w:tc>
        <w:tc>
          <w:tcPr>
            <w:tcW w:w="946" w:type="pct"/>
            <w:vAlign w:val="center"/>
          </w:tcPr>
          <w:p w14:paraId="4F5E8F12">
            <w:pPr>
              <w:pStyle w:val="20"/>
              <w:rPr>
                <w:rFonts w:hint="default" w:eastAsia="宋体"/>
                <w:lang w:val="en-US" w:eastAsia="zh-CN"/>
              </w:rPr>
            </w:pPr>
            <w:r>
              <w:rPr>
                <w:rFonts w:hint="eastAsia"/>
                <w:lang w:val="en-US" w:eastAsia="zh-CN"/>
              </w:rPr>
              <w:t>NMHC</w:t>
            </w:r>
          </w:p>
        </w:tc>
        <w:tc>
          <w:tcPr>
            <w:tcW w:w="946" w:type="pct"/>
            <w:vMerge w:val="continue"/>
            <w:vAlign w:val="center"/>
          </w:tcPr>
          <w:p w14:paraId="78109A0A">
            <w:pPr>
              <w:pStyle w:val="20"/>
            </w:pPr>
          </w:p>
        </w:tc>
        <w:tc>
          <w:tcPr>
            <w:tcW w:w="1224" w:type="pct"/>
            <w:vMerge w:val="continue"/>
            <w:vAlign w:val="center"/>
          </w:tcPr>
          <w:p w14:paraId="2C11622E">
            <w:pPr>
              <w:pStyle w:val="20"/>
            </w:pPr>
          </w:p>
        </w:tc>
      </w:tr>
      <w:tr w14:paraId="3ED082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jc w:val="center"/>
        </w:trPr>
        <w:tc>
          <w:tcPr>
            <w:tcW w:w="938" w:type="pct"/>
            <w:vMerge w:val="continue"/>
            <w:vAlign w:val="center"/>
          </w:tcPr>
          <w:p w14:paraId="30917EC6">
            <w:pPr>
              <w:pStyle w:val="41"/>
            </w:pPr>
          </w:p>
        </w:tc>
        <w:tc>
          <w:tcPr>
            <w:tcW w:w="944" w:type="pct"/>
            <w:vAlign w:val="center"/>
          </w:tcPr>
          <w:p w14:paraId="279CF4DC">
            <w:pPr>
              <w:pStyle w:val="41"/>
            </w:pPr>
            <w:r>
              <w:t>厂区内</w:t>
            </w:r>
          </w:p>
        </w:tc>
        <w:tc>
          <w:tcPr>
            <w:tcW w:w="946" w:type="pct"/>
            <w:vAlign w:val="center"/>
          </w:tcPr>
          <w:p w14:paraId="774F37AF">
            <w:pPr>
              <w:pStyle w:val="41"/>
            </w:pPr>
            <w:r>
              <w:t>NMHC</w:t>
            </w:r>
          </w:p>
        </w:tc>
        <w:tc>
          <w:tcPr>
            <w:tcW w:w="946" w:type="pct"/>
            <w:vAlign w:val="center"/>
          </w:tcPr>
          <w:p w14:paraId="2E80E89A">
            <w:pPr>
              <w:pStyle w:val="41"/>
            </w:pPr>
            <w:r>
              <w:t>贮存、输送等环节均保持密闭，无法密闭的采取收集措施</w:t>
            </w:r>
          </w:p>
        </w:tc>
        <w:tc>
          <w:tcPr>
            <w:tcW w:w="1224" w:type="pct"/>
            <w:vAlign w:val="center"/>
          </w:tcPr>
          <w:p w14:paraId="5991425E">
            <w:pPr>
              <w:pStyle w:val="41"/>
            </w:pPr>
            <w:r>
              <w:t>广东省《固定污染源挥发性有机物综合排放标准》（DB 44/2367-2022）表3厂区内VOCs无组织排放限值</w:t>
            </w:r>
          </w:p>
        </w:tc>
      </w:tr>
      <w:tr w14:paraId="06C2ED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277A571A">
            <w:pPr>
              <w:pStyle w:val="41"/>
            </w:pPr>
            <w:r>
              <w:t>地表水环境</w:t>
            </w:r>
          </w:p>
        </w:tc>
        <w:tc>
          <w:tcPr>
            <w:tcW w:w="944" w:type="pct"/>
            <w:vAlign w:val="center"/>
          </w:tcPr>
          <w:p w14:paraId="6D16F894">
            <w:pPr>
              <w:pStyle w:val="41"/>
            </w:pPr>
            <w:r>
              <w:rPr>
                <w:rFonts w:hint="eastAsia"/>
              </w:rPr>
              <w:t>电泳前清洗废水</w:t>
            </w:r>
          </w:p>
        </w:tc>
        <w:tc>
          <w:tcPr>
            <w:tcW w:w="946" w:type="pct"/>
            <w:vAlign w:val="center"/>
          </w:tcPr>
          <w:p w14:paraId="1575CE5F">
            <w:pPr>
              <w:pStyle w:val="41"/>
            </w:pPr>
            <w:r>
              <w:t>pH</w:t>
            </w:r>
          </w:p>
          <w:p w14:paraId="1059BC9C">
            <w:pPr>
              <w:pStyle w:val="41"/>
            </w:pPr>
            <w:r>
              <w:rPr>
                <w:rFonts w:hint="eastAsia"/>
              </w:rPr>
              <w:t>SS、CODcr、石油类、LAS、</w:t>
            </w:r>
            <w:r>
              <w:rPr>
                <w:rFonts w:hint="eastAsia"/>
              </w:rPr>
              <w:tab/>
            </w:r>
            <w:r>
              <w:rPr>
                <w:rFonts w:hint="eastAsia"/>
              </w:rPr>
              <w:t>BOD</w:t>
            </w:r>
            <w:r>
              <w:rPr>
                <w:rFonts w:hint="eastAsia"/>
                <w:vertAlign w:val="subscript"/>
              </w:rPr>
              <w:t>5</w:t>
            </w:r>
            <w:r>
              <w:rPr>
                <w:rFonts w:hint="eastAsia"/>
              </w:rPr>
              <w:t>、氟化物</w:t>
            </w:r>
          </w:p>
        </w:tc>
        <w:tc>
          <w:tcPr>
            <w:tcW w:w="946" w:type="pct"/>
            <w:vAlign w:val="center"/>
          </w:tcPr>
          <w:p w14:paraId="4E914A73">
            <w:pPr>
              <w:pStyle w:val="41"/>
            </w:pPr>
            <w:r>
              <w:t>经</w:t>
            </w:r>
            <w:r>
              <w:rPr>
                <w:rFonts w:hint="eastAsia"/>
              </w:rPr>
              <w:t>“混凝沉淀池+砂滤-碳滤”</w:t>
            </w:r>
            <w:r>
              <w:t>处理后排入</w:t>
            </w:r>
            <w:r>
              <w:rPr>
                <w:rFonts w:hint="eastAsia"/>
              </w:rPr>
              <w:t>园区污水处理厂</w:t>
            </w:r>
          </w:p>
        </w:tc>
        <w:tc>
          <w:tcPr>
            <w:tcW w:w="1224" w:type="pct"/>
            <w:vAlign w:val="center"/>
          </w:tcPr>
          <w:p w14:paraId="3FE378F2">
            <w:pPr>
              <w:pStyle w:val="41"/>
            </w:pPr>
            <w:r>
              <w:rPr>
                <w:rFonts w:hint="eastAsia"/>
              </w:rPr>
              <w:t>广东省地方标准《水污染物排放限值》</w:t>
            </w:r>
            <w:r>
              <w:rPr>
                <w:rFonts w:hint="eastAsia"/>
                <w:lang w:eastAsia="zh-CN"/>
              </w:rPr>
              <w:t>（</w:t>
            </w:r>
            <w:r>
              <w:rPr>
                <w:rFonts w:hint="eastAsia"/>
              </w:rPr>
              <w:t>DB44/26-2001</w:t>
            </w:r>
            <w:r>
              <w:rPr>
                <w:rFonts w:hint="eastAsia"/>
                <w:lang w:eastAsia="zh-CN"/>
              </w:rPr>
              <w:t>）</w:t>
            </w:r>
            <w:r>
              <w:rPr>
                <w:rFonts w:hint="eastAsia"/>
              </w:rPr>
              <w:t>第二时段三级标准及园区污水处理厂接管水质要求较严值</w:t>
            </w:r>
          </w:p>
        </w:tc>
      </w:tr>
      <w:tr w14:paraId="0CAA43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6A119B88">
            <w:pPr>
              <w:pStyle w:val="41"/>
            </w:pPr>
            <w:r>
              <w:t>声环境</w:t>
            </w:r>
          </w:p>
        </w:tc>
        <w:tc>
          <w:tcPr>
            <w:tcW w:w="944" w:type="pct"/>
            <w:vAlign w:val="center"/>
          </w:tcPr>
          <w:p w14:paraId="7935467B">
            <w:pPr>
              <w:pStyle w:val="41"/>
            </w:pPr>
            <w:r>
              <w:t>设备</w:t>
            </w:r>
          </w:p>
        </w:tc>
        <w:tc>
          <w:tcPr>
            <w:tcW w:w="946" w:type="pct"/>
            <w:vAlign w:val="center"/>
          </w:tcPr>
          <w:p w14:paraId="5B626CE7">
            <w:pPr>
              <w:pStyle w:val="41"/>
            </w:pPr>
            <w:r>
              <w:t>等效A声级</w:t>
            </w:r>
          </w:p>
        </w:tc>
        <w:tc>
          <w:tcPr>
            <w:tcW w:w="946" w:type="pct"/>
            <w:vAlign w:val="center"/>
          </w:tcPr>
          <w:p w14:paraId="654C8A99">
            <w:pPr>
              <w:pStyle w:val="41"/>
            </w:pPr>
            <w:r>
              <w:t>选用低噪声设备、合理布局、隔声、减振</w:t>
            </w:r>
          </w:p>
        </w:tc>
        <w:tc>
          <w:tcPr>
            <w:tcW w:w="1224" w:type="pct"/>
            <w:vAlign w:val="center"/>
          </w:tcPr>
          <w:p w14:paraId="45FA4904">
            <w:pPr>
              <w:pStyle w:val="41"/>
            </w:pPr>
            <w:r>
              <w:t>《工业企业厂界环境噪声排放标准》（GB 12348-2008）3类标准</w:t>
            </w:r>
          </w:p>
        </w:tc>
      </w:tr>
      <w:tr w14:paraId="053184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02A94FF8">
            <w:pPr>
              <w:pStyle w:val="41"/>
            </w:pPr>
            <w:r>
              <w:t>电磁辐射</w:t>
            </w:r>
          </w:p>
        </w:tc>
        <w:tc>
          <w:tcPr>
            <w:tcW w:w="944" w:type="pct"/>
            <w:vAlign w:val="center"/>
          </w:tcPr>
          <w:p w14:paraId="516596F2">
            <w:pPr>
              <w:pStyle w:val="41"/>
            </w:pPr>
            <w:r>
              <w:t>/</w:t>
            </w:r>
          </w:p>
        </w:tc>
        <w:tc>
          <w:tcPr>
            <w:tcW w:w="946" w:type="pct"/>
            <w:vAlign w:val="center"/>
          </w:tcPr>
          <w:p w14:paraId="2E92EB09">
            <w:pPr>
              <w:pStyle w:val="41"/>
            </w:pPr>
            <w:r>
              <w:t>/</w:t>
            </w:r>
          </w:p>
        </w:tc>
        <w:tc>
          <w:tcPr>
            <w:tcW w:w="946" w:type="pct"/>
            <w:vAlign w:val="center"/>
          </w:tcPr>
          <w:p w14:paraId="3BFDCBAE">
            <w:pPr>
              <w:pStyle w:val="41"/>
            </w:pPr>
            <w:r>
              <w:t>/</w:t>
            </w:r>
          </w:p>
        </w:tc>
        <w:tc>
          <w:tcPr>
            <w:tcW w:w="1224" w:type="pct"/>
            <w:vAlign w:val="center"/>
          </w:tcPr>
          <w:p w14:paraId="3898A9A1">
            <w:pPr>
              <w:pStyle w:val="41"/>
            </w:pPr>
            <w:r>
              <w:t>/</w:t>
            </w:r>
          </w:p>
        </w:tc>
      </w:tr>
      <w:tr w14:paraId="0A41DA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42D2102E">
            <w:pPr>
              <w:pStyle w:val="41"/>
            </w:pPr>
            <w:r>
              <w:t>固体废物</w:t>
            </w:r>
          </w:p>
        </w:tc>
        <w:tc>
          <w:tcPr>
            <w:tcW w:w="4061" w:type="pct"/>
            <w:gridSpan w:val="4"/>
            <w:vAlign w:val="center"/>
          </w:tcPr>
          <w:p w14:paraId="22A0231E">
            <w:pPr>
              <w:pStyle w:val="41"/>
              <w:jc w:val="both"/>
            </w:pPr>
            <w:r>
              <w:rPr>
                <w:rFonts w:hint="eastAsia"/>
              </w:rPr>
              <w:t>废边角料、金属粉尘、废麻轮、布轮、焊渣</w:t>
            </w:r>
            <w:r>
              <w:t>收集后全部外售给资源回收部门回收利用；</w:t>
            </w:r>
            <w:r>
              <w:rPr>
                <w:rFonts w:hint="eastAsia"/>
              </w:rPr>
              <w:t>废树脂粉末收集后回用于喷粉工序；废活性炭及其吸附物、废槽液</w:t>
            </w:r>
            <w:r>
              <w:t>收集后暂存于危废间，定期交由有资质单位处理处置。</w:t>
            </w:r>
          </w:p>
        </w:tc>
      </w:tr>
      <w:tr w14:paraId="56D371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5DC4708E">
            <w:pPr>
              <w:pStyle w:val="41"/>
            </w:pPr>
            <w:r>
              <w:t>土壤及地下水污染防治措施</w:t>
            </w:r>
          </w:p>
        </w:tc>
        <w:tc>
          <w:tcPr>
            <w:tcW w:w="4061" w:type="pct"/>
            <w:gridSpan w:val="4"/>
            <w:vAlign w:val="center"/>
          </w:tcPr>
          <w:p w14:paraId="1A5E30FB">
            <w:pPr>
              <w:pStyle w:val="41"/>
            </w:pPr>
            <w:r>
              <w:t>占地范围内进行硬底化处理，生产区按要求做好防渗措施，危险废物暂存间严格按照《危险废物贮存污染控制标准》（GB 18597-2023）的有关规范设计，做到防渗防漏。</w:t>
            </w:r>
          </w:p>
        </w:tc>
      </w:tr>
      <w:tr w14:paraId="6C5DE7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27ADE8A7">
            <w:pPr>
              <w:pStyle w:val="41"/>
            </w:pPr>
            <w:r>
              <w:t>生态保护措施</w:t>
            </w:r>
          </w:p>
        </w:tc>
        <w:tc>
          <w:tcPr>
            <w:tcW w:w="4061" w:type="pct"/>
            <w:gridSpan w:val="4"/>
            <w:vAlign w:val="center"/>
          </w:tcPr>
          <w:p w14:paraId="089460E3">
            <w:pPr>
              <w:pStyle w:val="41"/>
            </w:pPr>
            <w:r>
              <w:t>无</w:t>
            </w:r>
          </w:p>
        </w:tc>
      </w:tr>
      <w:tr w14:paraId="3210BC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5BEAF19B">
            <w:pPr>
              <w:pStyle w:val="41"/>
            </w:pPr>
            <w:r>
              <w:t>环境风险</w:t>
            </w:r>
          </w:p>
          <w:p w14:paraId="0844E9B2">
            <w:pPr>
              <w:pStyle w:val="41"/>
            </w:pPr>
            <w:r>
              <w:t>防范措施</w:t>
            </w:r>
          </w:p>
        </w:tc>
        <w:tc>
          <w:tcPr>
            <w:tcW w:w="4061" w:type="pct"/>
            <w:gridSpan w:val="4"/>
            <w:vAlign w:val="center"/>
          </w:tcPr>
          <w:p w14:paraId="1C38F67B">
            <w:pPr>
              <w:pStyle w:val="41"/>
            </w:pPr>
            <w:r>
              <w:rPr>
                <w:rFonts w:hint="eastAsia" w:ascii="宋体" w:hAnsi="宋体" w:cs="宋体"/>
              </w:rPr>
              <w:t>①</w:t>
            </w:r>
            <w:r>
              <w:t>为保证人身安全和设备正常运转，应制定各工序生产操作规程和防火规程；</w:t>
            </w:r>
          </w:p>
          <w:p w14:paraId="76F60E92">
            <w:pPr>
              <w:pStyle w:val="41"/>
            </w:pPr>
            <w:r>
              <w:rPr>
                <w:rFonts w:hint="eastAsia" w:ascii="宋体" w:hAnsi="宋体" w:cs="宋体"/>
              </w:rPr>
              <w:t>②</w:t>
            </w:r>
            <w:r>
              <w:t>危废经收集暂存在危废暂存间，项目危废暂存间应采用重点防渗、防雨、防风、防流失，储存</w:t>
            </w:r>
            <w:r>
              <w:rPr>
                <w:rFonts w:hint="eastAsia"/>
              </w:rPr>
              <w:t>废槽液</w:t>
            </w:r>
            <w:r>
              <w:t>的桶下均设置防渗托盘接漏；交有资质单位处理，运输过程落实防渗、防漏措施；</w:t>
            </w:r>
          </w:p>
          <w:p w14:paraId="1A85F0EF">
            <w:pPr>
              <w:pStyle w:val="41"/>
            </w:pPr>
            <w:r>
              <w:rPr>
                <w:rFonts w:hint="eastAsia" w:ascii="宋体" w:hAnsi="宋体" w:cs="宋体"/>
              </w:rPr>
              <w:t>③</w:t>
            </w:r>
            <w:r>
              <w:t>本项目所用危险物质均用桶装，随买随用，厂区内不大量储存，如泄漏，尽快用抹布擦拭，统一收集至指定区域的收集桶内。</w:t>
            </w:r>
          </w:p>
        </w:tc>
      </w:tr>
      <w:tr w14:paraId="195886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8" w:type="pct"/>
            <w:vAlign w:val="center"/>
          </w:tcPr>
          <w:p w14:paraId="72F814F1">
            <w:pPr>
              <w:pStyle w:val="41"/>
            </w:pPr>
            <w:r>
              <w:t>其他环境</w:t>
            </w:r>
          </w:p>
          <w:p w14:paraId="0D33FA4F">
            <w:pPr>
              <w:pStyle w:val="41"/>
            </w:pPr>
            <w:r>
              <w:t>管理要求</w:t>
            </w:r>
          </w:p>
        </w:tc>
        <w:tc>
          <w:tcPr>
            <w:tcW w:w="4061" w:type="pct"/>
            <w:gridSpan w:val="4"/>
            <w:vAlign w:val="center"/>
          </w:tcPr>
          <w:p w14:paraId="7BF32C5A">
            <w:pPr>
              <w:pStyle w:val="41"/>
            </w:pPr>
            <w:r>
              <w:t>无</w:t>
            </w:r>
          </w:p>
        </w:tc>
      </w:tr>
    </w:tbl>
    <w:p w14:paraId="1485AAA4">
      <w:pPr>
        <w:pStyle w:val="5"/>
        <w:ind w:firstLine="602"/>
        <w:rPr>
          <w:rFonts w:ascii="Times New Roman" w:hAnsi="Times New Roman"/>
          <w:snapToGrid w:val="0"/>
          <w:szCs w:val="30"/>
        </w:rPr>
      </w:pPr>
      <w:r>
        <w:rPr>
          <w:rFonts w:ascii="Times New Roman" w:hAnsi="Times New Roman"/>
          <w:snapToGrid w:val="0"/>
        </w:rPr>
        <w:br w:type="page"/>
      </w:r>
      <w:r>
        <w:rPr>
          <w:rFonts w:ascii="Times New Roman" w:hAnsi="Times New Roman"/>
          <w:snapToGrid w:val="0"/>
          <w:szCs w:val="30"/>
        </w:rPr>
        <w:t>六、结论</w:t>
      </w:r>
    </w:p>
    <w:tbl>
      <w:tblPr>
        <w:tblStyle w:val="23"/>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14:paraId="2F966F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5000" w:type="pct"/>
            <w:vAlign w:val="center"/>
          </w:tcPr>
          <w:p w14:paraId="7304C864">
            <w:pPr>
              <w:ind w:firstLine="480"/>
            </w:pPr>
            <w:r>
              <w:t>通过上述分析，项目符合国家产业政策，选址合理。对于建设期和运营过程中产生的各类污染物，建设单位应认真落实本环评提出的污染防治措施，加强环保设施的运行管理和维护，切实做到</w:t>
            </w:r>
            <w:r>
              <w:rPr>
                <w:rFonts w:hint="eastAsia"/>
              </w:rPr>
              <w:t>“</w:t>
            </w:r>
            <w:r>
              <w:t>三同时</w:t>
            </w:r>
            <w:r>
              <w:rPr>
                <w:rFonts w:hint="eastAsia"/>
              </w:rPr>
              <w:t>”</w:t>
            </w:r>
            <w:r>
              <w:t>，建立和完善厂内环保机构和规范环保管理制度，保证各类污染物达标排放，实施排污总量控制，做好事故情况下的应急措施。在上述前提条件下，项目的建设不会使当地水环境、环境空气、声环境发生现状质量级别的改变。</w:t>
            </w:r>
          </w:p>
          <w:p w14:paraId="45DF5217">
            <w:pPr>
              <w:ind w:firstLine="480"/>
            </w:pPr>
            <w:r>
              <w:t>综上所述，从环境保护角度考虑，该项目的建设是可行的。</w:t>
            </w:r>
          </w:p>
        </w:tc>
      </w:tr>
    </w:tbl>
    <w:p w14:paraId="5E56B0BF">
      <w:pPr>
        <w:ind w:firstLine="480"/>
        <w:sectPr>
          <w:pgSz w:w="11906" w:h="16838"/>
          <w:pgMar w:top="1701" w:right="1531" w:bottom="1701" w:left="1531" w:header="851" w:footer="851" w:gutter="0"/>
          <w:cols w:space="720" w:num="1"/>
          <w:docGrid w:linePitch="312" w:charSpace="0"/>
        </w:sectPr>
      </w:pPr>
    </w:p>
    <w:p w14:paraId="01A3BB6A">
      <w:pPr>
        <w:pStyle w:val="17"/>
      </w:pPr>
      <w:r>
        <w:t>附表</w:t>
      </w:r>
    </w:p>
    <w:p w14:paraId="7DF549A7">
      <w:pPr>
        <w:pStyle w:val="5"/>
        <w:ind w:firstLine="602"/>
        <w:rPr>
          <w:rFonts w:ascii="Times New Roman" w:hAnsi="Times New Roman"/>
        </w:rPr>
      </w:pPr>
      <w:r>
        <w:rPr>
          <w:rFonts w:ascii="Times New Roman" w:hAnsi="Times New Roman"/>
        </w:rPr>
        <w:t>建设项目污染物排放量汇总表</w:t>
      </w:r>
    </w:p>
    <w:tbl>
      <w:tblPr>
        <w:tblStyle w:val="23"/>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279"/>
        <w:gridCol w:w="1674"/>
        <w:gridCol w:w="1674"/>
        <w:gridCol w:w="1248"/>
        <w:gridCol w:w="1674"/>
        <w:gridCol w:w="1536"/>
        <w:gridCol w:w="1741"/>
        <w:gridCol w:w="1760"/>
        <w:gridCol w:w="1238"/>
      </w:tblGrid>
      <w:tr w14:paraId="577BB5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tcBorders>
              <w:tl2br w:val="single" w:color="auto" w:sz="4" w:space="0"/>
            </w:tcBorders>
            <w:tcMar>
              <w:left w:w="28" w:type="dxa"/>
              <w:right w:w="28" w:type="dxa"/>
            </w:tcMar>
            <w:vAlign w:val="center"/>
          </w:tcPr>
          <w:p w14:paraId="3510966B">
            <w:pPr>
              <w:pStyle w:val="41"/>
              <w:rPr>
                <w:b/>
                <w:bCs/>
              </w:rPr>
            </w:pPr>
            <w:r>
              <w:rPr>
                <w:b/>
                <w:bCs/>
              </w:rPr>
              <w:t xml:space="preserve">     项目</w:t>
            </w:r>
          </w:p>
          <w:p w14:paraId="7BAAD279">
            <w:pPr>
              <w:pStyle w:val="41"/>
              <w:jc w:val="both"/>
              <w:rPr>
                <w:b/>
                <w:bCs/>
              </w:rPr>
            </w:pPr>
            <w:r>
              <w:rPr>
                <w:b/>
                <w:bCs/>
              </w:rPr>
              <w:t>分类</w:t>
            </w:r>
          </w:p>
        </w:tc>
        <w:tc>
          <w:tcPr>
            <w:tcW w:w="605" w:type="pct"/>
            <w:tcMar>
              <w:left w:w="28" w:type="dxa"/>
              <w:right w:w="28" w:type="dxa"/>
            </w:tcMar>
            <w:vAlign w:val="center"/>
          </w:tcPr>
          <w:p w14:paraId="0E6B2D9A">
            <w:pPr>
              <w:pStyle w:val="41"/>
              <w:rPr>
                <w:b/>
                <w:bCs/>
              </w:rPr>
            </w:pPr>
            <w:r>
              <w:rPr>
                <w:b/>
                <w:bCs/>
              </w:rPr>
              <w:t>污染物名称</w:t>
            </w:r>
          </w:p>
        </w:tc>
        <w:tc>
          <w:tcPr>
            <w:tcW w:w="605" w:type="pct"/>
            <w:tcMar>
              <w:left w:w="28" w:type="dxa"/>
              <w:right w:w="28" w:type="dxa"/>
            </w:tcMar>
            <w:vAlign w:val="center"/>
          </w:tcPr>
          <w:p w14:paraId="52DF4746">
            <w:pPr>
              <w:pStyle w:val="41"/>
              <w:rPr>
                <w:b/>
                <w:bCs/>
              </w:rPr>
            </w:pPr>
            <w:r>
              <w:rPr>
                <w:b/>
                <w:bCs/>
              </w:rPr>
              <w:t>现有工程</w:t>
            </w:r>
          </w:p>
          <w:p w14:paraId="50064101">
            <w:pPr>
              <w:pStyle w:val="41"/>
              <w:rPr>
                <w:b/>
                <w:bCs/>
              </w:rPr>
            </w:pPr>
            <w:r>
              <w:rPr>
                <w:b/>
                <w:bCs/>
              </w:rPr>
              <w:t>排放量（固体废物产生量）t/a</w:t>
            </w:r>
            <w:r>
              <w:rPr>
                <w:b/>
                <w:bCs/>
              </w:rPr>
              <w:fldChar w:fldCharType="begin"/>
            </w:r>
            <w:r>
              <w:rPr>
                <w:b/>
                <w:bCs/>
              </w:rPr>
              <w:instrText xml:space="preserve"> = 1 \* GB3 \* MERGEFORMAT </w:instrText>
            </w:r>
            <w:r>
              <w:rPr>
                <w:b/>
                <w:bCs/>
              </w:rPr>
              <w:fldChar w:fldCharType="separate"/>
            </w:r>
            <w:r>
              <w:rPr>
                <w:b/>
                <w:bCs/>
              </w:rPr>
              <w:t>①</w:t>
            </w:r>
            <w:r>
              <w:rPr>
                <w:b/>
                <w:bCs/>
              </w:rPr>
              <w:fldChar w:fldCharType="end"/>
            </w:r>
          </w:p>
        </w:tc>
        <w:tc>
          <w:tcPr>
            <w:tcW w:w="451" w:type="pct"/>
            <w:tcMar>
              <w:left w:w="28" w:type="dxa"/>
              <w:right w:w="28" w:type="dxa"/>
            </w:tcMar>
            <w:vAlign w:val="center"/>
          </w:tcPr>
          <w:p w14:paraId="667D5442">
            <w:pPr>
              <w:pStyle w:val="41"/>
              <w:rPr>
                <w:b/>
                <w:bCs/>
              </w:rPr>
            </w:pPr>
            <w:r>
              <w:rPr>
                <w:b/>
                <w:bCs/>
              </w:rPr>
              <w:t>现有工程</w:t>
            </w:r>
          </w:p>
          <w:p w14:paraId="4F4C0B9D">
            <w:pPr>
              <w:pStyle w:val="41"/>
              <w:rPr>
                <w:b/>
                <w:bCs/>
              </w:rPr>
            </w:pPr>
            <w:r>
              <w:rPr>
                <w:b/>
                <w:bCs/>
              </w:rPr>
              <w:t>许可排放量</w:t>
            </w:r>
          </w:p>
          <w:p w14:paraId="11A07BC9">
            <w:pPr>
              <w:pStyle w:val="41"/>
              <w:rPr>
                <w:b/>
                <w:bCs/>
              </w:rPr>
            </w:pPr>
            <w:r>
              <w:rPr>
                <w:b/>
                <w:bCs/>
              </w:rPr>
              <w:t>t/a</w:t>
            </w:r>
            <w:r>
              <w:rPr>
                <w:b/>
                <w:bCs/>
              </w:rPr>
              <w:fldChar w:fldCharType="begin"/>
            </w:r>
            <w:r>
              <w:rPr>
                <w:b/>
                <w:bCs/>
              </w:rPr>
              <w:instrText xml:space="preserve"> = 2 \* GB3 \* MERGEFORMAT </w:instrText>
            </w:r>
            <w:r>
              <w:rPr>
                <w:b/>
                <w:bCs/>
              </w:rPr>
              <w:fldChar w:fldCharType="separate"/>
            </w:r>
            <w:r>
              <w:rPr>
                <w:b/>
                <w:bCs/>
              </w:rPr>
              <w:t>②</w:t>
            </w:r>
            <w:r>
              <w:rPr>
                <w:b/>
                <w:bCs/>
              </w:rPr>
              <w:fldChar w:fldCharType="end"/>
            </w:r>
          </w:p>
        </w:tc>
        <w:tc>
          <w:tcPr>
            <w:tcW w:w="605" w:type="pct"/>
            <w:tcMar>
              <w:left w:w="28" w:type="dxa"/>
              <w:right w:w="28" w:type="dxa"/>
            </w:tcMar>
            <w:vAlign w:val="center"/>
          </w:tcPr>
          <w:p w14:paraId="4F64CE33">
            <w:pPr>
              <w:pStyle w:val="41"/>
              <w:rPr>
                <w:b/>
                <w:bCs/>
              </w:rPr>
            </w:pPr>
            <w:r>
              <w:rPr>
                <w:b/>
                <w:bCs/>
              </w:rPr>
              <w:t>在建工程</w:t>
            </w:r>
          </w:p>
          <w:p w14:paraId="154D2BC7">
            <w:pPr>
              <w:pStyle w:val="41"/>
              <w:rPr>
                <w:b/>
                <w:bCs/>
              </w:rPr>
            </w:pPr>
            <w:r>
              <w:rPr>
                <w:b/>
                <w:bCs/>
              </w:rPr>
              <w:t>排放量（固体废物产生量）t/a</w:t>
            </w:r>
            <w:r>
              <w:rPr>
                <w:b/>
                <w:bCs/>
              </w:rPr>
              <w:fldChar w:fldCharType="begin"/>
            </w:r>
            <w:r>
              <w:rPr>
                <w:b/>
                <w:bCs/>
              </w:rPr>
              <w:instrText xml:space="preserve"> = 3 \* GB3 \* MERGEFORMAT </w:instrText>
            </w:r>
            <w:r>
              <w:rPr>
                <w:b/>
                <w:bCs/>
              </w:rPr>
              <w:fldChar w:fldCharType="separate"/>
            </w:r>
            <w:r>
              <w:rPr>
                <w:b/>
                <w:bCs/>
              </w:rPr>
              <w:t>③</w:t>
            </w:r>
            <w:r>
              <w:rPr>
                <w:b/>
                <w:bCs/>
              </w:rPr>
              <w:fldChar w:fldCharType="end"/>
            </w:r>
          </w:p>
        </w:tc>
        <w:tc>
          <w:tcPr>
            <w:tcW w:w="555" w:type="pct"/>
            <w:tcMar>
              <w:left w:w="28" w:type="dxa"/>
              <w:right w:w="28" w:type="dxa"/>
            </w:tcMar>
            <w:vAlign w:val="center"/>
          </w:tcPr>
          <w:p w14:paraId="0E87C671">
            <w:pPr>
              <w:pStyle w:val="41"/>
              <w:rPr>
                <w:b/>
                <w:bCs/>
              </w:rPr>
            </w:pPr>
            <w:r>
              <w:rPr>
                <w:b/>
                <w:bCs/>
              </w:rPr>
              <w:t>本项目</w:t>
            </w:r>
          </w:p>
          <w:p w14:paraId="18FEC193">
            <w:pPr>
              <w:pStyle w:val="41"/>
              <w:rPr>
                <w:b/>
                <w:bCs/>
              </w:rPr>
            </w:pPr>
            <w:r>
              <w:rPr>
                <w:b/>
                <w:bCs/>
              </w:rPr>
              <w:t>排放量（固体废物产生量）t/a</w:t>
            </w:r>
            <w:r>
              <w:rPr>
                <w:b/>
                <w:bCs/>
              </w:rPr>
              <w:fldChar w:fldCharType="begin"/>
            </w:r>
            <w:r>
              <w:rPr>
                <w:b/>
                <w:bCs/>
              </w:rPr>
              <w:instrText xml:space="preserve"> = 4 \* GB3 \* MERGEFORMAT </w:instrText>
            </w:r>
            <w:r>
              <w:rPr>
                <w:b/>
                <w:bCs/>
              </w:rPr>
              <w:fldChar w:fldCharType="separate"/>
            </w:r>
            <w:r>
              <w:rPr>
                <w:b/>
                <w:bCs/>
              </w:rPr>
              <w:t>④</w:t>
            </w:r>
            <w:r>
              <w:rPr>
                <w:b/>
                <w:bCs/>
              </w:rPr>
              <w:fldChar w:fldCharType="end"/>
            </w:r>
          </w:p>
        </w:tc>
        <w:tc>
          <w:tcPr>
            <w:tcW w:w="629" w:type="pct"/>
            <w:tcMar>
              <w:left w:w="28" w:type="dxa"/>
              <w:right w:w="28" w:type="dxa"/>
            </w:tcMar>
            <w:vAlign w:val="center"/>
          </w:tcPr>
          <w:p w14:paraId="792560D7">
            <w:pPr>
              <w:pStyle w:val="41"/>
              <w:rPr>
                <w:b/>
                <w:bCs/>
              </w:rPr>
            </w:pPr>
            <w:r>
              <w:rPr>
                <w:b/>
                <w:bCs/>
              </w:rPr>
              <w:t>以新带老削减量</w:t>
            </w:r>
          </w:p>
          <w:p w14:paraId="27EDD842">
            <w:pPr>
              <w:pStyle w:val="41"/>
              <w:rPr>
                <w:b/>
                <w:bCs/>
              </w:rPr>
            </w:pPr>
            <w:r>
              <w:rPr>
                <w:b/>
                <w:bCs/>
              </w:rPr>
              <w:t>（新建项目不填）t/a</w:t>
            </w:r>
            <w:r>
              <w:rPr>
                <w:b/>
                <w:bCs/>
              </w:rPr>
              <w:fldChar w:fldCharType="begin"/>
            </w:r>
            <w:r>
              <w:rPr>
                <w:b/>
                <w:bCs/>
              </w:rPr>
              <w:instrText xml:space="preserve"> = 5 \* GB3 \* MERGEFORMAT </w:instrText>
            </w:r>
            <w:r>
              <w:rPr>
                <w:b/>
                <w:bCs/>
              </w:rPr>
              <w:fldChar w:fldCharType="separate"/>
            </w:r>
            <w:r>
              <w:rPr>
                <w:b/>
                <w:bCs/>
              </w:rPr>
              <w:t>⑤</w:t>
            </w:r>
            <w:r>
              <w:rPr>
                <w:b/>
                <w:bCs/>
              </w:rPr>
              <w:fldChar w:fldCharType="end"/>
            </w:r>
          </w:p>
        </w:tc>
        <w:tc>
          <w:tcPr>
            <w:tcW w:w="636" w:type="pct"/>
            <w:tcMar>
              <w:left w:w="28" w:type="dxa"/>
              <w:right w:w="28" w:type="dxa"/>
            </w:tcMar>
            <w:vAlign w:val="center"/>
          </w:tcPr>
          <w:p w14:paraId="1BCC0454">
            <w:pPr>
              <w:pStyle w:val="41"/>
              <w:rPr>
                <w:b/>
                <w:bCs/>
              </w:rPr>
            </w:pPr>
            <w:r>
              <w:rPr>
                <w:b/>
                <w:bCs/>
              </w:rPr>
              <w:t>本项目建成后</w:t>
            </w:r>
          </w:p>
          <w:p w14:paraId="74B9C168">
            <w:pPr>
              <w:pStyle w:val="41"/>
              <w:rPr>
                <w:b/>
                <w:bCs/>
              </w:rPr>
            </w:pPr>
            <w:r>
              <w:rPr>
                <w:b/>
                <w:bCs/>
              </w:rPr>
              <w:t>全厂排放量（固体废物产生量）t/a</w:t>
            </w:r>
            <w:r>
              <w:rPr>
                <w:b/>
                <w:bCs/>
              </w:rPr>
              <w:fldChar w:fldCharType="begin"/>
            </w:r>
            <w:r>
              <w:rPr>
                <w:b/>
                <w:bCs/>
              </w:rPr>
              <w:instrText xml:space="preserve"> = 6 \* GB3 \* MERGEFORMAT </w:instrText>
            </w:r>
            <w:r>
              <w:rPr>
                <w:b/>
                <w:bCs/>
              </w:rPr>
              <w:fldChar w:fldCharType="separate"/>
            </w:r>
            <w:r>
              <w:rPr>
                <w:b/>
                <w:bCs/>
              </w:rPr>
              <w:t>⑥</w:t>
            </w:r>
            <w:r>
              <w:rPr>
                <w:b/>
                <w:bCs/>
              </w:rPr>
              <w:fldChar w:fldCharType="end"/>
            </w:r>
          </w:p>
        </w:tc>
        <w:tc>
          <w:tcPr>
            <w:tcW w:w="447" w:type="pct"/>
            <w:tcMar>
              <w:left w:w="28" w:type="dxa"/>
              <w:right w:w="28" w:type="dxa"/>
            </w:tcMar>
            <w:vAlign w:val="center"/>
          </w:tcPr>
          <w:p w14:paraId="6F980C23">
            <w:pPr>
              <w:pStyle w:val="41"/>
              <w:rPr>
                <w:b/>
                <w:bCs/>
              </w:rPr>
            </w:pPr>
            <w:r>
              <w:rPr>
                <w:b/>
                <w:bCs/>
              </w:rPr>
              <w:t>变化量</w:t>
            </w:r>
          </w:p>
          <w:p w14:paraId="79647B14">
            <w:pPr>
              <w:pStyle w:val="41"/>
              <w:rPr>
                <w:b/>
                <w:bCs/>
              </w:rPr>
            </w:pPr>
            <w:r>
              <w:rPr>
                <w:b/>
                <w:bCs/>
              </w:rPr>
              <w:t>t/a</w:t>
            </w:r>
            <w:r>
              <w:rPr>
                <w:b/>
                <w:bCs/>
              </w:rPr>
              <w:fldChar w:fldCharType="begin"/>
            </w:r>
            <w:r>
              <w:rPr>
                <w:b/>
                <w:bCs/>
              </w:rPr>
              <w:instrText xml:space="preserve"> = 7 \* GB3 \* MERGEFORMAT </w:instrText>
            </w:r>
            <w:r>
              <w:rPr>
                <w:b/>
                <w:bCs/>
              </w:rPr>
              <w:fldChar w:fldCharType="separate"/>
            </w:r>
            <w:r>
              <w:rPr>
                <w:b/>
                <w:bCs/>
              </w:rPr>
              <w:t>⑦</w:t>
            </w:r>
            <w:r>
              <w:rPr>
                <w:b/>
                <w:bCs/>
              </w:rPr>
              <w:fldChar w:fldCharType="end"/>
            </w:r>
          </w:p>
        </w:tc>
      </w:tr>
      <w:tr w14:paraId="5A5F8A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restart"/>
            <w:vAlign w:val="center"/>
          </w:tcPr>
          <w:p w14:paraId="47E3DAEB">
            <w:pPr>
              <w:pStyle w:val="41"/>
            </w:pPr>
            <w:r>
              <w:t>废气</w:t>
            </w:r>
          </w:p>
        </w:tc>
        <w:tc>
          <w:tcPr>
            <w:tcW w:w="605" w:type="pct"/>
            <w:vAlign w:val="center"/>
          </w:tcPr>
          <w:p w14:paraId="583CDCF5">
            <w:pPr>
              <w:pStyle w:val="20"/>
              <w:rPr>
                <w:rFonts w:hint="eastAsia" w:eastAsia="宋体"/>
                <w:lang w:eastAsia="zh-CN"/>
              </w:rPr>
            </w:pPr>
            <w:r>
              <w:rPr>
                <w:rFonts w:hint="eastAsia"/>
                <w:lang w:val="ru-RU" w:eastAsia="zh-CN"/>
              </w:rPr>
              <w:t>VOCs</w:t>
            </w:r>
          </w:p>
        </w:tc>
        <w:tc>
          <w:tcPr>
            <w:tcW w:w="605" w:type="pct"/>
            <w:vAlign w:val="center"/>
          </w:tcPr>
          <w:p w14:paraId="7B9CBB7C">
            <w:pPr>
              <w:pStyle w:val="41"/>
            </w:pPr>
            <w:r>
              <w:t>/</w:t>
            </w:r>
          </w:p>
        </w:tc>
        <w:tc>
          <w:tcPr>
            <w:tcW w:w="451" w:type="pct"/>
            <w:vAlign w:val="center"/>
          </w:tcPr>
          <w:p w14:paraId="105F5374">
            <w:pPr>
              <w:pStyle w:val="41"/>
            </w:pPr>
            <w:r>
              <w:t>/</w:t>
            </w:r>
          </w:p>
        </w:tc>
        <w:tc>
          <w:tcPr>
            <w:tcW w:w="605" w:type="pct"/>
            <w:vAlign w:val="center"/>
          </w:tcPr>
          <w:p w14:paraId="3532F4C8">
            <w:pPr>
              <w:pStyle w:val="41"/>
            </w:pPr>
            <w:r>
              <w:t>0</w:t>
            </w:r>
          </w:p>
        </w:tc>
        <w:tc>
          <w:tcPr>
            <w:tcW w:w="555" w:type="pct"/>
            <w:vAlign w:val="center"/>
          </w:tcPr>
          <w:p w14:paraId="0A8B2B6A">
            <w:pPr>
              <w:pStyle w:val="41"/>
            </w:pPr>
            <w:r>
              <w:rPr>
                <w:rFonts w:hint="eastAsia"/>
              </w:rPr>
              <w:t>0.5547</w:t>
            </w:r>
          </w:p>
        </w:tc>
        <w:tc>
          <w:tcPr>
            <w:tcW w:w="629" w:type="pct"/>
            <w:vAlign w:val="center"/>
          </w:tcPr>
          <w:p w14:paraId="11E5C25B">
            <w:pPr>
              <w:pStyle w:val="41"/>
            </w:pPr>
            <w:r>
              <w:t>/</w:t>
            </w:r>
          </w:p>
        </w:tc>
        <w:tc>
          <w:tcPr>
            <w:tcW w:w="636" w:type="pct"/>
            <w:vAlign w:val="center"/>
          </w:tcPr>
          <w:p w14:paraId="044A8932">
            <w:pPr>
              <w:pStyle w:val="41"/>
            </w:pPr>
            <w:r>
              <w:rPr>
                <w:rFonts w:hint="eastAsia"/>
              </w:rPr>
              <w:t>0.5547</w:t>
            </w:r>
          </w:p>
        </w:tc>
        <w:tc>
          <w:tcPr>
            <w:tcW w:w="447" w:type="pct"/>
            <w:vAlign w:val="center"/>
          </w:tcPr>
          <w:p w14:paraId="42F4ED9B">
            <w:pPr>
              <w:pStyle w:val="41"/>
            </w:pPr>
            <w:r>
              <w:t>+</w:t>
            </w:r>
            <w:r>
              <w:rPr>
                <w:rFonts w:hint="eastAsia"/>
              </w:rPr>
              <w:t>0.5547</w:t>
            </w:r>
          </w:p>
        </w:tc>
      </w:tr>
      <w:tr w14:paraId="40972D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6901F08D">
            <w:pPr>
              <w:pStyle w:val="41"/>
            </w:pPr>
          </w:p>
        </w:tc>
        <w:tc>
          <w:tcPr>
            <w:tcW w:w="605" w:type="pct"/>
            <w:vAlign w:val="center"/>
          </w:tcPr>
          <w:p w14:paraId="54C89E2D">
            <w:pPr>
              <w:pStyle w:val="20"/>
            </w:pPr>
            <w:r>
              <w:t>颗粒物</w:t>
            </w:r>
          </w:p>
        </w:tc>
        <w:tc>
          <w:tcPr>
            <w:tcW w:w="605" w:type="pct"/>
            <w:vAlign w:val="center"/>
          </w:tcPr>
          <w:p w14:paraId="61520141">
            <w:pPr>
              <w:pStyle w:val="41"/>
            </w:pPr>
            <w:r>
              <w:t>0.552</w:t>
            </w:r>
          </w:p>
        </w:tc>
        <w:tc>
          <w:tcPr>
            <w:tcW w:w="451" w:type="pct"/>
            <w:vAlign w:val="center"/>
          </w:tcPr>
          <w:p w14:paraId="0F12438A">
            <w:pPr>
              <w:pStyle w:val="41"/>
            </w:pPr>
            <w:r>
              <w:t>0.732</w:t>
            </w:r>
          </w:p>
        </w:tc>
        <w:tc>
          <w:tcPr>
            <w:tcW w:w="605" w:type="pct"/>
            <w:vAlign w:val="center"/>
          </w:tcPr>
          <w:p w14:paraId="15D5D1F9">
            <w:pPr>
              <w:pStyle w:val="41"/>
            </w:pPr>
            <w:r>
              <w:t>0</w:t>
            </w:r>
          </w:p>
        </w:tc>
        <w:tc>
          <w:tcPr>
            <w:tcW w:w="555" w:type="pct"/>
            <w:vAlign w:val="center"/>
          </w:tcPr>
          <w:p w14:paraId="33243EC5">
            <w:pPr>
              <w:pStyle w:val="41"/>
              <w:rPr>
                <w:rFonts w:hint="default" w:eastAsia="宋体"/>
                <w:lang w:val="en-US" w:eastAsia="zh-CN" w:bidi="ar"/>
              </w:rPr>
            </w:pPr>
            <w:r>
              <w:rPr>
                <w:rFonts w:hint="eastAsia"/>
                <w:lang w:val="en-US" w:eastAsia="zh-CN" w:bidi="ar"/>
              </w:rPr>
              <w:t>8.1627</w:t>
            </w:r>
          </w:p>
        </w:tc>
        <w:tc>
          <w:tcPr>
            <w:tcW w:w="629" w:type="pct"/>
            <w:vAlign w:val="center"/>
          </w:tcPr>
          <w:p w14:paraId="3EA7DB39">
            <w:pPr>
              <w:pStyle w:val="41"/>
            </w:pPr>
            <w:r>
              <w:t>/</w:t>
            </w:r>
          </w:p>
        </w:tc>
        <w:tc>
          <w:tcPr>
            <w:tcW w:w="636" w:type="pct"/>
            <w:vAlign w:val="center"/>
          </w:tcPr>
          <w:p w14:paraId="52C57323">
            <w:pPr>
              <w:pStyle w:val="41"/>
              <w:rPr>
                <w:rFonts w:hint="default" w:eastAsia="宋体"/>
                <w:lang w:val="en-US" w:eastAsia="zh-CN" w:bidi="ar"/>
              </w:rPr>
            </w:pPr>
            <w:r>
              <w:rPr>
                <w:rFonts w:hint="eastAsia"/>
                <w:lang w:val="en-US" w:eastAsia="zh-CN" w:bidi="ar"/>
              </w:rPr>
              <w:t>9.1647</w:t>
            </w:r>
          </w:p>
        </w:tc>
        <w:tc>
          <w:tcPr>
            <w:tcW w:w="447" w:type="pct"/>
            <w:vAlign w:val="center"/>
          </w:tcPr>
          <w:p w14:paraId="4EC8EB16">
            <w:pPr>
              <w:pStyle w:val="41"/>
              <w:rPr>
                <w:rFonts w:hint="default" w:eastAsia="宋体"/>
                <w:lang w:val="en-US" w:eastAsia="zh-CN"/>
              </w:rPr>
            </w:pPr>
            <w:r>
              <w:t>+</w:t>
            </w:r>
            <w:r>
              <w:rPr>
                <w:rFonts w:hint="eastAsia"/>
                <w:lang w:val="en-US" w:eastAsia="zh-CN"/>
              </w:rPr>
              <w:t>8.1627</w:t>
            </w:r>
          </w:p>
        </w:tc>
      </w:tr>
      <w:tr w14:paraId="764FBB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67718CA9">
            <w:pPr>
              <w:pStyle w:val="41"/>
            </w:pPr>
          </w:p>
        </w:tc>
        <w:tc>
          <w:tcPr>
            <w:tcW w:w="605" w:type="pct"/>
            <w:vAlign w:val="center"/>
          </w:tcPr>
          <w:p w14:paraId="0AEA49E7">
            <w:pPr>
              <w:pStyle w:val="20"/>
              <w:rPr>
                <w:lang w:val="ru-RU"/>
              </w:rPr>
            </w:pPr>
            <w:r>
              <w:rPr>
                <w:lang w:val="ru-RU"/>
              </w:rPr>
              <w:t>SO</w:t>
            </w:r>
            <w:r>
              <w:rPr>
                <w:vertAlign w:val="subscript"/>
                <w:lang w:val="ru-RU"/>
              </w:rPr>
              <w:t>2</w:t>
            </w:r>
          </w:p>
        </w:tc>
        <w:tc>
          <w:tcPr>
            <w:tcW w:w="605" w:type="pct"/>
            <w:vAlign w:val="center"/>
          </w:tcPr>
          <w:p w14:paraId="709A8CBB">
            <w:pPr>
              <w:pStyle w:val="41"/>
            </w:pPr>
            <w:r>
              <w:t>/</w:t>
            </w:r>
          </w:p>
        </w:tc>
        <w:tc>
          <w:tcPr>
            <w:tcW w:w="451" w:type="pct"/>
            <w:vAlign w:val="center"/>
          </w:tcPr>
          <w:p w14:paraId="6A07B0E2">
            <w:pPr>
              <w:pStyle w:val="41"/>
            </w:pPr>
            <w:r>
              <w:t>/</w:t>
            </w:r>
          </w:p>
        </w:tc>
        <w:tc>
          <w:tcPr>
            <w:tcW w:w="605" w:type="pct"/>
            <w:vAlign w:val="center"/>
          </w:tcPr>
          <w:p w14:paraId="79C6D09C">
            <w:pPr>
              <w:pStyle w:val="41"/>
            </w:pPr>
            <w:r>
              <w:t>0</w:t>
            </w:r>
          </w:p>
        </w:tc>
        <w:tc>
          <w:tcPr>
            <w:tcW w:w="555" w:type="pct"/>
            <w:vAlign w:val="center"/>
          </w:tcPr>
          <w:p w14:paraId="152B3D15">
            <w:pPr>
              <w:pStyle w:val="41"/>
            </w:pPr>
            <w:r>
              <w:t>0.0228</w:t>
            </w:r>
          </w:p>
        </w:tc>
        <w:tc>
          <w:tcPr>
            <w:tcW w:w="629" w:type="pct"/>
            <w:vAlign w:val="center"/>
          </w:tcPr>
          <w:p w14:paraId="2441750D">
            <w:pPr>
              <w:pStyle w:val="41"/>
            </w:pPr>
            <w:r>
              <w:t>/</w:t>
            </w:r>
          </w:p>
        </w:tc>
        <w:tc>
          <w:tcPr>
            <w:tcW w:w="636" w:type="pct"/>
            <w:vAlign w:val="center"/>
          </w:tcPr>
          <w:p w14:paraId="63647AAD">
            <w:pPr>
              <w:pStyle w:val="41"/>
            </w:pPr>
            <w:r>
              <w:t>0.0228</w:t>
            </w:r>
          </w:p>
        </w:tc>
        <w:tc>
          <w:tcPr>
            <w:tcW w:w="447" w:type="pct"/>
            <w:vAlign w:val="center"/>
          </w:tcPr>
          <w:p w14:paraId="535DB5EC">
            <w:pPr>
              <w:pStyle w:val="41"/>
            </w:pPr>
            <w:r>
              <w:t>+0.0228</w:t>
            </w:r>
          </w:p>
        </w:tc>
      </w:tr>
      <w:tr w14:paraId="39D33B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7155BCDF">
            <w:pPr>
              <w:pStyle w:val="41"/>
            </w:pPr>
          </w:p>
        </w:tc>
        <w:tc>
          <w:tcPr>
            <w:tcW w:w="605" w:type="pct"/>
            <w:vAlign w:val="center"/>
          </w:tcPr>
          <w:p w14:paraId="1D09EBC4">
            <w:pPr>
              <w:pStyle w:val="20"/>
              <w:rPr>
                <w:lang w:val="ru-RU"/>
              </w:rPr>
            </w:pPr>
            <w:r>
              <w:rPr>
                <w:lang w:val="ru-RU"/>
              </w:rPr>
              <w:t>NO</w:t>
            </w:r>
            <w:r>
              <w:rPr>
                <w:vertAlign w:val="subscript"/>
                <w:lang w:val="ru-RU"/>
              </w:rPr>
              <w:t>X</w:t>
            </w:r>
          </w:p>
        </w:tc>
        <w:tc>
          <w:tcPr>
            <w:tcW w:w="605" w:type="pct"/>
            <w:vAlign w:val="center"/>
          </w:tcPr>
          <w:p w14:paraId="63B0622F">
            <w:pPr>
              <w:pStyle w:val="41"/>
            </w:pPr>
            <w:r>
              <w:t>/</w:t>
            </w:r>
          </w:p>
        </w:tc>
        <w:tc>
          <w:tcPr>
            <w:tcW w:w="451" w:type="pct"/>
            <w:vAlign w:val="center"/>
          </w:tcPr>
          <w:p w14:paraId="04F0EF86">
            <w:pPr>
              <w:pStyle w:val="41"/>
            </w:pPr>
            <w:r>
              <w:t>/</w:t>
            </w:r>
          </w:p>
        </w:tc>
        <w:tc>
          <w:tcPr>
            <w:tcW w:w="605" w:type="pct"/>
            <w:vAlign w:val="center"/>
          </w:tcPr>
          <w:p w14:paraId="34C87246">
            <w:pPr>
              <w:pStyle w:val="41"/>
            </w:pPr>
            <w:r>
              <w:t>0</w:t>
            </w:r>
          </w:p>
        </w:tc>
        <w:tc>
          <w:tcPr>
            <w:tcW w:w="555" w:type="pct"/>
            <w:vAlign w:val="center"/>
          </w:tcPr>
          <w:p w14:paraId="294E62DA">
            <w:pPr>
              <w:pStyle w:val="41"/>
            </w:pPr>
            <w:r>
              <w:t>0.062</w:t>
            </w:r>
          </w:p>
        </w:tc>
        <w:tc>
          <w:tcPr>
            <w:tcW w:w="629" w:type="pct"/>
            <w:vAlign w:val="center"/>
          </w:tcPr>
          <w:p w14:paraId="4841F703">
            <w:pPr>
              <w:pStyle w:val="41"/>
            </w:pPr>
            <w:r>
              <w:t>/</w:t>
            </w:r>
          </w:p>
        </w:tc>
        <w:tc>
          <w:tcPr>
            <w:tcW w:w="636" w:type="pct"/>
            <w:vAlign w:val="center"/>
          </w:tcPr>
          <w:p w14:paraId="202BB252">
            <w:pPr>
              <w:pStyle w:val="41"/>
            </w:pPr>
            <w:r>
              <w:t>0.062</w:t>
            </w:r>
          </w:p>
        </w:tc>
        <w:tc>
          <w:tcPr>
            <w:tcW w:w="447" w:type="pct"/>
            <w:vAlign w:val="center"/>
          </w:tcPr>
          <w:p w14:paraId="2A7A2059">
            <w:pPr>
              <w:pStyle w:val="41"/>
            </w:pPr>
            <w:r>
              <w:t>+0.062</w:t>
            </w:r>
          </w:p>
        </w:tc>
      </w:tr>
      <w:tr w14:paraId="7BC60E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restart"/>
            <w:vAlign w:val="center"/>
          </w:tcPr>
          <w:p w14:paraId="2C17E9D2">
            <w:pPr>
              <w:pStyle w:val="41"/>
            </w:pPr>
            <w:r>
              <w:t>废水</w:t>
            </w:r>
          </w:p>
        </w:tc>
        <w:tc>
          <w:tcPr>
            <w:tcW w:w="605" w:type="pct"/>
            <w:vAlign w:val="center"/>
          </w:tcPr>
          <w:p w14:paraId="0C18BA58">
            <w:pPr>
              <w:pStyle w:val="20"/>
            </w:pPr>
            <w:r>
              <w:t>COD</w:t>
            </w:r>
          </w:p>
        </w:tc>
        <w:tc>
          <w:tcPr>
            <w:tcW w:w="605" w:type="pct"/>
            <w:vAlign w:val="center"/>
          </w:tcPr>
          <w:p w14:paraId="44F3CEA9">
            <w:pPr>
              <w:pStyle w:val="41"/>
            </w:pPr>
            <w:r>
              <w:t>0.763</w:t>
            </w:r>
          </w:p>
        </w:tc>
        <w:tc>
          <w:tcPr>
            <w:tcW w:w="451" w:type="pct"/>
            <w:vAlign w:val="center"/>
          </w:tcPr>
          <w:p w14:paraId="28A0F179">
            <w:pPr>
              <w:pStyle w:val="41"/>
            </w:pPr>
            <w:r>
              <w:t>/</w:t>
            </w:r>
          </w:p>
        </w:tc>
        <w:tc>
          <w:tcPr>
            <w:tcW w:w="605" w:type="pct"/>
            <w:vAlign w:val="center"/>
          </w:tcPr>
          <w:p w14:paraId="133B88C2">
            <w:pPr>
              <w:pStyle w:val="41"/>
            </w:pPr>
            <w:r>
              <w:t>0</w:t>
            </w:r>
          </w:p>
        </w:tc>
        <w:tc>
          <w:tcPr>
            <w:tcW w:w="555" w:type="pct"/>
            <w:vAlign w:val="center"/>
          </w:tcPr>
          <w:p w14:paraId="075D79A3">
            <w:pPr>
              <w:pStyle w:val="41"/>
            </w:pPr>
            <w:r>
              <w:t>0.703</w:t>
            </w:r>
          </w:p>
        </w:tc>
        <w:tc>
          <w:tcPr>
            <w:tcW w:w="629" w:type="pct"/>
            <w:vAlign w:val="center"/>
          </w:tcPr>
          <w:p w14:paraId="40162C0F">
            <w:pPr>
              <w:pStyle w:val="41"/>
            </w:pPr>
            <w:r>
              <w:t>/</w:t>
            </w:r>
          </w:p>
        </w:tc>
        <w:tc>
          <w:tcPr>
            <w:tcW w:w="636" w:type="pct"/>
            <w:vAlign w:val="center"/>
          </w:tcPr>
          <w:p w14:paraId="063943FC">
            <w:pPr>
              <w:pStyle w:val="41"/>
            </w:pPr>
            <w:r>
              <w:t>1.466</w:t>
            </w:r>
          </w:p>
        </w:tc>
        <w:tc>
          <w:tcPr>
            <w:tcW w:w="447" w:type="pct"/>
            <w:vAlign w:val="center"/>
          </w:tcPr>
          <w:p w14:paraId="37101902">
            <w:pPr>
              <w:pStyle w:val="41"/>
            </w:pPr>
            <w:r>
              <w:t>+0.703</w:t>
            </w:r>
          </w:p>
        </w:tc>
      </w:tr>
      <w:tr w14:paraId="3CE76D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3DC93D72">
            <w:pPr>
              <w:pStyle w:val="41"/>
            </w:pPr>
          </w:p>
        </w:tc>
        <w:tc>
          <w:tcPr>
            <w:tcW w:w="605" w:type="pct"/>
            <w:vAlign w:val="center"/>
          </w:tcPr>
          <w:p w14:paraId="1ADBB29F">
            <w:pPr>
              <w:pStyle w:val="20"/>
            </w:pPr>
            <w:r>
              <w:t>NH</w:t>
            </w:r>
            <w:r>
              <w:rPr>
                <w:vertAlign w:val="subscript"/>
              </w:rPr>
              <w:t>3</w:t>
            </w:r>
            <w:r>
              <w:t>-N</w:t>
            </w:r>
          </w:p>
        </w:tc>
        <w:tc>
          <w:tcPr>
            <w:tcW w:w="605" w:type="pct"/>
            <w:vAlign w:val="center"/>
          </w:tcPr>
          <w:p w14:paraId="0F8B216E">
            <w:pPr>
              <w:pStyle w:val="41"/>
            </w:pPr>
            <w:r>
              <w:t>0.148</w:t>
            </w:r>
          </w:p>
        </w:tc>
        <w:tc>
          <w:tcPr>
            <w:tcW w:w="451" w:type="pct"/>
            <w:vAlign w:val="center"/>
          </w:tcPr>
          <w:p w14:paraId="5E818919">
            <w:pPr>
              <w:pStyle w:val="41"/>
            </w:pPr>
            <w:r>
              <w:t>/</w:t>
            </w:r>
          </w:p>
        </w:tc>
        <w:tc>
          <w:tcPr>
            <w:tcW w:w="605" w:type="pct"/>
            <w:vAlign w:val="center"/>
          </w:tcPr>
          <w:p w14:paraId="7C3D896C">
            <w:pPr>
              <w:pStyle w:val="41"/>
            </w:pPr>
            <w:r>
              <w:t>0</w:t>
            </w:r>
          </w:p>
        </w:tc>
        <w:tc>
          <w:tcPr>
            <w:tcW w:w="555" w:type="pct"/>
            <w:vAlign w:val="center"/>
          </w:tcPr>
          <w:p w14:paraId="335BFF5E">
            <w:pPr>
              <w:pStyle w:val="41"/>
            </w:pPr>
            <w:r>
              <w:t>/</w:t>
            </w:r>
          </w:p>
        </w:tc>
        <w:tc>
          <w:tcPr>
            <w:tcW w:w="629" w:type="pct"/>
            <w:vAlign w:val="center"/>
          </w:tcPr>
          <w:p w14:paraId="7A1A450B">
            <w:pPr>
              <w:pStyle w:val="41"/>
            </w:pPr>
            <w:r>
              <w:t>/</w:t>
            </w:r>
          </w:p>
        </w:tc>
        <w:tc>
          <w:tcPr>
            <w:tcW w:w="636" w:type="pct"/>
            <w:vAlign w:val="center"/>
          </w:tcPr>
          <w:p w14:paraId="1057665B">
            <w:pPr>
              <w:pStyle w:val="41"/>
            </w:pPr>
            <w:r>
              <w:t>0.148</w:t>
            </w:r>
          </w:p>
        </w:tc>
        <w:tc>
          <w:tcPr>
            <w:tcW w:w="447" w:type="pct"/>
            <w:vAlign w:val="center"/>
          </w:tcPr>
          <w:p w14:paraId="0E7425C5">
            <w:pPr>
              <w:pStyle w:val="41"/>
            </w:pPr>
            <w:r>
              <w:t>+0</w:t>
            </w:r>
          </w:p>
        </w:tc>
      </w:tr>
      <w:tr w14:paraId="026D14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restart"/>
            <w:vAlign w:val="center"/>
          </w:tcPr>
          <w:p w14:paraId="758CAE47">
            <w:pPr>
              <w:pStyle w:val="41"/>
            </w:pPr>
            <w:r>
              <w:t>一般工业</w:t>
            </w:r>
          </w:p>
          <w:p w14:paraId="179C5E18">
            <w:pPr>
              <w:pStyle w:val="41"/>
            </w:pPr>
            <w:r>
              <w:t>固体废物</w:t>
            </w:r>
          </w:p>
        </w:tc>
        <w:tc>
          <w:tcPr>
            <w:tcW w:w="605" w:type="pct"/>
            <w:vAlign w:val="center"/>
          </w:tcPr>
          <w:p w14:paraId="3AEFE99A">
            <w:pPr>
              <w:pStyle w:val="20"/>
            </w:pPr>
            <w:r>
              <w:t>生活垃圾</w:t>
            </w:r>
          </w:p>
        </w:tc>
        <w:tc>
          <w:tcPr>
            <w:tcW w:w="605" w:type="pct"/>
            <w:vAlign w:val="center"/>
          </w:tcPr>
          <w:p w14:paraId="13F6884D">
            <w:pPr>
              <w:pStyle w:val="41"/>
            </w:pPr>
            <w:r>
              <w:t>30</w:t>
            </w:r>
          </w:p>
        </w:tc>
        <w:tc>
          <w:tcPr>
            <w:tcW w:w="451" w:type="pct"/>
            <w:vAlign w:val="center"/>
          </w:tcPr>
          <w:p w14:paraId="226EB469">
            <w:pPr>
              <w:pStyle w:val="41"/>
            </w:pPr>
            <w:r>
              <w:t>/</w:t>
            </w:r>
          </w:p>
        </w:tc>
        <w:tc>
          <w:tcPr>
            <w:tcW w:w="605" w:type="pct"/>
            <w:vAlign w:val="center"/>
          </w:tcPr>
          <w:p w14:paraId="74E60105">
            <w:pPr>
              <w:pStyle w:val="41"/>
            </w:pPr>
            <w:r>
              <w:t>/</w:t>
            </w:r>
          </w:p>
        </w:tc>
        <w:tc>
          <w:tcPr>
            <w:tcW w:w="555" w:type="pct"/>
            <w:vAlign w:val="center"/>
          </w:tcPr>
          <w:p w14:paraId="09ADDF86">
            <w:pPr>
              <w:pStyle w:val="41"/>
            </w:pPr>
            <w:r>
              <w:t>/</w:t>
            </w:r>
          </w:p>
        </w:tc>
        <w:tc>
          <w:tcPr>
            <w:tcW w:w="629" w:type="pct"/>
            <w:vAlign w:val="center"/>
          </w:tcPr>
          <w:p w14:paraId="09CB3D08">
            <w:pPr>
              <w:pStyle w:val="41"/>
            </w:pPr>
            <w:r>
              <w:t>/</w:t>
            </w:r>
          </w:p>
        </w:tc>
        <w:tc>
          <w:tcPr>
            <w:tcW w:w="636" w:type="pct"/>
            <w:vAlign w:val="center"/>
          </w:tcPr>
          <w:p w14:paraId="269837EA">
            <w:pPr>
              <w:pStyle w:val="41"/>
            </w:pPr>
            <w:r>
              <w:t>30</w:t>
            </w:r>
          </w:p>
        </w:tc>
        <w:tc>
          <w:tcPr>
            <w:tcW w:w="447" w:type="pct"/>
            <w:vAlign w:val="center"/>
          </w:tcPr>
          <w:p w14:paraId="647F4756">
            <w:pPr>
              <w:pStyle w:val="41"/>
            </w:pPr>
            <w:r>
              <w:t>+0</w:t>
            </w:r>
          </w:p>
        </w:tc>
      </w:tr>
      <w:tr w14:paraId="758A82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1D487660">
            <w:pPr>
              <w:pStyle w:val="41"/>
            </w:pPr>
          </w:p>
        </w:tc>
        <w:tc>
          <w:tcPr>
            <w:tcW w:w="605" w:type="pct"/>
            <w:vAlign w:val="center"/>
          </w:tcPr>
          <w:p w14:paraId="236C08DE">
            <w:pPr>
              <w:pStyle w:val="20"/>
            </w:pPr>
            <w:r>
              <w:t>废边角料</w:t>
            </w:r>
          </w:p>
        </w:tc>
        <w:tc>
          <w:tcPr>
            <w:tcW w:w="605" w:type="pct"/>
            <w:vAlign w:val="center"/>
          </w:tcPr>
          <w:p w14:paraId="16BEB164">
            <w:pPr>
              <w:pStyle w:val="41"/>
            </w:pPr>
            <w:r>
              <w:t>3</w:t>
            </w:r>
          </w:p>
        </w:tc>
        <w:tc>
          <w:tcPr>
            <w:tcW w:w="451" w:type="pct"/>
            <w:vAlign w:val="center"/>
          </w:tcPr>
          <w:p w14:paraId="0F22222D">
            <w:pPr>
              <w:pStyle w:val="41"/>
            </w:pPr>
            <w:r>
              <w:t>/</w:t>
            </w:r>
          </w:p>
        </w:tc>
        <w:tc>
          <w:tcPr>
            <w:tcW w:w="605" w:type="pct"/>
            <w:vAlign w:val="center"/>
          </w:tcPr>
          <w:p w14:paraId="42C87B55">
            <w:pPr>
              <w:pStyle w:val="41"/>
            </w:pPr>
            <w:r>
              <w:t>0</w:t>
            </w:r>
          </w:p>
        </w:tc>
        <w:tc>
          <w:tcPr>
            <w:tcW w:w="555" w:type="pct"/>
            <w:vAlign w:val="center"/>
          </w:tcPr>
          <w:p w14:paraId="1B365703">
            <w:pPr>
              <w:pStyle w:val="41"/>
            </w:pPr>
            <w:r>
              <w:t>182.91</w:t>
            </w:r>
          </w:p>
        </w:tc>
        <w:tc>
          <w:tcPr>
            <w:tcW w:w="629" w:type="pct"/>
            <w:vAlign w:val="center"/>
          </w:tcPr>
          <w:p w14:paraId="5F0599EE">
            <w:pPr>
              <w:pStyle w:val="41"/>
            </w:pPr>
            <w:r>
              <w:t>/</w:t>
            </w:r>
          </w:p>
        </w:tc>
        <w:tc>
          <w:tcPr>
            <w:tcW w:w="636" w:type="pct"/>
            <w:vAlign w:val="center"/>
          </w:tcPr>
          <w:p w14:paraId="2BD22758">
            <w:pPr>
              <w:pStyle w:val="41"/>
            </w:pPr>
            <w:r>
              <w:t>185.91</w:t>
            </w:r>
          </w:p>
        </w:tc>
        <w:tc>
          <w:tcPr>
            <w:tcW w:w="447" w:type="pct"/>
            <w:vAlign w:val="center"/>
          </w:tcPr>
          <w:p w14:paraId="3B510A67">
            <w:pPr>
              <w:pStyle w:val="41"/>
            </w:pPr>
            <w:r>
              <w:t>+182.91</w:t>
            </w:r>
          </w:p>
        </w:tc>
      </w:tr>
      <w:tr w14:paraId="4BD30B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34B09370">
            <w:pPr>
              <w:pStyle w:val="41"/>
            </w:pPr>
          </w:p>
        </w:tc>
        <w:tc>
          <w:tcPr>
            <w:tcW w:w="605" w:type="pct"/>
            <w:vAlign w:val="center"/>
          </w:tcPr>
          <w:p w14:paraId="15D8FEB0">
            <w:pPr>
              <w:pStyle w:val="20"/>
            </w:pPr>
            <w:r>
              <w:t>金属粉尘</w:t>
            </w:r>
          </w:p>
        </w:tc>
        <w:tc>
          <w:tcPr>
            <w:tcW w:w="605" w:type="pct"/>
            <w:vAlign w:val="center"/>
          </w:tcPr>
          <w:p w14:paraId="1AD4B784">
            <w:pPr>
              <w:pStyle w:val="41"/>
            </w:pPr>
            <w:r>
              <w:t>6.18</w:t>
            </w:r>
          </w:p>
        </w:tc>
        <w:tc>
          <w:tcPr>
            <w:tcW w:w="451" w:type="pct"/>
            <w:vAlign w:val="center"/>
          </w:tcPr>
          <w:p w14:paraId="4315405D">
            <w:pPr>
              <w:pStyle w:val="41"/>
            </w:pPr>
            <w:r>
              <w:t>/</w:t>
            </w:r>
          </w:p>
        </w:tc>
        <w:tc>
          <w:tcPr>
            <w:tcW w:w="605" w:type="pct"/>
            <w:vAlign w:val="center"/>
          </w:tcPr>
          <w:p w14:paraId="5A982B49">
            <w:pPr>
              <w:pStyle w:val="41"/>
            </w:pPr>
            <w:r>
              <w:t>0</w:t>
            </w:r>
          </w:p>
        </w:tc>
        <w:tc>
          <w:tcPr>
            <w:tcW w:w="555" w:type="pct"/>
            <w:vAlign w:val="center"/>
          </w:tcPr>
          <w:p w14:paraId="39BA64A2">
            <w:pPr>
              <w:pStyle w:val="41"/>
              <w:rPr>
                <w:rFonts w:hint="eastAsia" w:eastAsia="宋体"/>
                <w:lang w:eastAsia="zh-CN"/>
              </w:rPr>
            </w:pPr>
            <w:r>
              <w:rPr>
                <w:rFonts w:hint="eastAsia"/>
                <w:lang w:eastAsia="zh-CN"/>
              </w:rPr>
              <w:t>54.4826</w:t>
            </w:r>
          </w:p>
        </w:tc>
        <w:tc>
          <w:tcPr>
            <w:tcW w:w="629" w:type="pct"/>
            <w:vAlign w:val="center"/>
          </w:tcPr>
          <w:p w14:paraId="40DA8802">
            <w:pPr>
              <w:pStyle w:val="41"/>
            </w:pPr>
            <w:r>
              <w:t>/</w:t>
            </w:r>
          </w:p>
        </w:tc>
        <w:tc>
          <w:tcPr>
            <w:tcW w:w="636" w:type="pct"/>
            <w:vAlign w:val="center"/>
          </w:tcPr>
          <w:p w14:paraId="59B422E2">
            <w:pPr>
              <w:pStyle w:val="41"/>
            </w:pPr>
            <w:r>
              <w:t>61.87</w:t>
            </w:r>
          </w:p>
        </w:tc>
        <w:tc>
          <w:tcPr>
            <w:tcW w:w="447" w:type="pct"/>
            <w:vAlign w:val="center"/>
          </w:tcPr>
          <w:p w14:paraId="1B85159A">
            <w:pPr>
              <w:pStyle w:val="41"/>
              <w:rPr>
                <w:rFonts w:hint="eastAsia" w:eastAsia="宋体"/>
                <w:lang w:eastAsia="zh-CN"/>
              </w:rPr>
            </w:pPr>
            <w:r>
              <w:t>+</w:t>
            </w:r>
            <w:r>
              <w:rPr>
                <w:rFonts w:hint="eastAsia"/>
                <w:lang w:eastAsia="zh-CN"/>
              </w:rPr>
              <w:t>54.4826</w:t>
            </w:r>
          </w:p>
        </w:tc>
      </w:tr>
      <w:tr w14:paraId="7D3369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4D1E2E29">
            <w:pPr>
              <w:pStyle w:val="41"/>
            </w:pPr>
          </w:p>
        </w:tc>
        <w:tc>
          <w:tcPr>
            <w:tcW w:w="605" w:type="pct"/>
            <w:vAlign w:val="center"/>
          </w:tcPr>
          <w:p w14:paraId="249AC584">
            <w:pPr>
              <w:pStyle w:val="20"/>
            </w:pPr>
            <w:r>
              <w:t>废麻轮、布轮</w:t>
            </w:r>
          </w:p>
        </w:tc>
        <w:tc>
          <w:tcPr>
            <w:tcW w:w="605" w:type="pct"/>
            <w:vAlign w:val="center"/>
          </w:tcPr>
          <w:p w14:paraId="29FC1F4B">
            <w:pPr>
              <w:pStyle w:val="41"/>
            </w:pPr>
            <w:r>
              <w:t>2.64</w:t>
            </w:r>
          </w:p>
        </w:tc>
        <w:tc>
          <w:tcPr>
            <w:tcW w:w="451" w:type="pct"/>
            <w:vAlign w:val="center"/>
          </w:tcPr>
          <w:p w14:paraId="70C00189">
            <w:pPr>
              <w:pStyle w:val="41"/>
            </w:pPr>
            <w:r>
              <w:t>/</w:t>
            </w:r>
          </w:p>
        </w:tc>
        <w:tc>
          <w:tcPr>
            <w:tcW w:w="605" w:type="pct"/>
            <w:vAlign w:val="center"/>
          </w:tcPr>
          <w:p w14:paraId="089F2DEE">
            <w:pPr>
              <w:pStyle w:val="41"/>
            </w:pPr>
            <w:r>
              <w:t>0</w:t>
            </w:r>
          </w:p>
        </w:tc>
        <w:tc>
          <w:tcPr>
            <w:tcW w:w="555" w:type="pct"/>
            <w:vAlign w:val="center"/>
          </w:tcPr>
          <w:p w14:paraId="7F5F65CF">
            <w:pPr>
              <w:pStyle w:val="41"/>
            </w:pPr>
            <w:r>
              <w:t>6.0</w:t>
            </w:r>
          </w:p>
        </w:tc>
        <w:tc>
          <w:tcPr>
            <w:tcW w:w="629" w:type="pct"/>
            <w:vAlign w:val="center"/>
          </w:tcPr>
          <w:p w14:paraId="2B331988">
            <w:pPr>
              <w:pStyle w:val="41"/>
            </w:pPr>
            <w:r>
              <w:t>/</w:t>
            </w:r>
          </w:p>
        </w:tc>
        <w:tc>
          <w:tcPr>
            <w:tcW w:w="636" w:type="pct"/>
            <w:vAlign w:val="center"/>
          </w:tcPr>
          <w:p w14:paraId="4869880F">
            <w:pPr>
              <w:pStyle w:val="41"/>
            </w:pPr>
            <w:r>
              <w:t>8.64</w:t>
            </w:r>
          </w:p>
        </w:tc>
        <w:tc>
          <w:tcPr>
            <w:tcW w:w="447" w:type="pct"/>
            <w:vAlign w:val="center"/>
          </w:tcPr>
          <w:p w14:paraId="0749F703">
            <w:pPr>
              <w:pStyle w:val="41"/>
            </w:pPr>
            <w:r>
              <w:t>+6.0</w:t>
            </w:r>
          </w:p>
        </w:tc>
      </w:tr>
      <w:tr w14:paraId="713EAF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18524565">
            <w:pPr>
              <w:pStyle w:val="41"/>
            </w:pPr>
          </w:p>
        </w:tc>
        <w:tc>
          <w:tcPr>
            <w:tcW w:w="605" w:type="pct"/>
            <w:vAlign w:val="center"/>
          </w:tcPr>
          <w:p w14:paraId="6151C618">
            <w:pPr>
              <w:pStyle w:val="20"/>
            </w:pPr>
            <w:r>
              <w:t>焊渣</w:t>
            </w:r>
          </w:p>
        </w:tc>
        <w:tc>
          <w:tcPr>
            <w:tcW w:w="605" w:type="pct"/>
            <w:vAlign w:val="center"/>
          </w:tcPr>
          <w:p w14:paraId="2FE5BE2E">
            <w:pPr>
              <w:pStyle w:val="41"/>
            </w:pPr>
            <w:r>
              <w:t>/</w:t>
            </w:r>
          </w:p>
        </w:tc>
        <w:tc>
          <w:tcPr>
            <w:tcW w:w="451" w:type="pct"/>
            <w:vAlign w:val="center"/>
          </w:tcPr>
          <w:p w14:paraId="0F076C3C">
            <w:pPr>
              <w:pStyle w:val="41"/>
            </w:pPr>
            <w:r>
              <w:t>/</w:t>
            </w:r>
          </w:p>
        </w:tc>
        <w:tc>
          <w:tcPr>
            <w:tcW w:w="605" w:type="pct"/>
            <w:vAlign w:val="center"/>
          </w:tcPr>
          <w:p w14:paraId="5B995491">
            <w:pPr>
              <w:pStyle w:val="41"/>
            </w:pPr>
            <w:r>
              <w:t>0</w:t>
            </w:r>
          </w:p>
        </w:tc>
        <w:tc>
          <w:tcPr>
            <w:tcW w:w="555" w:type="pct"/>
            <w:vAlign w:val="center"/>
          </w:tcPr>
          <w:p w14:paraId="5E21759D">
            <w:pPr>
              <w:pStyle w:val="41"/>
            </w:pPr>
            <w:r>
              <w:t>0.3927</w:t>
            </w:r>
          </w:p>
        </w:tc>
        <w:tc>
          <w:tcPr>
            <w:tcW w:w="629" w:type="pct"/>
            <w:vAlign w:val="center"/>
          </w:tcPr>
          <w:p w14:paraId="5C38DA67">
            <w:pPr>
              <w:pStyle w:val="41"/>
            </w:pPr>
            <w:r>
              <w:t>/</w:t>
            </w:r>
          </w:p>
        </w:tc>
        <w:tc>
          <w:tcPr>
            <w:tcW w:w="636" w:type="pct"/>
            <w:vAlign w:val="center"/>
          </w:tcPr>
          <w:p w14:paraId="08E6FDFD">
            <w:pPr>
              <w:pStyle w:val="41"/>
            </w:pPr>
            <w:r>
              <w:t>0.3927</w:t>
            </w:r>
          </w:p>
        </w:tc>
        <w:tc>
          <w:tcPr>
            <w:tcW w:w="447" w:type="pct"/>
            <w:vAlign w:val="center"/>
          </w:tcPr>
          <w:p w14:paraId="5077CF45">
            <w:pPr>
              <w:pStyle w:val="41"/>
            </w:pPr>
            <w:r>
              <w:t>+0.3927</w:t>
            </w:r>
          </w:p>
        </w:tc>
      </w:tr>
      <w:tr w14:paraId="245B62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0B3AB230">
            <w:pPr>
              <w:pStyle w:val="41"/>
            </w:pPr>
          </w:p>
        </w:tc>
        <w:tc>
          <w:tcPr>
            <w:tcW w:w="605" w:type="pct"/>
            <w:vAlign w:val="center"/>
          </w:tcPr>
          <w:p w14:paraId="1A526AC2">
            <w:pPr>
              <w:pStyle w:val="20"/>
              <w:rPr>
                <w:lang w:val="zh-CN"/>
              </w:rPr>
            </w:pPr>
            <w:r>
              <w:t>废树脂粉末</w:t>
            </w:r>
          </w:p>
        </w:tc>
        <w:tc>
          <w:tcPr>
            <w:tcW w:w="605" w:type="pct"/>
            <w:vAlign w:val="center"/>
          </w:tcPr>
          <w:p w14:paraId="0C8D0FF9">
            <w:pPr>
              <w:pStyle w:val="41"/>
            </w:pPr>
            <w:r>
              <w:t>/</w:t>
            </w:r>
          </w:p>
        </w:tc>
        <w:tc>
          <w:tcPr>
            <w:tcW w:w="451" w:type="pct"/>
            <w:vAlign w:val="center"/>
          </w:tcPr>
          <w:p w14:paraId="75FCCD06">
            <w:pPr>
              <w:pStyle w:val="41"/>
            </w:pPr>
            <w:r>
              <w:t>/</w:t>
            </w:r>
          </w:p>
        </w:tc>
        <w:tc>
          <w:tcPr>
            <w:tcW w:w="605" w:type="pct"/>
            <w:vAlign w:val="center"/>
          </w:tcPr>
          <w:p w14:paraId="22E335CC">
            <w:pPr>
              <w:pStyle w:val="41"/>
            </w:pPr>
            <w:r>
              <w:t>0</w:t>
            </w:r>
          </w:p>
        </w:tc>
        <w:tc>
          <w:tcPr>
            <w:tcW w:w="555" w:type="pct"/>
            <w:vAlign w:val="center"/>
          </w:tcPr>
          <w:p w14:paraId="4A898E84">
            <w:pPr>
              <w:pStyle w:val="41"/>
            </w:pPr>
            <w:r>
              <w:rPr>
                <w:rFonts w:hint="eastAsia"/>
              </w:rPr>
              <w:t>28.2093</w:t>
            </w:r>
          </w:p>
        </w:tc>
        <w:tc>
          <w:tcPr>
            <w:tcW w:w="629" w:type="pct"/>
            <w:vAlign w:val="center"/>
          </w:tcPr>
          <w:p w14:paraId="24A48ACD">
            <w:pPr>
              <w:pStyle w:val="41"/>
            </w:pPr>
            <w:r>
              <w:t>/</w:t>
            </w:r>
          </w:p>
        </w:tc>
        <w:tc>
          <w:tcPr>
            <w:tcW w:w="636" w:type="pct"/>
            <w:vAlign w:val="center"/>
          </w:tcPr>
          <w:p w14:paraId="3DF2D844">
            <w:pPr>
              <w:pStyle w:val="41"/>
            </w:pPr>
            <w:r>
              <w:rPr>
                <w:rFonts w:hint="eastAsia"/>
              </w:rPr>
              <w:t>28.2093</w:t>
            </w:r>
          </w:p>
        </w:tc>
        <w:tc>
          <w:tcPr>
            <w:tcW w:w="447" w:type="pct"/>
            <w:vAlign w:val="center"/>
          </w:tcPr>
          <w:p w14:paraId="6CD8E3AC">
            <w:pPr>
              <w:pStyle w:val="41"/>
            </w:pPr>
            <w:r>
              <w:t>+</w:t>
            </w:r>
            <w:r>
              <w:rPr>
                <w:rFonts w:hint="eastAsia"/>
              </w:rPr>
              <w:t>28.2093</w:t>
            </w:r>
          </w:p>
        </w:tc>
      </w:tr>
      <w:tr w14:paraId="2C7C8B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restart"/>
            <w:vAlign w:val="center"/>
          </w:tcPr>
          <w:p w14:paraId="77A2B597">
            <w:pPr>
              <w:pStyle w:val="41"/>
            </w:pPr>
            <w:r>
              <w:t>危险废物</w:t>
            </w:r>
          </w:p>
        </w:tc>
        <w:tc>
          <w:tcPr>
            <w:tcW w:w="605" w:type="pct"/>
            <w:vAlign w:val="center"/>
          </w:tcPr>
          <w:p w14:paraId="1B0BA906">
            <w:pPr>
              <w:pStyle w:val="20"/>
            </w:pPr>
            <w:r>
              <w:t>废活性炭及其吸附物</w:t>
            </w:r>
          </w:p>
        </w:tc>
        <w:tc>
          <w:tcPr>
            <w:tcW w:w="605" w:type="pct"/>
            <w:vAlign w:val="center"/>
          </w:tcPr>
          <w:p w14:paraId="7856BF24">
            <w:pPr>
              <w:pStyle w:val="41"/>
            </w:pPr>
            <w:r>
              <w:t>/</w:t>
            </w:r>
          </w:p>
        </w:tc>
        <w:tc>
          <w:tcPr>
            <w:tcW w:w="451" w:type="pct"/>
            <w:vAlign w:val="center"/>
          </w:tcPr>
          <w:p w14:paraId="105345BB">
            <w:pPr>
              <w:pStyle w:val="41"/>
            </w:pPr>
            <w:r>
              <w:t>/</w:t>
            </w:r>
          </w:p>
        </w:tc>
        <w:tc>
          <w:tcPr>
            <w:tcW w:w="605" w:type="pct"/>
            <w:vAlign w:val="center"/>
          </w:tcPr>
          <w:p w14:paraId="3CEB0057">
            <w:pPr>
              <w:pStyle w:val="41"/>
            </w:pPr>
            <w:r>
              <w:t>0</w:t>
            </w:r>
          </w:p>
        </w:tc>
        <w:tc>
          <w:tcPr>
            <w:tcW w:w="555" w:type="pct"/>
            <w:vAlign w:val="center"/>
          </w:tcPr>
          <w:p w14:paraId="4BA1450C">
            <w:pPr>
              <w:pStyle w:val="41"/>
              <w:rPr>
                <w:rFonts w:hint="eastAsia" w:eastAsia="宋体"/>
                <w:lang w:eastAsia="zh-CN"/>
              </w:rPr>
            </w:pPr>
            <w:r>
              <w:rPr>
                <w:rFonts w:hint="eastAsia"/>
                <w:lang w:eastAsia="zh-CN"/>
              </w:rPr>
              <w:t>10.9</w:t>
            </w:r>
          </w:p>
        </w:tc>
        <w:tc>
          <w:tcPr>
            <w:tcW w:w="629" w:type="pct"/>
            <w:vAlign w:val="center"/>
          </w:tcPr>
          <w:p w14:paraId="3FC612C8">
            <w:pPr>
              <w:pStyle w:val="41"/>
            </w:pPr>
            <w:r>
              <w:t>/</w:t>
            </w:r>
          </w:p>
        </w:tc>
        <w:tc>
          <w:tcPr>
            <w:tcW w:w="636" w:type="pct"/>
            <w:vAlign w:val="center"/>
          </w:tcPr>
          <w:p w14:paraId="4E4C58BB">
            <w:pPr>
              <w:pStyle w:val="41"/>
              <w:rPr>
                <w:rFonts w:hint="eastAsia" w:eastAsia="宋体"/>
                <w:lang w:eastAsia="zh-CN"/>
              </w:rPr>
            </w:pPr>
            <w:r>
              <w:rPr>
                <w:rFonts w:hint="eastAsia"/>
                <w:lang w:eastAsia="zh-CN"/>
              </w:rPr>
              <w:t>10.9</w:t>
            </w:r>
          </w:p>
        </w:tc>
        <w:tc>
          <w:tcPr>
            <w:tcW w:w="447" w:type="pct"/>
            <w:vAlign w:val="center"/>
          </w:tcPr>
          <w:p w14:paraId="1B59C808">
            <w:pPr>
              <w:pStyle w:val="41"/>
              <w:rPr>
                <w:rFonts w:hint="eastAsia" w:eastAsia="宋体"/>
                <w:lang w:eastAsia="zh-CN"/>
              </w:rPr>
            </w:pPr>
            <w:r>
              <w:t>+</w:t>
            </w:r>
            <w:r>
              <w:rPr>
                <w:rFonts w:hint="eastAsia"/>
                <w:lang w:eastAsia="zh-CN"/>
              </w:rPr>
              <w:t>10.9</w:t>
            </w:r>
          </w:p>
        </w:tc>
      </w:tr>
      <w:tr w14:paraId="326FC5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2" w:type="pct"/>
            <w:vMerge w:val="continue"/>
            <w:vAlign w:val="center"/>
          </w:tcPr>
          <w:p w14:paraId="2F6A9E58">
            <w:pPr>
              <w:pStyle w:val="41"/>
            </w:pPr>
          </w:p>
        </w:tc>
        <w:tc>
          <w:tcPr>
            <w:tcW w:w="605" w:type="pct"/>
            <w:vAlign w:val="center"/>
          </w:tcPr>
          <w:p w14:paraId="505A9069">
            <w:pPr>
              <w:pStyle w:val="20"/>
              <w:rPr>
                <w:lang w:val="zh-CN"/>
              </w:rPr>
            </w:pPr>
            <w:r>
              <w:t>废槽液</w:t>
            </w:r>
          </w:p>
        </w:tc>
        <w:tc>
          <w:tcPr>
            <w:tcW w:w="605" w:type="pct"/>
            <w:vAlign w:val="center"/>
          </w:tcPr>
          <w:p w14:paraId="025976CE">
            <w:pPr>
              <w:pStyle w:val="41"/>
            </w:pPr>
            <w:r>
              <w:t>/</w:t>
            </w:r>
          </w:p>
        </w:tc>
        <w:tc>
          <w:tcPr>
            <w:tcW w:w="451" w:type="pct"/>
            <w:vAlign w:val="center"/>
          </w:tcPr>
          <w:p w14:paraId="5266E088">
            <w:pPr>
              <w:pStyle w:val="41"/>
            </w:pPr>
            <w:r>
              <w:t>/</w:t>
            </w:r>
          </w:p>
        </w:tc>
        <w:tc>
          <w:tcPr>
            <w:tcW w:w="605" w:type="pct"/>
            <w:vAlign w:val="center"/>
          </w:tcPr>
          <w:p w14:paraId="5C8CD586">
            <w:pPr>
              <w:pStyle w:val="41"/>
            </w:pPr>
            <w:r>
              <w:t>0</w:t>
            </w:r>
          </w:p>
        </w:tc>
        <w:tc>
          <w:tcPr>
            <w:tcW w:w="555" w:type="pct"/>
            <w:vAlign w:val="center"/>
          </w:tcPr>
          <w:p w14:paraId="67039F04">
            <w:pPr>
              <w:pStyle w:val="41"/>
              <w:rPr>
                <w:rFonts w:hint="eastAsia" w:eastAsia="宋体"/>
                <w:lang w:eastAsia="zh-CN"/>
              </w:rPr>
            </w:pPr>
            <w:r>
              <w:rPr>
                <w:rFonts w:hint="eastAsia"/>
                <w:lang w:eastAsia="zh-CN"/>
              </w:rPr>
              <w:t>16</w:t>
            </w:r>
          </w:p>
        </w:tc>
        <w:tc>
          <w:tcPr>
            <w:tcW w:w="629" w:type="pct"/>
            <w:vAlign w:val="center"/>
          </w:tcPr>
          <w:p w14:paraId="11E34E3D">
            <w:pPr>
              <w:pStyle w:val="41"/>
            </w:pPr>
            <w:r>
              <w:t>/</w:t>
            </w:r>
          </w:p>
        </w:tc>
        <w:tc>
          <w:tcPr>
            <w:tcW w:w="636" w:type="pct"/>
            <w:vAlign w:val="center"/>
          </w:tcPr>
          <w:p w14:paraId="3C4DCDF3">
            <w:pPr>
              <w:pStyle w:val="41"/>
              <w:rPr>
                <w:rFonts w:hint="eastAsia" w:eastAsia="宋体"/>
                <w:lang w:eastAsia="zh-CN"/>
              </w:rPr>
            </w:pPr>
            <w:r>
              <w:rPr>
                <w:rFonts w:hint="eastAsia"/>
                <w:lang w:eastAsia="zh-CN"/>
              </w:rPr>
              <w:t>16</w:t>
            </w:r>
          </w:p>
        </w:tc>
        <w:tc>
          <w:tcPr>
            <w:tcW w:w="447" w:type="pct"/>
            <w:vAlign w:val="center"/>
          </w:tcPr>
          <w:p w14:paraId="2E6CD07D">
            <w:pPr>
              <w:pStyle w:val="41"/>
              <w:rPr>
                <w:rFonts w:hint="eastAsia" w:eastAsia="宋体"/>
                <w:lang w:eastAsia="zh-CN"/>
              </w:rPr>
            </w:pPr>
            <w:r>
              <w:t>+</w:t>
            </w:r>
            <w:r>
              <w:rPr>
                <w:rFonts w:hint="eastAsia"/>
                <w:lang w:eastAsia="zh-CN"/>
              </w:rPr>
              <w:t>16</w:t>
            </w:r>
          </w:p>
        </w:tc>
      </w:tr>
    </w:tbl>
    <w:p w14:paraId="6A2EDD73">
      <w:pPr>
        <w:pStyle w:val="47"/>
        <w:spacing w:before="192" w:beforeLines="80" w:after="24"/>
        <w:ind w:firstLine="480"/>
        <w:jc w:val="left"/>
        <w:rPr>
          <w:rFonts w:ascii="Times New Roman"/>
        </w:rPr>
      </w:pPr>
      <w:r>
        <w:rPr>
          <w:rFonts w:ascii="Times New Roman"/>
          <w:snapToGrid w:val="0"/>
          <w:color w:val="000000"/>
          <w:kern w:val="21"/>
          <w:szCs w:val="21"/>
        </w:rPr>
        <w:t>注：</w:t>
      </w:r>
      <w:r>
        <w:rPr>
          <w:rFonts w:ascii="Times New Roman"/>
          <w:snapToGrid w:val="0"/>
          <w:color w:val="000000"/>
          <w:spacing w:val="-16"/>
          <w:kern w:val="21"/>
          <w:szCs w:val="21"/>
        </w:rPr>
        <w:fldChar w:fldCharType="begin"/>
      </w:r>
      <w:r>
        <w:rPr>
          <w:rFonts w:ascii="Times New Roman"/>
          <w:snapToGrid w:val="0"/>
          <w:color w:val="000000"/>
          <w:spacing w:val="-16"/>
          <w:kern w:val="21"/>
          <w:szCs w:val="21"/>
        </w:rPr>
        <w:instrText xml:space="preserve"> = 6 \* GB3 \* MERGEFORMAT </w:instrText>
      </w:r>
      <w:r>
        <w:rPr>
          <w:rFonts w:ascii="Times New Roman"/>
          <w:snapToGrid w:val="0"/>
          <w:color w:val="000000"/>
          <w:spacing w:val="-16"/>
          <w:kern w:val="21"/>
          <w:szCs w:val="21"/>
        </w:rPr>
        <w:fldChar w:fldCharType="separate"/>
      </w:r>
      <w:r>
        <w:rPr>
          <w:rFonts w:hint="eastAsia" w:hAnsi="宋体" w:cs="宋体"/>
          <w:szCs w:val="21"/>
        </w:rPr>
        <w:t>⑥</w:t>
      </w:r>
      <w:r>
        <w:rPr>
          <w:rFonts w:ascii="Times New Roman"/>
          <w:snapToGrid w:val="0"/>
          <w:color w:val="000000"/>
          <w:spacing w:val="-16"/>
          <w:kern w:val="21"/>
          <w:szCs w:val="21"/>
        </w:rPr>
        <w:fldChar w:fldCharType="end"/>
      </w:r>
      <w:r>
        <w:rPr>
          <w:rFonts w:ascii="Times New Roman"/>
          <w:snapToGrid w:val="0"/>
          <w:color w:val="000000"/>
          <w:spacing w:val="-1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1 \* GB3 \* MERGEFORMAT </w:instrText>
      </w:r>
      <w:r>
        <w:rPr>
          <w:rFonts w:ascii="Times New Roman"/>
          <w:snapToGrid w:val="0"/>
          <w:color w:val="000000"/>
          <w:spacing w:val="-6"/>
          <w:kern w:val="21"/>
          <w:szCs w:val="21"/>
        </w:rPr>
        <w:fldChar w:fldCharType="separate"/>
      </w:r>
      <w:r>
        <w:rPr>
          <w:rFonts w:hint="eastAsia" w:hAnsi="宋体" w:cs="宋体"/>
          <w:szCs w:val="21"/>
        </w:rPr>
        <w:t>①</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3 \* GB3 \* MERGEFORMAT </w:instrText>
      </w:r>
      <w:r>
        <w:rPr>
          <w:rFonts w:ascii="Times New Roman"/>
          <w:snapToGrid w:val="0"/>
          <w:color w:val="000000"/>
          <w:spacing w:val="-6"/>
          <w:kern w:val="21"/>
          <w:szCs w:val="21"/>
        </w:rPr>
        <w:fldChar w:fldCharType="separate"/>
      </w:r>
      <w:r>
        <w:rPr>
          <w:rFonts w:hint="eastAsia" w:hAnsi="宋体" w:cs="宋体"/>
          <w:szCs w:val="21"/>
        </w:rPr>
        <w:t>③</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4 \* GB3 \* MERGEFORMAT </w:instrText>
      </w:r>
      <w:r>
        <w:rPr>
          <w:rFonts w:ascii="Times New Roman"/>
          <w:snapToGrid w:val="0"/>
          <w:color w:val="000000"/>
          <w:spacing w:val="-6"/>
          <w:kern w:val="21"/>
          <w:szCs w:val="21"/>
        </w:rPr>
        <w:fldChar w:fldCharType="separate"/>
      </w:r>
      <w:r>
        <w:rPr>
          <w:rFonts w:hint="eastAsia" w:hAnsi="宋体" w:cs="宋体"/>
          <w:szCs w:val="21"/>
        </w:rPr>
        <w:t>④</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16"/>
          <w:kern w:val="21"/>
          <w:szCs w:val="21"/>
        </w:rPr>
        <w:fldChar w:fldCharType="begin"/>
      </w:r>
      <w:r>
        <w:rPr>
          <w:rFonts w:ascii="Times New Roman"/>
          <w:snapToGrid w:val="0"/>
          <w:color w:val="000000"/>
          <w:spacing w:val="-16"/>
          <w:kern w:val="21"/>
          <w:szCs w:val="21"/>
        </w:rPr>
        <w:instrText xml:space="preserve"> = 5 \* GB3 \* MERGEFORMAT </w:instrText>
      </w:r>
      <w:r>
        <w:rPr>
          <w:rFonts w:ascii="Times New Roman"/>
          <w:snapToGrid w:val="0"/>
          <w:color w:val="000000"/>
          <w:spacing w:val="-16"/>
          <w:kern w:val="21"/>
          <w:szCs w:val="21"/>
        </w:rPr>
        <w:fldChar w:fldCharType="separate"/>
      </w:r>
      <w:r>
        <w:rPr>
          <w:rFonts w:hint="eastAsia" w:hAnsi="宋体" w:cs="宋体"/>
          <w:szCs w:val="21"/>
        </w:rPr>
        <w:t>⑤</w:t>
      </w:r>
      <w:r>
        <w:rPr>
          <w:rFonts w:ascii="Times New Roman"/>
          <w:snapToGrid w:val="0"/>
          <w:color w:val="000000"/>
          <w:spacing w:val="-16"/>
          <w:kern w:val="21"/>
          <w:szCs w:val="21"/>
        </w:rPr>
        <w:fldChar w:fldCharType="end"/>
      </w:r>
      <w:r>
        <w:rPr>
          <w:rFonts w:ascii="Times New Roman"/>
          <w:snapToGrid w:val="0"/>
          <w:color w:val="000000"/>
          <w:spacing w:val="-1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7 \* GB3 \* MERGEFORMAT </w:instrText>
      </w:r>
      <w:r>
        <w:rPr>
          <w:rFonts w:ascii="Times New Roman"/>
          <w:snapToGrid w:val="0"/>
          <w:color w:val="000000"/>
          <w:spacing w:val="-6"/>
          <w:kern w:val="21"/>
          <w:szCs w:val="21"/>
        </w:rPr>
        <w:fldChar w:fldCharType="separate"/>
      </w:r>
      <w:r>
        <w:rPr>
          <w:rFonts w:hint="eastAsia" w:hAnsi="宋体" w:cs="宋体"/>
          <w:szCs w:val="21"/>
        </w:rPr>
        <w:t>⑦</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16"/>
          <w:kern w:val="21"/>
          <w:szCs w:val="21"/>
        </w:rPr>
        <w:fldChar w:fldCharType="begin"/>
      </w:r>
      <w:r>
        <w:rPr>
          <w:rFonts w:ascii="Times New Roman"/>
          <w:snapToGrid w:val="0"/>
          <w:color w:val="000000"/>
          <w:spacing w:val="-16"/>
          <w:kern w:val="21"/>
          <w:szCs w:val="21"/>
        </w:rPr>
        <w:instrText xml:space="preserve"> = 6 \* GB3 \* MERGEFORMAT </w:instrText>
      </w:r>
      <w:r>
        <w:rPr>
          <w:rFonts w:ascii="Times New Roman"/>
          <w:snapToGrid w:val="0"/>
          <w:color w:val="000000"/>
          <w:spacing w:val="-16"/>
          <w:kern w:val="21"/>
          <w:szCs w:val="21"/>
        </w:rPr>
        <w:fldChar w:fldCharType="separate"/>
      </w:r>
      <w:r>
        <w:rPr>
          <w:rFonts w:hint="eastAsia" w:hAnsi="宋体" w:cs="宋体"/>
          <w:szCs w:val="21"/>
        </w:rPr>
        <w:t>⑥</w:t>
      </w:r>
      <w:r>
        <w:rPr>
          <w:rFonts w:ascii="Times New Roman"/>
          <w:snapToGrid w:val="0"/>
          <w:color w:val="000000"/>
          <w:spacing w:val="-16"/>
          <w:kern w:val="21"/>
          <w:szCs w:val="21"/>
        </w:rPr>
        <w:fldChar w:fldCharType="end"/>
      </w:r>
      <w:r>
        <w:rPr>
          <w:rFonts w:ascii="Times New Roman"/>
          <w:snapToGrid w:val="0"/>
          <w:color w:val="000000"/>
          <w:spacing w:val="-1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1 \* GB3 \* MERGEFORMAT </w:instrText>
      </w:r>
      <w:r>
        <w:rPr>
          <w:rFonts w:ascii="Times New Roman"/>
          <w:snapToGrid w:val="0"/>
          <w:color w:val="000000"/>
          <w:spacing w:val="-6"/>
          <w:kern w:val="21"/>
          <w:szCs w:val="21"/>
        </w:rPr>
        <w:fldChar w:fldCharType="separate"/>
      </w:r>
      <w:r>
        <w:rPr>
          <w:rFonts w:hint="eastAsia" w:hAnsi="宋体" w:cs="宋体"/>
          <w:szCs w:val="21"/>
        </w:rPr>
        <w:t>①</w:t>
      </w:r>
      <w:r>
        <w:rPr>
          <w:rFonts w:ascii="Times New Roman"/>
          <w:snapToGrid w:val="0"/>
          <w:color w:val="000000"/>
          <w:spacing w:val="-6"/>
          <w:kern w:val="21"/>
          <w:szCs w:val="21"/>
        </w:rPr>
        <w:fldChar w:fldCharType="end"/>
      </w:r>
    </w:p>
    <w:p w14:paraId="596FCBCB">
      <w:pPr>
        <w:ind w:firstLine="480"/>
        <w:sectPr>
          <w:footerReference r:id="rId13" w:type="default"/>
          <w:pgSz w:w="16838" w:h="11906" w:orient="landscape"/>
          <w:pgMar w:top="1701" w:right="1531" w:bottom="1701" w:left="1531" w:header="851" w:footer="851" w:gutter="0"/>
          <w:cols w:space="720" w:num="1"/>
          <w:docGrid w:linePitch="312" w:charSpace="0"/>
        </w:sectPr>
      </w:pPr>
    </w:p>
    <w:p w14:paraId="594FEAB8">
      <w:pPr>
        <w:pStyle w:val="21"/>
        <w:adjustRightInd w:val="0"/>
        <w:snapToGrid w:val="0"/>
        <w:ind w:firstLine="480"/>
        <w:jc w:val="center"/>
        <w:outlineLvl w:val="0"/>
      </w:pPr>
    </w:p>
    <w:sectPr>
      <w:footerReference r:id="rId14" w:type="default"/>
      <w:pgSz w:w="16838" w:h="11906" w:orient="landscape"/>
      <w:pgMar w:top="1531" w:right="1701" w:bottom="1531" w:left="1701" w:header="851" w:footer="851"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新宋体-18030">
    <w:altName w:val="微软雅黑"/>
    <w:panose1 w:val="00000000000000000000"/>
    <w:charset w:val="00"/>
    <w:family w:val="auto"/>
    <w:pitch w:val="default"/>
    <w:sig w:usb0="00000000" w:usb1="00000000" w:usb2="00000000" w:usb3="00000000" w:csb0="00000001" w:csb1="00000000"/>
  </w:font>
  <w:font w:name="方正小标宋_GBK">
    <w:panose1 w:val="02000000000000000000"/>
    <w:charset w:val="86"/>
    <w:family w:val="script"/>
    <w:pitch w:val="default"/>
    <w:sig w:usb0="A00002BF" w:usb1="38CF7CFA" w:usb2="00082016" w:usb3="00000000" w:csb0="00040001" w:csb1="00000000"/>
  </w:font>
  <w:font w:name="楷体_GB2312">
    <w:altName w:val="楷体"/>
    <w:panose1 w:val="00000000000000000000"/>
    <w:charset w:val="86"/>
    <w:family w:val="roman"/>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华文仿宋">
    <w:altName w:val="仿宋"/>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D1AD6">
    <w:pPr>
      <w:pStyle w:val="18"/>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51BF9">
    <w:pPr>
      <w:pStyle w:val="1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79568">
    <w:pPr>
      <w:pStyle w:val="1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CB1FE">
    <w:pPr>
      <w:pStyle w:val="18"/>
      <w:ind w:right="360"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44764">
    <w:pPr>
      <w:pStyle w:val="18"/>
      <w:ind w:right="360" w:firstLine="360"/>
      <w:jc w:val="cente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E00BDDD">
                          <w:pPr>
                            <w:pStyle w:val="18"/>
                            <w:ind w:firstLine="560"/>
                            <w:rPr>
                              <w:rStyle w:val="26"/>
                              <w:rFonts w:ascii="宋体" w:hAnsi="宋体"/>
                              <w:sz w:val="28"/>
                              <w:szCs w:val="28"/>
                            </w:rPr>
                          </w:pPr>
                          <w:r>
                            <w:rPr>
                              <w:rStyle w:val="26"/>
                              <w:rFonts w:hint="eastAsia" w:ascii="宋体" w:hAnsi="宋体"/>
                              <w:sz w:val="28"/>
                              <w:szCs w:val="28"/>
                            </w:rPr>
                            <w:t>—</w:t>
                          </w:r>
                          <w:r>
                            <w:rPr>
                              <w:rStyle w:val="26"/>
                              <w:rFonts w:hint="eastAsia" w:ascii="宋体" w:hAnsi="宋体"/>
                              <w:sz w:val="20"/>
                            </w:rPr>
                            <w:t xml:space="preserve">  </w:t>
                          </w:r>
                          <w:r>
                            <w:rPr>
                              <w:rFonts w:ascii="宋体" w:hAnsi="宋体"/>
                              <w:sz w:val="26"/>
                              <w:szCs w:val="26"/>
                            </w:rPr>
                            <w:fldChar w:fldCharType="begin"/>
                          </w:r>
                          <w:r>
                            <w:rPr>
                              <w:rStyle w:val="26"/>
                              <w:rFonts w:ascii="宋体" w:hAnsi="宋体"/>
                              <w:sz w:val="26"/>
                              <w:szCs w:val="26"/>
                            </w:rPr>
                            <w:instrText xml:space="preserve">PAGE  </w:instrText>
                          </w:r>
                          <w:r>
                            <w:rPr>
                              <w:rFonts w:ascii="宋体" w:hAnsi="宋体"/>
                              <w:sz w:val="26"/>
                              <w:szCs w:val="26"/>
                            </w:rPr>
                            <w:fldChar w:fldCharType="separate"/>
                          </w:r>
                          <w:r>
                            <w:rPr>
                              <w:rStyle w:val="26"/>
                              <w:rFonts w:ascii="宋体" w:hAnsi="宋体"/>
                              <w:sz w:val="26"/>
                              <w:szCs w:val="26"/>
                            </w:rPr>
                            <w:t>2</w:t>
                          </w:r>
                          <w:r>
                            <w:rPr>
                              <w:rFonts w:ascii="宋体" w:hAnsi="宋体"/>
                              <w:sz w:val="26"/>
                              <w:szCs w:val="26"/>
                            </w:rPr>
                            <w:fldChar w:fldCharType="end"/>
                          </w:r>
                          <w:r>
                            <w:rPr>
                              <w:rStyle w:val="26"/>
                              <w:rFonts w:hint="eastAsia" w:ascii="宋体" w:hAnsi="宋体"/>
                              <w:sz w:val="20"/>
                            </w:rPr>
                            <w:t xml:space="preserve">  </w:t>
                          </w:r>
                          <w:r>
                            <w:rPr>
                              <w:rStyle w:val="26"/>
                              <w:rFonts w:hint="eastAsia" w:ascii="宋体" w:hAnsi="宋体"/>
                              <w:sz w:val="28"/>
                              <w:szCs w:val="28"/>
                            </w:rPr>
                            <w:t>—</w:t>
                          </w:r>
                        </w:p>
                      </w:txbxContent>
                    </wps:txbx>
                    <wps:bodyPr wrap="none" lIns="0" tIns="0" rIns="0" bIns="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8aiDGxgEAAJEDAAAOAAAAAAAAAAEAIAAAAB4BAABkcnMvZTJvRG9jLnht&#10;bFBLBQYAAAAABgAGAFkBAABWBQAAAAA=&#10;">
              <v:fill on="f" focussize="0,0"/>
              <v:stroke on="f"/>
              <v:imagedata o:title=""/>
              <o:lock v:ext="edit" aspectratio="f"/>
              <v:textbox inset="0mm,0mm,0mm,0mm" style="mso-fit-shape-to-text:t;">
                <w:txbxContent>
                  <w:p w14:paraId="3E00BDDD">
                    <w:pPr>
                      <w:pStyle w:val="18"/>
                      <w:ind w:firstLine="560"/>
                      <w:rPr>
                        <w:rStyle w:val="26"/>
                        <w:rFonts w:ascii="宋体" w:hAnsi="宋体"/>
                        <w:sz w:val="28"/>
                        <w:szCs w:val="28"/>
                      </w:rPr>
                    </w:pPr>
                    <w:r>
                      <w:rPr>
                        <w:rStyle w:val="26"/>
                        <w:rFonts w:hint="eastAsia" w:ascii="宋体" w:hAnsi="宋体"/>
                        <w:sz w:val="28"/>
                        <w:szCs w:val="28"/>
                      </w:rPr>
                      <w:t>—</w:t>
                    </w:r>
                    <w:r>
                      <w:rPr>
                        <w:rStyle w:val="26"/>
                        <w:rFonts w:hint="eastAsia" w:ascii="宋体" w:hAnsi="宋体"/>
                        <w:sz w:val="20"/>
                      </w:rPr>
                      <w:t xml:space="preserve">  </w:t>
                    </w:r>
                    <w:r>
                      <w:rPr>
                        <w:rFonts w:ascii="宋体" w:hAnsi="宋体"/>
                        <w:sz w:val="26"/>
                        <w:szCs w:val="26"/>
                      </w:rPr>
                      <w:fldChar w:fldCharType="begin"/>
                    </w:r>
                    <w:r>
                      <w:rPr>
                        <w:rStyle w:val="26"/>
                        <w:rFonts w:ascii="宋体" w:hAnsi="宋体"/>
                        <w:sz w:val="26"/>
                        <w:szCs w:val="26"/>
                      </w:rPr>
                      <w:instrText xml:space="preserve">PAGE  </w:instrText>
                    </w:r>
                    <w:r>
                      <w:rPr>
                        <w:rFonts w:ascii="宋体" w:hAnsi="宋体"/>
                        <w:sz w:val="26"/>
                        <w:szCs w:val="26"/>
                      </w:rPr>
                      <w:fldChar w:fldCharType="separate"/>
                    </w:r>
                    <w:r>
                      <w:rPr>
                        <w:rStyle w:val="26"/>
                        <w:rFonts w:ascii="宋体" w:hAnsi="宋体"/>
                        <w:sz w:val="26"/>
                        <w:szCs w:val="26"/>
                      </w:rPr>
                      <w:t>2</w:t>
                    </w:r>
                    <w:r>
                      <w:rPr>
                        <w:rFonts w:ascii="宋体" w:hAnsi="宋体"/>
                        <w:sz w:val="26"/>
                        <w:szCs w:val="26"/>
                      </w:rPr>
                      <w:fldChar w:fldCharType="end"/>
                    </w:r>
                    <w:r>
                      <w:rPr>
                        <w:rStyle w:val="26"/>
                        <w:rFonts w:hint="eastAsia" w:ascii="宋体" w:hAnsi="宋体"/>
                        <w:sz w:val="20"/>
                      </w:rPr>
                      <w:t xml:space="preserve">  </w:t>
                    </w:r>
                    <w:r>
                      <w:rPr>
                        <w:rStyle w:val="26"/>
                        <w:rFonts w:hint="eastAsia" w:ascii="宋体" w:hAnsi="宋体"/>
                        <w:sz w:val="28"/>
                        <w:szCs w:val="28"/>
                      </w:rPr>
                      <w:t>—</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7CE98">
    <w:pPr>
      <w:pStyle w:val="18"/>
      <w:ind w:right="360" w:firstLine="360"/>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57"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F3D6EF">
                          <w:pPr>
                            <w:pStyle w:val="18"/>
                            <w:ind w:firstLine="560"/>
                            <w:rPr>
                              <w:rStyle w:val="26"/>
                              <w:rFonts w:ascii="宋体" w:hAnsi="宋体"/>
                              <w:sz w:val="28"/>
                              <w:szCs w:val="28"/>
                            </w:rPr>
                          </w:pPr>
                          <w:r>
                            <w:rPr>
                              <w:rStyle w:val="26"/>
                              <w:rFonts w:hint="eastAsia" w:ascii="宋体" w:hAnsi="宋体"/>
                              <w:sz w:val="28"/>
                              <w:szCs w:val="28"/>
                            </w:rPr>
                            <w:t>—</w:t>
                          </w:r>
                          <w:r>
                            <w:rPr>
                              <w:rStyle w:val="26"/>
                              <w:rFonts w:hint="eastAsia" w:ascii="宋体" w:hAnsi="宋体"/>
                              <w:sz w:val="20"/>
                            </w:rPr>
                            <w:t xml:space="preserve">  </w:t>
                          </w:r>
                          <w:r>
                            <w:rPr>
                              <w:rFonts w:ascii="宋体" w:hAnsi="宋体"/>
                              <w:sz w:val="26"/>
                              <w:szCs w:val="26"/>
                            </w:rPr>
                            <w:fldChar w:fldCharType="begin"/>
                          </w:r>
                          <w:r>
                            <w:rPr>
                              <w:rStyle w:val="26"/>
                              <w:rFonts w:ascii="宋体" w:hAnsi="宋体"/>
                              <w:sz w:val="26"/>
                              <w:szCs w:val="26"/>
                            </w:rPr>
                            <w:instrText xml:space="preserve">PAGE  </w:instrText>
                          </w:r>
                          <w:r>
                            <w:rPr>
                              <w:rFonts w:ascii="宋体" w:hAnsi="宋体"/>
                              <w:sz w:val="26"/>
                              <w:szCs w:val="26"/>
                            </w:rPr>
                            <w:fldChar w:fldCharType="separate"/>
                          </w:r>
                          <w:r>
                            <w:rPr>
                              <w:rStyle w:val="26"/>
                              <w:rFonts w:ascii="宋体" w:hAnsi="宋体"/>
                              <w:sz w:val="26"/>
                              <w:szCs w:val="26"/>
                            </w:rPr>
                            <w:t>100</w:t>
                          </w:r>
                          <w:r>
                            <w:rPr>
                              <w:rFonts w:ascii="宋体" w:hAnsi="宋体"/>
                              <w:sz w:val="26"/>
                              <w:szCs w:val="26"/>
                            </w:rPr>
                            <w:fldChar w:fldCharType="end"/>
                          </w:r>
                          <w:r>
                            <w:rPr>
                              <w:rStyle w:val="26"/>
                              <w:rFonts w:hint="eastAsia" w:ascii="宋体" w:hAnsi="宋体"/>
                              <w:sz w:val="20"/>
                            </w:rPr>
                            <w:t xml:space="preserve">  </w:t>
                          </w:r>
                          <w:r>
                            <w:rPr>
                              <w:rStyle w:val="26"/>
                              <w:rFonts w:hint="eastAsia" w:ascii="宋体" w:hAnsi="宋体"/>
                              <w:sz w:val="28"/>
                              <w:szCs w:val="28"/>
                            </w:rPr>
                            <w:t>—</w:t>
                          </w:r>
                        </w:p>
                      </w:txbxContent>
                    </wps:txbx>
                    <wps:bodyPr wrap="none" lIns="0" tIns="0" rIns="0" bIns="0">
                      <a:spAutoFit/>
                    </wps:bodyPr>
                  </wps:wsp>
                </a:graphicData>
              </a:graphic>
            </wp:anchor>
          </w:drawing>
        </mc:Choice>
        <mc:Fallback>
          <w:pict>
            <v:shape id="文本框 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AQyNqMcBAACSAwAADgAAAAAAAAABACAAAAAeAQAAZHJzL2Uyb0RvYy54&#10;bWxQSwUGAAAAAAYABgBZAQAAVwUAAAAA&#10;">
              <v:fill on="f" focussize="0,0"/>
              <v:stroke on="f"/>
              <v:imagedata o:title=""/>
              <o:lock v:ext="edit" aspectratio="f"/>
              <v:textbox inset="0mm,0mm,0mm,0mm" style="mso-fit-shape-to-text:t;">
                <w:txbxContent>
                  <w:p w14:paraId="19F3D6EF">
                    <w:pPr>
                      <w:pStyle w:val="18"/>
                      <w:ind w:firstLine="560"/>
                      <w:rPr>
                        <w:rStyle w:val="26"/>
                        <w:rFonts w:ascii="宋体" w:hAnsi="宋体"/>
                        <w:sz w:val="28"/>
                        <w:szCs w:val="28"/>
                      </w:rPr>
                    </w:pPr>
                    <w:r>
                      <w:rPr>
                        <w:rStyle w:val="26"/>
                        <w:rFonts w:hint="eastAsia" w:ascii="宋体" w:hAnsi="宋体"/>
                        <w:sz w:val="28"/>
                        <w:szCs w:val="28"/>
                      </w:rPr>
                      <w:t>—</w:t>
                    </w:r>
                    <w:r>
                      <w:rPr>
                        <w:rStyle w:val="26"/>
                        <w:rFonts w:hint="eastAsia" w:ascii="宋体" w:hAnsi="宋体"/>
                        <w:sz w:val="20"/>
                      </w:rPr>
                      <w:t xml:space="preserve">  </w:t>
                    </w:r>
                    <w:r>
                      <w:rPr>
                        <w:rFonts w:ascii="宋体" w:hAnsi="宋体"/>
                        <w:sz w:val="26"/>
                        <w:szCs w:val="26"/>
                      </w:rPr>
                      <w:fldChar w:fldCharType="begin"/>
                    </w:r>
                    <w:r>
                      <w:rPr>
                        <w:rStyle w:val="26"/>
                        <w:rFonts w:ascii="宋体" w:hAnsi="宋体"/>
                        <w:sz w:val="26"/>
                        <w:szCs w:val="26"/>
                      </w:rPr>
                      <w:instrText xml:space="preserve">PAGE  </w:instrText>
                    </w:r>
                    <w:r>
                      <w:rPr>
                        <w:rFonts w:ascii="宋体" w:hAnsi="宋体"/>
                        <w:sz w:val="26"/>
                        <w:szCs w:val="26"/>
                      </w:rPr>
                      <w:fldChar w:fldCharType="separate"/>
                    </w:r>
                    <w:r>
                      <w:rPr>
                        <w:rStyle w:val="26"/>
                        <w:rFonts w:ascii="宋体" w:hAnsi="宋体"/>
                        <w:sz w:val="26"/>
                        <w:szCs w:val="26"/>
                      </w:rPr>
                      <w:t>100</w:t>
                    </w:r>
                    <w:r>
                      <w:rPr>
                        <w:rFonts w:ascii="宋体" w:hAnsi="宋体"/>
                        <w:sz w:val="26"/>
                        <w:szCs w:val="26"/>
                      </w:rPr>
                      <w:fldChar w:fldCharType="end"/>
                    </w:r>
                    <w:r>
                      <w:rPr>
                        <w:rStyle w:val="26"/>
                        <w:rFonts w:hint="eastAsia" w:ascii="宋体" w:hAnsi="宋体"/>
                        <w:sz w:val="20"/>
                      </w:rPr>
                      <w:t xml:space="preserve">  </w:t>
                    </w:r>
                    <w:r>
                      <w:rPr>
                        <w:rStyle w:val="26"/>
                        <w:rFonts w:hint="eastAsia" w:ascii="宋体" w:hAnsi="宋体"/>
                        <w:sz w:val="28"/>
                        <w:szCs w:val="28"/>
                      </w:rPr>
                      <w:t>—</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C3EA4">
    <w:pPr>
      <w:pStyle w:val="18"/>
      <w:ind w:right="360"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58"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81F1624">
                          <w:pPr>
                            <w:pStyle w:val="18"/>
                            <w:ind w:firstLine="560"/>
                            <w:rPr>
                              <w:rStyle w:val="26"/>
                              <w:rFonts w:ascii="宋体" w:hAnsi="宋体"/>
                              <w:sz w:val="28"/>
                              <w:szCs w:val="28"/>
                            </w:rPr>
                          </w:pPr>
                          <w:r>
                            <w:rPr>
                              <w:rStyle w:val="26"/>
                              <w:rFonts w:hint="eastAsia" w:ascii="宋体" w:hAnsi="宋体"/>
                              <w:sz w:val="28"/>
                              <w:szCs w:val="28"/>
                            </w:rPr>
                            <w:t>—</w:t>
                          </w:r>
                          <w:r>
                            <w:rPr>
                              <w:rStyle w:val="26"/>
                              <w:rFonts w:hint="eastAsia" w:ascii="宋体" w:hAnsi="宋体"/>
                              <w:sz w:val="20"/>
                            </w:rPr>
                            <w:t xml:space="preserve">  </w:t>
                          </w:r>
                          <w:r>
                            <w:rPr>
                              <w:rFonts w:ascii="宋体" w:hAnsi="宋体"/>
                              <w:sz w:val="26"/>
                              <w:szCs w:val="26"/>
                            </w:rPr>
                            <w:fldChar w:fldCharType="begin"/>
                          </w:r>
                          <w:r>
                            <w:rPr>
                              <w:rStyle w:val="26"/>
                              <w:rFonts w:ascii="宋体" w:hAnsi="宋体"/>
                              <w:sz w:val="26"/>
                              <w:szCs w:val="26"/>
                            </w:rPr>
                            <w:instrText xml:space="preserve">PAGE  </w:instrText>
                          </w:r>
                          <w:r>
                            <w:rPr>
                              <w:rFonts w:ascii="宋体" w:hAnsi="宋体"/>
                              <w:sz w:val="26"/>
                              <w:szCs w:val="26"/>
                            </w:rPr>
                            <w:fldChar w:fldCharType="separate"/>
                          </w:r>
                          <w:r>
                            <w:rPr>
                              <w:rStyle w:val="26"/>
                              <w:rFonts w:ascii="宋体" w:hAnsi="宋体"/>
                              <w:sz w:val="26"/>
                              <w:szCs w:val="26"/>
                            </w:rPr>
                            <w:t>136</w:t>
                          </w:r>
                          <w:r>
                            <w:rPr>
                              <w:rFonts w:ascii="宋体" w:hAnsi="宋体"/>
                              <w:sz w:val="26"/>
                              <w:szCs w:val="26"/>
                            </w:rPr>
                            <w:fldChar w:fldCharType="end"/>
                          </w:r>
                          <w:r>
                            <w:rPr>
                              <w:rStyle w:val="26"/>
                              <w:rFonts w:hint="eastAsia" w:ascii="宋体" w:hAnsi="宋体"/>
                              <w:sz w:val="20"/>
                            </w:rPr>
                            <w:t xml:space="preserve">  </w:t>
                          </w:r>
                          <w:r>
                            <w:rPr>
                              <w:rStyle w:val="26"/>
                              <w:rFonts w:hint="eastAsia" w:ascii="宋体" w:hAnsi="宋体"/>
                              <w:sz w:val="28"/>
                              <w:szCs w:val="28"/>
                            </w:rPr>
                            <w:t>—</w:t>
                          </w:r>
                        </w:p>
                      </w:txbxContent>
                    </wps:txbx>
                    <wps:bodyPr wrap="none" lIns="0" tIns="0" rIns="0" bIns="0">
                      <a:spAutoFit/>
                    </wps:bodyPr>
                  </wps:wsp>
                </a:graphicData>
              </a:graphic>
            </wp:anchor>
          </w:drawing>
        </mc:Choice>
        <mc:Fallback>
          <w:pict>
            <v:shape id="文本框 1027"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DbTNA/xgEAAJIDAAAOAAAAAAAAAAEAIAAAAB4BAABkcnMvZTJvRG9jLnht&#10;bFBLBQYAAAAABgAGAFkBAABWBQAAAAA=&#10;">
              <v:fill on="f" focussize="0,0"/>
              <v:stroke on="f"/>
              <v:imagedata o:title=""/>
              <o:lock v:ext="edit" aspectratio="f"/>
              <v:textbox inset="0mm,0mm,0mm,0mm" style="mso-fit-shape-to-text:t;">
                <w:txbxContent>
                  <w:p w14:paraId="581F1624">
                    <w:pPr>
                      <w:pStyle w:val="18"/>
                      <w:ind w:firstLine="560"/>
                      <w:rPr>
                        <w:rStyle w:val="26"/>
                        <w:rFonts w:ascii="宋体" w:hAnsi="宋体"/>
                        <w:sz w:val="28"/>
                        <w:szCs w:val="28"/>
                      </w:rPr>
                    </w:pPr>
                    <w:r>
                      <w:rPr>
                        <w:rStyle w:val="26"/>
                        <w:rFonts w:hint="eastAsia" w:ascii="宋体" w:hAnsi="宋体"/>
                        <w:sz w:val="28"/>
                        <w:szCs w:val="28"/>
                      </w:rPr>
                      <w:t>—</w:t>
                    </w:r>
                    <w:r>
                      <w:rPr>
                        <w:rStyle w:val="26"/>
                        <w:rFonts w:hint="eastAsia" w:ascii="宋体" w:hAnsi="宋体"/>
                        <w:sz w:val="20"/>
                      </w:rPr>
                      <w:t xml:space="preserve">  </w:t>
                    </w:r>
                    <w:r>
                      <w:rPr>
                        <w:rFonts w:ascii="宋体" w:hAnsi="宋体"/>
                        <w:sz w:val="26"/>
                        <w:szCs w:val="26"/>
                      </w:rPr>
                      <w:fldChar w:fldCharType="begin"/>
                    </w:r>
                    <w:r>
                      <w:rPr>
                        <w:rStyle w:val="26"/>
                        <w:rFonts w:ascii="宋体" w:hAnsi="宋体"/>
                        <w:sz w:val="26"/>
                        <w:szCs w:val="26"/>
                      </w:rPr>
                      <w:instrText xml:space="preserve">PAGE  </w:instrText>
                    </w:r>
                    <w:r>
                      <w:rPr>
                        <w:rFonts w:ascii="宋体" w:hAnsi="宋体"/>
                        <w:sz w:val="26"/>
                        <w:szCs w:val="26"/>
                      </w:rPr>
                      <w:fldChar w:fldCharType="separate"/>
                    </w:r>
                    <w:r>
                      <w:rPr>
                        <w:rStyle w:val="26"/>
                        <w:rFonts w:ascii="宋体" w:hAnsi="宋体"/>
                        <w:sz w:val="26"/>
                        <w:szCs w:val="26"/>
                      </w:rPr>
                      <w:t>136</w:t>
                    </w:r>
                    <w:r>
                      <w:rPr>
                        <w:rFonts w:ascii="宋体" w:hAnsi="宋体"/>
                        <w:sz w:val="26"/>
                        <w:szCs w:val="26"/>
                      </w:rPr>
                      <w:fldChar w:fldCharType="end"/>
                    </w:r>
                    <w:r>
                      <w:rPr>
                        <w:rStyle w:val="26"/>
                        <w:rFonts w:hint="eastAsia" w:ascii="宋体" w:hAnsi="宋体"/>
                        <w:sz w:val="20"/>
                      </w:rPr>
                      <w:t xml:space="preserve">  </w:t>
                    </w:r>
                    <w:r>
                      <w:rPr>
                        <w:rStyle w:val="26"/>
                        <w:rFonts w:hint="eastAsia" w:ascii="宋体" w:hAnsi="宋体"/>
                        <w:sz w:val="28"/>
                        <w:szCs w:val="28"/>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282EF">
    <w:pPr>
      <w:pStyle w:val="19"/>
      <w:pBdr>
        <w:bottom w:val="none" w:color="auto" w:sz="0" w:space="1"/>
      </w:pBdr>
      <w:ind w:firstLine="360"/>
      <w:rPr>
        <w:u w:val="no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57399">
    <w:pPr>
      <w:pStyle w:val="1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11E09">
    <w:pPr>
      <w:pStyle w:val="1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9DBF0D"/>
    <w:multiLevelType w:val="multilevel"/>
    <w:tmpl w:val="9E9DBF0D"/>
    <w:lvl w:ilvl="0" w:tentative="0">
      <w:start w:val="2"/>
      <w:numFmt w:val="decimal"/>
      <w:suff w:val="nothing"/>
      <w:lvlText w:val="%1、"/>
      <w:lvlJc w:val="left"/>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
    <w:nsid w:val="14990B82"/>
    <w:multiLevelType w:val="singleLevel"/>
    <w:tmpl w:val="14990B82"/>
    <w:lvl w:ilvl="0" w:tentative="0">
      <w:start w:val="1"/>
      <w:numFmt w:val="decimal"/>
      <w:suff w:val="nothing"/>
      <w:lvlText w:val="%1、"/>
      <w:lvlJc w:val="left"/>
    </w:lvl>
  </w:abstractNum>
  <w:abstractNum w:abstractNumId="2">
    <w:nsid w:val="49D0A7DF"/>
    <w:multiLevelType w:val="singleLevel"/>
    <w:tmpl w:val="49D0A7DF"/>
    <w:lvl w:ilvl="0" w:tentative="0">
      <w:start w:val="2"/>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dit="trackedChanges" w:enforcement="0"/>
  <w:defaultTabStop w:val="420"/>
  <w:doNotHyphenateCaps/>
  <w:drawingGridVerticalSpacing w:val="156"/>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YxNDhlMmJmMzcxZmJjOTVhM2ZlYzkyZTYzMDFiMGUifQ=="/>
    <w:docVar w:name="KSO_WPS_MARK_KEY" w:val="96a41424-629a-4729-bf47-1ff9ac946579"/>
  </w:docVars>
  <w:rsids>
    <w:rsidRoot w:val="00172A27"/>
    <w:rsid w:val="000004BB"/>
    <w:rsid w:val="000021B8"/>
    <w:rsid w:val="000022FF"/>
    <w:rsid w:val="00002658"/>
    <w:rsid w:val="0000442C"/>
    <w:rsid w:val="00004CDB"/>
    <w:rsid w:val="000050AB"/>
    <w:rsid w:val="00005569"/>
    <w:rsid w:val="00005AA8"/>
    <w:rsid w:val="000060B3"/>
    <w:rsid w:val="00006409"/>
    <w:rsid w:val="000067D6"/>
    <w:rsid w:val="00006CC5"/>
    <w:rsid w:val="000107A5"/>
    <w:rsid w:val="00010F90"/>
    <w:rsid w:val="00011400"/>
    <w:rsid w:val="000117FA"/>
    <w:rsid w:val="00011A3E"/>
    <w:rsid w:val="00011B3F"/>
    <w:rsid w:val="0001250A"/>
    <w:rsid w:val="00014257"/>
    <w:rsid w:val="0001488E"/>
    <w:rsid w:val="00015519"/>
    <w:rsid w:val="000166EB"/>
    <w:rsid w:val="00016CBD"/>
    <w:rsid w:val="0001758F"/>
    <w:rsid w:val="0001799E"/>
    <w:rsid w:val="00017C57"/>
    <w:rsid w:val="00020959"/>
    <w:rsid w:val="00020D4B"/>
    <w:rsid w:val="00021F9A"/>
    <w:rsid w:val="000225F1"/>
    <w:rsid w:val="00022C4F"/>
    <w:rsid w:val="00022E60"/>
    <w:rsid w:val="00024983"/>
    <w:rsid w:val="00024AB4"/>
    <w:rsid w:val="00024C0A"/>
    <w:rsid w:val="0002517C"/>
    <w:rsid w:val="000251D8"/>
    <w:rsid w:val="0002602E"/>
    <w:rsid w:val="00031384"/>
    <w:rsid w:val="00031A38"/>
    <w:rsid w:val="00032456"/>
    <w:rsid w:val="00032B3A"/>
    <w:rsid w:val="00032F98"/>
    <w:rsid w:val="0003377E"/>
    <w:rsid w:val="00034D37"/>
    <w:rsid w:val="00034F52"/>
    <w:rsid w:val="00035266"/>
    <w:rsid w:val="00035CD2"/>
    <w:rsid w:val="00040FA7"/>
    <w:rsid w:val="00041355"/>
    <w:rsid w:val="00041DEE"/>
    <w:rsid w:val="000420F4"/>
    <w:rsid w:val="0004364B"/>
    <w:rsid w:val="000436A0"/>
    <w:rsid w:val="00045C1E"/>
    <w:rsid w:val="00046080"/>
    <w:rsid w:val="00046601"/>
    <w:rsid w:val="0004768C"/>
    <w:rsid w:val="000516C1"/>
    <w:rsid w:val="00051FE7"/>
    <w:rsid w:val="00052998"/>
    <w:rsid w:val="00052AE8"/>
    <w:rsid w:val="0005386F"/>
    <w:rsid w:val="00054123"/>
    <w:rsid w:val="000553BA"/>
    <w:rsid w:val="00055E55"/>
    <w:rsid w:val="000566BE"/>
    <w:rsid w:val="00056AD9"/>
    <w:rsid w:val="00056E52"/>
    <w:rsid w:val="00057672"/>
    <w:rsid w:val="000600B3"/>
    <w:rsid w:val="0006024F"/>
    <w:rsid w:val="000609EB"/>
    <w:rsid w:val="00061B1F"/>
    <w:rsid w:val="00062884"/>
    <w:rsid w:val="00062F4C"/>
    <w:rsid w:val="000635E1"/>
    <w:rsid w:val="00064783"/>
    <w:rsid w:val="00064974"/>
    <w:rsid w:val="00064CA7"/>
    <w:rsid w:val="0006592B"/>
    <w:rsid w:val="00065A06"/>
    <w:rsid w:val="000670D5"/>
    <w:rsid w:val="00070457"/>
    <w:rsid w:val="00070FFA"/>
    <w:rsid w:val="00072290"/>
    <w:rsid w:val="00072898"/>
    <w:rsid w:val="00072EFB"/>
    <w:rsid w:val="000733C4"/>
    <w:rsid w:val="0007386B"/>
    <w:rsid w:val="00073E54"/>
    <w:rsid w:val="000743B6"/>
    <w:rsid w:val="00074783"/>
    <w:rsid w:val="00074D06"/>
    <w:rsid w:val="00075054"/>
    <w:rsid w:val="0007585E"/>
    <w:rsid w:val="00076054"/>
    <w:rsid w:val="000768C1"/>
    <w:rsid w:val="00077899"/>
    <w:rsid w:val="00077ECA"/>
    <w:rsid w:val="00080104"/>
    <w:rsid w:val="00080125"/>
    <w:rsid w:val="0008070B"/>
    <w:rsid w:val="000807DA"/>
    <w:rsid w:val="000810AC"/>
    <w:rsid w:val="00081252"/>
    <w:rsid w:val="00081A02"/>
    <w:rsid w:val="00081D64"/>
    <w:rsid w:val="00081F48"/>
    <w:rsid w:val="000820E3"/>
    <w:rsid w:val="00082231"/>
    <w:rsid w:val="00083B1B"/>
    <w:rsid w:val="00084DD5"/>
    <w:rsid w:val="00084EBE"/>
    <w:rsid w:val="00085136"/>
    <w:rsid w:val="00085C48"/>
    <w:rsid w:val="00086015"/>
    <w:rsid w:val="00086323"/>
    <w:rsid w:val="00086A88"/>
    <w:rsid w:val="00087223"/>
    <w:rsid w:val="000877F4"/>
    <w:rsid w:val="00090A35"/>
    <w:rsid w:val="000910A1"/>
    <w:rsid w:val="00091E65"/>
    <w:rsid w:val="00092275"/>
    <w:rsid w:val="00092D38"/>
    <w:rsid w:val="0009302D"/>
    <w:rsid w:val="0009377B"/>
    <w:rsid w:val="00093A40"/>
    <w:rsid w:val="00094B15"/>
    <w:rsid w:val="0009566B"/>
    <w:rsid w:val="000967AE"/>
    <w:rsid w:val="00096D17"/>
    <w:rsid w:val="00096EB7"/>
    <w:rsid w:val="00097F6B"/>
    <w:rsid w:val="000A0332"/>
    <w:rsid w:val="000A13D8"/>
    <w:rsid w:val="000A1E80"/>
    <w:rsid w:val="000A20C9"/>
    <w:rsid w:val="000A35C4"/>
    <w:rsid w:val="000A3CCC"/>
    <w:rsid w:val="000A4130"/>
    <w:rsid w:val="000A423E"/>
    <w:rsid w:val="000A49BC"/>
    <w:rsid w:val="000A502A"/>
    <w:rsid w:val="000A505C"/>
    <w:rsid w:val="000A5D5F"/>
    <w:rsid w:val="000A687D"/>
    <w:rsid w:val="000A69E9"/>
    <w:rsid w:val="000A6A31"/>
    <w:rsid w:val="000A7314"/>
    <w:rsid w:val="000A73B2"/>
    <w:rsid w:val="000A75AB"/>
    <w:rsid w:val="000A7728"/>
    <w:rsid w:val="000B056C"/>
    <w:rsid w:val="000B058F"/>
    <w:rsid w:val="000B1579"/>
    <w:rsid w:val="000B1B95"/>
    <w:rsid w:val="000B2311"/>
    <w:rsid w:val="000B257C"/>
    <w:rsid w:val="000B278B"/>
    <w:rsid w:val="000B3408"/>
    <w:rsid w:val="000B3922"/>
    <w:rsid w:val="000B40D7"/>
    <w:rsid w:val="000B4467"/>
    <w:rsid w:val="000B4DB9"/>
    <w:rsid w:val="000B5D91"/>
    <w:rsid w:val="000B78E3"/>
    <w:rsid w:val="000B7C5A"/>
    <w:rsid w:val="000B7FD9"/>
    <w:rsid w:val="000C039A"/>
    <w:rsid w:val="000C09AC"/>
    <w:rsid w:val="000C1A76"/>
    <w:rsid w:val="000C22E2"/>
    <w:rsid w:val="000C35E5"/>
    <w:rsid w:val="000C361E"/>
    <w:rsid w:val="000C3FDA"/>
    <w:rsid w:val="000C4732"/>
    <w:rsid w:val="000C4CEA"/>
    <w:rsid w:val="000C529A"/>
    <w:rsid w:val="000C5B2A"/>
    <w:rsid w:val="000C64A5"/>
    <w:rsid w:val="000C701E"/>
    <w:rsid w:val="000C702D"/>
    <w:rsid w:val="000C767F"/>
    <w:rsid w:val="000C78B6"/>
    <w:rsid w:val="000D050B"/>
    <w:rsid w:val="000D0BEA"/>
    <w:rsid w:val="000D1E7A"/>
    <w:rsid w:val="000D2893"/>
    <w:rsid w:val="000D2E80"/>
    <w:rsid w:val="000D557B"/>
    <w:rsid w:val="000D5A44"/>
    <w:rsid w:val="000D64F7"/>
    <w:rsid w:val="000D71F2"/>
    <w:rsid w:val="000D748F"/>
    <w:rsid w:val="000D7C8F"/>
    <w:rsid w:val="000D7C98"/>
    <w:rsid w:val="000E1A37"/>
    <w:rsid w:val="000E2BA4"/>
    <w:rsid w:val="000E30FE"/>
    <w:rsid w:val="000E3C60"/>
    <w:rsid w:val="000E3ED2"/>
    <w:rsid w:val="000E407E"/>
    <w:rsid w:val="000E4179"/>
    <w:rsid w:val="000E4676"/>
    <w:rsid w:val="000E4905"/>
    <w:rsid w:val="000E5523"/>
    <w:rsid w:val="000E55C1"/>
    <w:rsid w:val="000E5BF6"/>
    <w:rsid w:val="000E7523"/>
    <w:rsid w:val="000E7B02"/>
    <w:rsid w:val="000F0CB3"/>
    <w:rsid w:val="000F147E"/>
    <w:rsid w:val="000F1E45"/>
    <w:rsid w:val="000F226A"/>
    <w:rsid w:val="000F2A71"/>
    <w:rsid w:val="000F2BDF"/>
    <w:rsid w:val="000F3310"/>
    <w:rsid w:val="000F34FC"/>
    <w:rsid w:val="000F38E0"/>
    <w:rsid w:val="000F45D9"/>
    <w:rsid w:val="000F4748"/>
    <w:rsid w:val="000F498A"/>
    <w:rsid w:val="000F5636"/>
    <w:rsid w:val="000F695C"/>
    <w:rsid w:val="000F736B"/>
    <w:rsid w:val="000F75FE"/>
    <w:rsid w:val="000F76AE"/>
    <w:rsid w:val="000F77EF"/>
    <w:rsid w:val="000F7DCA"/>
    <w:rsid w:val="0010019F"/>
    <w:rsid w:val="00102AEA"/>
    <w:rsid w:val="00102F62"/>
    <w:rsid w:val="00103F3C"/>
    <w:rsid w:val="00104D21"/>
    <w:rsid w:val="00104F6F"/>
    <w:rsid w:val="00105190"/>
    <w:rsid w:val="00105D48"/>
    <w:rsid w:val="00106467"/>
    <w:rsid w:val="00107DB3"/>
    <w:rsid w:val="00110D7F"/>
    <w:rsid w:val="00111607"/>
    <w:rsid w:val="001122E2"/>
    <w:rsid w:val="00112300"/>
    <w:rsid w:val="001135CF"/>
    <w:rsid w:val="0011399F"/>
    <w:rsid w:val="00113A73"/>
    <w:rsid w:val="00114358"/>
    <w:rsid w:val="00114AC8"/>
    <w:rsid w:val="00114F6A"/>
    <w:rsid w:val="0011527A"/>
    <w:rsid w:val="001155DE"/>
    <w:rsid w:val="0011577A"/>
    <w:rsid w:val="00115972"/>
    <w:rsid w:val="00115CF1"/>
    <w:rsid w:val="001169C5"/>
    <w:rsid w:val="001205FF"/>
    <w:rsid w:val="00120698"/>
    <w:rsid w:val="00121037"/>
    <w:rsid w:val="0012122A"/>
    <w:rsid w:val="00122025"/>
    <w:rsid w:val="001220C9"/>
    <w:rsid w:val="00122F75"/>
    <w:rsid w:val="00123448"/>
    <w:rsid w:val="0012381D"/>
    <w:rsid w:val="001241E0"/>
    <w:rsid w:val="001245F4"/>
    <w:rsid w:val="00124638"/>
    <w:rsid w:val="0012466B"/>
    <w:rsid w:val="0013097D"/>
    <w:rsid w:val="00130A28"/>
    <w:rsid w:val="00131F42"/>
    <w:rsid w:val="001321A9"/>
    <w:rsid w:val="00133423"/>
    <w:rsid w:val="00135145"/>
    <w:rsid w:val="00135233"/>
    <w:rsid w:val="00135723"/>
    <w:rsid w:val="001357F1"/>
    <w:rsid w:val="00135DA9"/>
    <w:rsid w:val="00136651"/>
    <w:rsid w:val="001369DB"/>
    <w:rsid w:val="00136B47"/>
    <w:rsid w:val="001403D9"/>
    <w:rsid w:val="001408DA"/>
    <w:rsid w:val="00140A59"/>
    <w:rsid w:val="00140FA8"/>
    <w:rsid w:val="00141683"/>
    <w:rsid w:val="00141B0B"/>
    <w:rsid w:val="00141CD7"/>
    <w:rsid w:val="00142FEB"/>
    <w:rsid w:val="00143720"/>
    <w:rsid w:val="00143A2D"/>
    <w:rsid w:val="00143ACD"/>
    <w:rsid w:val="00144464"/>
    <w:rsid w:val="001445CE"/>
    <w:rsid w:val="001451A1"/>
    <w:rsid w:val="001452BA"/>
    <w:rsid w:val="00145A41"/>
    <w:rsid w:val="00145F79"/>
    <w:rsid w:val="0014607A"/>
    <w:rsid w:val="0014642E"/>
    <w:rsid w:val="001465F7"/>
    <w:rsid w:val="00146759"/>
    <w:rsid w:val="00146AD4"/>
    <w:rsid w:val="00147DC0"/>
    <w:rsid w:val="00150CD6"/>
    <w:rsid w:val="00150FA2"/>
    <w:rsid w:val="001511F3"/>
    <w:rsid w:val="0015121D"/>
    <w:rsid w:val="00151675"/>
    <w:rsid w:val="00152FB2"/>
    <w:rsid w:val="001532C7"/>
    <w:rsid w:val="00153BC7"/>
    <w:rsid w:val="00154509"/>
    <w:rsid w:val="00154B33"/>
    <w:rsid w:val="001569C0"/>
    <w:rsid w:val="00157435"/>
    <w:rsid w:val="001576E4"/>
    <w:rsid w:val="00157C68"/>
    <w:rsid w:val="0016186D"/>
    <w:rsid w:val="00162936"/>
    <w:rsid w:val="00163121"/>
    <w:rsid w:val="00163189"/>
    <w:rsid w:val="0016399E"/>
    <w:rsid w:val="00163E12"/>
    <w:rsid w:val="00164084"/>
    <w:rsid w:val="00164D67"/>
    <w:rsid w:val="00164E90"/>
    <w:rsid w:val="001651FC"/>
    <w:rsid w:val="001665BA"/>
    <w:rsid w:val="00170428"/>
    <w:rsid w:val="00170E1C"/>
    <w:rsid w:val="00171284"/>
    <w:rsid w:val="00171A89"/>
    <w:rsid w:val="00171ACF"/>
    <w:rsid w:val="00172300"/>
    <w:rsid w:val="00172A27"/>
    <w:rsid w:val="00172D1F"/>
    <w:rsid w:val="001741DC"/>
    <w:rsid w:val="00174B98"/>
    <w:rsid w:val="00174FA6"/>
    <w:rsid w:val="0017504D"/>
    <w:rsid w:val="001751BA"/>
    <w:rsid w:val="0017671A"/>
    <w:rsid w:val="00176BAC"/>
    <w:rsid w:val="00177422"/>
    <w:rsid w:val="00177951"/>
    <w:rsid w:val="00180130"/>
    <w:rsid w:val="001807D7"/>
    <w:rsid w:val="00181A23"/>
    <w:rsid w:val="00182B42"/>
    <w:rsid w:val="00183502"/>
    <w:rsid w:val="00183F2C"/>
    <w:rsid w:val="00184539"/>
    <w:rsid w:val="00184590"/>
    <w:rsid w:val="00184FDA"/>
    <w:rsid w:val="001858DF"/>
    <w:rsid w:val="00185E03"/>
    <w:rsid w:val="00186FDA"/>
    <w:rsid w:val="001870D1"/>
    <w:rsid w:val="0018781E"/>
    <w:rsid w:val="00187D2B"/>
    <w:rsid w:val="001909E5"/>
    <w:rsid w:val="00190E41"/>
    <w:rsid w:val="00190F96"/>
    <w:rsid w:val="00191457"/>
    <w:rsid w:val="001914BE"/>
    <w:rsid w:val="0019159C"/>
    <w:rsid w:val="0019262D"/>
    <w:rsid w:val="00192998"/>
    <w:rsid w:val="001929D3"/>
    <w:rsid w:val="001950CE"/>
    <w:rsid w:val="00195A93"/>
    <w:rsid w:val="0019653E"/>
    <w:rsid w:val="0019657E"/>
    <w:rsid w:val="00196848"/>
    <w:rsid w:val="00196A3E"/>
    <w:rsid w:val="00197475"/>
    <w:rsid w:val="001A07E3"/>
    <w:rsid w:val="001A0B04"/>
    <w:rsid w:val="001A1B35"/>
    <w:rsid w:val="001A4125"/>
    <w:rsid w:val="001A44A4"/>
    <w:rsid w:val="001A48A2"/>
    <w:rsid w:val="001A49FB"/>
    <w:rsid w:val="001A4A06"/>
    <w:rsid w:val="001A50CD"/>
    <w:rsid w:val="001A6F61"/>
    <w:rsid w:val="001A72D4"/>
    <w:rsid w:val="001A7692"/>
    <w:rsid w:val="001A7BE8"/>
    <w:rsid w:val="001B108F"/>
    <w:rsid w:val="001B2750"/>
    <w:rsid w:val="001B3041"/>
    <w:rsid w:val="001B3F66"/>
    <w:rsid w:val="001B6D48"/>
    <w:rsid w:val="001B72B8"/>
    <w:rsid w:val="001B7FC9"/>
    <w:rsid w:val="001C1B86"/>
    <w:rsid w:val="001C1E4A"/>
    <w:rsid w:val="001C2C5E"/>
    <w:rsid w:val="001C2DB7"/>
    <w:rsid w:val="001C2F5F"/>
    <w:rsid w:val="001C3CFE"/>
    <w:rsid w:val="001C49D4"/>
    <w:rsid w:val="001C5A38"/>
    <w:rsid w:val="001C68DF"/>
    <w:rsid w:val="001C69B3"/>
    <w:rsid w:val="001C6A63"/>
    <w:rsid w:val="001C7EA6"/>
    <w:rsid w:val="001D066A"/>
    <w:rsid w:val="001D07EF"/>
    <w:rsid w:val="001D0DCE"/>
    <w:rsid w:val="001D1E6C"/>
    <w:rsid w:val="001D238A"/>
    <w:rsid w:val="001D29A0"/>
    <w:rsid w:val="001D2E08"/>
    <w:rsid w:val="001D4BDC"/>
    <w:rsid w:val="001D4E51"/>
    <w:rsid w:val="001D5595"/>
    <w:rsid w:val="001D5D0B"/>
    <w:rsid w:val="001D60D2"/>
    <w:rsid w:val="001D652D"/>
    <w:rsid w:val="001D65A2"/>
    <w:rsid w:val="001D7202"/>
    <w:rsid w:val="001D7874"/>
    <w:rsid w:val="001D7F22"/>
    <w:rsid w:val="001E16BA"/>
    <w:rsid w:val="001E1721"/>
    <w:rsid w:val="001E1B49"/>
    <w:rsid w:val="001E2996"/>
    <w:rsid w:val="001E3731"/>
    <w:rsid w:val="001E3849"/>
    <w:rsid w:val="001E3BFB"/>
    <w:rsid w:val="001E401E"/>
    <w:rsid w:val="001E420E"/>
    <w:rsid w:val="001E7D85"/>
    <w:rsid w:val="001F0F17"/>
    <w:rsid w:val="001F1644"/>
    <w:rsid w:val="001F1BB7"/>
    <w:rsid w:val="001F1C4C"/>
    <w:rsid w:val="001F28BB"/>
    <w:rsid w:val="001F2E59"/>
    <w:rsid w:val="001F3215"/>
    <w:rsid w:val="001F3347"/>
    <w:rsid w:val="001F398D"/>
    <w:rsid w:val="001F548D"/>
    <w:rsid w:val="001F55D1"/>
    <w:rsid w:val="001F61E1"/>
    <w:rsid w:val="001F69E4"/>
    <w:rsid w:val="001F7DEC"/>
    <w:rsid w:val="001F7E64"/>
    <w:rsid w:val="00200CDA"/>
    <w:rsid w:val="00200FB9"/>
    <w:rsid w:val="0020183F"/>
    <w:rsid w:val="002019DD"/>
    <w:rsid w:val="00201B1D"/>
    <w:rsid w:val="00202335"/>
    <w:rsid w:val="00202C39"/>
    <w:rsid w:val="002035C7"/>
    <w:rsid w:val="002046D0"/>
    <w:rsid w:val="00204A43"/>
    <w:rsid w:val="00206C85"/>
    <w:rsid w:val="00207C6E"/>
    <w:rsid w:val="00207D99"/>
    <w:rsid w:val="00210C09"/>
    <w:rsid w:val="00210FE8"/>
    <w:rsid w:val="00211542"/>
    <w:rsid w:val="00211705"/>
    <w:rsid w:val="00211B2F"/>
    <w:rsid w:val="00211F2B"/>
    <w:rsid w:val="002125B4"/>
    <w:rsid w:val="002127AC"/>
    <w:rsid w:val="00214192"/>
    <w:rsid w:val="0021463D"/>
    <w:rsid w:val="002151D3"/>
    <w:rsid w:val="0021535D"/>
    <w:rsid w:val="002155B8"/>
    <w:rsid w:val="00215735"/>
    <w:rsid w:val="00215D81"/>
    <w:rsid w:val="00215E1E"/>
    <w:rsid w:val="0022054A"/>
    <w:rsid w:val="002205EB"/>
    <w:rsid w:val="002213D8"/>
    <w:rsid w:val="0022152F"/>
    <w:rsid w:val="0022174C"/>
    <w:rsid w:val="00222145"/>
    <w:rsid w:val="0022336A"/>
    <w:rsid w:val="002246E1"/>
    <w:rsid w:val="00224839"/>
    <w:rsid w:val="002249B2"/>
    <w:rsid w:val="002252A4"/>
    <w:rsid w:val="0022569F"/>
    <w:rsid w:val="002259BE"/>
    <w:rsid w:val="00225B26"/>
    <w:rsid w:val="00226574"/>
    <w:rsid w:val="002266B4"/>
    <w:rsid w:val="00226AA7"/>
    <w:rsid w:val="002276CE"/>
    <w:rsid w:val="002276DE"/>
    <w:rsid w:val="002278EC"/>
    <w:rsid w:val="00230581"/>
    <w:rsid w:val="0023280E"/>
    <w:rsid w:val="00232C95"/>
    <w:rsid w:val="00233366"/>
    <w:rsid w:val="00233F03"/>
    <w:rsid w:val="002343BD"/>
    <w:rsid w:val="00234C6E"/>
    <w:rsid w:val="00234EA2"/>
    <w:rsid w:val="00235911"/>
    <w:rsid w:val="00235FDC"/>
    <w:rsid w:val="002361DC"/>
    <w:rsid w:val="00236438"/>
    <w:rsid w:val="00236656"/>
    <w:rsid w:val="00236B5D"/>
    <w:rsid w:val="002373D0"/>
    <w:rsid w:val="002375ED"/>
    <w:rsid w:val="002377D1"/>
    <w:rsid w:val="00237A1E"/>
    <w:rsid w:val="002401F1"/>
    <w:rsid w:val="00240EEE"/>
    <w:rsid w:val="00242477"/>
    <w:rsid w:val="00243237"/>
    <w:rsid w:val="00244A6E"/>
    <w:rsid w:val="00244FD7"/>
    <w:rsid w:val="00245C8F"/>
    <w:rsid w:val="002471C8"/>
    <w:rsid w:val="00247549"/>
    <w:rsid w:val="002506BC"/>
    <w:rsid w:val="0025095F"/>
    <w:rsid w:val="00251426"/>
    <w:rsid w:val="00251BA4"/>
    <w:rsid w:val="00251F43"/>
    <w:rsid w:val="002531BE"/>
    <w:rsid w:val="0025356D"/>
    <w:rsid w:val="00253B5B"/>
    <w:rsid w:val="00254345"/>
    <w:rsid w:val="00254C6F"/>
    <w:rsid w:val="00255894"/>
    <w:rsid w:val="00255CD6"/>
    <w:rsid w:val="00256D08"/>
    <w:rsid w:val="00256E0A"/>
    <w:rsid w:val="00257588"/>
    <w:rsid w:val="00257D3E"/>
    <w:rsid w:val="002610D0"/>
    <w:rsid w:val="00261FF5"/>
    <w:rsid w:val="00262100"/>
    <w:rsid w:val="0026286F"/>
    <w:rsid w:val="00262CC9"/>
    <w:rsid w:val="002639B9"/>
    <w:rsid w:val="00264557"/>
    <w:rsid w:val="002646CD"/>
    <w:rsid w:val="00264715"/>
    <w:rsid w:val="00264995"/>
    <w:rsid w:val="00264A9F"/>
    <w:rsid w:val="00264C6E"/>
    <w:rsid w:val="00264E82"/>
    <w:rsid w:val="00265DDE"/>
    <w:rsid w:val="0026650E"/>
    <w:rsid w:val="0027142F"/>
    <w:rsid w:val="00271A85"/>
    <w:rsid w:val="00271FDF"/>
    <w:rsid w:val="00272374"/>
    <w:rsid w:val="00272438"/>
    <w:rsid w:val="0027287B"/>
    <w:rsid w:val="00273E2F"/>
    <w:rsid w:val="0027400F"/>
    <w:rsid w:val="00274337"/>
    <w:rsid w:val="00275654"/>
    <w:rsid w:val="002762A9"/>
    <w:rsid w:val="00276520"/>
    <w:rsid w:val="002802B1"/>
    <w:rsid w:val="002805AB"/>
    <w:rsid w:val="002809A8"/>
    <w:rsid w:val="00280B70"/>
    <w:rsid w:val="0028193F"/>
    <w:rsid w:val="002823C1"/>
    <w:rsid w:val="0028263C"/>
    <w:rsid w:val="00282AAB"/>
    <w:rsid w:val="0028388A"/>
    <w:rsid w:val="002840A6"/>
    <w:rsid w:val="00284204"/>
    <w:rsid w:val="0028472D"/>
    <w:rsid w:val="00284944"/>
    <w:rsid w:val="002858FB"/>
    <w:rsid w:val="00285A3A"/>
    <w:rsid w:val="002863F8"/>
    <w:rsid w:val="002864C1"/>
    <w:rsid w:val="0028685F"/>
    <w:rsid w:val="00286998"/>
    <w:rsid w:val="00287282"/>
    <w:rsid w:val="00287AF8"/>
    <w:rsid w:val="00287B6E"/>
    <w:rsid w:val="00290130"/>
    <w:rsid w:val="00291773"/>
    <w:rsid w:val="00291B77"/>
    <w:rsid w:val="002921BF"/>
    <w:rsid w:val="002921FD"/>
    <w:rsid w:val="002931D9"/>
    <w:rsid w:val="00293C63"/>
    <w:rsid w:val="00294353"/>
    <w:rsid w:val="002947A5"/>
    <w:rsid w:val="00294959"/>
    <w:rsid w:val="002956DC"/>
    <w:rsid w:val="00295E70"/>
    <w:rsid w:val="002960EA"/>
    <w:rsid w:val="00296A19"/>
    <w:rsid w:val="00297253"/>
    <w:rsid w:val="00297A36"/>
    <w:rsid w:val="002A0418"/>
    <w:rsid w:val="002A04E4"/>
    <w:rsid w:val="002A0C47"/>
    <w:rsid w:val="002A0DCB"/>
    <w:rsid w:val="002A110E"/>
    <w:rsid w:val="002A168C"/>
    <w:rsid w:val="002A239C"/>
    <w:rsid w:val="002A2A15"/>
    <w:rsid w:val="002A3DC7"/>
    <w:rsid w:val="002A5656"/>
    <w:rsid w:val="002A56B3"/>
    <w:rsid w:val="002A646C"/>
    <w:rsid w:val="002A6DD3"/>
    <w:rsid w:val="002A723F"/>
    <w:rsid w:val="002A748D"/>
    <w:rsid w:val="002B0245"/>
    <w:rsid w:val="002B08A3"/>
    <w:rsid w:val="002B0C12"/>
    <w:rsid w:val="002B0F49"/>
    <w:rsid w:val="002B135A"/>
    <w:rsid w:val="002B3E08"/>
    <w:rsid w:val="002B427D"/>
    <w:rsid w:val="002B49E2"/>
    <w:rsid w:val="002B5BC8"/>
    <w:rsid w:val="002B704E"/>
    <w:rsid w:val="002B7218"/>
    <w:rsid w:val="002B7A64"/>
    <w:rsid w:val="002B7B00"/>
    <w:rsid w:val="002B7C44"/>
    <w:rsid w:val="002C05C8"/>
    <w:rsid w:val="002C0612"/>
    <w:rsid w:val="002C08A8"/>
    <w:rsid w:val="002C27D6"/>
    <w:rsid w:val="002C2B17"/>
    <w:rsid w:val="002C2DCB"/>
    <w:rsid w:val="002C2FBD"/>
    <w:rsid w:val="002C3CB7"/>
    <w:rsid w:val="002C40D8"/>
    <w:rsid w:val="002C555E"/>
    <w:rsid w:val="002C6DAA"/>
    <w:rsid w:val="002C76B8"/>
    <w:rsid w:val="002C7BAA"/>
    <w:rsid w:val="002D061D"/>
    <w:rsid w:val="002D1339"/>
    <w:rsid w:val="002D160A"/>
    <w:rsid w:val="002D1D26"/>
    <w:rsid w:val="002D275D"/>
    <w:rsid w:val="002D3A54"/>
    <w:rsid w:val="002D3DD0"/>
    <w:rsid w:val="002D3E46"/>
    <w:rsid w:val="002D4720"/>
    <w:rsid w:val="002D472C"/>
    <w:rsid w:val="002D4A95"/>
    <w:rsid w:val="002D5F1C"/>
    <w:rsid w:val="002D6358"/>
    <w:rsid w:val="002D6525"/>
    <w:rsid w:val="002E034F"/>
    <w:rsid w:val="002E0998"/>
    <w:rsid w:val="002E17E8"/>
    <w:rsid w:val="002E1F3A"/>
    <w:rsid w:val="002E24CF"/>
    <w:rsid w:val="002E298A"/>
    <w:rsid w:val="002E2FF6"/>
    <w:rsid w:val="002E34B5"/>
    <w:rsid w:val="002E3950"/>
    <w:rsid w:val="002E3AD1"/>
    <w:rsid w:val="002E4211"/>
    <w:rsid w:val="002E47D0"/>
    <w:rsid w:val="002E4CE9"/>
    <w:rsid w:val="002E6A56"/>
    <w:rsid w:val="002F0438"/>
    <w:rsid w:val="002F0FE7"/>
    <w:rsid w:val="002F27A9"/>
    <w:rsid w:val="002F2E74"/>
    <w:rsid w:val="002F3CA1"/>
    <w:rsid w:val="002F4343"/>
    <w:rsid w:val="002F5522"/>
    <w:rsid w:val="002F6D79"/>
    <w:rsid w:val="002F6EAF"/>
    <w:rsid w:val="00300191"/>
    <w:rsid w:val="003002B9"/>
    <w:rsid w:val="00300651"/>
    <w:rsid w:val="00300C88"/>
    <w:rsid w:val="00301978"/>
    <w:rsid w:val="00301D24"/>
    <w:rsid w:val="00301EBF"/>
    <w:rsid w:val="00301ECB"/>
    <w:rsid w:val="00302BAD"/>
    <w:rsid w:val="0030332C"/>
    <w:rsid w:val="00303F6A"/>
    <w:rsid w:val="00304674"/>
    <w:rsid w:val="003046FF"/>
    <w:rsid w:val="003049A9"/>
    <w:rsid w:val="00304E24"/>
    <w:rsid w:val="003051C2"/>
    <w:rsid w:val="003069D0"/>
    <w:rsid w:val="00310B0D"/>
    <w:rsid w:val="00310D16"/>
    <w:rsid w:val="003111D7"/>
    <w:rsid w:val="00312296"/>
    <w:rsid w:val="003124E0"/>
    <w:rsid w:val="00312BD5"/>
    <w:rsid w:val="003131AF"/>
    <w:rsid w:val="00313533"/>
    <w:rsid w:val="00314641"/>
    <w:rsid w:val="00314F0E"/>
    <w:rsid w:val="0031745C"/>
    <w:rsid w:val="003174DC"/>
    <w:rsid w:val="00317B75"/>
    <w:rsid w:val="00317D75"/>
    <w:rsid w:val="00320AA8"/>
    <w:rsid w:val="0032137E"/>
    <w:rsid w:val="00321D8E"/>
    <w:rsid w:val="00321ED6"/>
    <w:rsid w:val="003222F2"/>
    <w:rsid w:val="00324E41"/>
    <w:rsid w:val="0032539C"/>
    <w:rsid w:val="00325928"/>
    <w:rsid w:val="0032607E"/>
    <w:rsid w:val="00326404"/>
    <w:rsid w:val="003265B1"/>
    <w:rsid w:val="0032727B"/>
    <w:rsid w:val="00332863"/>
    <w:rsid w:val="00334716"/>
    <w:rsid w:val="00335103"/>
    <w:rsid w:val="0033518B"/>
    <w:rsid w:val="0033684D"/>
    <w:rsid w:val="0033705B"/>
    <w:rsid w:val="00337638"/>
    <w:rsid w:val="00337AB8"/>
    <w:rsid w:val="00337B42"/>
    <w:rsid w:val="003401E4"/>
    <w:rsid w:val="00340E95"/>
    <w:rsid w:val="00341312"/>
    <w:rsid w:val="003416A8"/>
    <w:rsid w:val="00341ABD"/>
    <w:rsid w:val="00341B42"/>
    <w:rsid w:val="00342127"/>
    <w:rsid w:val="0034254F"/>
    <w:rsid w:val="003432B2"/>
    <w:rsid w:val="0034348F"/>
    <w:rsid w:val="00343635"/>
    <w:rsid w:val="00343D5E"/>
    <w:rsid w:val="003444AF"/>
    <w:rsid w:val="00344EA7"/>
    <w:rsid w:val="003456EF"/>
    <w:rsid w:val="003458DD"/>
    <w:rsid w:val="00345D9B"/>
    <w:rsid w:val="00345FB2"/>
    <w:rsid w:val="00345FD3"/>
    <w:rsid w:val="00346EBC"/>
    <w:rsid w:val="00346F19"/>
    <w:rsid w:val="003476F5"/>
    <w:rsid w:val="003504D3"/>
    <w:rsid w:val="003504F4"/>
    <w:rsid w:val="00350664"/>
    <w:rsid w:val="00350A2D"/>
    <w:rsid w:val="00350B08"/>
    <w:rsid w:val="00350F5B"/>
    <w:rsid w:val="00351508"/>
    <w:rsid w:val="00351B61"/>
    <w:rsid w:val="003526A1"/>
    <w:rsid w:val="00352B50"/>
    <w:rsid w:val="00353319"/>
    <w:rsid w:val="0035362D"/>
    <w:rsid w:val="00353ABC"/>
    <w:rsid w:val="003541FA"/>
    <w:rsid w:val="00354CF2"/>
    <w:rsid w:val="00354DA9"/>
    <w:rsid w:val="00355BEB"/>
    <w:rsid w:val="00355C6D"/>
    <w:rsid w:val="00355DF9"/>
    <w:rsid w:val="00356211"/>
    <w:rsid w:val="003563B9"/>
    <w:rsid w:val="00356653"/>
    <w:rsid w:val="0035684A"/>
    <w:rsid w:val="00356D41"/>
    <w:rsid w:val="0035743F"/>
    <w:rsid w:val="00357934"/>
    <w:rsid w:val="00357BE2"/>
    <w:rsid w:val="00361241"/>
    <w:rsid w:val="0036170C"/>
    <w:rsid w:val="00361B67"/>
    <w:rsid w:val="00363102"/>
    <w:rsid w:val="003631F9"/>
    <w:rsid w:val="003635E4"/>
    <w:rsid w:val="00363934"/>
    <w:rsid w:val="00364AF4"/>
    <w:rsid w:val="00366A36"/>
    <w:rsid w:val="00366E0F"/>
    <w:rsid w:val="0036752D"/>
    <w:rsid w:val="00367539"/>
    <w:rsid w:val="003677C6"/>
    <w:rsid w:val="0036798A"/>
    <w:rsid w:val="003701CB"/>
    <w:rsid w:val="00370907"/>
    <w:rsid w:val="00370B60"/>
    <w:rsid w:val="00370BC7"/>
    <w:rsid w:val="00370E41"/>
    <w:rsid w:val="00371093"/>
    <w:rsid w:val="0037114B"/>
    <w:rsid w:val="00371DD6"/>
    <w:rsid w:val="00372174"/>
    <w:rsid w:val="00372824"/>
    <w:rsid w:val="00372BC0"/>
    <w:rsid w:val="00373AA7"/>
    <w:rsid w:val="0037440A"/>
    <w:rsid w:val="00374E48"/>
    <w:rsid w:val="00376835"/>
    <w:rsid w:val="00376E8A"/>
    <w:rsid w:val="00377503"/>
    <w:rsid w:val="0037770B"/>
    <w:rsid w:val="00380045"/>
    <w:rsid w:val="00380112"/>
    <w:rsid w:val="003804AD"/>
    <w:rsid w:val="0038093A"/>
    <w:rsid w:val="00381470"/>
    <w:rsid w:val="00381A72"/>
    <w:rsid w:val="00382148"/>
    <w:rsid w:val="0038285B"/>
    <w:rsid w:val="003834B6"/>
    <w:rsid w:val="00383802"/>
    <w:rsid w:val="00384676"/>
    <w:rsid w:val="00384F3C"/>
    <w:rsid w:val="00386C42"/>
    <w:rsid w:val="003878D3"/>
    <w:rsid w:val="00387FC4"/>
    <w:rsid w:val="003900FD"/>
    <w:rsid w:val="00390251"/>
    <w:rsid w:val="0039038F"/>
    <w:rsid w:val="00390857"/>
    <w:rsid w:val="00390C71"/>
    <w:rsid w:val="00391513"/>
    <w:rsid w:val="00391E48"/>
    <w:rsid w:val="00391E55"/>
    <w:rsid w:val="00392910"/>
    <w:rsid w:val="00392FCC"/>
    <w:rsid w:val="003931BF"/>
    <w:rsid w:val="00393A57"/>
    <w:rsid w:val="00395228"/>
    <w:rsid w:val="00395A2D"/>
    <w:rsid w:val="0039644C"/>
    <w:rsid w:val="003976A0"/>
    <w:rsid w:val="003A0982"/>
    <w:rsid w:val="003A0C9F"/>
    <w:rsid w:val="003A0D24"/>
    <w:rsid w:val="003A0D75"/>
    <w:rsid w:val="003A0E4E"/>
    <w:rsid w:val="003A0F31"/>
    <w:rsid w:val="003A1069"/>
    <w:rsid w:val="003A12EA"/>
    <w:rsid w:val="003A17A1"/>
    <w:rsid w:val="003A18AB"/>
    <w:rsid w:val="003A27BF"/>
    <w:rsid w:val="003A2F0B"/>
    <w:rsid w:val="003A30F1"/>
    <w:rsid w:val="003A3D6A"/>
    <w:rsid w:val="003A4BD9"/>
    <w:rsid w:val="003A4BF3"/>
    <w:rsid w:val="003A566C"/>
    <w:rsid w:val="003A58CB"/>
    <w:rsid w:val="003A60E9"/>
    <w:rsid w:val="003A666C"/>
    <w:rsid w:val="003A680F"/>
    <w:rsid w:val="003A6A4E"/>
    <w:rsid w:val="003A7BAD"/>
    <w:rsid w:val="003A7CFB"/>
    <w:rsid w:val="003A7F33"/>
    <w:rsid w:val="003B0B6B"/>
    <w:rsid w:val="003B1670"/>
    <w:rsid w:val="003B1B67"/>
    <w:rsid w:val="003B2202"/>
    <w:rsid w:val="003B2898"/>
    <w:rsid w:val="003B2B11"/>
    <w:rsid w:val="003B2FB8"/>
    <w:rsid w:val="003B308B"/>
    <w:rsid w:val="003B34D1"/>
    <w:rsid w:val="003B420D"/>
    <w:rsid w:val="003B46D4"/>
    <w:rsid w:val="003B52E8"/>
    <w:rsid w:val="003B5E54"/>
    <w:rsid w:val="003B6508"/>
    <w:rsid w:val="003B6D54"/>
    <w:rsid w:val="003B7EBD"/>
    <w:rsid w:val="003C0CCA"/>
    <w:rsid w:val="003C22B6"/>
    <w:rsid w:val="003C27A3"/>
    <w:rsid w:val="003C3FF1"/>
    <w:rsid w:val="003C4A02"/>
    <w:rsid w:val="003C5AAC"/>
    <w:rsid w:val="003C64C4"/>
    <w:rsid w:val="003C6B9E"/>
    <w:rsid w:val="003C6C16"/>
    <w:rsid w:val="003C7010"/>
    <w:rsid w:val="003C7736"/>
    <w:rsid w:val="003C7771"/>
    <w:rsid w:val="003C7DFD"/>
    <w:rsid w:val="003D0473"/>
    <w:rsid w:val="003D0568"/>
    <w:rsid w:val="003D063C"/>
    <w:rsid w:val="003D0DC6"/>
    <w:rsid w:val="003D107A"/>
    <w:rsid w:val="003D2C11"/>
    <w:rsid w:val="003D310C"/>
    <w:rsid w:val="003D3592"/>
    <w:rsid w:val="003D3EB0"/>
    <w:rsid w:val="003D4001"/>
    <w:rsid w:val="003D5AB9"/>
    <w:rsid w:val="003D5D87"/>
    <w:rsid w:val="003D62FF"/>
    <w:rsid w:val="003D6BC8"/>
    <w:rsid w:val="003D7654"/>
    <w:rsid w:val="003D7817"/>
    <w:rsid w:val="003D794D"/>
    <w:rsid w:val="003D7CAF"/>
    <w:rsid w:val="003D7DE8"/>
    <w:rsid w:val="003E02F2"/>
    <w:rsid w:val="003E0345"/>
    <w:rsid w:val="003E1247"/>
    <w:rsid w:val="003E1672"/>
    <w:rsid w:val="003E1E3D"/>
    <w:rsid w:val="003E228B"/>
    <w:rsid w:val="003E3058"/>
    <w:rsid w:val="003E3FE6"/>
    <w:rsid w:val="003E5260"/>
    <w:rsid w:val="003E5BE8"/>
    <w:rsid w:val="003E63C4"/>
    <w:rsid w:val="003E76A9"/>
    <w:rsid w:val="003F039D"/>
    <w:rsid w:val="003F0689"/>
    <w:rsid w:val="003F0809"/>
    <w:rsid w:val="003F1972"/>
    <w:rsid w:val="003F1B1A"/>
    <w:rsid w:val="003F21BD"/>
    <w:rsid w:val="003F27B1"/>
    <w:rsid w:val="003F3679"/>
    <w:rsid w:val="003F38D6"/>
    <w:rsid w:val="003F3ADB"/>
    <w:rsid w:val="003F46CE"/>
    <w:rsid w:val="003F47B5"/>
    <w:rsid w:val="003F4FB5"/>
    <w:rsid w:val="003F5817"/>
    <w:rsid w:val="003F5E03"/>
    <w:rsid w:val="003F5FA1"/>
    <w:rsid w:val="003F63CE"/>
    <w:rsid w:val="003F6A8C"/>
    <w:rsid w:val="003F72AB"/>
    <w:rsid w:val="003F74D4"/>
    <w:rsid w:val="003F755C"/>
    <w:rsid w:val="003F76B9"/>
    <w:rsid w:val="003F7B99"/>
    <w:rsid w:val="0040040A"/>
    <w:rsid w:val="00400791"/>
    <w:rsid w:val="004011FE"/>
    <w:rsid w:val="00401320"/>
    <w:rsid w:val="0040145C"/>
    <w:rsid w:val="00401460"/>
    <w:rsid w:val="00402045"/>
    <w:rsid w:val="0040229E"/>
    <w:rsid w:val="00403AFA"/>
    <w:rsid w:val="00403D3B"/>
    <w:rsid w:val="004058C1"/>
    <w:rsid w:val="00405DF1"/>
    <w:rsid w:val="004061D0"/>
    <w:rsid w:val="004067D0"/>
    <w:rsid w:val="00406F01"/>
    <w:rsid w:val="0040705D"/>
    <w:rsid w:val="0040706F"/>
    <w:rsid w:val="00411B33"/>
    <w:rsid w:val="00412D9D"/>
    <w:rsid w:val="00414CC1"/>
    <w:rsid w:val="0041528F"/>
    <w:rsid w:val="00415D03"/>
    <w:rsid w:val="0041673F"/>
    <w:rsid w:val="00416967"/>
    <w:rsid w:val="00416D50"/>
    <w:rsid w:val="00416FD5"/>
    <w:rsid w:val="00417772"/>
    <w:rsid w:val="0042009F"/>
    <w:rsid w:val="00420E6A"/>
    <w:rsid w:val="004224B4"/>
    <w:rsid w:val="004252EF"/>
    <w:rsid w:val="004257ED"/>
    <w:rsid w:val="004258DA"/>
    <w:rsid w:val="00425A9E"/>
    <w:rsid w:val="00425D05"/>
    <w:rsid w:val="00426D6B"/>
    <w:rsid w:val="00426DB0"/>
    <w:rsid w:val="00427ADB"/>
    <w:rsid w:val="00430EF6"/>
    <w:rsid w:val="0043160E"/>
    <w:rsid w:val="004317D4"/>
    <w:rsid w:val="00431E6C"/>
    <w:rsid w:val="00432193"/>
    <w:rsid w:val="00432962"/>
    <w:rsid w:val="0043376D"/>
    <w:rsid w:val="00433BA0"/>
    <w:rsid w:val="00433CE7"/>
    <w:rsid w:val="004347A9"/>
    <w:rsid w:val="00434993"/>
    <w:rsid w:val="00434CEC"/>
    <w:rsid w:val="00436631"/>
    <w:rsid w:val="004379AA"/>
    <w:rsid w:val="0044090A"/>
    <w:rsid w:val="004424FC"/>
    <w:rsid w:val="00442FD6"/>
    <w:rsid w:val="00443015"/>
    <w:rsid w:val="004455C5"/>
    <w:rsid w:val="004463CC"/>
    <w:rsid w:val="00446602"/>
    <w:rsid w:val="004467C8"/>
    <w:rsid w:val="00446C84"/>
    <w:rsid w:val="00447326"/>
    <w:rsid w:val="004473E5"/>
    <w:rsid w:val="00447C7C"/>
    <w:rsid w:val="00450754"/>
    <w:rsid w:val="00450C8E"/>
    <w:rsid w:val="0045198A"/>
    <w:rsid w:val="00451B7B"/>
    <w:rsid w:val="00451D98"/>
    <w:rsid w:val="004522FF"/>
    <w:rsid w:val="00452461"/>
    <w:rsid w:val="00452738"/>
    <w:rsid w:val="00453A95"/>
    <w:rsid w:val="004541CC"/>
    <w:rsid w:val="00454335"/>
    <w:rsid w:val="004558B1"/>
    <w:rsid w:val="00455CFB"/>
    <w:rsid w:val="00455E9B"/>
    <w:rsid w:val="00456091"/>
    <w:rsid w:val="00456944"/>
    <w:rsid w:val="004571EE"/>
    <w:rsid w:val="0045743C"/>
    <w:rsid w:val="0045798B"/>
    <w:rsid w:val="00457A2F"/>
    <w:rsid w:val="004615A7"/>
    <w:rsid w:val="00462398"/>
    <w:rsid w:val="00462645"/>
    <w:rsid w:val="00462F1B"/>
    <w:rsid w:val="00462F26"/>
    <w:rsid w:val="004631BF"/>
    <w:rsid w:val="00463720"/>
    <w:rsid w:val="00463FEC"/>
    <w:rsid w:val="00464010"/>
    <w:rsid w:val="004645A3"/>
    <w:rsid w:val="00464985"/>
    <w:rsid w:val="00464CA2"/>
    <w:rsid w:val="0046572D"/>
    <w:rsid w:val="00465C43"/>
    <w:rsid w:val="00466321"/>
    <w:rsid w:val="00466760"/>
    <w:rsid w:val="004667EF"/>
    <w:rsid w:val="00467162"/>
    <w:rsid w:val="00470F0C"/>
    <w:rsid w:val="0047154B"/>
    <w:rsid w:val="0047314C"/>
    <w:rsid w:val="004731BD"/>
    <w:rsid w:val="00473961"/>
    <w:rsid w:val="00473A9E"/>
    <w:rsid w:val="00473AFE"/>
    <w:rsid w:val="00474546"/>
    <w:rsid w:val="0047498F"/>
    <w:rsid w:val="00474ADC"/>
    <w:rsid w:val="00474FD5"/>
    <w:rsid w:val="004769C9"/>
    <w:rsid w:val="00477914"/>
    <w:rsid w:val="00480325"/>
    <w:rsid w:val="0048038D"/>
    <w:rsid w:val="00481053"/>
    <w:rsid w:val="004815E2"/>
    <w:rsid w:val="004819C6"/>
    <w:rsid w:val="004827D1"/>
    <w:rsid w:val="0048422D"/>
    <w:rsid w:val="00484B9B"/>
    <w:rsid w:val="004854E1"/>
    <w:rsid w:val="004855F6"/>
    <w:rsid w:val="00485E5A"/>
    <w:rsid w:val="00485F55"/>
    <w:rsid w:val="0048661E"/>
    <w:rsid w:val="00486B5E"/>
    <w:rsid w:val="00486DF3"/>
    <w:rsid w:val="00486F31"/>
    <w:rsid w:val="00487DF0"/>
    <w:rsid w:val="004922BE"/>
    <w:rsid w:val="00493348"/>
    <w:rsid w:val="004939AC"/>
    <w:rsid w:val="00494670"/>
    <w:rsid w:val="00495767"/>
    <w:rsid w:val="004958D8"/>
    <w:rsid w:val="00495A8B"/>
    <w:rsid w:val="00495F30"/>
    <w:rsid w:val="00496F04"/>
    <w:rsid w:val="00497227"/>
    <w:rsid w:val="00497401"/>
    <w:rsid w:val="00497C58"/>
    <w:rsid w:val="004A005C"/>
    <w:rsid w:val="004A0FA5"/>
    <w:rsid w:val="004A14EA"/>
    <w:rsid w:val="004A15C5"/>
    <w:rsid w:val="004A3823"/>
    <w:rsid w:val="004A3A56"/>
    <w:rsid w:val="004A4156"/>
    <w:rsid w:val="004A4751"/>
    <w:rsid w:val="004A698D"/>
    <w:rsid w:val="004A6E33"/>
    <w:rsid w:val="004A7D41"/>
    <w:rsid w:val="004B00D2"/>
    <w:rsid w:val="004B011B"/>
    <w:rsid w:val="004B0602"/>
    <w:rsid w:val="004B1C98"/>
    <w:rsid w:val="004B1D2A"/>
    <w:rsid w:val="004B1F54"/>
    <w:rsid w:val="004B24EA"/>
    <w:rsid w:val="004B32D2"/>
    <w:rsid w:val="004B3476"/>
    <w:rsid w:val="004B457F"/>
    <w:rsid w:val="004B52DC"/>
    <w:rsid w:val="004B5E2F"/>
    <w:rsid w:val="004B60CA"/>
    <w:rsid w:val="004B6309"/>
    <w:rsid w:val="004B657C"/>
    <w:rsid w:val="004B6677"/>
    <w:rsid w:val="004B714F"/>
    <w:rsid w:val="004B7309"/>
    <w:rsid w:val="004C0253"/>
    <w:rsid w:val="004C081E"/>
    <w:rsid w:val="004C0827"/>
    <w:rsid w:val="004C1E44"/>
    <w:rsid w:val="004C32C0"/>
    <w:rsid w:val="004C35C5"/>
    <w:rsid w:val="004C368D"/>
    <w:rsid w:val="004C4C09"/>
    <w:rsid w:val="004C531C"/>
    <w:rsid w:val="004C552E"/>
    <w:rsid w:val="004C579A"/>
    <w:rsid w:val="004C58C2"/>
    <w:rsid w:val="004C608D"/>
    <w:rsid w:val="004D12C7"/>
    <w:rsid w:val="004D1A16"/>
    <w:rsid w:val="004D1B90"/>
    <w:rsid w:val="004D1E01"/>
    <w:rsid w:val="004D1F54"/>
    <w:rsid w:val="004D22BF"/>
    <w:rsid w:val="004D3406"/>
    <w:rsid w:val="004D362C"/>
    <w:rsid w:val="004D3D03"/>
    <w:rsid w:val="004D53C6"/>
    <w:rsid w:val="004D5857"/>
    <w:rsid w:val="004D60A7"/>
    <w:rsid w:val="004D65CB"/>
    <w:rsid w:val="004D72BC"/>
    <w:rsid w:val="004D74F8"/>
    <w:rsid w:val="004E00D4"/>
    <w:rsid w:val="004E1ADD"/>
    <w:rsid w:val="004E1F1E"/>
    <w:rsid w:val="004E2894"/>
    <w:rsid w:val="004E296F"/>
    <w:rsid w:val="004E4011"/>
    <w:rsid w:val="004E5014"/>
    <w:rsid w:val="004E5191"/>
    <w:rsid w:val="004E5A4D"/>
    <w:rsid w:val="004E6946"/>
    <w:rsid w:val="004E74C8"/>
    <w:rsid w:val="004E7D0F"/>
    <w:rsid w:val="004F1AD8"/>
    <w:rsid w:val="004F1B5E"/>
    <w:rsid w:val="004F20C5"/>
    <w:rsid w:val="004F2652"/>
    <w:rsid w:val="004F2A32"/>
    <w:rsid w:val="004F2D76"/>
    <w:rsid w:val="004F50BE"/>
    <w:rsid w:val="004F5D79"/>
    <w:rsid w:val="004F6228"/>
    <w:rsid w:val="004F6717"/>
    <w:rsid w:val="00500CE6"/>
    <w:rsid w:val="00501A99"/>
    <w:rsid w:val="00502677"/>
    <w:rsid w:val="00502C89"/>
    <w:rsid w:val="00502F08"/>
    <w:rsid w:val="00502F20"/>
    <w:rsid w:val="00503802"/>
    <w:rsid w:val="005039CB"/>
    <w:rsid w:val="00504619"/>
    <w:rsid w:val="0050498A"/>
    <w:rsid w:val="00504B23"/>
    <w:rsid w:val="00504C7E"/>
    <w:rsid w:val="0050558F"/>
    <w:rsid w:val="00505EF4"/>
    <w:rsid w:val="00506286"/>
    <w:rsid w:val="005064D2"/>
    <w:rsid w:val="0050652D"/>
    <w:rsid w:val="005070A1"/>
    <w:rsid w:val="005070D3"/>
    <w:rsid w:val="0050793B"/>
    <w:rsid w:val="0051057F"/>
    <w:rsid w:val="00510813"/>
    <w:rsid w:val="0051095B"/>
    <w:rsid w:val="005113D9"/>
    <w:rsid w:val="00511990"/>
    <w:rsid w:val="00511B39"/>
    <w:rsid w:val="00511BFE"/>
    <w:rsid w:val="00511DE0"/>
    <w:rsid w:val="005124C6"/>
    <w:rsid w:val="00513E63"/>
    <w:rsid w:val="005144E0"/>
    <w:rsid w:val="00514870"/>
    <w:rsid w:val="00514B9B"/>
    <w:rsid w:val="00514EC6"/>
    <w:rsid w:val="00515247"/>
    <w:rsid w:val="005152B0"/>
    <w:rsid w:val="00515B1C"/>
    <w:rsid w:val="00516D9F"/>
    <w:rsid w:val="00517F02"/>
    <w:rsid w:val="00520F75"/>
    <w:rsid w:val="0052104E"/>
    <w:rsid w:val="005219F2"/>
    <w:rsid w:val="0052211B"/>
    <w:rsid w:val="00522BC4"/>
    <w:rsid w:val="005234ED"/>
    <w:rsid w:val="00524303"/>
    <w:rsid w:val="00524F1F"/>
    <w:rsid w:val="005258A2"/>
    <w:rsid w:val="00526240"/>
    <w:rsid w:val="00526416"/>
    <w:rsid w:val="005306E4"/>
    <w:rsid w:val="00531D0D"/>
    <w:rsid w:val="005348CC"/>
    <w:rsid w:val="00534EFF"/>
    <w:rsid w:val="005355F2"/>
    <w:rsid w:val="005368A8"/>
    <w:rsid w:val="005371FF"/>
    <w:rsid w:val="0053788E"/>
    <w:rsid w:val="00537C2F"/>
    <w:rsid w:val="00537DB5"/>
    <w:rsid w:val="005401AE"/>
    <w:rsid w:val="005408C7"/>
    <w:rsid w:val="0054092D"/>
    <w:rsid w:val="00540E97"/>
    <w:rsid w:val="00541529"/>
    <w:rsid w:val="0054259E"/>
    <w:rsid w:val="00542A63"/>
    <w:rsid w:val="00542AB6"/>
    <w:rsid w:val="00542E07"/>
    <w:rsid w:val="00543700"/>
    <w:rsid w:val="005446D3"/>
    <w:rsid w:val="00544DB5"/>
    <w:rsid w:val="00545424"/>
    <w:rsid w:val="00545D27"/>
    <w:rsid w:val="005460E5"/>
    <w:rsid w:val="00546884"/>
    <w:rsid w:val="00547A05"/>
    <w:rsid w:val="00547FA8"/>
    <w:rsid w:val="00550274"/>
    <w:rsid w:val="00550885"/>
    <w:rsid w:val="00550CF4"/>
    <w:rsid w:val="00550DF0"/>
    <w:rsid w:val="00551D41"/>
    <w:rsid w:val="005526D5"/>
    <w:rsid w:val="00553444"/>
    <w:rsid w:val="005534F0"/>
    <w:rsid w:val="00553549"/>
    <w:rsid w:val="00554A7B"/>
    <w:rsid w:val="00554C8B"/>
    <w:rsid w:val="0055522D"/>
    <w:rsid w:val="0055572C"/>
    <w:rsid w:val="005604F3"/>
    <w:rsid w:val="00560545"/>
    <w:rsid w:val="00560B86"/>
    <w:rsid w:val="0056106A"/>
    <w:rsid w:val="005627F8"/>
    <w:rsid w:val="0056365D"/>
    <w:rsid w:val="00564249"/>
    <w:rsid w:val="00565599"/>
    <w:rsid w:val="005660E8"/>
    <w:rsid w:val="00566FC4"/>
    <w:rsid w:val="00567BE0"/>
    <w:rsid w:val="00567C5D"/>
    <w:rsid w:val="00570430"/>
    <w:rsid w:val="00570AF1"/>
    <w:rsid w:val="00571223"/>
    <w:rsid w:val="005713D8"/>
    <w:rsid w:val="00571C0D"/>
    <w:rsid w:val="005720AE"/>
    <w:rsid w:val="005727A3"/>
    <w:rsid w:val="00572CED"/>
    <w:rsid w:val="005736C3"/>
    <w:rsid w:val="00575C44"/>
    <w:rsid w:val="00577423"/>
    <w:rsid w:val="0057786E"/>
    <w:rsid w:val="00581035"/>
    <w:rsid w:val="005815CF"/>
    <w:rsid w:val="0058250A"/>
    <w:rsid w:val="005827FA"/>
    <w:rsid w:val="00583E4C"/>
    <w:rsid w:val="00584031"/>
    <w:rsid w:val="0058475A"/>
    <w:rsid w:val="0058528D"/>
    <w:rsid w:val="005854F3"/>
    <w:rsid w:val="00585583"/>
    <w:rsid w:val="00585C07"/>
    <w:rsid w:val="00585C34"/>
    <w:rsid w:val="00585CDF"/>
    <w:rsid w:val="00585ECC"/>
    <w:rsid w:val="005865C1"/>
    <w:rsid w:val="00586883"/>
    <w:rsid w:val="005876D9"/>
    <w:rsid w:val="005878A6"/>
    <w:rsid w:val="00590623"/>
    <w:rsid w:val="00590F07"/>
    <w:rsid w:val="0059130A"/>
    <w:rsid w:val="00591CD9"/>
    <w:rsid w:val="00591F5A"/>
    <w:rsid w:val="005923EE"/>
    <w:rsid w:val="005930A1"/>
    <w:rsid w:val="0059328B"/>
    <w:rsid w:val="005938C4"/>
    <w:rsid w:val="0059467F"/>
    <w:rsid w:val="00594A5F"/>
    <w:rsid w:val="00594D77"/>
    <w:rsid w:val="005969E4"/>
    <w:rsid w:val="00596ECF"/>
    <w:rsid w:val="00597659"/>
    <w:rsid w:val="005A06B7"/>
    <w:rsid w:val="005A1568"/>
    <w:rsid w:val="005A1645"/>
    <w:rsid w:val="005A1759"/>
    <w:rsid w:val="005A1B05"/>
    <w:rsid w:val="005A20A6"/>
    <w:rsid w:val="005A2DA7"/>
    <w:rsid w:val="005A3631"/>
    <w:rsid w:val="005A366A"/>
    <w:rsid w:val="005A3E31"/>
    <w:rsid w:val="005A425B"/>
    <w:rsid w:val="005A46FE"/>
    <w:rsid w:val="005A5249"/>
    <w:rsid w:val="005A5504"/>
    <w:rsid w:val="005A5556"/>
    <w:rsid w:val="005A5A24"/>
    <w:rsid w:val="005A5F0C"/>
    <w:rsid w:val="005A68A7"/>
    <w:rsid w:val="005A6FF4"/>
    <w:rsid w:val="005A736E"/>
    <w:rsid w:val="005A7A6E"/>
    <w:rsid w:val="005B0A5E"/>
    <w:rsid w:val="005B1289"/>
    <w:rsid w:val="005B16AA"/>
    <w:rsid w:val="005B1E9D"/>
    <w:rsid w:val="005B20BC"/>
    <w:rsid w:val="005B2104"/>
    <w:rsid w:val="005B22D6"/>
    <w:rsid w:val="005B2E9D"/>
    <w:rsid w:val="005B3B6C"/>
    <w:rsid w:val="005B4228"/>
    <w:rsid w:val="005B55AF"/>
    <w:rsid w:val="005B6473"/>
    <w:rsid w:val="005B6695"/>
    <w:rsid w:val="005B7921"/>
    <w:rsid w:val="005B7FCC"/>
    <w:rsid w:val="005C0AF4"/>
    <w:rsid w:val="005C16DC"/>
    <w:rsid w:val="005C25F9"/>
    <w:rsid w:val="005C35B0"/>
    <w:rsid w:val="005C39AF"/>
    <w:rsid w:val="005C41D6"/>
    <w:rsid w:val="005C4752"/>
    <w:rsid w:val="005C4754"/>
    <w:rsid w:val="005C4F8A"/>
    <w:rsid w:val="005C5174"/>
    <w:rsid w:val="005C5636"/>
    <w:rsid w:val="005C5EEA"/>
    <w:rsid w:val="005C68DA"/>
    <w:rsid w:val="005C7F89"/>
    <w:rsid w:val="005D1654"/>
    <w:rsid w:val="005D2F81"/>
    <w:rsid w:val="005D36AB"/>
    <w:rsid w:val="005D3E57"/>
    <w:rsid w:val="005D454C"/>
    <w:rsid w:val="005D47DE"/>
    <w:rsid w:val="005D5183"/>
    <w:rsid w:val="005D57FA"/>
    <w:rsid w:val="005D5B07"/>
    <w:rsid w:val="005D5DE9"/>
    <w:rsid w:val="005D7D5C"/>
    <w:rsid w:val="005E0FA0"/>
    <w:rsid w:val="005E1609"/>
    <w:rsid w:val="005E2E83"/>
    <w:rsid w:val="005E442C"/>
    <w:rsid w:val="005E464E"/>
    <w:rsid w:val="005E4E7A"/>
    <w:rsid w:val="005E4FED"/>
    <w:rsid w:val="005E54CC"/>
    <w:rsid w:val="005E6113"/>
    <w:rsid w:val="005E6372"/>
    <w:rsid w:val="005E6E67"/>
    <w:rsid w:val="005E762D"/>
    <w:rsid w:val="005E7661"/>
    <w:rsid w:val="005F13D1"/>
    <w:rsid w:val="005F1F17"/>
    <w:rsid w:val="005F2500"/>
    <w:rsid w:val="005F2709"/>
    <w:rsid w:val="005F282C"/>
    <w:rsid w:val="005F3012"/>
    <w:rsid w:val="005F36C8"/>
    <w:rsid w:val="005F3DFC"/>
    <w:rsid w:val="005F4410"/>
    <w:rsid w:val="005F4E65"/>
    <w:rsid w:val="005F5675"/>
    <w:rsid w:val="005F59A2"/>
    <w:rsid w:val="005F614A"/>
    <w:rsid w:val="005F6F9A"/>
    <w:rsid w:val="005F76EF"/>
    <w:rsid w:val="005F7950"/>
    <w:rsid w:val="0060222B"/>
    <w:rsid w:val="006037B0"/>
    <w:rsid w:val="00604188"/>
    <w:rsid w:val="006048D2"/>
    <w:rsid w:val="00604961"/>
    <w:rsid w:val="00606188"/>
    <w:rsid w:val="00606651"/>
    <w:rsid w:val="00606F5E"/>
    <w:rsid w:val="00606F6E"/>
    <w:rsid w:val="00607A8C"/>
    <w:rsid w:val="00607EC4"/>
    <w:rsid w:val="006108F9"/>
    <w:rsid w:val="00610935"/>
    <w:rsid w:val="00610CD4"/>
    <w:rsid w:val="00611410"/>
    <w:rsid w:val="006119BB"/>
    <w:rsid w:val="0061222A"/>
    <w:rsid w:val="00612525"/>
    <w:rsid w:val="006125B7"/>
    <w:rsid w:val="00612879"/>
    <w:rsid w:val="00612AA2"/>
    <w:rsid w:val="00612BDA"/>
    <w:rsid w:val="00612D1A"/>
    <w:rsid w:val="006136E3"/>
    <w:rsid w:val="006136F9"/>
    <w:rsid w:val="006154E2"/>
    <w:rsid w:val="0061749F"/>
    <w:rsid w:val="006175B4"/>
    <w:rsid w:val="00617864"/>
    <w:rsid w:val="00617CC3"/>
    <w:rsid w:val="00617DE7"/>
    <w:rsid w:val="00617FBF"/>
    <w:rsid w:val="00620344"/>
    <w:rsid w:val="00620F8A"/>
    <w:rsid w:val="00621B0E"/>
    <w:rsid w:val="00621B23"/>
    <w:rsid w:val="00623937"/>
    <w:rsid w:val="006246EC"/>
    <w:rsid w:val="006254BA"/>
    <w:rsid w:val="00625AC2"/>
    <w:rsid w:val="00625CE0"/>
    <w:rsid w:val="00625E5D"/>
    <w:rsid w:val="00626B92"/>
    <w:rsid w:val="006275A4"/>
    <w:rsid w:val="006300A1"/>
    <w:rsid w:val="0063060D"/>
    <w:rsid w:val="00631638"/>
    <w:rsid w:val="00632766"/>
    <w:rsid w:val="00632DD6"/>
    <w:rsid w:val="006334DC"/>
    <w:rsid w:val="0063479F"/>
    <w:rsid w:val="00634C42"/>
    <w:rsid w:val="0063517F"/>
    <w:rsid w:val="006360A0"/>
    <w:rsid w:val="00636CA5"/>
    <w:rsid w:val="006377A6"/>
    <w:rsid w:val="00637A3D"/>
    <w:rsid w:val="006400CE"/>
    <w:rsid w:val="006409B5"/>
    <w:rsid w:val="006411EF"/>
    <w:rsid w:val="006413CC"/>
    <w:rsid w:val="00641954"/>
    <w:rsid w:val="00641F8A"/>
    <w:rsid w:val="00642158"/>
    <w:rsid w:val="006432EC"/>
    <w:rsid w:val="0064491E"/>
    <w:rsid w:val="006455C7"/>
    <w:rsid w:val="006465DF"/>
    <w:rsid w:val="00647214"/>
    <w:rsid w:val="0064798A"/>
    <w:rsid w:val="006479E1"/>
    <w:rsid w:val="0065091C"/>
    <w:rsid w:val="0065112E"/>
    <w:rsid w:val="0065266E"/>
    <w:rsid w:val="00653789"/>
    <w:rsid w:val="00653F77"/>
    <w:rsid w:val="006542E9"/>
    <w:rsid w:val="00654710"/>
    <w:rsid w:val="00654CA2"/>
    <w:rsid w:val="00654CD0"/>
    <w:rsid w:val="00655C73"/>
    <w:rsid w:val="00656492"/>
    <w:rsid w:val="006572D2"/>
    <w:rsid w:val="00657D1B"/>
    <w:rsid w:val="00657D79"/>
    <w:rsid w:val="00661AF9"/>
    <w:rsid w:val="00661D5A"/>
    <w:rsid w:val="0066287F"/>
    <w:rsid w:val="00662D60"/>
    <w:rsid w:val="0066441E"/>
    <w:rsid w:val="00664C2C"/>
    <w:rsid w:val="00665AFC"/>
    <w:rsid w:val="00670538"/>
    <w:rsid w:val="00670783"/>
    <w:rsid w:val="0067102A"/>
    <w:rsid w:val="006723EB"/>
    <w:rsid w:val="00672559"/>
    <w:rsid w:val="00672DAA"/>
    <w:rsid w:val="00673027"/>
    <w:rsid w:val="006734B3"/>
    <w:rsid w:val="00673CE1"/>
    <w:rsid w:val="00674302"/>
    <w:rsid w:val="006748B8"/>
    <w:rsid w:val="006775C3"/>
    <w:rsid w:val="00680991"/>
    <w:rsid w:val="00680D85"/>
    <w:rsid w:val="00681088"/>
    <w:rsid w:val="0068112F"/>
    <w:rsid w:val="006814E4"/>
    <w:rsid w:val="00681881"/>
    <w:rsid w:val="00681A64"/>
    <w:rsid w:val="006825B3"/>
    <w:rsid w:val="00682A24"/>
    <w:rsid w:val="00682AA0"/>
    <w:rsid w:val="00682EDC"/>
    <w:rsid w:val="00683A26"/>
    <w:rsid w:val="006852C5"/>
    <w:rsid w:val="006855A8"/>
    <w:rsid w:val="00685926"/>
    <w:rsid w:val="00686E92"/>
    <w:rsid w:val="0069073A"/>
    <w:rsid w:val="00691C44"/>
    <w:rsid w:val="0069228F"/>
    <w:rsid w:val="0069242D"/>
    <w:rsid w:val="0069290A"/>
    <w:rsid w:val="00692F54"/>
    <w:rsid w:val="00693074"/>
    <w:rsid w:val="00693422"/>
    <w:rsid w:val="00693910"/>
    <w:rsid w:val="00695511"/>
    <w:rsid w:val="0069600C"/>
    <w:rsid w:val="0069775A"/>
    <w:rsid w:val="00697813"/>
    <w:rsid w:val="006A051D"/>
    <w:rsid w:val="006A0783"/>
    <w:rsid w:val="006A1E6F"/>
    <w:rsid w:val="006A2812"/>
    <w:rsid w:val="006A3EE8"/>
    <w:rsid w:val="006A50B7"/>
    <w:rsid w:val="006A5982"/>
    <w:rsid w:val="006A6BCA"/>
    <w:rsid w:val="006A7020"/>
    <w:rsid w:val="006A72BF"/>
    <w:rsid w:val="006A7563"/>
    <w:rsid w:val="006A7B6B"/>
    <w:rsid w:val="006B03F2"/>
    <w:rsid w:val="006B0C38"/>
    <w:rsid w:val="006B168F"/>
    <w:rsid w:val="006B37DC"/>
    <w:rsid w:val="006B3C63"/>
    <w:rsid w:val="006B4D9A"/>
    <w:rsid w:val="006B4F68"/>
    <w:rsid w:val="006B4FBD"/>
    <w:rsid w:val="006B513D"/>
    <w:rsid w:val="006B58C4"/>
    <w:rsid w:val="006B6673"/>
    <w:rsid w:val="006B6F44"/>
    <w:rsid w:val="006B7D3D"/>
    <w:rsid w:val="006B7E13"/>
    <w:rsid w:val="006C0592"/>
    <w:rsid w:val="006C08E0"/>
    <w:rsid w:val="006C1174"/>
    <w:rsid w:val="006C1351"/>
    <w:rsid w:val="006C196D"/>
    <w:rsid w:val="006C23A3"/>
    <w:rsid w:val="006C272E"/>
    <w:rsid w:val="006C2D87"/>
    <w:rsid w:val="006C2EB6"/>
    <w:rsid w:val="006C35D4"/>
    <w:rsid w:val="006C3D20"/>
    <w:rsid w:val="006C448B"/>
    <w:rsid w:val="006C466C"/>
    <w:rsid w:val="006C4D6E"/>
    <w:rsid w:val="006C5479"/>
    <w:rsid w:val="006C6522"/>
    <w:rsid w:val="006C70F0"/>
    <w:rsid w:val="006C734F"/>
    <w:rsid w:val="006C73A9"/>
    <w:rsid w:val="006C7557"/>
    <w:rsid w:val="006D04B8"/>
    <w:rsid w:val="006D11CD"/>
    <w:rsid w:val="006D12B3"/>
    <w:rsid w:val="006D13B5"/>
    <w:rsid w:val="006D15E6"/>
    <w:rsid w:val="006D1C83"/>
    <w:rsid w:val="006D288B"/>
    <w:rsid w:val="006D3C57"/>
    <w:rsid w:val="006D3DEE"/>
    <w:rsid w:val="006D3F95"/>
    <w:rsid w:val="006D4244"/>
    <w:rsid w:val="006D42B9"/>
    <w:rsid w:val="006D4902"/>
    <w:rsid w:val="006D4DEF"/>
    <w:rsid w:val="006D5942"/>
    <w:rsid w:val="006D6608"/>
    <w:rsid w:val="006D6EF8"/>
    <w:rsid w:val="006D6F19"/>
    <w:rsid w:val="006D7837"/>
    <w:rsid w:val="006E0DCF"/>
    <w:rsid w:val="006E12FF"/>
    <w:rsid w:val="006E1559"/>
    <w:rsid w:val="006E1838"/>
    <w:rsid w:val="006E1B95"/>
    <w:rsid w:val="006E1BCD"/>
    <w:rsid w:val="006E20E4"/>
    <w:rsid w:val="006E26C6"/>
    <w:rsid w:val="006E35A0"/>
    <w:rsid w:val="006E40F4"/>
    <w:rsid w:val="006E4D0A"/>
    <w:rsid w:val="006E4D20"/>
    <w:rsid w:val="006E53A2"/>
    <w:rsid w:val="006E607E"/>
    <w:rsid w:val="006E6AFE"/>
    <w:rsid w:val="006E6C89"/>
    <w:rsid w:val="006E6D22"/>
    <w:rsid w:val="006E7A75"/>
    <w:rsid w:val="006F0778"/>
    <w:rsid w:val="006F0920"/>
    <w:rsid w:val="006F0FC4"/>
    <w:rsid w:val="006F1014"/>
    <w:rsid w:val="006F1F1F"/>
    <w:rsid w:val="006F2086"/>
    <w:rsid w:val="006F2D79"/>
    <w:rsid w:val="006F3377"/>
    <w:rsid w:val="006F3619"/>
    <w:rsid w:val="006F3687"/>
    <w:rsid w:val="006F3BC7"/>
    <w:rsid w:val="006F42FD"/>
    <w:rsid w:val="006F54CB"/>
    <w:rsid w:val="006F6439"/>
    <w:rsid w:val="006F65F8"/>
    <w:rsid w:val="006F72A1"/>
    <w:rsid w:val="006F76D3"/>
    <w:rsid w:val="006F77CB"/>
    <w:rsid w:val="00700598"/>
    <w:rsid w:val="00701241"/>
    <w:rsid w:val="00701956"/>
    <w:rsid w:val="00702CD1"/>
    <w:rsid w:val="007030CB"/>
    <w:rsid w:val="007048A9"/>
    <w:rsid w:val="007048DD"/>
    <w:rsid w:val="00705CD1"/>
    <w:rsid w:val="007060D2"/>
    <w:rsid w:val="00706195"/>
    <w:rsid w:val="00706C5D"/>
    <w:rsid w:val="007074E0"/>
    <w:rsid w:val="00707B15"/>
    <w:rsid w:val="0071026F"/>
    <w:rsid w:val="00710892"/>
    <w:rsid w:val="00711466"/>
    <w:rsid w:val="00712353"/>
    <w:rsid w:val="00712496"/>
    <w:rsid w:val="00713A18"/>
    <w:rsid w:val="00714108"/>
    <w:rsid w:val="0071434D"/>
    <w:rsid w:val="00714F4F"/>
    <w:rsid w:val="00715674"/>
    <w:rsid w:val="0071597E"/>
    <w:rsid w:val="007167A0"/>
    <w:rsid w:val="00717DA6"/>
    <w:rsid w:val="0072088A"/>
    <w:rsid w:val="00720A46"/>
    <w:rsid w:val="00720D6E"/>
    <w:rsid w:val="00720FB2"/>
    <w:rsid w:val="00721390"/>
    <w:rsid w:val="007214F4"/>
    <w:rsid w:val="007216F8"/>
    <w:rsid w:val="007220B1"/>
    <w:rsid w:val="007226BC"/>
    <w:rsid w:val="00723A07"/>
    <w:rsid w:val="00723B49"/>
    <w:rsid w:val="00723E2C"/>
    <w:rsid w:val="007246B3"/>
    <w:rsid w:val="00724A32"/>
    <w:rsid w:val="0072637D"/>
    <w:rsid w:val="00726C53"/>
    <w:rsid w:val="00727DD2"/>
    <w:rsid w:val="00727F9A"/>
    <w:rsid w:val="0073009B"/>
    <w:rsid w:val="007304E1"/>
    <w:rsid w:val="0073106A"/>
    <w:rsid w:val="00731209"/>
    <w:rsid w:val="00731AAA"/>
    <w:rsid w:val="00731AD1"/>
    <w:rsid w:val="00731C44"/>
    <w:rsid w:val="00732922"/>
    <w:rsid w:val="00732D5E"/>
    <w:rsid w:val="00733107"/>
    <w:rsid w:val="00734B8A"/>
    <w:rsid w:val="00734E60"/>
    <w:rsid w:val="007352EB"/>
    <w:rsid w:val="00735873"/>
    <w:rsid w:val="00737BB5"/>
    <w:rsid w:val="00737E39"/>
    <w:rsid w:val="00740B09"/>
    <w:rsid w:val="00740B78"/>
    <w:rsid w:val="00740C04"/>
    <w:rsid w:val="007423B8"/>
    <w:rsid w:val="007424DF"/>
    <w:rsid w:val="007427D1"/>
    <w:rsid w:val="007429FC"/>
    <w:rsid w:val="00742AE6"/>
    <w:rsid w:val="00742E47"/>
    <w:rsid w:val="007433BF"/>
    <w:rsid w:val="007438B2"/>
    <w:rsid w:val="00745697"/>
    <w:rsid w:val="007461E8"/>
    <w:rsid w:val="00746D1F"/>
    <w:rsid w:val="007505EB"/>
    <w:rsid w:val="0075162E"/>
    <w:rsid w:val="00751BF2"/>
    <w:rsid w:val="00751C68"/>
    <w:rsid w:val="00752402"/>
    <w:rsid w:val="007538A1"/>
    <w:rsid w:val="00754034"/>
    <w:rsid w:val="0075422A"/>
    <w:rsid w:val="007545EF"/>
    <w:rsid w:val="00756556"/>
    <w:rsid w:val="00756C9A"/>
    <w:rsid w:val="00756E7E"/>
    <w:rsid w:val="00760199"/>
    <w:rsid w:val="007605E7"/>
    <w:rsid w:val="00760CB0"/>
    <w:rsid w:val="0076176D"/>
    <w:rsid w:val="007618C4"/>
    <w:rsid w:val="00762BA4"/>
    <w:rsid w:val="00764514"/>
    <w:rsid w:val="007649C2"/>
    <w:rsid w:val="00765A5E"/>
    <w:rsid w:val="007665B3"/>
    <w:rsid w:val="00767980"/>
    <w:rsid w:val="00767CC9"/>
    <w:rsid w:val="00770935"/>
    <w:rsid w:val="00770B19"/>
    <w:rsid w:val="00771742"/>
    <w:rsid w:val="00772927"/>
    <w:rsid w:val="00772987"/>
    <w:rsid w:val="0077463F"/>
    <w:rsid w:val="00774E8E"/>
    <w:rsid w:val="00776173"/>
    <w:rsid w:val="00776355"/>
    <w:rsid w:val="0077664A"/>
    <w:rsid w:val="00776CE1"/>
    <w:rsid w:val="007800AD"/>
    <w:rsid w:val="007803C1"/>
    <w:rsid w:val="007804CF"/>
    <w:rsid w:val="00780829"/>
    <w:rsid w:val="00782203"/>
    <w:rsid w:val="0078234E"/>
    <w:rsid w:val="0078342C"/>
    <w:rsid w:val="007836EA"/>
    <w:rsid w:val="00784828"/>
    <w:rsid w:val="00784CDA"/>
    <w:rsid w:val="00785F73"/>
    <w:rsid w:val="0078602E"/>
    <w:rsid w:val="00787B0F"/>
    <w:rsid w:val="007901E9"/>
    <w:rsid w:val="007903F6"/>
    <w:rsid w:val="007906C4"/>
    <w:rsid w:val="00790F4F"/>
    <w:rsid w:val="007913FB"/>
    <w:rsid w:val="007915EC"/>
    <w:rsid w:val="007919B7"/>
    <w:rsid w:val="00792EE4"/>
    <w:rsid w:val="00793DFC"/>
    <w:rsid w:val="007940EA"/>
    <w:rsid w:val="00794B30"/>
    <w:rsid w:val="00795215"/>
    <w:rsid w:val="007957C5"/>
    <w:rsid w:val="007967E8"/>
    <w:rsid w:val="00797145"/>
    <w:rsid w:val="0079784C"/>
    <w:rsid w:val="00797EBC"/>
    <w:rsid w:val="007A0EFA"/>
    <w:rsid w:val="007A1A67"/>
    <w:rsid w:val="007A2132"/>
    <w:rsid w:val="007A2170"/>
    <w:rsid w:val="007A22BF"/>
    <w:rsid w:val="007A257C"/>
    <w:rsid w:val="007A3082"/>
    <w:rsid w:val="007A30A0"/>
    <w:rsid w:val="007A3323"/>
    <w:rsid w:val="007A34BA"/>
    <w:rsid w:val="007A3CDD"/>
    <w:rsid w:val="007A4D05"/>
    <w:rsid w:val="007A54F5"/>
    <w:rsid w:val="007A715C"/>
    <w:rsid w:val="007A719D"/>
    <w:rsid w:val="007A7211"/>
    <w:rsid w:val="007A7313"/>
    <w:rsid w:val="007A73BA"/>
    <w:rsid w:val="007A77A6"/>
    <w:rsid w:val="007A7D2D"/>
    <w:rsid w:val="007B1057"/>
    <w:rsid w:val="007B1621"/>
    <w:rsid w:val="007B1A5B"/>
    <w:rsid w:val="007B2477"/>
    <w:rsid w:val="007B2493"/>
    <w:rsid w:val="007B289B"/>
    <w:rsid w:val="007B2C9D"/>
    <w:rsid w:val="007B3968"/>
    <w:rsid w:val="007B3B11"/>
    <w:rsid w:val="007B41E4"/>
    <w:rsid w:val="007B4484"/>
    <w:rsid w:val="007B493E"/>
    <w:rsid w:val="007B6308"/>
    <w:rsid w:val="007B64F7"/>
    <w:rsid w:val="007B65E4"/>
    <w:rsid w:val="007B67E8"/>
    <w:rsid w:val="007B6E1C"/>
    <w:rsid w:val="007B72B8"/>
    <w:rsid w:val="007B7524"/>
    <w:rsid w:val="007B7870"/>
    <w:rsid w:val="007B7A58"/>
    <w:rsid w:val="007C1093"/>
    <w:rsid w:val="007C1ECD"/>
    <w:rsid w:val="007C1F32"/>
    <w:rsid w:val="007C21B5"/>
    <w:rsid w:val="007C26AE"/>
    <w:rsid w:val="007C31FC"/>
    <w:rsid w:val="007C3D7B"/>
    <w:rsid w:val="007C5323"/>
    <w:rsid w:val="007C62D4"/>
    <w:rsid w:val="007C6952"/>
    <w:rsid w:val="007C6B7D"/>
    <w:rsid w:val="007C6FC6"/>
    <w:rsid w:val="007D00DC"/>
    <w:rsid w:val="007D2F36"/>
    <w:rsid w:val="007D3100"/>
    <w:rsid w:val="007D3E55"/>
    <w:rsid w:val="007D4B1A"/>
    <w:rsid w:val="007D57E8"/>
    <w:rsid w:val="007D66E9"/>
    <w:rsid w:val="007D66EA"/>
    <w:rsid w:val="007D75F5"/>
    <w:rsid w:val="007D7D3E"/>
    <w:rsid w:val="007D7E8B"/>
    <w:rsid w:val="007E076F"/>
    <w:rsid w:val="007E0B40"/>
    <w:rsid w:val="007E0C21"/>
    <w:rsid w:val="007E0F03"/>
    <w:rsid w:val="007E24FC"/>
    <w:rsid w:val="007E27F5"/>
    <w:rsid w:val="007E42B7"/>
    <w:rsid w:val="007E4BD2"/>
    <w:rsid w:val="007E601D"/>
    <w:rsid w:val="007E6F75"/>
    <w:rsid w:val="007F1AA1"/>
    <w:rsid w:val="007F2775"/>
    <w:rsid w:val="007F2E31"/>
    <w:rsid w:val="007F3063"/>
    <w:rsid w:val="007F33C7"/>
    <w:rsid w:val="007F46EB"/>
    <w:rsid w:val="007F47BC"/>
    <w:rsid w:val="007F48A2"/>
    <w:rsid w:val="007F50AB"/>
    <w:rsid w:val="007F5503"/>
    <w:rsid w:val="007F5A56"/>
    <w:rsid w:val="007F6220"/>
    <w:rsid w:val="008007F2"/>
    <w:rsid w:val="00800FB0"/>
    <w:rsid w:val="00801393"/>
    <w:rsid w:val="008014CF"/>
    <w:rsid w:val="00802576"/>
    <w:rsid w:val="0080276D"/>
    <w:rsid w:val="00802DAE"/>
    <w:rsid w:val="00802F88"/>
    <w:rsid w:val="00804AF5"/>
    <w:rsid w:val="00806818"/>
    <w:rsid w:val="0080710D"/>
    <w:rsid w:val="00807B22"/>
    <w:rsid w:val="00810390"/>
    <w:rsid w:val="00810B48"/>
    <w:rsid w:val="00812651"/>
    <w:rsid w:val="0081293E"/>
    <w:rsid w:val="00813772"/>
    <w:rsid w:val="0081494A"/>
    <w:rsid w:val="0081500A"/>
    <w:rsid w:val="00815465"/>
    <w:rsid w:val="008164BE"/>
    <w:rsid w:val="0081665D"/>
    <w:rsid w:val="00816F04"/>
    <w:rsid w:val="0081730A"/>
    <w:rsid w:val="0081786C"/>
    <w:rsid w:val="00817E9A"/>
    <w:rsid w:val="0082027A"/>
    <w:rsid w:val="00820538"/>
    <w:rsid w:val="00820687"/>
    <w:rsid w:val="0082186B"/>
    <w:rsid w:val="00821BB3"/>
    <w:rsid w:val="00821C8F"/>
    <w:rsid w:val="00821E51"/>
    <w:rsid w:val="00822B76"/>
    <w:rsid w:val="008231F0"/>
    <w:rsid w:val="00823BB9"/>
    <w:rsid w:val="008244B4"/>
    <w:rsid w:val="008276CF"/>
    <w:rsid w:val="00827AFB"/>
    <w:rsid w:val="008304A4"/>
    <w:rsid w:val="008306BD"/>
    <w:rsid w:val="008309C9"/>
    <w:rsid w:val="00830E81"/>
    <w:rsid w:val="00831A80"/>
    <w:rsid w:val="00832C76"/>
    <w:rsid w:val="00833063"/>
    <w:rsid w:val="008334D7"/>
    <w:rsid w:val="00833743"/>
    <w:rsid w:val="008340A4"/>
    <w:rsid w:val="00835037"/>
    <w:rsid w:val="00835AA0"/>
    <w:rsid w:val="00835E22"/>
    <w:rsid w:val="00836656"/>
    <w:rsid w:val="00836C7F"/>
    <w:rsid w:val="00837837"/>
    <w:rsid w:val="008400BD"/>
    <w:rsid w:val="0084062E"/>
    <w:rsid w:val="0084067C"/>
    <w:rsid w:val="008407EF"/>
    <w:rsid w:val="00840A1A"/>
    <w:rsid w:val="00840BFA"/>
    <w:rsid w:val="00840E18"/>
    <w:rsid w:val="00840F18"/>
    <w:rsid w:val="00841229"/>
    <w:rsid w:val="008415A3"/>
    <w:rsid w:val="00841C97"/>
    <w:rsid w:val="00842D38"/>
    <w:rsid w:val="00843220"/>
    <w:rsid w:val="00843C06"/>
    <w:rsid w:val="00843DD5"/>
    <w:rsid w:val="00843E01"/>
    <w:rsid w:val="008442AF"/>
    <w:rsid w:val="00845E01"/>
    <w:rsid w:val="00845EA1"/>
    <w:rsid w:val="00846838"/>
    <w:rsid w:val="0085031B"/>
    <w:rsid w:val="00850EB0"/>
    <w:rsid w:val="00851ACB"/>
    <w:rsid w:val="00851DAB"/>
    <w:rsid w:val="00851E85"/>
    <w:rsid w:val="008520E3"/>
    <w:rsid w:val="00852193"/>
    <w:rsid w:val="00852ECC"/>
    <w:rsid w:val="00853BBA"/>
    <w:rsid w:val="00854F08"/>
    <w:rsid w:val="0085605F"/>
    <w:rsid w:val="008560F8"/>
    <w:rsid w:val="008564CC"/>
    <w:rsid w:val="00856C1C"/>
    <w:rsid w:val="00856F4C"/>
    <w:rsid w:val="008578FA"/>
    <w:rsid w:val="0086059F"/>
    <w:rsid w:val="00861582"/>
    <w:rsid w:val="00861A20"/>
    <w:rsid w:val="00862078"/>
    <w:rsid w:val="00862861"/>
    <w:rsid w:val="00862E2F"/>
    <w:rsid w:val="00863264"/>
    <w:rsid w:val="00863D8D"/>
    <w:rsid w:val="00863FC3"/>
    <w:rsid w:val="00864275"/>
    <w:rsid w:val="0086509C"/>
    <w:rsid w:val="0086555B"/>
    <w:rsid w:val="00865D55"/>
    <w:rsid w:val="0086632C"/>
    <w:rsid w:val="00866665"/>
    <w:rsid w:val="008667D8"/>
    <w:rsid w:val="008669D7"/>
    <w:rsid w:val="00867694"/>
    <w:rsid w:val="0086791C"/>
    <w:rsid w:val="008707D9"/>
    <w:rsid w:val="008709F5"/>
    <w:rsid w:val="00870A4B"/>
    <w:rsid w:val="00870FD2"/>
    <w:rsid w:val="0087135F"/>
    <w:rsid w:val="008717A9"/>
    <w:rsid w:val="0087180F"/>
    <w:rsid w:val="00872234"/>
    <w:rsid w:val="008726D7"/>
    <w:rsid w:val="00872C5B"/>
    <w:rsid w:val="00872D94"/>
    <w:rsid w:val="00873037"/>
    <w:rsid w:val="0087305E"/>
    <w:rsid w:val="00874B7F"/>
    <w:rsid w:val="00875074"/>
    <w:rsid w:val="008750DA"/>
    <w:rsid w:val="0087521B"/>
    <w:rsid w:val="0087597F"/>
    <w:rsid w:val="00875D41"/>
    <w:rsid w:val="00876A81"/>
    <w:rsid w:val="00876D7A"/>
    <w:rsid w:val="008771F5"/>
    <w:rsid w:val="00877957"/>
    <w:rsid w:val="0088010F"/>
    <w:rsid w:val="00880364"/>
    <w:rsid w:val="00881764"/>
    <w:rsid w:val="00882BCF"/>
    <w:rsid w:val="00882CE1"/>
    <w:rsid w:val="008841D2"/>
    <w:rsid w:val="008866EB"/>
    <w:rsid w:val="00886CA0"/>
    <w:rsid w:val="00886F07"/>
    <w:rsid w:val="00887575"/>
    <w:rsid w:val="008902E9"/>
    <w:rsid w:val="00891592"/>
    <w:rsid w:val="008918F5"/>
    <w:rsid w:val="00891D9D"/>
    <w:rsid w:val="00891E9E"/>
    <w:rsid w:val="00892A22"/>
    <w:rsid w:val="00894DC5"/>
    <w:rsid w:val="00895CC8"/>
    <w:rsid w:val="00895F6D"/>
    <w:rsid w:val="00896C37"/>
    <w:rsid w:val="00897830"/>
    <w:rsid w:val="008A05EE"/>
    <w:rsid w:val="008A07AF"/>
    <w:rsid w:val="008A09A8"/>
    <w:rsid w:val="008A16B7"/>
    <w:rsid w:val="008A1DF7"/>
    <w:rsid w:val="008A252C"/>
    <w:rsid w:val="008A2F68"/>
    <w:rsid w:val="008A3710"/>
    <w:rsid w:val="008A3F06"/>
    <w:rsid w:val="008A4247"/>
    <w:rsid w:val="008A47C7"/>
    <w:rsid w:val="008A4A38"/>
    <w:rsid w:val="008A4E4F"/>
    <w:rsid w:val="008A7726"/>
    <w:rsid w:val="008A7A07"/>
    <w:rsid w:val="008A7EB7"/>
    <w:rsid w:val="008B010F"/>
    <w:rsid w:val="008B0A0A"/>
    <w:rsid w:val="008B137C"/>
    <w:rsid w:val="008B3665"/>
    <w:rsid w:val="008B3C57"/>
    <w:rsid w:val="008B449E"/>
    <w:rsid w:val="008B4FA6"/>
    <w:rsid w:val="008B513C"/>
    <w:rsid w:val="008B5282"/>
    <w:rsid w:val="008B6065"/>
    <w:rsid w:val="008B7913"/>
    <w:rsid w:val="008B7B42"/>
    <w:rsid w:val="008B7C17"/>
    <w:rsid w:val="008B7F26"/>
    <w:rsid w:val="008C00A6"/>
    <w:rsid w:val="008C03A6"/>
    <w:rsid w:val="008C24E7"/>
    <w:rsid w:val="008C2776"/>
    <w:rsid w:val="008C2B94"/>
    <w:rsid w:val="008C2D01"/>
    <w:rsid w:val="008C3AE7"/>
    <w:rsid w:val="008C40E6"/>
    <w:rsid w:val="008C410D"/>
    <w:rsid w:val="008C43A1"/>
    <w:rsid w:val="008C4E78"/>
    <w:rsid w:val="008C5927"/>
    <w:rsid w:val="008C72EE"/>
    <w:rsid w:val="008C7AA8"/>
    <w:rsid w:val="008D0456"/>
    <w:rsid w:val="008D0E47"/>
    <w:rsid w:val="008D0F7A"/>
    <w:rsid w:val="008D110D"/>
    <w:rsid w:val="008D33AE"/>
    <w:rsid w:val="008D3BBE"/>
    <w:rsid w:val="008D3DAB"/>
    <w:rsid w:val="008D4043"/>
    <w:rsid w:val="008D4517"/>
    <w:rsid w:val="008D4791"/>
    <w:rsid w:val="008D4BF6"/>
    <w:rsid w:val="008D50D7"/>
    <w:rsid w:val="008D68E4"/>
    <w:rsid w:val="008D7034"/>
    <w:rsid w:val="008E01A2"/>
    <w:rsid w:val="008E03A8"/>
    <w:rsid w:val="008E0506"/>
    <w:rsid w:val="008E0AD6"/>
    <w:rsid w:val="008E0B47"/>
    <w:rsid w:val="008E0CFF"/>
    <w:rsid w:val="008E1287"/>
    <w:rsid w:val="008E1C15"/>
    <w:rsid w:val="008E2840"/>
    <w:rsid w:val="008E2FCE"/>
    <w:rsid w:val="008E30CB"/>
    <w:rsid w:val="008E3E2E"/>
    <w:rsid w:val="008E3E5F"/>
    <w:rsid w:val="008E40E2"/>
    <w:rsid w:val="008E40F7"/>
    <w:rsid w:val="008E5D6B"/>
    <w:rsid w:val="008E76F0"/>
    <w:rsid w:val="008E7898"/>
    <w:rsid w:val="008F01E0"/>
    <w:rsid w:val="008F08C2"/>
    <w:rsid w:val="008F0B5A"/>
    <w:rsid w:val="008F15FE"/>
    <w:rsid w:val="008F2AC0"/>
    <w:rsid w:val="008F2D29"/>
    <w:rsid w:val="008F507C"/>
    <w:rsid w:val="008F5187"/>
    <w:rsid w:val="008F5AFD"/>
    <w:rsid w:val="008F60D8"/>
    <w:rsid w:val="008F6890"/>
    <w:rsid w:val="009007C6"/>
    <w:rsid w:val="00901CBE"/>
    <w:rsid w:val="00902727"/>
    <w:rsid w:val="00902764"/>
    <w:rsid w:val="00902BE7"/>
    <w:rsid w:val="0090312B"/>
    <w:rsid w:val="009036B7"/>
    <w:rsid w:val="00903739"/>
    <w:rsid w:val="00903D44"/>
    <w:rsid w:val="00904C45"/>
    <w:rsid w:val="009054AB"/>
    <w:rsid w:val="00905A81"/>
    <w:rsid w:val="00907577"/>
    <w:rsid w:val="0090788B"/>
    <w:rsid w:val="00910F39"/>
    <w:rsid w:val="00911C8F"/>
    <w:rsid w:val="0091205B"/>
    <w:rsid w:val="009124B1"/>
    <w:rsid w:val="0091273B"/>
    <w:rsid w:val="00913331"/>
    <w:rsid w:val="00913933"/>
    <w:rsid w:val="00913C43"/>
    <w:rsid w:val="00913DE8"/>
    <w:rsid w:val="009158BB"/>
    <w:rsid w:val="00915A52"/>
    <w:rsid w:val="00915FA6"/>
    <w:rsid w:val="00916017"/>
    <w:rsid w:val="0091736D"/>
    <w:rsid w:val="00917BBD"/>
    <w:rsid w:val="00917F8C"/>
    <w:rsid w:val="00920E1D"/>
    <w:rsid w:val="00921C75"/>
    <w:rsid w:val="00923178"/>
    <w:rsid w:val="00923781"/>
    <w:rsid w:val="00923BFA"/>
    <w:rsid w:val="00924138"/>
    <w:rsid w:val="00924545"/>
    <w:rsid w:val="00924998"/>
    <w:rsid w:val="00924E5B"/>
    <w:rsid w:val="009260BC"/>
    <w:rsid w:val="00926377"/>
    <w:rsid w:val="00926EA4"/>
    <w:rsid w:val="0093037A"/>
    <w:rsid w:val="00930AF5"/>
    <w:rsid w:val="00930D4F"/>
    <w:rsid w:val="00930E6D"/>
    <w:rsid w:val="00931BB7"/>
    <w:rsid w:val="00932989"/>
    <w:rsid w:val="00932D23"/>
    <w:rsid w:val="0093302E"/>
    <w:rsid w:val="009334D2"/>
    <w:rsid w:val="0093383A"/>
    <w:rsid w:val="00934FB3"/>
    <w:rsid w:val="00936169"/>
    <w:rsid w:val="00936685"/>
    <w:rsid w:val="00936D47"/>
    <w:rsid w:val="00940013"/>
    <w:rsid w:val="009408AA"/>
    <w:rsid w:val="00941127"/>
    <w:rsid w:val="0094154D"/>
    <w:rsid w:val="009429FC"/>
    <w:rsid w:val="00942BE4"/>
    <w:rsid w:val="00942F43"/>
    <w:rsid w:val="00943268"/>
    <w:rsid w:val="009435D1"/>
    <w:rsid w:val="00944E46"/>
    <w:rsid w:val="0094520D"/>
    <w:rsid w:val="00945BC1"/>
    <w:rsid w:val="00945C3B"/>
    <w:rsid w:val="00946C71"/>
    <w:rsid w:val="00946F6B"/>
    <w:rsid w:val="00947BE9"/>
    <w:rsid w:val="00947EEB"/>
    <w:rsid w:val="009504A4"/>
    <w:rsid w:val="00950CC9"/>
    <w:rsid w:val="0095155F"/>
    <w:rsid w:val="00951885"/>
    <w:rsid w:val="00952432"/>
    <w:rsid w:val="00952539"/>
    <w:rsid w:val="009526C5"/>
    <w:rsid w:val="009528AA"/>
    <w:rsid w:val="009530E7"/>
    <w:rsid w:val="0095333B"/>
    <w:rsid w:val="0095367C"/>
    <w:rsid w:val="009537AF"/>
    <w:rsid w:val="00954160"/>
    <w:rsid w:val="00954429"/>
    <w:rsid w:val="009548AF"/>
    <w:rsid w:val="00955842"/>
    <w:rsid w:val="00955B8D"/>
    <w:rsid w:val="009563CE"/>
    <w:rsid w:val="0095732C"/>
    <w:rsid w:val="00957C26"/>
    <w:rsid w:val="009610D3"/>
    <w:rsid w:val="009611F5"/>
    <w:rsid w:val="00961E58"/>
    <w:rsid w:val="00962955"/>
    <w:rsid w:val="00962CAC"/>
    <w:rsid w:val="00964AAA"/>
    <w:rsid w:val="00964C23"/>
    <w:rsid w:val="00965142"/>
    <w:rsid w:val="0096587C"/>
    <w:rsid w:val="0096650F"/>
    <w:rsid w:val="00966805"/>
    <w:rsid w:val="00967FF5"/>
    <w:rsid w:val="00970FBA"/>
    <w:rsid w:val="0097233B"/>
    <w:rsid w:val="00972E7B"/>
    <w:rsid w:val="00972FC1"/>
    <w:rsid w:val="009735A6"/>
    <w:rsid w:val="00973977"/>
    <w:rsid w:val="00973CE5"/>
    <w:rsid w:val="009742C3"/>
    <w:rsid w:val="009743AB"/>
    <w:rsid w:val="0097481E"/>
    <w:rsid w:val="00976112"/>
    <w:rsid w:val="00976328"/>
    <w:rsid w:val="0097680D"/>
    <w:rsid w:val="009769E0"/>
    <w:rsid w:val="0097725E"/>
    <w:rsid w:val="0098038F"/>
    <w:rsid w:val="00980A14"/>
    <w:rsid w:val="00981439"/>
    <w:rsid w:val="009814AC"/>
    <w:rsid w:val="00981A79"/>
    <w:rsid w:val="00982438"/>
    <w:rsid w:val="00982FF2"/>
    <w:rsid w:val="009837B6"/>
    <w:rsid w:val="00983FE3"/>
    <w:rsid w:val="0098404C"/>
    <w:rsid w:val="009843A7"/>
    <w:rsid w:val="00984B37"/>
    <w:rsid w:val="00985072"/>
    <w:rsid w:val="00985283"/>
    <w:rsid w:val="00985F33"/>
    <w:rsid w:val="009868FA"/>
    <w:rsid w:val="00986AA7"/>
    <w:rsid w:val="009912ED"/>
    <w:rsid w:val="00991DC9"/>
    <w:rsid w:val="009930D0"/>
    <w:rsid w:val="009933CB"/>
    <w:rsid w:val="00993766"/>
    <w:rsid w:val="009937FA"/>
    <w:rsid w:val="00993EE4"/>
    <w:rsid w:val="00994411"/>
    <w:rsid w:val="00995992"/>
    <w:rsid w:val="009965DA"/>
    <w:rsid w:val="00996704"/>
    <w:rsid w:val="0099745E"/>
    <w:rsid w:val="009A03E5"/>
    <w:rsid w:val="009A0F3B"/>
    <w:rsid w:val="009A1BB4"/>
    <w:rsid w:val="009A2158"/>
    <w:rsid w:val="009A21D8"/>
    <w:rsid w:val="009A2628"/>
    <w:rsid w:val="009A26CB"/>
    <w:rsid w:val="009A3200"/>
    <w:rsid w:val="009A4688"/>
    <w:rsid w:val="009A710C"/>
    <w:rsid w:val="009A726B"/>
    <w:rsid w:val="009A76DC"/>
    <w:rsid w:val="009A7B49"/>
    <w:rsid w:val="009B0897"/>
    <w:rsid w:val="009B1451"/>
    <w:rsid w:val="009B1C19"/>
    <w:rsid w:val="009B1F33"/>
    <w:rsid w:val="009B2671"/>
    <w:rsid w:val="009B29ED"/>
    <w:rsid w:val="009B2A52"/>
    <w:rsid w:val="009B37D4"/>
    <w:rsid w:val="009B4986"/>
    <w:rsid w:val="009B7ADC"/>
    <w:rsid w:val="009B7BD9"/>
    <w:rsid w:val="009C08A5"/>
    <w:rsid w:val="009C091E"/>
    <w:rsid w:val="009C0936"/>
    <w:rsid w:val="009C11A2"/>
    <w:rsid w:val="009C1418"/>
    <w:rsid w:val="009C1903"/>
    <w:rsid w:val="009C2780"/>
    <w:rsid w:val="009C2FB9"/>
    <w:rsid w:val="009C313C"/>
    <w:rsid w:val="009C3599"/>
    <w:rsid w:val="009C437E"/>
    <w:rsid w:val="009C4550"/>
    <w:rsid w:val="009C4D37"/>
    <w:rsid w:val="009C5ADC"/>
    <w:rsid w:val="009C7DD5"/>
    <w:rsid w:val="009D07AE"/>
    <w:rsid w:val="009D144C"/>
    <w:rsid w:val="009D18CB"/>
    <w:rsid w:val="009D1954"/>
    <w:rsid w:val="009D2D8C"/>
    <w:rsid w:val="009D44E0"/>
    <w:rsid w:val="009D552A"/>
    <w:rsid w:val="009D5B64"/>
    <w:rsid w:val="009D5E8F"/>
    <w:rsid w:val="009D60C8"/>
    <w:rsid w:val="009D63A4"/>
    <w:rsid w:val="009D6432"/>
    <w:rsid w:val="009D6EBC"/>
    <w:rsid w:val="009D72E7"/>
    <w:rsid w:val="009E0102"/>
    <w:rsid w:val="009E1748"/>
    <w:rsid w:val="009E1D56"/>
    <w:rsid w:val="009E1D8E"/>
    <w:rsid w:val="009E205A"/>
    <w:rsid w:val="009E227D"/>
    <w:rsid w:val="009E2775"/>
    <w:rsid w:val="009E2785"/>
    <w:rsid w:val="009E2A3F"/>
    <w:rsid w:val="009E35D5"/>
    <w:rsid w:val="009E3B08"/>
    <w:rsid w:val="009E40BE"/>
    <w:rsid w:val="009E4C29"/>
    <w:rsid w:val="009E5019"/>
    <w:rsid w:val="009E5644"/>
    <w:rsid w:val="009E59C2"/>
    <w:rsid w:val="009E6230"/>
    <w:rsid w:val="009E650C"/>
    <w:rsid w:val="009E6B02"/>
    <w:rsid w:val="009E6CD5"/>
    <w:rsid w:val="009E6CF8"/>
    <w:rsid w:val="009E7E2F"/>
    <w:rsid w:val="009F0ABF"/>
    <w:rsid w:val="009F143A"/>
    <w:rsid w:val="009F1814"/>
    <w:rsid w:val="009F2049"/>
    <w:rsid w:val="009F2333"/>
    <w:rsid w:val="009F2B85"/>
    <w:rsid w:val="009F3742"/>
    <w:rsid w:val="009F46C0"/>
    <w:rsid w:val="009F471D"/>
    <w:rsid w:val="009F4ADC"/>
    <w:rsid w:val="009F5847"/>
    <w:rsid w:val="009F6A53"/>
    <w:rsid w:val="009F7255"/>
    <w:rsid w:val="009F778B"/>
    <w:rsid w:val="009F7865"/>
    <w:rsid w:val="009F7A7A"/>
    <w:rsid w:val="009F7CBC"/>
    <w:rsid w:val="00A00814"/>
    <w:rsid w:val="00A0152A"/>
    <w:rsid w:val="00A02CF6"/>
    <w:rsid w:val="00A03105"/>
    <w:rsid w:val="00A038F9"/>
    <w:rsid w:val="00A03976"/>
    <w:rsid w:val="00A042BE"/>
    <w:rsid w:val="00A04620"/>
    <w:rsid w:val="00A04AC0"/>
    <w:rsid w:val="00A04F1B"/>
    <w:rsid w:val="00A0501B"/>
    <w:rsid w:val="00A05787"/>
    <w:rsid w:val="00A05BA0"/>
    <w:rsid w:val="00A06BDC"/>
    <w:rsid w:val="00A07631"/>
    <w:rsid w:val="00A0794C"/>
    <w:rsid w:val="00A1010B"/>
    <w:rsid w:val="00A1140C"/>
    <w:rsid w:val="00A12071"/>
    <w:rsid w:val="00A12521"/>
    <w:rsid w:val="00A12DED"/>
    <w:rsid w:val="00A13489"/>
    <w:rsid w:val="00A13675"/>
    <w:rsid w:val="00A13686"/>
    <w:rsid w:val="00A14775"/>
    <w:rsid w:val="00A14947"/>
    <w:rsid w:val="00A14D87"/>
    <w:rsid w:val="00A15187"/>
    <w:rsid w:val="00A15B56"/>
    <w:rsid w:val="00A15CD3"/>
    <w:rsid w:val="00A16170"/>
    <w:rsid w:val="00A168BB"/>
    <w:rsid w:val="00A16EAC"/>
    <w:rsid w:val="00A171AD"/>
    <w:rsid w:val="00A17236"/>
    <w:rsid w:val="00A17A6F"/>
    <w:rsid w:val="00A17AA7"/>
    <w:rsid w:val="00A17FE0"/>
    <w:rsid w:val="00A21BCB"/>
    <w:rsid w:val="00A22229"/>
    <w:rsid w:val="00A225A6"/>
    <w:rsid w:val="00A22B13"/>
    <w:rsid w:val="00A23663"/>
    <w:rsid w:val="00A24774"/>
    <w:rsid w:val="00A24FA6"/>
    <w:rsid w:val="00A252F3"/>
    <w:rsid w:val="00A25DDC"/>
    <w:rsid w:val="00A266AA"/>
    <w:rsid w:val="00A26DC7"/>
    <w:rsid w:val="00A270A8"/>
    <w:rsid w:val="00A274D6"/>
    <w:rsid w:val="00A279B4"/>
    <w:rsid w:val="00A30A76"/>
    <w:rsid w:val="00A31292"/>
    <w:rsid w:val="00A31AD4"/>
    <w:rsid w:val="00A31D04"/>
    <w:rsid w:val="00A32A83"/>
    <w:rsid w:val="00A32CDD"/>
    <w:rsid w:val="00A332C3"/>
    <w:rsid w:val="00A3341F"/>
    <w:rsid w:val="00A33487"/>
    <w:rsid w:val="00A3417B"/>
    <w:rsid w:val="00A35444"/>
    <w:rsid w:val="00A35686"/>
    <w:rsid w:val="00A3572D"/>
    <w:rsid w:val="00A357FD"/>
    <w:rsid w:val="00A35ED9"/>
    <w:rsid w:val="00A368DB"/>
    <w:rsid w:val="00A36CD5"/>
    <w:rsid w:val="00A37A04"/>
    <w:rsid w:val="00A37EC4"/>
    <w:rsid w:val="00A403F5"/>
    <w:rsid w:val="00A4042B"/>
    <w:rsid w:val="00A413F6"/>
    <w:rsid w:val="00A419F3"/>
    <w:rsid w:val="00A41A02"/>
    <w:rsid w:val="00A423AA"/>
    <w:rsid w:val="00A434FF"/>
    <w:rsid w:val="00A43A39"/>
    <w:rsid w:val="00A44AA8"/>
    <w:rsid w:val="00A45A35"/>
    <w:rsid w:val="00A46BFE"/>
    <w:rsid w:val="00A46CD3"/>
    <w:rsid w:val="00A50648"/>
    <w:rsid w:val="00A50C48"/>
    <w:rsid w:val="00A51D81"/>
    <w:rsid w:val="00A52B27"/>
    <w:rsid w:val="00A52EE2"/>
    <w:rsid w:val="00A5322E"/>
    <w:rsid w:val="00A53588"/>
    <w:rsid w:val="00A53720"/>
    <w:rsid w:val="00A53EC6"/>
    <w:rsid w:val="00A54030"/>
    <w:rsid w:val="00A551E2"/>
    <w:rsid w:val="00A5597E"/>
    <w:rsid w:val="00A55A15"/>
    <w:rsid w:val="00A55C0F"/>
    <w:rsid w:val="00A55D80"/>
    <w:rsid w:val="00A56011"/>
    <w:rsid w:val="00A567F0"/>
    <w:rsid w:val="00A573D9"/>
    <w:rsid w:val="00A5780F"/>
    <w:rsid w:val="00A57B1B"/>
    <w:rsid w:val="00A6146C"/>
    <w:rsid w:val="00A61BCD"/>
    <w:rsid w:val="00A63638"/>
    <w:rsid w:val="00A63C1A"/>
    <w:rsid w:val="00A6502A"/>
    <w:rsid w:val="00A6560A"/>
    <w:rsid w:val="00A65AE6"/>
    <w:rsid w:val="00A6676E"/>
    <w:rsid w:val="00A679A4"/>
    <w:rsid w:val="00A709DB"/>
    <w:rsid w:val="00A71072"/>
    <w:rsid w:val="00A710E5"/>
    <w:rsid w:val="00A7179B"/>
    <w:rsid w:val="00A71911"/>
    <w:rsid w:val="00A71A6A"/>
    <w:rsid w:val="00A72123"/>
    <w:rsid w:val="00A72936"/>
    <w:rsid w:val="00A73156"/>
    <w:rsid w:val="00A74051"/>
    <w:rsid w:val="00A740EC"/>
    <w:rsid w:val="00A75230"/>
    <w:rsid w:val="00A75E25"/>
    <w:rsid w:val="00A77D38"/>
    <w:rsid w:val="00A8093C"/>
    <w:rsid w:val="00A80A8D"/>
    <w:rsid w:val="00A8120E"/>
    <w:rsid w:val="00A844C0"/>
    <w:rsid w:val="00A84729"/>
    <w:rsid w:val="00A85C50"/>
    <w:rsid w:val="00A85F3F"/>
    <w:rsid w:val="00A86A99"/>
    <w:rsid w:val="00A87048"/>
    <w:rsid w:val="00A8705D"/>
    <w:rsid w:val="00A8713F"/>
    <w:rsid w:val="00A87ED6"/>
    <w:rsid w:val="00A87FB2"/>
    <w:rsid w:val="00A906B0"/>
    <w:rsid w:val="00A90BA1"/>
    <w:rsid w:val="00A90E4A"/>
    <w:rsid w:val="00A92B7B"/>
    <w:rsid w:val="00A92D51"/>
    <w:rsid w:val="00A92DB8"/>
    <w:rsid w:val="00A92E35"/>
    <w:rsid w:val="00A93770"/>
    <w:rsid w:val="00A93AFF"/>
    <w:rsid w:val="00A94125"/>
    <w:rsid w:val="00A94A8F"/>
    <w:rsid w:val="00A95A8A"/>
    <w:rsid w:val="00A9676E"/>
    <w:rsid w:val="00A970DE"/>
    <w:rsid w:val="00A97A9A"/>
    <w:rsid w:val="00AA002A"/>
    <w:rsid w:val="00AA0671"/>
    <w:rsid w:val="00AA07BE"/>
    <w:rsid w:val="00AA0B75"/>
    <w:rsid w:val="00AA0CFF"/>
    <w:rsid w:val="00AA11E7"/>
    <w:rsid w:val="00AA149A"/>
    <w:rsid w:val="00AA14B3"/>
    <w:rsid w:val="00AA1ECF"/>
    <w:rsid w:val="00AA221C"/>
    <w:rsid w:val="00AA2439"/>
    <w:rsid w:val="00AA2531"/>
    <w:rsid w:val="00AA27C5"/>
    <w:rsid w:val="00AA3026"/>
    <w:rsid w:val="00AA315D"/>
    <w:rsid w:val="00AA3F3B"/>
    <w:rsid w:val="00AA5524"/>
    <w:rsid w:val="00AA5E51"/>
    <w:rsid w:val="00AA5EDF"/>
    <w:rsid w:val="00AA75D5"/>
    <w:rsid w:val="00AA7942"/>
    <w:rsid w:val="00AA7CF1"/>
    <w:rsid w:val="00AB05F4"/>
    <w:rsid w:val="00AB1060"/>
    <w:rsid w:val="00AB1E09"/>
    <w:rsid w:val="00AB206D"/>
    <w:rsid w:val="00AB358C"/>
    <w:rsid w:val="00AB428C"/>
    <w:rsid w:val="00AB4428"/>
    <w:rsid w:val="00AB4BCF"/>
    <w:rsid w:val="00AB4CFA"/>
    <w:rsid w:val="00AB5330"/>
    <w:rsid w:val="00AB53B4"/>
    <w:rsid w:val="00AB5B20"/>
    <w:rsid w:val="00AB6C9D"/>
    <w:rsid w:val="00AB6FFA"/>
    <w:rsid w:val="00AB7747"/>
    <w:rsid w:val="00AC00A4"/>
    <w:rsid w:val="00AC04BE"/>
    <w:rsid w:val="00AC0B31"/>
    <w:rsid w:val="00AC11E4"/>
    <w:rsid w:val="00AC14CE"/>
    <w:rsid w:val="00AC22E7"/>
    <w:rsid w:val="00AC2A56"/>
    <w:rsid w:val="00AC2B1D"/>
    <w:rsid w:val="00AC3939"/>
    <w:rsid w:val="00AC488B"/>
    <w:rsid w:val="00AC510A"/>
    <w:rsid w:val="00AC7256"/>
    <w:rsid w:val="00AD02F1"/>
    <w:rsid w:val="00AD055E"/>
    <w:rsid w:val="00AD05E4"/>
    <w:rsid w:val="00AD06BB"/>
    <w:rsid w:val="00AD0FE8"/>
    <w:rsid w:val="00AD1E3F"/>
    <w:rsid w:val="00AD1EC2"/>
    <w:rsid w:val="00AD2915"/>
    <w:rsid w:val="00AD2A5A"/>
    <w:rsid w:val="00AD33A7"/>
    <w:rsid w:val="00AD33D2"/>
    <w:rsid w:val="00AD3B3E"/>
    <w:rsid w:val="00AD41AC"/>
    <w:rsid w:val="00AD45B3"/>
    <w:rsid w:val="00AD47A7"/>
    <w:rsid w:val="00AD4ABB"/>
    <w:rsid w:val="00AD4F1A"/>
    <w:rsid w:val="00AD523B"/>
    <w:rsid w:val="00AD528E"/>
    <w:rsid w:val="00AD6502"/>
    <w:rsid w:val="00AD6B3C"/>
    <w:rsid w:val="00AD7F47"/>
    <w:rsid w:val="00AE0343"/>
    <w:rsid w:val="00AE12B4"/>
    <w:rsid w:val="00AE16EA"/>
    <w:rsid w:val="00AE2707"/>
    <w:rsid w:val="00AE2FDD"/>
    <w:rsid w:val="00AE4AD8"/>
    <w:rsid w:val="00AE53E0"/>
    <w:rsid w:val="00AE5A4E"/>
    <w:rsid w:val="00AE65A3"/>
    <w:rsid w:val="00AE6ACC"/>
    <w:rsid w:val="00AF0159"/>
    <w:rsid w:val="00AF0585"/>
    <w:rsid w:val="00AF0749"/>
    <w:rsid w:val="00AF0CBF"/>
    <w:rsid w:val="00AF1158"/>
    <w:rsid w:val="00AF1559"/>
    <w:rsid w:val="00AF1B4A"/>
    <w:rsid w:val="00AF257F"/>
    <w:rsid w:val="00AF3010"/>
    <w:rsid w:val="00AF33CF"/>
    <w:rsid w:val="00AF39DA"/>
    <w:rsid w:val="00AF43F5"/>
    <w:rsid w:val="00AF442C"/>
    <w:rsid w:val="00AF462B"/>
    <w:rsid w:val="00AF4D50"/>
    <w:rsid w:val="00AF4E01"/>
    <w:rsid w:val="00AF5CB6"/>
    <w:rsid w:val="00AF6179"/>
    <w:rsid w:val="00AF6700"/>
    <w:rsid w:val="00AF67A7"/>
    <w:rsid w:val="00AF6C58"/>
    <w:rsid w:val="00AF74D5"/>
    <w:rsid w:val="00AF7D78"/>
    <w:rsid w:val="00AF7E66"/>
    <w:rsid w:val="00AF7EB7"/>
    <w:rsid w:val="00B01E19"/>
    <w:rsid w:val="00B01F33"/>
    <w:rsid w:val="00B02A22"/>
    <w:rsid w:val="00B02AC2"/>
    <w:rsid w:val="00B03BDF"/>
    <w:rsid w:val="00B03D69"/>
    <w:rsid w:val="00B047B0"/>
    <w:rsid w:val="00B047F3"/>
    <w:rsid w:val="00B04F28"/>
    <w:rsid w:val="00B05AE6"/>
    <w:rsid w:val="00B063E0"/>
    <w:rsid w:val="00B06540"/>
    <w:rsid w:val="00B07085"/>
    <w:rsid w:val="00B073C5"/>
    <w:rsid w:val="00B10B23"/>
    <w:rsid w:val="00B12903"/>
    <w:rsid w:val="00B1295A"/>
    <w:rsid w:val="00B12F2D"/>
    <w:rsid w:val="00B13F2A"/>
    <w:rsid w:val="00B1420B"/>
    <w:rsid w:val="00B15924"/>
    <w:rsid w:val="00B15A98"/>
    <w:rsid w:val="00B15CB9"/>
    <w:rsid w:val="00B15E9A"/>
    <w:rsid w:val="00B168F2"/>
    <w:rsid w:val="00B17354"/>
    <w:rsid w:val="00B17D5F"/>
    <w:rsid w:val="00B20A45"/>
    <w:rsid w:val="00B20CF6"/>
    <w:rsid w:val="00B20D4B"/>
    <w:rsid w:val="00B2102D"/>
    <w:rsid w:val="00B21FBC"/>
    <w:rsid w:val="00B22BB1"/>
    <w:rsid w:val="00B22C5C"/>
    <w:rsid w:val="00B230C8"/>
    <w:rsid w:val="00B2314E"/>
    <w:rsid w:val="00B234A5"/>
    <w:rsid w:val="00B23682"/>
    <w:rsid w:val="00B24F30"/>
    <w:rsid w:val="00B261A0"/>
    <w:rsid w:val="00B2648E"/>
    <w:rsid w:val="00B30E4D"/>
    <w:rsid w:val="00B30FB2"/>
    <w:rsid w:val="00B3102E"/>
    <w:rsid w:val="00B31068"/>
    <w:rsid w:val="00B313D7"/>
    <w:rsid w:val="00B31ABF"/>
    <w:rsid w:val="00B32026"/>
    <w:rsid w:val="00B325C0"/>
    <w:rsid w:val="00B33114"/>
    <w:rsid w:val="00B33970"/>
    <w:rsid w:val="00B33A86"/>
    <w:rsid w:val="00B33BE3"/>
    <w:rsid w:val="00B33FAA"/>
    <w:rsid w:val="00B342A4"/>
    <w:rsid w:val="00B346A6"/>
    <w:rsid w:val="00B35F65"/>
    <w:rsid w:val="00B373C7"/>
    <w:rsid w:val="00B37A39"/>
    <w:rsid w:val="00B40E0D"/>
    <w:rsid w:val="00B410FF"/>
    <w:rsid w:val="00B41600"/>
    <w:rsid w:val="00B41786"/>
    <w:rsid w:val="00B41D5D"/>
    <w:rsid w:val="00B4234C"/>
    <w:rsid w:val="00B4271A"/>
    <w:rsid w:val="00B431B0"/>
    <w:rsid w:val="00B4355C"/>
    <w:rsid w:val="00B43B56"/>
    <w:rsid w:val="00B43CF8"/>
    <w:rsid w:val="00B43D4B"/>
    <w:rsid w:val="00B44331"/>
    <w:rsid w:val="00B44518"/>
    <w:rsid w:val="00B44FBF"/>
    <w:rsid w:val="00B45059"/>
    <w:rsid w:val="00B45ED1"/>
    <w:rsid w:val="00B462F4"/>
    <w:rsid w:val="00B46A05"/>
    <w:rsid w:val="00B46FDF"/>
    <w:rsid w:val="00B51AF0"/>
    <w:rsid w:val="00B51F6B"/>
    <w:rsid w:val="00B53B5D"/>
    <w:rsid w:val="00B53DCA"/>
    <w:rsid w:val="00B5419F"/>
    <w:rsid w:val="00B546AB"/>
    <w:rsid w:val="00B57088"/>
    <w:rsid w:val="00B577DD"/>
    <w:rsid w:val="00B6055E"/>
    <w:rsid w:val="00B60F7B"/>
    <w:rsid w:val="00B62980"/>
    <w:rsid w:val="00B6317D"/>
    <w:rsid w:val="00B6372E"/>
    <w:rsid w:val="00B640DD"/>
    <w:rsid w:val="00B64701"/>
    <w:rsid w:val="00B650E3"/>
    <w:rsid w:val="00B6541D"/>
    <w:rsid w:val="00B66979"/>
    <w:rsid w:val="00B669EA"/>
    <w:rsid w:val="00B66AA5"/>
    <w:rsid w:val="00B67DF2"/>
    <w:rsid w:val="00B70304"/>
    <w:rsid w:val="00B704A7"/>
    <w:rsid w:val="00B727F9"/>
    <w:rsid w:val="00B73147"/>
    <w:rsid w:val="00B73C42"/>
    <w:rsid w:val="00B7405B"/>
    <w:rsid w:val="00B74179"/>
    <w:rsid w:val="00B746C7"/>
    <w:rsid w:val="00B74DE4"/>
    <w:rsid w:val="00B76730"/>
    <w:rsid w:val="00B76F9E"/>
    <w:rsid w:val="00B7723F"/>
    <w:rsid w:val="00B773CF"/>
    <w:rsid w:val="00B77425"/>
    <w:rsid w:val="00B77A59"/>
    <w:rsid w:val="00B77CAE"/>
    <w:rsid w:val="00B80534"/>
    <w:rsid w:val="00B805B6"/>
    <w:rsid w:val="00B80940"/>
    <w:rsid w:val="00B81505"/>
    <w:rsid w:val="00B818D2"/>
    <w:rsid w:val="00B8244D"/>
    <w:rsid w:val="00B826CA"/>
    <w:rsid w:val="00B82FDB"/>
    <w:rsid w:val="00B840F8"/>
    <w:rsid w:val="00B8433C"/>
    <w:rsid w:val="00B843BB"/>
    <w:rsid w:val="00B847A8"/>
    <w:rsid w:val="00B851B0"/>
    <w:rsid w:val="00B872EB"/>
    <w:rsid w:val="00B87491"/>
    <w:rsid w:val="00B90B33"/>
    <w:rsid w:val="00B92D4A"/>
    <w:rsid w:val="00B939B1"/>
    <w:rsid w:val="00B94BF3"/>
    <w:rsid w:val="00B95163"/>
    <w:rsid w:val="00B959C5"/>
    <w:rsid w:val="00BA08AE"/>
    <w:rsid w:val="00BA1160"/>
    <w:rsid w:val="00BA2033"/>
    <w:rsid w:val="00BA260E"/>
    <w:rsid w:val="00BA29E9"/>
    <w:rsid w:val="00BA32D3"/>
    <w:rsid w:val="00BA467A"/>
    <w:rsid w:val="00BA6755"/>
    <w:rsid w:val="00BA68B7"/>
    <w:rsid w:val="00BA6C2D"/>
    <w:rsid w:val="00BA6D68"/>
    <w:rsid w:val="00BA7142"/>
    <w:rsid w:val="00BA7866"/>
    <w:rsid w:val="00BA792D"/>
    <w:rsid w:val="00BB05CF"/>
    <w:rsid w:val="00BB0B40"/>
    <w:rsid w:val="00BB237C"/>
    <w:rsid w:val="00BB26F9"/>
    <w:rsid w:val="00BB331D"/>
    <w:rsid w:val="00BB342F"/>
    <w:rsid w:val="00BB41A3"/>
    <w:rsid w:val="00BB4958"/>
    <w:rsid w:val="00BB5E7C"/>
    <w:rsid w:val="00BB60D5"/>
    <w:rsid w:val="00BB727C"/>
    <w:rsid w:val="00BB743C"/>
    <w:rsid w:val="00BB7656"/>
    <w:rsid w:val="00BB7A89"/>
    <w:rsid w:val="00BB7DEB"/>
    <w:rsid w:val="00BC045C"/>
    <w:rsid w:val="00BC091C"/>
    <w:rsid w:val="00BC32DC"/>
    <w:rsid w:val="00BC34EC"/>
    <w:rsid w:val="00BC35B6"/>
    <w:rsid w:val="00BC4710"/>
    <w:rsid w:val="00BC4BC7"/>
    <w:rsid w:val="00BC503B"/>
    <w:rsid w:val="00BC56ED"/>
    <w:rsid w:val="00BC59D7"/>
    <w:rsid w:val="00BC5B02"/>
    <w:rsid w:val="00BC62A5"/>
    <w:rsid w:val="00BC6370"/>
    <w:rsid w:val="00BD005F"/>
    <w:rsid w:val="00BD034F"/>
    <w:rsid w:val="00BD03A0"/>
    <w:rsid w:val="00BD0FF4"/>
    <w:rsid w:val="00BD13CE"/>
    <w:rsid w:val="00BD1620"/>
    <w:rsid w:val="00BD1782"/>
    <w:rsid w:val="00BD1AFF"/>
    <w:rsid w:val="00BD1B51"/>
    <w:rsid w:val="00BD1FBD"/>
    <w:rsid w:val="00BD230D"/>
    <w:rsid w:val="00BD3445"/>
    <w:rsid w:val="00BD4131"/>
    <w:rsid w:val="00BD4596"/>
    <w:rsid w:val="00BD4DE7"/>
    <w:rsid w:val="00BD56E1"/>
    <w:rsid w:val="00BD57B2"/>
    <w:rsid w:val="00BD5D60"/>
    <w:rsid w:val="00BD6027"/>
    <w:rsid w:val="00BD67E1"/>
    <w:rsid w:val="00BD6B6F"/>
    <w:rsid w:val="00BD7102"/>
    <w:rsid w:val="00BD784A"/>
    <w:rsid w:val="00BE036F"/>
    <w:rsid w:val="00BE09F5"/>
    <w:rsid w:val="00BE0D4C"/>
    <w:rsid w:val="00BE1405"/>
    <w:rsid w:val="00BE18AF"/>
    <w:rsid w:val="00BE2D9B"/>
    <w:rsid w:val="00BE312D"/>
    <w:rsid w:val="00BE4A55"/>
    <w:rsid w:val="00BE5131"/>
    <w:rsid w:val="00BE5F10"/>
    <w:rsid w:val="00BE6B73"/>
    <w:rsid w:val="00BE7172"/>
    <w:rsid w:val="00BE7340"/>
    <w:rsid w:val="00BE7C2D"/>
    <w:rsid w:val="00BE7FEC"/>
    <w:rsid w:val="00BF0DAF"/>
    <w:rsid w:val="00BF0F6F"/>
    <w:rsid w:val="00BF1C20"/>
    <w:rsid w:val="00BF2DC4"/>
    <w:rsid w:val="00BF5898"/>
    <w:rsid w:val="00BF5CDA"/>
    <w:rsid w:val="00BF6B91"/>
    <w:rsid w:val="00BF6FBE"/>
    <w:rsid w:val="00BF7EA5"/>
    <w:rsid w:val="00C00E39"/>
    <w:rsid w:val="00C02111"/>
    <w:rsid w:val="00C0267E"/>
    <w:rsid w:val="00C03171"/>
    <w:rsid w:val="00C06C55"/>
    <w:rsid w:val="00C071B2"/>
    <w:rsid w:val="00C07D97"/>
    <w:rsid w:val="00C10578"/>
    <w:rsid w:val="00C10B39"/>
    <w:rsid w:val="00C11071"/>
    <w:rsid w:val="00C110AE"/>
    <w:rsid w:val="00C11641"/>
    <w:rsid w:val="00C116A0"/>
    <w:rsid w:val="00C118D2"/>
    <w:rsid w:val="00C12DF3"/>
    <w:rsid w:val="00C13084"/>
    <w:rsid w:val="00C135BC"/>
    <w:rsid w:val="00C13FCF"/>
    <w:rsid w:val="00C1447B"/>
    <w:rsid w:val="00C146EF"/>
    <w:rsid w:val="00C14BCB"/>
    <w:rsid w:val="00C15331"/>
    <w:rsid w:val="00C15675"/>
    <w:rsid w:val="00C1591E"/>
    <w:rsid w:val="00C15C7D"/>
    <w:rsid w:val="00C15C95"/>
    <w:rsid w:val="00C15E12"/>
    <w:rsid w:val="00C16BEF"/>
    <w:rsid w:val="00C16DFB"/>
    <w:rsid w:val="00C16FF8"/>
    <w:rsid w:val="00C17D34"/>
    <w:rsid w:val="00C200AA"/>
    <w:rsid w:val="00C2028B"/>
    <w:rsid w:val="00C21904"/>
    <w:rsid w:val="00C21FCA"/>
    <w:rsid w:val="00C224FA"/>
    <w:rsid w:val="00C225E7"/>
    <w:rsid w:val="00C2270D"/>
    <w:rsid w:val="00C232DB"/>
    <w:rsid w:val="00C23C0A"/>
    <w:rsid w:val="00C24004"/>
    <w:rsid w:val="00C24903"/>
    <w:rsid w:val="00C2596A"/>
    <w:rsid w:val="00C273C8"/>
    <w:rsid w:val="00C27537"/>
    <w:rsid w:val="00C27B2D"/>
    <w:rsid w:val="00C27C3F"/>
    <w:rsid w:val="00C30D15"/>
    <w:rsid w:val="00C328FE"/>
    <w:rsid w:val="00C32A5A"/>
    <w:rsid w:val="00C32CCD"/>
    <w:rsid w:val="00C33507"/>
    <w:rsid w:val="00C33E30"/>
    <w:rsid w:val="00C343B0"/>
    <w:rsid w:val="00C3468B"/>
    <w:rsid w:val="00C34DAD"/>
    <w:rsid w:val="00C35F77"/>
    <w:rsid w:val="00C36097"/>
    <w:rsid w:val="00C40293"/>
    <w:rsid w:val="00C4065C"/>
    <w:rsid w:val="00C41C82"/>
    <w:rsid w:val="00C4312E"/>
    <w:rsid w:val="00C432A9"/>
    <w:rsid w:val="00C43A10"/>
    <w:rsid w:val="00C43DD6"/>
    <w:rsid w:val="00C4409D"/>
    <w:rsid w:val="00C4486A"/>
    <w:rsid w:val="00C44E72"/>
    <w:rsid w:val="00C45416"/>
    <w:rsid w:val="00C45A06"/>
    <w:rsid w:val="00C46EA6"/>
    <w:rsid w:val="00C47833"/>
    <w:rsid w:val="00C47CA7"/>
    <w:rsid w:val="00C47E5B"/>
    <w:rsid w:val="00C50857"/>
    <w:rsid w:val="00C50B4D"/>
    <w:rsid w:val="00C51095"/>
    <w:rsid w:val="00C514D7"/>
    <w:rsid w:val="00C51A62"/>
    <w:rsid w:val="00C5244D"/>
    <w:rsid w:val="00C526C5"/>
    <w:rsid w:val="00C527DA"/>
    <w:rsid w:val="00C52C78"/>
    <w:rsid w:val="00C5384F"/>
    <w:rsid w:val="00C53DA8"/>
    <w:rsid w:val="00C54A06"/>
    <w:rsid w:val="00C55102"/>
    <w:rsid w:val="00C558F0"/>
    <w:rsid w:val="00C55A3D"/>
    <w:rsid w:val="00C55FF5"/>
    <w:rsid w:val="00C5612C"/>
    <w:rsid w:val="00C57220"/>
    <w:rsid w:val="00C57BC8"/>
    <w:rsid w:val="00C57FF3"/>
    <w:rsid w:val="00C60807"/>
    <w:rsid w:val="00C61A95"/>
    <w:rsid w:val="00C61E4B"/>
    <w:rsid w:val="00C6264C"/>
    <w:rsid w:val="00C643ED"/>
    <w:rsid w:val="00C64A4F"/>
    <w:rsid w:val="00C64AEF"/>
    <w:rsid w:val="00C64BFF"/>
    <w:rsid w:val="00C662BC"/>
    <w:rsid w:val="00C669D1"/>
    <w:rsid w:val="00C67409"/>
    <w:rsid w:val="00C67F8E"/>
    <w:rsid w:val="00C704E9"/>
    <w:rsid w:val="00C71ECA"/>
    <w:rsid w:val="00C71F5D"/>
    <w:rsid w:val="00C72D9C"/>
    <w:rsid w:val="00C748B8"/>
    <w:rsid w:val="00C74EE2"/>
    <w:rsid w:val="00C75772"/>
    <w:rsid w:val="00C763C9"/>
    <w:rsid w:val="00C76418"/>
    <w:rsid w:val="00C76F92"/>
    <w:rsid w:val="00C771D7"/>
    <w:rsid w:val="00C77384"/>
    <w:rsid w:val="00C80057"/>
    <w:rsid w:val="00C801B6"/>
    <w:rsid w:val="00C8067B"/>
    <w:rsid w:val="00C80859"/>
    <w:rsid w:val="00C8148D"/>
    <w:rsid w:val="00C814AE"/>
    <w:rsid w:val="00C8195D"/>
    <w:rsid w:val="00C8209D"/>
    <w:rsid w:val="00C82232"/>
    <w:rsid w:val="00C82913"/>
    <w:rsid w:val="00C8366C"/>
    <w:rsid w:val="00C84CE7"/>
    <w:rsid w:val="00C86AD0"/>
    <w:rsid w:val="00C872F0"/>
    <w:rsid w:val="00C87358"/>
    <w:rsid w:val="00C876BA"/>
    <w:rsid w:val="00C87B3C"/>
    <w:rsid w:val="00C87FD8"/>
    <w:rsid w:val="00C902C9"/>
    <w:rsid w:val="00C913E3"/>
    <w:rsid w:val="00C91D67"/>
    <w:rsid w:val="00C92852"/>
    <w:rsid w:val="00C936C0"/>
    <w:rsid w:val="00C94B50"/>
    <w:rsid w:val="00C950DF"/>
    <w:rsid w:val="00C96F6C"/>
    <w:rsid w:val="00C972B1"/>
    <w:rsid w:val="00C9731C"/>
    <w:rsid w:val="00CA22D3"/>
    <w:rsid w:val="00CA2CCE"/>
    <w:rsid w:val="00CA3343"/>
    <w:rsid w:val="00CA43FD"/>
    <w:rsid w:val="00CA4721"/>
    <w:rsid w:val="00CA4A5A"/>
    <w:rsid w:val="00CA504B"/>
    <w:rsid w:val="00CA534A"/>
    <w:rsid w:val="00CA5536"/>
    <w:rsid w:val="00CA5E1D"/>
    <w:rsid w:val="00CA70E0"/>
    <w:rsid w:val="00CA7A7E"/>
    <w:rsid w:val="00CA7EF8"/>
    <w:rsid w:val="00CB000E"/>
    <w:rsid w:val="00CB0837"/>
    <w:rsid w:val="00CB0CFC"/>
    <w:rsid w:val="00CB0FC7"/>
    <w:rsid w:val="00CB1228"/>
    <w:rsid w:val="00CB159F"/>
    <w:rsid w:val="00CB2259"/>
    <w:rsid w:val="00CB2675"/>
    <w:rsid w:val="00CB2C7A"/>
    <w:rsid w:val="00CB2F49"/>
    <w:rsid w:val="00CB31EA"/>
    <w:rsid w:val="00CB3915"/>
    <w:rsid w:val="00CB54EB"/>
    <w:rsid w:val="00CB55F0"/>
    <w:rsid w:val="00CC1486"/>
    <w:rsid w:val="00CC14A9"/>
    <w:rsid w:val="00CC1784"/>
    <w:rsid w:val="00CC1C1A"/>
    <w:rsid w:val="00CC22BD"/>
    <w:rsid w:val="00CC34A6"/>
    <w:rsid w:val="00CC3830"/>
    <w:rsid w:val="00CC3F97"/>
    <w:rsid w:val="00CC43DD"/>
    <w:rsid w:val="00CC4753"/>
    <w:rsid w:val="00CC489B"/>
    <w:rsid w:val="00CC4AA5"/>
    <w:rsid w:val="00CC4F24"/>
    <w:rsid w:val="00CC5CE5"/>
    <w:rsid w:val="00CC5F29"/>
    <w:rsid w:val="00CC686F"/>
    <w:rsid w:val="00CC6C01"/>
    <w:rsid w:val="00CC727F"/>
    <w:rsid w:val="00CC74CD"/>
    <w:rsid w:val="00CC7CE4"/>
    <w:rsid w:val="00CC7D92"/>
    <w:rsid w:val="00CD1B80"/>
    <w:rsid w:val="00CD1E3F"/>
    <w:rsid w:val="00CD29E0"/>
    <w:rsid w:val="00CD2BCD"/>
    <w:rsid w:val="00CD2E78"/>
    <w:rsid w:val="00CD330F"/>
    <w:rsid w:val="00CD3A4C"/>
    <w:rsid w:val="00CD3D0D"/>
    <w:rsid w:val="00CD5D49"/>
    <w:rsid w:val="00CD6209"/>
    <w:rsid w:val="00CD67F7"/>
    <w:rsid w:val="00CD69D3"/>
    <w:rsid w:val="00CD6A9A"/>
    <w:rsid w:val="00CD7B1D"/>
    <w:rsid w:val="00CE00F5"/>
    <w:rsid w:val="00CE04B4"/>
    <w:rsid w:val="00CE0C99"/>
    <w:rsid w:val="00CE0EBF"/>
    <w:rsid w:val="00CE10E9"/>
    <w:rsid w:val="00CE115D"/>
    <w:rsid w:val="00CE12B8"/>
    <w:rsid w:val="00CE14BE"/>
    <w:rsid w:val="00CE1E5B"/>
    <w:rsid w:val="00CE2910"/>
    <w:rsid w:val="00CE2E11"/>
    <w:rsid w:val="00CE332C"/>
    <w:rsid w:val="00CE38AA"/>
    <w:rsid w:val="00CE38AC"/>
    <w:rsid w:val="00CE3C3D"/>
    <w:rsid w:val="00CE45AC"/>
    <w:rsid w:val="00CE4D62"/>
    <w:rsid w:val="00CE5393"/>
    <w:rsid w:val="00CE6B36"/>
    <w:rsid w:val="00CF0B09"/>
    <w:rsid w:val="00CF0B4E"/>
    <w:rsid w:val="00CF1FC1"/>
    <w:rsid w:val="00CF22FD"/>
    <w:rsid w:val="00CF2643"/>
    <w:rsid w:val="00CF3340"/>
    <w:rsid w:val="00CF36BE"/>
    <w:rsid w:val="00CF3F90"/>
    <w:rsid w:val="00CF52A5"/>
    <w:rsid w:val="00CF5A86"/>
    <w:rsid w:val="00CF5C27"/>
    <w:rsid w:val="00CF6000"/>
    <w:rsid w:val="00CF6574"/>
    <w:rsid w:val="00CF6626"/>
    <w:rsid w:val="00CF7528"/>
    <w:rsid w:val="00CF778D"/>
    <w:rsid w:val="00CF7E55"/>
    <w:rsid w:val="00D003F3"/>
    <w:rsid w:val="00D02347"/>
    <w:rsid w:val="00D02EF2"/>
    <w:rsid w:val="00D0364F"/>
    <w:rsid w:val="00D04B1B"/>
    <w:rsid w:val="00D04B37"/>
    <w:rsid w:val="00D04DEE"/>
    <w:rsid w:val="00D054AF"/>
    <w:rsid w:val="00D05757"/>
    <w:rsid w:val="00D05874"/>
    <w:rsid w:val="00D05B5A"/>
    <w:rsid w:val="00D05CE2"/>
    <w:rsid w:val="00D061B9"/>
    <w:rsid w:val="00D063F0"/>
    <w:rsid w:val="00D06834"/>
    <w:rsid w:val="00D06F3D"/>
    <w:rsid w:val="00D078D2"/>
    <w:rsid w:val="00D07950"/>
    <w:rsid w:val="00D1071B"/>
    <w:rsid w:val="00D1161C"/>
    <w:rsid w:val="00D11C12"/>
    <w:rsid w:val="00D122D4"/>
    <w:rsid w:val="00D12360"/>
    <w:rsid w:val="00D123D0"/>
    <w:rsid w:val="00D128F0"/>
    <w:rsid w:val="00D12BFC"/>
    <w:rsid w:val="00D13179"/>
    <w:rsid w:val="00D1350B"/>
    <w:rsid w:val="00D1402D"/>
    <w:rsid w:val="00D14FB3"/>
    <w:rsid w:val="00D172BF"/>
    <w:rsid w:val="00D17B3D"/>
    <w:rsid w:val="00D209FC"/>
    <w:rsid w:val="00D20A06"/>
    <w:rsid w:val="00D20E41"/>
    <w:rsid w:val="00D20F98"/>
    <w:rsid w:val="00D21387"/>
    <w:rsid w:val="00D213EE"/>
    <w:rsid w:val="00D21678"/>
    <w:rsid w:val="00D21B9B"/>
    <w:rsid w:val="00D21BC2"/>
    <w:rsid w:val="00D224FC"/>
    <w:rsid w:val="00D228FF"/>
    <w:rsid w:val="00D22C07"/>
    <w:rsid w:val="00D23312"/>
    <w:rsid w:val="00D23342"/>
    <w:rsid w:val="00D237AF"/>
    <w:rsid w:val="00D23F21"/>
    <w:rsid w:val="00D24238"/>
    <w:rsid w:val="00D25BB0"/>
    <w:rsid w:val="00D26128"/>
    <w:rsid w:val="00D27B03"/>
    <w:rsid w:val="00D27EDA"/>
    <w:rsid w:val="00D27EDF"/>
    <w:rsid w:val="00D30295"/>
    <w:rsid w:val="00D304FB"/>
    <w:rsid w:val="00D308ED"/>
    <w:rsid w:val="00D3154E"/>
    <w:rsid w:val="00D316B8"/>
    <w:rsid w:val="00D319A8"/>
    <w:rsid w:val="00D32193"/>
    <w:rsid w:val="00D32CB3"/>
    <w:rsid w:val="00D33AF2"/>
    <w:rsid w:val="00D34729"/>
    <w:rsid w:val="00D34EFE"/>
    <w:rsid w:val="00D35111"/>
    <w:rsid w:val="00D35BE0"/>
    <w:rsid w:val="00D35C90"/>
    <w:rsid w:val="00D35EF1"/>
    <w:rsid w:val="00D36D86"/>
    <w:rsid w:val="00D401CD"/>
    <w:rsid w:val="00D40712"/>
    <w:rsid w:val="00D4106C"/>
    <w:rsid w:val="00D4111C"/>
    <w:rsid w:val="00D41ACD"/>
    <w:rsid w:val="00D4273C"/>
    <w:rsid w:val="00D428AA"/>
    <w:rsid w:val="00D4348D"/>
    <w:rsid w:val="00D439CF"/>
    <w:rsid w:val="00D43DB9"/>
    <w:rsid w:val="00D44482"/>
    <w:rsid w:val="00D44989"/>
    <w:rsid w:val="00D45941"/>
    <w:rsid w:val="00D45DA0"/>
    <w:rsid w:val="00D460EA"/>
    <w:rsid w:val="00D46625"/>
    <w:rsid w:val="00D47737"/>
    <w:rsid w:val="00D47959"/>
    <w:rsid w:val="00D500D5"/>
    <w:rsid w:val="00D50A34"/>
    <w:rsid w:val="00D51E64"/>
    <w:rsid w:val="00D524F2"/>
    <w:rsid w:val="00D52CCC"/>
    <w:rsid w:val="00D53164"/>
    <w:rsid w:val="00D53EFA"/>
    <w:rsid w:val="00D544F8"/>
    <w:rsid w:val="00D55603"/>
    <w:rsid w:val="00D55D6B"/>
    <w:rsid w:val="00D56C8C"/>
    <w:rsid w:val="00D56F5B"/>
    <w:rsid w:val="00D57BFD"/>
    <w:rsid w:val="00D57D2D"/>
    <w:rsid w:val="00D606E9"/>
    <w:rsid w:val="00D612E9"/>
    <w:rsid w:val="00D615CE"/>
    <w:rsid w:val="00D61A32"/>
    <w:rsid w:val="00D62C52"/>
    <w:rsid w:val="00D63842"/>
    <w:rsid w:val="00D65941"/>
    <w:rsid w:val="00D70C0D"/>
    <w:rsid w:val="00D70C97"/>
    <w:rsid w:val="00D71229"/>
    <w:rsid w:val="00D722EF"/>
    <w:rsid w:val="00D73007"/>
    <w:rsid w:val="00D732B0"/>
    <w:rsid w:val="00D7398E"/>
    <w:rsid w:val="00D73F01"/>
    <w:rsid w:val="00D740FA"/>
    <w:rsid w:val="00D754C3"/>
    <w:rsid w:val="00D75648"/>
    <w:rsid w:val="00D762BB"/>
    <w:rsid w:val="00D76B18"/>
    <w:rsid w:val="00D76D17"/>
    <w:rsid w:val="00D77EFA"/>
    <w:rsid w:val="00D80704"/>
    <w:rsid w:val="00D81789"/>
    <w:rsid w:val="00D81FF7"/>
    <w:rsid w:val="00D821F3"/>
    <w:rsid w:val="00D82FE1"/>
    <w:rsid w:val="00D83FF9"/>
    <w:rsid w:val="00D849B9"/>
    <w:rsid w:val="00D85D9F"/>
    <w:rsid w:val="00D867AE"/>
    <w:rsid w:val="00D878A2"/>
    <w:rsid w:val="00D90227"/>
    <w:rsid w:val="00D9022F"/>
    <w:rsid w:val="00D90C3D"/>
    <w:rsid w:val="00D916FF"/>
    <w:rsid w:val="00D91A4D"/>
    <w:rsid w:val="00D922EF"/>
    <w:rsid w:val="00D93C19"/>
    <w:rsid w:val="00D93F0A"/>
    <w:rsid w:val="00D94A7C"/>
    <w:rsid w:val="00D94BF1"/>
    <w:rsid w:val="00D95896"/>
    <w:rsid w:val="00D97015"/>
    <w:rsid w:val="00D978EB"/>
    <w:rsid w:val="00DA02A8"/>
    <w:rsid w:val="00DA0A3F"/>
    <w:rsid w:val="00DA0A73"/>
    <w:rsid w:val="00DA0CBD"/>
    <w:rsid w:val="00DA17D6"/>
    <w:rsid w:val="00DA18BB"/>
    <w:rsid w:val="00DA1E30"/>
    <w:rsid w:val="00DA5303"/>
    <w:rsid w:val="00DA5EDF"/>
    <w:rsid w:val="00DA63FE"/>
    <w:rsid w:val="00DA6D92"/>
    <w:rsid w:val="00DA771B"/>
    <w:rsid w:val="00DA79DA"/>
    <w:rsid w:val="00DB00A1"/>
    <w:rsid w:val="00DB0298"/>
    <w:rsid w:val="00DB074D"/>
    <w:rsid w:val="00DB0911"/>
    <w:rsid w:val="00DB25C7"/>
    <w:rsid w:val="00DB28BD"/>
    <w:rsid w:val="00DB2983"/>
    <w:rsid w:val="00DB2CBE"/>
    <w:rsid w:val="00DB352C"/>
    <w:rsid w:val="00DB4889"/>
    <w:rsid w:val="00DB5162"/>
    <w:rsid w:val="00DB678B"/>
    <w:rsid w:val="00DB6910"/>
    <w:rsid w:val="00DB6B8C"/>
    <w:rsid w:val="00DB6C0B"/>
    <w:rsid w:val="00DC04D9"/>
    <w:rsid w:val="00DC0558"/>
    <w:rsid w:val="00DC1257"/>
    <w:rsid w:val="00DC1285"/>
    <w:rsid w:val="00DC1B84"/>
    <w:rsid w:val="00DC20A3"/>
    <w:rsid w:val="00DC2EA5"/>
    <w:rsid w:val="00DC3079"/>
    <w:rsid w:val="00DC35D5"/>
    <w:rsid w:val="00DC3658"/>
    <w:rsid w:val="00DC3A0B"/>
    <w:rsid w:val="00DC3B3C"/>
    <w:rsid w:val="00DC3DC0"/>
    <w:rsid w:val="00DC42DF"/>
    <w:rsid w:val="00DC4886"/>
    <w:rsid w:val="00DC48A6"/>
    <w:rsid w:val="00DC4BCA"/>
    <w:rsid w:val="00DC4DE6"/>
    <w:rsid w:val="00DC5B2B"/>
    <w:rsid w:val="00DC5F68"/>
    <w:rsid w:val="00DC7300"/>
    <w:rsid w:val="00DD0E92"/>
    <w:rsid w:val="00DD15F3"/>
    <w:rsid w:val="00DD288C"/>
    <w:rsid w:val="00DD28B4"/>
    <w:rsid w:val="00DD318D"/>
    <w:rsid w:val="00DD4074"/>
    <w:rsid w:val="00DD44E5"/>
    <w:rsid w:val="00DD60C1"/>
    <w:rsid w:val="00DD6583"/>
    <w:rsid w:val="00DD780E"/>
    <w:rsid w:val="00DE0321"/>
    <w:rsid w:val="00DE0542"/>
    <w:rsid w:val="00DE1336"/>
    <w:rsid w:val="00DE19CD"/>
    <w:rsid w:val="00DE1B7D"/>
    <w:rsid w:val="00DE209A"/>
    <w:rsid w:val="00DE22B9"/>
    <w:rsid w:val="00DE3ABF"/>
    <w:rsid w:val="00DE41BC"/>
    <w:rsid w:val="00DE56EE"/>
    <w:rsid w:val="00DE5C3F"/>
    <w:rsid w:val="00DE5E3D"/>
    <w:rsid w:val="00DE6FA6"/>
    <w:rsid w:val="00DE7C6A"/>
    <w:rsid w:val="00DF090A"/>
    <w:rsid w:val="00DF11DC"/>
    <w:rsid w:val="00DF2E12"/>
    <w:rsid w:val="00DF30CD"/>
    <w:rsid w:val="00DF451D"/>
    <w:rsid w:val="00DF475B"/>
    <w:rsid w:val="00DF514A"/>
    <w:rsid w:val="00DF5827"/>
    <w:rsid w:val="00DF5914"/>
    <w:rsid w:val="00DF6690"/>
    <w:rsid w:val="00DF6804"/>
    <w:rsid w:val="00DF70E3"/>
    <w:rsid w:val="00DF762F"/>
    <w:rsid w:val="00DF79A6"/>
    <w:rsid w:val="00E005D4"/>
    <w:rsid w:val="00E008F9"/>
    <w:rsid w:val="00E0270A"/>
    <w:rsid w:val="00E0358D"/>
    <w:rsid w:val="00E03878"/>
    <w:rsid w:val="00E03895"/>
    <w:rsid w:val="00E04059"/>
    <w:rsid w:val="00E0423D"/>
    <w:rsid w:val="00E04323"/>
    <w:rsid w:val="00E06014"/>
    <w:rsid w:val="00E063EF"/>
    <w:rsid w:val="00E06ECC"/>
    <w:rsid w:val="00E070A2"/>
    <w:rsid w:val="00E07558"/>
    <w:rsid w:val="00E07CD5"/>
    <w:rsid w:val="00E10776"/>
    <w:rsid w:val="00E108EA"/>
    <w:rsid w:val="00E117B5"/>
    <w:rsid w:val="00E119AD"/>
    <w:rsid w:val="00E12367"/>
    <w:rsid w:val="00E147AE"/>
    <w:rsid w:val="00E14D63"/>
    <w:rsid w:val="00E15C7C"/>
    <w:rsid w:val="00E1612A"/>
    <w:rsid w:val="00E16F8E"/>
    <w:rsid w:val="00E177CA"/>
    <w:rsid w:val="00E2093A"/>
    <w:rsid w:val="00E211DF"/>
    <w:rsid w:val="00E220F3"/>
    <w:rsid w:val="00E22953"/>
    <w:rsid w:val="00E229A9"/>
    <w:rsid w:val="00E231E2"/>
    <w:rsid w:val="00E23B10"/>
    <w:rsid w:val="00E2532F"/>
    <w:rsid w:val="00E25C74"/>
    <w:rsid w:val="00E2656A"/>
    <w:rsid w:val="00E30061"/>
    <w:rsid w:val="00E30254"/>
    <w:rsid w:val="00E30FC9"/>
    <w:rsid w:val="00E31661"/>
    <w:rsid w:val="00E330B5"/>
    <w:rsid w:val="00E334B7"/>
    <w:rsid w:val="00E33C5E"/>
    <w:rsid w:val="00E33EEA"/>
    <w:rsid w:val="00E3469D"/>
    <w:rsid w:val="00E35C67"/>
    <w:rsid w:val="00E3625C"/>
    <w:rsid w:val="00E400DA"/>
    <w:rsid w:val="00E40593"/>
    <w:rsid w:val="00E411A0"/>
    <w:rsid w:val="00E412D0"/>
    <w:rsid w:val="00E423F0"/>
    <w:rsid w:val="00E4278B"/>
    <w:rsid w:val="00E4282A"/>
    <w:rsid w:val="00E42AE5"/>
    <w:rsid w:val="00E42E64"/>
    <w:rsid w:val="00E4322D"/>
    <w:rsid w:val="00E433CC"/>
    <w:rsid w:val="00E43AB6"/>
    <w:rsid w:val="00E444DF"/>
    <w:rsid w:val="00E44C6A"/>
    <w:rsid w:val="00E450E0"/>
    <w:rsid w:val="00E46108"/>
    <w:rsid w:val="00E464F7"/>
    <w:rsid w:val="00E46D21"/>
    <w:rsid w:val="00E47ADF"/>
    <w:rsid w:val="00E5022C"/>
    <w:rsid w:val="00E503B5"/>
    <w:rsid w:val="00E50A18"/>
    <w:rsid w:val="00E510AF"/>
    <w:rsid w:val="00E518C5"/>
    <w:rsid w:val="00E53D7E"/>
    <w:rsid w:val="00E53E05"/>
    <w:rsid w:val="00E552B8"/>
    <w:rsid w:val="00E555FE"/>
    <w:rsid w:val="00E56322"/>
    <w:rsid w:val="00E568A0"/>
    <w:rsid w:val="00E5734E"/>
    <w:rsid w:val="00E608B5"/>
    <w:rsid w:val="00E60982"/>
    <w:rsid w:val="00E6107F"/>
    <w:rsid w:val="00E611EE"/>
    <w:rsid w:val="00E62C62"/>
    <w:rsid w:val="00E654C1"/>
    <w:rsid w:val="00E65D97"/>
    <w:rsid w:val="00E663E7"/>
    <w:rsid w:val="00E66E45"/>
    <w:rsid w:val="00E67823"/>
    <w:rsid w:val="00E67D4A"/>
    <w:rsid w:val="00E70A3A"/>
    <w:rsid w:val="00E70DC7"/>
    <w:rsid w:val="00E71A8F"/>
    <w:rsid w:val="00E71F39"/>
    <w:rsid w:val="00E72A5A"/>
    <w:rsid w:val="00E72D1F"/>
    <w:rsid w:val="00E72F37"/>
    <w:rsid w:val="00E730DE"/>
    <w:rsid w:val="00E73354"/>
    <w:rsid w:val="00E7344D"/>
    <w:rsid w:val="00E73F95"/>
    <w:rsid w:val="00E74018"/>
    <w:rsid w:val="00E74363"/>
    <w:rsid w:val="00E74C34"/>
    <w:rsid w:val="00E75335"/>
    <w:rsid w:val="00E756D9"/>
    <w:rsid w:val="00E76085"/>
    <w:rsid w:val="00E76128"/>
    <w:rsid w:val="00E76A7B"/>
    <w:rsid w:val="00E77263"/>
    <w:rsid w:val="00E8008E"/>
    <w:rsid w:val="00E801AD"/>
    <w:rsid w:val="00E8057F"/>
    <w:rsid w:val="00E80D96"/>
    <w:rsid w:val="00E8153D"/>
    <w:rsid w:val="00E817D4"/>
    <w:rsid w:val="00E819C6"/>
    <w:rsid w:val="00E82777"/>
    <w:rsid w:val="00E8282A"/>
    <w:rsid w:val="00E83699"/>
    <w:rsid w:val="00E84195"/>
    <w:rsid w:val="00E842F3"/>
    <w:rsid w:val="00E84673"/>
    <w:rsid w:val="00E8508F"/>
    <w:rsid w:val="00E856CF"/>
    <w:rsid w:val="00E85E89"/>
    <w:rsid w:val="00E87854"/>
    <w:rsid w:val="00E9034B"/>
    <w:rsid w:val="00E904D5"/>
    <w:rsid w:val="00E9066C"/>
    <w:rsid w:val="00E91685"/>
    <w:rsid w:val="00E9242D"/>
    <w:rsid w:val="00E951E8"/>
    <w:rsid w:val="00E95362"/>
    <w:rsid w:val="00E96BCB"/>
    <w:rsid w:val="00E96D1A"/>
    <w:rsid w:val="00EA03DB"/>
    <w:rsid w:val="00EA1A1A"/>
    <w:rsid w:val="00EA1D82"/>
    <w:rsid w:val="00EA3090"/>
    <w:rsid w:val="00EA40F0"/>
    <w:rsid w:val="00EA4219"/>
    <w:rsid w:val="00EA45B5"/>
    <w:rsid w:val="00EA4865"/>
    <w:rsid w:val="00EA4A82"/>
    <w:rsid w:val="00EA4AB0"/>
    <w:rsid w:val="00EA77BD"/>
    <w:rsid w:val="00EB056D"/>
    <w:rsid w:val="00EB191D"/>
    <w:rsid w:val="00EB1D06"/>
    <w:rsid w:val="00EB2249"/>
    <w:rsid w:val="00EB2800"/>
    <w:rsid w:val="00EB2B9E"/>
    <w:rsid w:val="00EB2BAA"/>
    <w:rsid w:val="00EB3327"/>
    <w:rsid w:val="00EB3646"/>
    <w:rsid w:val="00EB394E"/>
    <w:rsid w:val="00EB3E81"/>
    <w:rsid w:val="00EB4446"/>
    <w:rsid w:val="00EB4463"/>
    <w:rsid w:val="00EB5255"/>
    <w:rsid w:val="00EB5C47"/>
    <w:rsid w:val="00EB5F60"/>
    <w:rsid w:val="00EB6233"/>
    <w:rsid w:val="00EB658C"/>
    <w:rsid w:val="00EB6BA5"/>
    <w:rsid w:val="00EB733A"/>
    <w:rsid w:val="00EB76C4"/>
    <w:rsid w:val="00EC052F"/>
    <w:rsid w:val="00EC0D68"/>
    <w:rsid w:val="00EC0F59"/>
    <w:rsid w:val="00EC13ED"/>
    <w:rsid w:val="00EC2075"/>
    <w:rsid w:val="00EC22A8"/>
    <w:rsid w:val="00EC3722"/>
    <w:rsid w:val="00EC4335"/>
    <w:rsid w:val="00EC6456"/>
    <w:rsid w:val="00EC673A"/>
    <w:rsid w:val="00EC685A"/>
    <w:rsid w:val="00EC7554"/>
    <w:rsid w:val="00EC7EF7"/>
    <w:rsid w:val="00ED0549"/>
    <w:rsid w:val="00ED0639"/>
    <w:rsid w:val="00ED0E89"/>
    <w:rsid w:val="00ED1295"/>
    <w:rsid w:val="00ED2967"/>
    <w:rsid w:val="00ED3E3A"/>
    <w:rsid w:val="00ED3FD8"/>
    <w:rsid w:val="00ED43AA"/>
    <w:rsid w:val="00ED52A0"/>
    <w:rsid w:val="00ED5B8B"/>
    <w:rsid w:val="00ED611F"/>
    <w:rsid w:val="00ED64A2"/>
    <w:rsid w:val="00ED6829"/>
    <w:rsid w:val="00ED68AB"/>
    <w:rsid w:val="00ED760C"/>
    <w:rsid w:val="00EE0D3D"/>
    <w:rsid w:val="00EE0E37"/>
    <w:rsid w:val="00EE16F3"/>
    <w:rsid w:val="00EE1DC0"/>
    <w:rsid w:val="00EE20A0"/>
    <w:rsid w:val="00EE2539"/>
    <w:rsid w:val="00EE2A68"/>
    <w:rsid w:val="00EE2BD0"/>
    <w:rsid w:val="00EE47D0"/>
    <w:rsid w:val="00EE4BB6"/>
    <w:rsid w:val="00EE4C4B"/>
    <w:rsid w:val="00EE5408"/>
    <w:rsid w:val="00EE5A7A"/>
    <w:rsid w:val="00EE60E3"/>
    <w:rsid w:val="00EE6A61"/>
    <w:rsid w:val="00EE6DFB"/>
    <w:rsid w:val="00EE7441"/>
    <w:rsid w:val="00EE7A6B"/>
    <w:rsid w:val="00EF0B04"/>
    <w:rsid w:val="00EF0B31"/>
    <w:rsid w:val="00EF0B6D"/>
    <w:rsid w:val="00EF1F95"/>
    <w:rsid w:val="00EF2412"/>
    <w:rsid w:val="00EF3024"/>
    <w:rsid w:val="00EF3357"/>
    <w:rsid w:val="00EF4755"/>
    <w:rsid w:val="00EF5C93"/>
    <w:rsid w:val="00EF5D9E"/>
    <w:rsid w:val="00EF646B"/>
    <w:rsid w:val="00EF6AEF"/>
    <w:rsid w:val="00EF7135"/>
    <w:rsid w:val="00F002C2"/>
    <w:rsid w:val="00F00F72"/>
    <w:rsid w:val="00F01A00"/>
    <w:rsid w:val="00F027DB"/>
    <w:rsid w:val="00F03053"/>
    <w:rsid w:val="00F031C6"/>
    <w:rsid w:val="00F03903"/>
    <w:rsid w:val="00F03CD2"/>
    <w:rsid w:val="00F03DA4"/>
    <w:rsid w:val="00F042F7"/>
    <w:rsid w:val="00F04AED"/>
    <w:rsid w:val="00F05306"/>
    <w:rsid w:val="00F06078"/>
    <w:rsid w:val="00F062EA"/>
    <w:rsid w:val="00F07773"/>
    <w:rsid w:val="00F10EE4"/>
    <w:rsid w:val="00F111B8"/>
    <w:rsid w:val="00F1234B"/>
    <w:rsid w:val="00F12F77"/>
    <w:rsid w:val="00F131D8"/>
    <w:rsid w:val="00F14110"/>
    <w:rsid w:val="00F14A7A"/>
    <w:rsid w:val="00F15048"/>
    <w:rsid w:val="00F15282"/>
    <w:rsid w:val="00F16A19"/>
    <w:rsid w:val="00F16D23"/>
    <w:rsid w:val="00F200F9"/>
    <w:rsid w:val="00F207E5"/>
    <w:rsid w:val="00F20AEB"/>
    <w:rsid w:val="00F21BDA"/>
    <w:rsid w:val="00F22413"/>
    <w:rsid w:val="00F2284F"/>
    <w:rsid w:val="00F22985"/>
    <w:rsid w:val="00F22D78"/>
    <w:rsid w:val="00F2302C"/>
    <w:rsid w:val="00F23212"/>
    <w:rsid w:val="00F23564"/>
    <w:rsid w:val="00F23B9C"/>
    <w:rsid w:val="00F24259"/>
    <w:rsid w:val="00F24AA3"/>
    <w:rsid w:val="00F24C0F"/>
    <w:rsid w:val="00F24D62"/>
    <w:rsid w:val="00F24F46"/>
    <w:rsid w:val="00F25BE4"/>
    <w:rsid w:val="00F25F72"/>
    <w:rsid w:val="00F268EB"/>
    <w:rsid w:val="00F26F54"/>
    <w:rsid w:val="00F26F70"/>
    <w:rsid w:val="00F270B5"/>
    <w:rsid w:val="00F273CB"/>
    <w:rsid w:val="00F27708"/>
    <w:rsid w:val="00F279A4"/>
    <w:rsid w:val="00F30015"/>
    <w:rsid w:val="00F30929"/>
    <w:rsid w:val="00F30B4B"/>
    <w:rsid w:val="00F31772"/>
    <w:rsid w:val="00F317A4"/>
    <w:rsid w:val="00F318D8"/>
    <w:rsid w:val="00F32E38"/>
    <w:rsid w:val="00F32F02"/>
    <w:rsid w:val="00F3332F"/>
    <w:rsid w:val="00F333AF"/>
    <w:rsid w:val="00F3383E"/>
    <w:rsid w:val="00F33954"/>
    <w:rsid w:val="00F3426C"/>
    <w:rsid w:val="00F36C90"/>
    <w:rsid w:val="00F371AD"/>
    <w:rsid w:val="00F401B5"/>
    <w:rsid w:val="00F404D5"/>
    <w:rsid w:val="00F40BB2"/>
    <w:rsid w:val="00F41F3C"/>
    <w:rsid w:val="00F41F91"/>
    <w:rsid w:val="00F42167"/>
    <w:rsid w:val="00F421A3"/>
    <w:rsid w:val="00F43507"/>
    <w:rsid w:val="00F43641"/>
    <w:rsid w:val="00F43A6F"/>
    <w:rsid w:val="00F43BC8"/>
    <w:rsid w:val="00F4483A"/>
    <w:rsid w:val="00F44F75"/>
    <w:rsid w:val="00F44F77"/>
    <w:rsid w:val="00F45150"/>
    <w:rsid w:val="00F465A7"/>
    <w:rsid w:val="00F46843"/>
    <w:rsid w:val="00F46AB1"/>
    <w:rsid w:val="00F46F24"/>
    <w:rsid w:val="00F47C62"/>
    <w:rsid w:val="00F50B7C"/>
    <w:rsid w:val="00F50CF4"/>
    <w:rsid w:val="00F51298"/>
    <w:rsid w:val="00F5179F"/>
    <w:rsid w:val="00F5285E"/>
    <w:rsid w:val="00F53677"/>
    <w:rsid w:val="00F5381F"/>
    <w:rsid w:val="00F550E6"/>
    <w:rsid w:val="00F5658F"/>
    <w:rsid w:val="00F56965"/>
    <w:rsid w:val="00F56D49"/>
    <w:rsid w:val="00F56DB9"/>
    <w:rsid w:val="00F56DFF"/>
    <w:rsid w:val="00F57A53"/>
    <w:rsid w:val="00F6017C"/>
    <w:rsid w:val="00F60223"/>
    <w:rsid w:val="00F603D8"/>
    <w:rsid w:val="00F605B3"/>
    <w:rsid w:val="00F620D7"/>
    <w:rsid w:val="00F620F9"/>
    <w:rsid w:val="00F624CD"/>
    <w:rsid w:val="00F6264D"/>
    <w:rsid w:val="00F627E9"/>
    <w:rsid w:val="00F62848"/>
    <w:rsid w:val="00F63425"/>
    <w:rsid w:val="00F645B0"/>
    <w:rsid w:val="00F65AD3"/>
    <w:rsid w:val="00F65BA2"/>
    <w:rsid w:val="00F65C18"/>
    <w:rsid w:val="00F65EA1"/>
    <w:rsid w:val="00F70053"/>
    <w:rsid w:val="00F70D33"/>
    <w:rsid w:val="00F70F12"/>
    <w:rsid w:val="00F715C1"/>
    <w:rsid w:val="00F71B80"/>
    <w:rsid w:val="00F72533"/>
    <w:rsid w:val="00F7284D"/>
    <w:rsid w:val="00F73371"/>
    <w:rsid w:val="00F734F6"/>
    <w:rsid w:val="00F74345"/>
    <w:rsid w:val="00F74951"/>
    <w:rsid w:val="00F75331"/>
    <w:rsid w:val="00F75D42"/>
    <w:rsid w:val="00F76442"/>
    <w:rsid w:val="00F7677A"/>
    <w:rsid w:val="00F776E9"/>
    <w:rsid w:val="00F77722"/>
    <w:rsid w:val="00F77BB7"/>
    <w:rsid w:val="00F80A0A"/>
    <w:rsid w:val="00F80D53"/>
    <w:rsid w:val="00F81A0A"/>
    <w:rsid w:val="00F82379"/>
    <w:rsid w:val="00F82B19"/>
    <w:rsid w:val="00F8360A"/>
    <w:rsid w:val="00F83EE1"/>
    <w:rsid w:val="00F84763"/>
    <w:rsid w:val="00F85AA2"/>
    <w:rsid w:val="00F864FF"/>
    <w:rsid w:val="00F867E3"/>
    <w:rsid w:val="00F86976"/>
    <w:rsid w:val="00F86BFF"/>
    <w:rsid w:val="00F86C1A"/>
    <w:rsid w:val="00F879FD"/>
    <w:rsid w:val="00F9031D"/>
    <w:rsid w:val="00F90328"/>
    <w:rsid w:val="00F90420"/>
    <w:rsid w:val="00F91C83"/>
    <w:rsid w:val="00F9212D"/>
    <w:rsid w:val="00F9264B"/>
    <w:rsid w:val="00F92B8C"/>
    <w:rsid w:val="00F93B5E"/>
    <w:rsid w:val="00F94A5D"/>
    <w:rsid w:val="00F94DED"/>
    <w:rsid w:val="00F94F2F"/>
    <w:rsid w:val="00F955F1"/>
    <w:rsid w:val="00F9568B"/>
    <w:rsid w:val="00F9588E"/>
    <w:rsid w:val="00F96136"/>
    <w:rsid w:val="00F965DA"/>
    <w:rsid w:val="00F97372"/>
    <w:rsid w:val="00F9764B"/>
    <w:rsid w:val="00FA04B9"/>
    <w:rsid w:val="00FA162E"/>
    <w:rsid w:val="00FA182F"/>
    <w:rsid w:val="00FA2409"/>
    <w:rsid w:val="00FA2CFB"/>
    <w:rsid w:val="00FA3C7A"/>
    <w:rsid w:val="00FA3F97"/>
    <w:rsid w:val="00FA406A"/>
    <w:rsid w:val="00FA4492"/>
    <w:rsid w:val="00FA466D"/>
    <w:rsid w:val="00FA470E"/>
    <w:rsid w:val="00FA4935"/>
    <w:rsid w:val="00FA5D33"/>
    <w:rsid w:val="00FA5E55"/>
    <w:rsid w:val="00FA60AD"/>
    <w:rsid w:val="00FA6FFE"/>
    <w:rsid w:val="00FA7C7C"/>
    <w:rsid w:val="00FB022B"/>
    <w:rsid w:val="00FB0750"/>
    <w:rsid w:val="00FB0AB7"/>
    <w:rsid w:val="00FB16CA"/>
    <w:rsid w:val="00FB1904"/>
    <w:rsid w:val="00FB1B20"/>
    <w:rsid w:val="00FB1E45"/>
    <w:rsid w:val="00FB21DC"/>
    <w:rsid w:val="00FB230D"/>
    <w:rsid w:val="00FB2E08"/>
    <w:rsid w:val="00FB4D08"/>
    <w:rsid w:val="00FB503A"/>
    <w:rsid w:val="00FB516C"/>
    <w:rsid w:val="00FB5CEA"/>
    <w:rsid w:val="00FB6962"/>
    <w:rsid w:val="00FB6AE8"/>
    <w:rsid w:val="00FB70E7"/>
    <w:rsid w:val="00FB7ABF"/>
    <w:rsid w:val="00FC008E"/>
    <w:rsid w:val="00FC0CC4"/>
    <w:rsid w:val="00FC264A"/>
    <w:rsid w:val="00FC442A"/>
    <w:rsid w:val="00FC5937"/>
    <w:rsid w:val="00FC5B41"/>
    <w:rsid w:val="00FC5B92"/>
    <w:rsid w:val="00FC5E47"/>
    <w:rsid w:val="00FC6219"/>
    <w:rsid w:val="00FC6A24"/>
    <w:rsid w:val="00FC6B89"/>
    <w:rsid w:val="00FD0236"/>
    <w:rsid w:val="00FD0344"/>
    <w:rsid w:val="00FD0731"/>
    <w:rsid w:val="00FD18F4"/>
    <w:rsid w:val="00FD220A"/>
    <w:rsid w:val="00FD229E"/>
    <w:rsid w:val="00FD2E7D"/>
    <w:rsid w:val="00FD33A1"/>
    <w:rsid w:val="00FD4608"/>
    <w:rsid w:val="00FD472F"/>
    <w:rsid w:val="00FD54DB"/>
    <w:rsid w:val="00FD56A8"/>
    <w:rsid w:val="00FD5B68"/>
    <w:rsid w:val="00FD619F"/>
    <w:rsid w:val="00FD7001"/>
    <w:rsid w:val="00FD744D"/>
    <w:rsid w:val="00FD7736"/>
    <w:rsid w:val="00FE00B3"/>
    <w:rsid w:val="00FE0875"/>
    <w:rsid w:val="00FE08EB"/>
    <w:rsid w:val="00FE218D"/>
    <w:rsid w:val="00FE290C"/>
    <w:rsid w:val="00FE2EC9"/>
    <w:rsid w:val="00FE3AF0"/>
    <w:rsid w:val="00FE3B0B"/>
    <w:rsid w:val="00FE5DD0"/>
    <w:rsid w:val="00FE687B"/>
    <w:rsid w:val="00FE7E4B"/>
    <w:rsid w:val="00FF13E8"/>
    <w:rsid w:val="00FF1842"/>
    <w:rsid w:val="00FF18B2"/>
    <w:rsid w:val="00FF4926"/>
    <w:rsid w:val="00FF4A61"/>
    <w:rsid w:val="00FF5A55"/>
    <w:rsid w:val="00FF6D8F"/>
    <w:rsid w:val="00FF6DE9"/>
    <w:rsid w:val="00FF70F0"/>
    <w:rsid w:val="00FF71CD"/>
    <w:rsid w:val="00FF7B0E"/>
    <w:rsid w:val="0112363F"/>
    <w:rsid w:val="01290F7E"/>
    <w:rsid w:val="015D1E09"/>
    <w:rsid w:val="01B446F6"/>
    <w:rsid w:val="02697903"/>
    <w:rsid w:val="027C4EC8"/>
    <w:rsid w:val="02985214"/>
    <w:rsid w:val="02B024F8"/>
    <w:rsid w:val="02F96569"/>
    <w:rsid w:val="02FA4480"/>
    <w:rsid w:val="02FC306B"/>
    <w:rsid w:val="03463A74"/>
    <w:rsid w:val="03D66BA6"/>
    <w:rsid w:val="03DE3CAC"/>
    <w:rsid w:val="03EA7B21"/>
    <w:rsid w:val="03F17D9A"/>
    <w:rsid w:val="0408693C"/>
    <w:rsid w:val="04232B44"/>
    <w:rsid w:val="042E0790"/>
    <w:rsid w:val="045E7655"/>
    <w:rsid w:val="046B5540"/>
    <w:rsid w:val="04F3135D"/>
    <w:rsid w:val="05533B72"/>
    <w:rsid w:val="05B64EE1"/>
    <w:rsid w:val="05C30230"/>
    <w:rsid w:val="05EA4B8A"/>
    <w:rsid w:val="05F83EAE"/>
    <w:rsid w:val="063E7D85"/>
    <w:rsid w:val="07293586"/>
    <w:rsid w:val="07295285"/>
    <w:rsid w:val="07636392"/>
    <w:rsid w:val="07770C56"/>
    <w:rsid w:val="079F3753"/>
    <w:rsid w:val="07DB478B"/>
    <w:rsid w:val="07E07FF3"/>
    <w:rsid w:val="07E86EA8"/>
    <w:rsid w:val="07FC5336"/>
    <w:rsid w:val="08070BB6"/>
    <w:rsid w:val="08293666"/>
    <w:rsid w:val="082A15C4"/>
    <w:rsid w:val="084F33CB"/>
    <w:rsid w:val="086F1377"/>
    <w:rsid w:val="08E753B1"/>
    <w:rsid w:val="08E75EA1"/>
    <w:rsid w:val="092217DD"/>
    <w:rsid w:val="09363C55"/>
    <w:rsid w:val="093A7294"/>
    <w:rsid w:val="094D790A"/>
    <w:rsid w:val="099923F4"/>
    <w:rsid w:val="09B072B9"/>
    <w:rsid w:val="0A0F4BBF"/>
    <w:rsid w:val="0A263993"/>
    <w:rsid w:val="0A2D3AC2"/>
    <w:rsid w:val="0A8C4462"/>
    <w:rsid w:val="0AA755DF"/>
    <w:rsid w:val="0ADF3032"/>
    <w:rsid w:val="0B120D44"/>
    <w:rsid w:val="0B355BD9"/>
    <w:rsid w:val="0B4B1C27"/>
    <w:rsid w:val="0B4E41EB"/>
    <w:rsid w:val="0B513FBC"/>
    <w:rsid w:val="0B6251C3"/>
    <w:rsid w:val="0B7A250D"/>
    <w:rsid w:val="0B891F50"/>
    <w:rsid w:val="0BC30B5D"/>
    <w:rsid w:val="0BD27BF6"/>
    <w:rsid w:val="0BD95485"/>
    <w:rsid w:val="0BE16524"/>
    <w:rsid w:val="0BFA364D"/>
    <w:rsid w:val="0C022605"/>
    <w:rsid w:val="0C3B3C7D"/>
    <w:rsid w:val="0C957BAF"/>
    <w:rsid w:val="0CAB2EAE"/>
    <w:rsid w:val="0CAB771F"/>
    <w:rsid w:val="0D554381"/>
    <w:rsid w:val="0D621C7D"/>
    <w:rsid w:val="0D7A5559"/>
    <w:rsid w:val="0D930651"/>
    <w:rsid w:val="0DBC6E0C"/>
    <w:rsid w:val="0DCD726B"/>
    <w:rsid w:val="0E0E4AD3"/>
    <w:rsid w:val="0E1924B1"/>
    <w:rsid w:val="0E313501"/>
    <w:rsid w:val="0E364E11"/>
    <w:rsid w:val="0E39220B"/>
    <w:rsid w:val="0E3D570B"/>
    <w:rsid w:val="0E3F3599"/>
    <w:rsid w:val="0E622648"/>
    <w:rsid w:val="0E73034D"/>
    <w:rsid w:val="0E9E011A"/>
    <w:rsid w:val="0EA05780"/>
    <w:rsid w:val="0EE97768"/>
    <w:rsid w:val="0EEE2A37"/>
    <w:rsid w:val="0F13775A"/>
    <w:rsid w:val="0F1B5D1B"/>
    <w:rsid w:val="0F5F45FE"/>
    <w:rsid w:val="0F8D4917"/>
    <w:rsid w:val="0F9A112B"/>
    <w:rsid w:val="0FBE737F"/>
    <w:rsid w:val="0FEF171B"/>
    <w:rsid w:val="0FF92062"/>
    <w:rsid w:val="100A29AA"/>
    <w:rsid w:val="106D2F64"/>
    <w:rsid w:val="107F11B8"/>
    <w:rsid w:val="10B63710"/>
    <w:rsid w:val="10BB15FD"/>
    <w:rsid w:val="10BB2DD9"/>
    <w:rsid w:val="10CD1330"/>
    <w:rsid w:val="10F10820"/>
    <w:rsid w:val="10F92125"/>
    <w:rsid w:val="111C2F7A"/>
    <w:rsid w:val="113969C6"/>
    <w:rsid w:val="11433F8B"/>
    <w:rsid w:val="11665CA1"/>
    <w:rsid w:val="11833683"/>
    <w:rsid w:val="11B30526"/>
    <w:rsid w:val="122B4561"/>
    <w:rsid w:val="12503FC7"/>
    <w:rsid w:val="12B10F0A"/>
    <w:rsid w:val="12C9796E"/>
    <w:rsid w:val="13951726"/>
    <w:rsid w:val="13C7650B"/>
    <w:rsid w:val="13F45878"/>
    <w:rsid w:val="13FB5DD6"/>
    <w:rsid w:val="13FF7A53"/>
    <w:rsid w:val="14396509"/>
    <w:rsid w:val="143C2A55"/>
    <w:rsid w:val="1492054F"/>
    <w:rsid w:val="149A27F4"/>
    <w:rsid w:val="14CB397D"/>
    <w:rsid w:val="14DD2C3C"/>
    <w:rsid w:val="15400323"/>
    <w:rsid w:val="15486F18"/>
    <w:rsid w:val="15593193"/>
    <w:rsid w:val="156C55BC"/>
    <w:rsid w:val="156D1119"/>
    <w:rsid w:val="157D3325"/>
    <w:rsid w:val="15BD1974"/>
    <w:rsid w:val="15C62CD0"/>
    <w:rsid w:val="15E769F0"/>
    <w:rsid w:val="16087E1D"/>
    <w:rsid w:val="16481B85"/>
    <w:rsid w:val="168E2206"/>
    <w:rsid w:val="16E31C16"/>
    <w:rsid w:val="17266946"/>
    <w:rsid w:val="17701D14"/>
    <w:rsid w:val="17735226"/>
    <w:rsid w:val="177B7CA0"/>
    <w:rsid w:val="177B7D38"/>
    <w:rsid w:val="17822E75"/>
    <w:rsid w:val="179B5CE4"/>
    <w:rsid w:val="17A35343"/>
    <w:rsid w:val="17FE7919"/>
    <w:rsid w:val="18100480"/>
    <w:rsid w:val="18251A52"/>
    <w:rsid w:val="18644328"/>
    <w:rsid w:val="18750F72"/>
    <w:rsid w:val="189F4D33"/>
    <w:rsid w:val="189F624C"/>
    <w:rsid w:val="18C4126B"/>
    <w:rsid w:val="18D37B81"/>
    <w:rsid w:val="18D771F0"/>
    <w:rsid w:val="190076A6"/>
    <w:rsid w:val="19102702"/>
    <w:rsid w:val="19A30BF1"/>
    <w:rsid w:val="19AF5A77"/>
    <w:rsid w:val="19BD5EE0"/>
    <w:rsid w:val="1A11228E"/>
    <w:rsid w:val="1A1C66C0"/>
    <w:rsid w:val="1A42393B"/>
    <w:rsid w:val="1AAD45DE"/>
    <w:rsid w:val="1AB2774D"/>
    <w:rsid w:val="1B046F80"/>
    <w:rsid w:val="1B3267B5"/>
    <w:rsid w:val="1B40161D"/>
    <w:rsid w:val="1B441859"/>
    <w:rsid w:val="1B445B9C"/>
    <w:rsid w:val="1B6606B1"/>
    <w:rsid w:val="1BCC2910"/>
    <w:rsid w:val="1C054074"/>
    <w:rsid w:val="1C200EAE"/>
    <w:rsid w:val="1C424423"/>
    <w:rsid w:val="1C4C1CA3"/>
    <w:rsid w:val="1C5E7925"/>
    <w:rsid w:val="1C890385"/>
    <w:rsid w:val="1CB57848"/>
    <w:rsid w:val="1CC93433"/>
    <w:rsid w:val="1CDC3027"/>
    <w:rsid w:val="1CFD070F"/>
    <w:rsid w:val="1D1A05C1"/>
    <w:rsid w:val="1D5F6196"/>
    <w:rsid w:val="1D6132A5"/>
    <w:rsid w:val="1D793E49"/>
    <w:rsid w:val="1D8E56D5"/>
    <w:rsid w:val="1D975BCD"/>
    <w:rsid w:val="1DB01DBE"/>
    <w:rsid w:val="1DDD668B"/>
    <w:rsid w:val="1E29229C"/>
    <w:rsid w:val="1E4C25DB"/>
    <w:rsid w:val="1E593BF7"/>
    <w:rsid w:val="1E7A43DA"/>
    <w:rsid w:val="1E94348E"/>
    <w:rsid w:val="1EBA7398"/>
    <w:rsid w:val="1EDE6023"/>
    <w:rsid w:val="1F8359DC"/>
    <w:rsid w:val="1FA80990"/>
    <w:rsid w:val="1FE7539E"/>
    <w:rsid w:val="20144886"/>
    <w:rsid w:val="20344F28"/>
    <w:rsid w:val="20671BE0"/>
    <w:rsid w:val="208859D0"/>
    <w:rsid w:val="20963CB8"/>
    <w:rsid w:val="20A81A1B"/>
    <w:rsid w:val="20AC0F62"/>
    <w:rsid w:val="20B07FB6"/>
    <w:rsid w:val="20B646FB"/>
    <w:rsid w:val="20D61B3B"/>
    <w:rsid w:val="213B74B1"/>
    <w:rsid w:val="215A2310"/>
    <w:rsid w:val="218F2F30"/>
    <w:rsid w:val="21DE318A"/>
    <w:rsid w:val="21DE339D"/>
    <w:rsid w:val="21EF5B80"/>
    <w:rsid w:val="21F42F2A"/>
    <w:rsid w:val="2243266F"/>
    <w:rsid w:val="22576990"/>
    <w:rsid w:val="227B0BEC"/>
    <w:rsid w:val="228D6B72"/>
    <w:rsid w:val="22B3482A"/>
    <w:rsid w:val="22F47480"/>
    <w:rsid w:val="2305495A"/>
    <w:rsid w:val="23085D60"/>
    <w:rsid w:val="23814D41"/>
    <w:rsid w:val="238B30B1"/>
    <w:rsid w:val="23B753E0"/>
    <w:rsid w:val="23C76B8B"/>
    <w:rsid w:val="23DE1C48"/>
    <w:rsid w:val="23FE3883"/>
    <w:rsid w:val="240210CD"/>
    <w:rsid w:val="241E2177"/>
    <w:rsid w:val="243F5C4A"/>
    <w:rsid w:val="24992B83"/>
    <w:rsid w:val="24BF09F7"/>
    <w:rsid w:val="24E52C95"/>
    <w:rsid w:val="24FA6740"/>
    <w:rsid w:val="252D53FE"/>
    <w:rsid w:val="25461985"/>
    <w:rsid w:val="25565A53"/>
    <w:rsid w:val="25891872"/>
    <w:rsid w:val="258B7398"/>
    <w:rsid w:val="25B83F05"/>
    <w:rsid w:val="25EC2D81"/>
    <w:rsid w:val="25F22882"/>
    <w:rsid w:val="25FD6710"/>
    <w:rsid w:val="263A491A"/>
    <w:rsid w:val="264D0AF2"/>
    <w:rsid w:val="26F176CF"/>
    <w:rsid w:val="26F45411"/>
    <w:rsid w:val="26F65782"/>
    <w:rsid w:val="272555CB"/>
    <w:rsid w:val="272C0707"/>
    <w:rsid w:val="273870AC"/>
    <w:rsid w:val="277057A2"/>
    <w:rsid w:val="27795800"/>
    <w:rsid w:val="288B76AF"/>
    <w:rsid w:val="28BC6607"/>
    <w:rsid w:val="28F931A5"/>
    <w:rsid w:val="29206EB8"/>
    <w:rsid w:val="29595666"/>
    <w:rsid w:val="29736AC1"/>
    <w:rsid w:val="29874881"/>
    <w:rsid w:val="29C1011C"/>
    <w:rsid w:val="29E325E0"/>
    <w:rsid w:val="2A1377D1"/>
    <w:rsid w:val="2A2878AC"/>
    <w:rsid w:val="2A2953D2"/>
    <w:rsid w:val="2A452503"/>
    <w:rsid w:val="2A8D5961"/>
    <w:rsid w:val="2AB83C88"/>
    <w:rsid w:val="2ADE440E"/>
    <w:rsid w:val="2B073182"/>
    <w:rsid w:val="2B147E30"/>
    <w:rsid w:val="2B514BE0"/>
    <w:rsid w:val="2B786E7C"/>
    <w:rsid w:val="2BA936A8"/>
    <w:rsid w:val="2C315A5A"/>
    <w:rsid w:val="2C4B1C25"/>
    <w:rsid w:val="2C6426F1"/>
    <w:rsid w:val="2D07359E"/>
    <w:rsid w:val="2D3A16A4"/>
    <w:rsid w:val="2D502C75"/>
    <w:rsid w:val="2D687184"/>
    <w:rsid w:val="2D9E56F5"/>
    <w:rsid w:val="2DBC2920"/>
    <w:rsid w:val="2DD94C15"/>
    <w:rsid w:val="2DFC7951"/>
    <w:rsid w:val="2E103E88"/>
    <w:rsid w:val="2E667F96"/>
    <w:rsid w:val="2E693FEF"/>
    <w:rsid w:val="2E7D577C"/>
    <w:rsid w:val="2E8226AB"/>
    <w:rsid w:val="2EE93382"/>
    <w:rsid w:val="2F3940BD"/>
    <w:rsid w:val="2FC260AC"/>
    <w:rsid w:val="2FD065E6"/>
    <w:rsid w:val="2FD96870"/>
    <w:rsid w:val="2FFB511A"/>
    <w:rsid w:val="30224D9D"/>
    <w:rsid w:val="3028155A"/>
    <w:rsid w:val="304E35ED"/>
    <w:rsid w:val="30580BC9"/>
    <w:rsid w:val="307F14AE"/>
    <w:rsid w:val="30A12166"/>
    <w:rsid w:val="30F878AC"/>
    <w:rsid w:val="3103697D"/>
    <w:rsid w:val="311E2ED7"/>
    <w:rsid w:val="315619EE"/>
    <w:rsid w:val="315C449C"/>
    <w:rsid w:val="319F0B56"/>
    <w:rsid w:val="31A574A5"/>
    <w:rsid w:val="31A812D2"/>
    <w:rsid w:val="31B82709"/>
    <w:rsid w:val="31CF685F"/>
    <w:rsid w:val="31D05482"/>
    <w:rsid w:val="31F21A98"/>
    <w:rsid w:val="320C360F"/>
    <w:rsid w:val="323A4620"/>
    <w:rsid w:val="32400B34"/>
    <w:rsid w:val="324359D2"/>
    <w:rsid w:val="329E6876"/>
    <w:rsid w:val="333015F2"/>
    <w:rsid w:val="334B6320"/>
    <w:rsid w:val="33631954"/>
    <w:rsid w:val="33BA632E"/>
    <w:rsid w:val="33D934D4"/>
    <w:rsid w:val="33FE2F6A"/>
    <w:rsid w:val="34014CC9"/>
    <w:rsid w:val="340E07E5"/>
    <w:rsid w:val="34235BF7"/>
    <w:rsid w:val="3453153F"/>
    <w:rsid w:val="345B6AD0"/>
    <w:rsid w:val="34DB2BCA"/>
    <w:rsid w:val="35270097"/>
    <w:rsid w:val="353D7F83"/>
    <w:rsid w:val="35821CC5"/>
    <w:rsid w:val="358C5FA8"/>
    <w:rsid w:val="35BF175E"/>
    <w:rsid w:val="35C15DF1"/>
    <w:rsid w:val="35EF4FD0"/>
    <w:rsid w:val="36074A7F"/>
    <w:rsid w:val="36271BC2"/>
    <w:rsid w:val="366F23BE"/>
    <w:rsid w:val="36923549"/>
    <w:rsid w:val="36B75FBF"/>
    <w:rsid w:val="36BD0C45"/>
    <w:rsid w:val="36F11F50"/>
    <w:rsid w:val="374C0952"/>
    <w:rsid w:val="37E00298"/>
    <w:rsid w:val="38123949"/>
    <w:rsid w:val="383B2796"/>
    <w:rsid w:val="38B302F9"/>
    <w:rsid w:val="38F11062"/>
    <w:rsid w:val="38F12CD3"/>
    <w:rsid w:val="38F94775"/>
    <w:rsid w:val="392456E2"/>
    <w:rsid w:val="392971ED"/>
    <w:rsid w:val="39325651"/>
    <w:rsid w:val="394713D0"/>
    <w:rsid w:val="39493E36"/>
    <w:rsid w:val="398268AC"/>
    <w:rsid w:val="3A396123"/>
    <w:rsid w:val="3A3E27D3"/>
    <w:rsid w:val="3A872856"/>
    <w:rsid w:val="3A8F74D3"/>
    <w:rsid w:val="3AC961C6"/>
    <w:rsid w:val="3AEA78F1"/>
    <w:rsid w:val="3AF7540D"/>
    <w:rsid w:val="3B3763D1"/>
    <w:rsid w:val="3B8C30C5"/>
    <w:rsid w:val="3BB371F1"/>
    <w:rsid w:val="3BC0486E"/>
    <w:rsid w:val="3C2F6E1E"/>
    <w:rsid w:val="3C4F64BA"/>
    <w:rsid w:val="3CA31014"/>
    <w:rsid w:val="3CD66855"/>
    <w:rsid w:val="3CDA245A"/>
    <w:rsid w:val="3D0F61D6"/>
    <w:rsid w:val="3D1E06B7"/>
    <w:rsid w:val="3D436353"/>
    <w:rsid w:val="3D6407A3"/>
    <w:rsid w:val="3D850719"/>
    <w:rsid w:val="3DBA6615"/>
    <w:rsid w:val="3DCA699A"/>
    <w:rsid w:val="3E9D2364"/>
    <w:rsid w:val="3EDA0523"/>
    <w:rsid w:val="3F4A7E6C"/>
    <w:rsid w:val="3FEA0D08"/>
    <w:rsid w:val="402D5DC0"/>
    <w:rsid w:val="404E573A"/>
    <w:rsid w:val="407A6407"/>
    <w:rsid w:val="40944A28"/>
    <w:rsid w:val="40C10C51"/>
    <w:rsid w:val="40C41559"/>
    <w:rsid w:val="40D52910"/>
    <w:rsid w:val="40E1035D"/>
    <w:rsid w:val="412D5350"/>
    <w:rsid w:val="416F3BBA"/>
    <w:rsid w:val="41986C6D"/>
    <w:rsid w:val="41A63BF5"/>
    <w:rsid w:val="41B9630E"/>
    <w:rsid w:val="4200449D"/>
    <w:rsid w:val="423A3BCC"/>
    <w:rsid w:val="424E57D2"/>
    <w:rsid w:val="42873F2A"/>
    <w:rsid w:val="42894808"/>
    <w:rsid w:val="42957651"/>
    <w:rsid w:val="42B26C49"/>
    <w:rsid w:val="42D02314"/>
    <w:rsid w:val="42EF4512"/>
    <w:rsid w:val="430E55FB"/>
    <w:rsid w:val="432F53AF"/>
    <w:rsid w:val="433A6FE6"/>
    <w:rsid w:val="43480868"/>
    <w:rsid w:val="4350713C"/>
    <w:rsid w:val="436653E0"/>
    <w:rsid w:val="436A4694"/>
    <w:rsid w:val="438D20D6"/>
    <w:rsid w:val="43B82553"/>
    <w:rsid w:val="43C4431A"/>
    <w:rsid w:val="43D61CCF"/>
    <w:rsid w:val="43DE2931"/>
    <w:rsid w:val="43F87E97"/>
    <w:rsid w:val="44254A04"/>
    <w:rsid w:val="443F1622"/>
    <w:rsid w:val="44621558"/>
    <w:rsid w:val="44B951CC"/>
    <w:rsid w:val="44CD14E0"/>
    <w:rsid w:val="44F20B0B"/>
    <w:rsid w:val="44F3065E"/>
    <w:rsid w:val="452E5F4C"/>
    <w:rsid w:val="452F5B3A"/>
    <w:rsid w:val="45387C9D"/>
    <w:rsid w:val="45460117"/>
    <w:rsid w:val="45612018"/>
    <w:rsid w:val="456A6B72"/>
    <w:rsid w:val="458946E9"/>
    <w:rsid w:val="45A47C0E"/>
    <w:rsid w:val="45BB6ACA"/>
    <w:rsid w:val="45F8417E"/>
    <w:rsid w:val="46317690"/>
    <w:rsid w:val="46577FD6"/>
    <w:rsid w:val="46BA1434"/>
    <w:rsid w:val="46C16C66"/>
    <w:rsid w:val="46C6427C"/>
    <w:rsid w:val="46D955A7"/>
    <w:rsid w:val="47133957"/>
    <w:rsid w:val="474A6C5C"/>
    <w:rsid w:val="479223FD"/>
    <w:rsid w:val="47A07E0C"/>
    <w:rsid w:val="47D604EF"/>
    <w:rsid w:val="47D96A49"/>
    <w:rsid w:val="47E65B4A"/>
    <w:rsid w:val="47F86550"/>
    <w:rsid w:val="481F0A2E"/>
    <w:rsid w:val="4870272E"/>
    <w:rsid w:val="48744216"/>
    <w:rsid w:val="48783354"/>
    <w:rsid w:val="487E1A6D"/>
    <w:rsid w:val="48831CF9"/>
    <w:rsid w:val="48916F56"/>
    <w:rsid w:val="48AB7C79"/>
    <w:rsid w:val="48DD5386"/>
    <w:rsid w:val="491C3609"/>
    <w:rsid w:val="493C0CBD"/>
    <w:rsid w:val="494616A5"/>
    <w:rsid w:val="496947E1"/>
    <w:rsid w:val="49CF3F47"/>
    <w:rsid w:val="49DC7715"/>
    <w:rsid w:val="49F92273"/>
    <w:rsid w:val="4A023139"/>
    <w:rsid w:val="4A0B01F8"/>
    <w:rsid w:val="4A1452FF"/>
    <w:rsid w:val="4A62250E"/>
    <w:rsid w:val="4A6F0787"/>
    <w:rsid w:val="4A742241"/>
    <w:rsid w:val="4A7B576F"/>
    <w:rsid w:val="4AB958AF"/>
    <w:rsid w:val="4AF561A9"/>
    <w:rsid w:val="4B13756B"/>
    <w:rsid w:val="4B1C090F"/>
    <w:rsid w:val="4B272E10"/>
    <w:rsid w:val="4B3C2D5F"/>
    <w:rsid w:val="4B5F7B2D"/>
    <w:rsid w:val="4BF278C2"/>
    <w:rsid w:val="4C0B44E0"/>
    <w:rsid w:val="4C4806DC"/>
    <w:rsid w:val="4C4A0649"/>
    <w:rsid w:val="4C7E5ECA"/>
    <w:rsid w:val="4C876AA5"/>
    <w:rsid w:val="4D0E00FB"/>
    <w:rsid w:val="4D176606"/>
    <w:rsid w:val="4D7560B4"/>
    <w:rsid w:val="4DC66910"/>
    <w:rsid w:val="4DEC4FB0"/>
    <w:rsid w:val="4DFE0D2E"/>
    <w:rsid w:val="4E075D8A"/>
    <w:rsid w:val="4E9A3978"/>
    <w:rsid w:val="4EC00FAD"/>
    <w:rsid w:val="4EEB175D"/>
    <w:rsid w:val="4EEC684A"/>
    <w:rsid w:val="4F182378"/>
    <w:rsid w:val="4F1B712F"/>
    <w:rsid w:val="4F231B40"/>
    <w:rsid w:val="4F2A2ECF"/>
    <w:rsid w:val="4F716E9A"/>
    <w:rsid w:val="4F7A20A8"/>
    <w:rsid w:val="4F8C3B89"/>
    <w:rsid w:val="4F9843DC"/>
    <w:rsid w:val="4FAC52CF"/>
    <w:rsid w:val="4FC62A8C"/>
    <w:rsid w:val="4FE20F0D"/>
    <w:rsid w:val="4FE51552"/>
    <w:rsid w:val="50504C4B"/>
    <w:rsid w:val="505B5E9B"/>
    <w:rsid w:val="50905620"/>
    <w:rsid w:val="509C6E7C"/>
    <w:rsid w:val="50BA02FE"/>
    <w:rsid w:val="5162104E"/>
    <w:rsid w:val="517A638F"/>
    <w:rsid w:val="51E1640E"/>
    <w:rsid w:val="51F52A55"/>
    <w:rsid w:val="522D6A37"/>
    <w:rsid w:val="52460C40"/>
    <w:rsid w:val="52520EDE"/>
    <w:rsid w:val="525E7A5F"/>
    <w:rsid w:val="52A34CD3"/>
    <w:rsid w:val="52AB2578"/>
    <w:rsid w:val="533B38FC"/>
    <w:rsid w:val="534F74A6"/>
    <w:rsid w:val="536410A5"/>
    <w:rsid w:val="539D0113"/>
    <w:rsid w:val="53A039CC"/>
    <w:rsid w:val="53A1505A"/>
    <w:rsid w:val="53B4545D"/>
    <w:rsid w:val="53D40B02"/>
    <w:rsid w:val="53F8390A"/>
    <w:rsid w:val="54063E08"/>
    <w:rsid w:val="542B3971"/>
    <w:rsid w:val="543437E8"/>
    <w:rsid w:val="547B6AD0"/>
    <w:rsid w:val="54866DF9"/>
    <w:rsid w:val="549067EE"/>
    <w:rsid w:val="54B55930"/>
    <w:rsid w:val="54F73313"/>
    <w:rsid w:val="54F80955"/>
    <w:rsid w:val="550B72FE"/>
    <w:rsid w:val="5523289A"/>
    <w:rsid w:val="555170A7"/>
    <w:rsid w:val="5587536D"/>
    <w:rsid w:val="558E2409"/>
    <w:rsid w:val="559B174B"/>
    <w:rsid w:val="55A57753"/>
    <w:rsid w:val="55B6370E"/>
    <w:rsid w:val="55CE0CF4"/>
    <w:rsid w:val="56131CDC"/>
    <w:rsid w:val="56457E98"/>
    <w:rsid w:val="56713C6E"/>
    <w:rsid w:val="56890E23"/>
    <w:rsid w:val="56B22A9C"/>
    <w:rsid w:val="57325016"/>
    <w:rsid w:val="573534C8"/>
    <w:rsid w:val="577E025B"/>
    <w:rsid w:val="578A1DD1"/>
    <w:rsid w:val="57B72A76"/>
    <w:rsid w:val="57C3426C"/>
    <w:rsid w:val="57CE1F93"/>
    <w:rsid w:val="57D50A07"/>
    <w:rsid w:val="58160494"/>
    <w:rsid w:val="588743D1"/>
    <w:rsid w:val="5887701A"/>
    <w:rsid w:val="58D2085F"/>
    <w:rsid w:val="58F76517"/>
    <w:rsid w:val="593A6404"/>
    <w:rsid w:val="59702DDB"/>
    <w:rsid w:val="598C4EB2"/>
    <w:rsid w:val="59AC5554"/>
    <w:rsid w:val="59C0439F"/>
    <w:rsid w:val="59D13D69"/>
    <w:rsid w:val="5ABE2233"/>
    <w:rsid w:val="5AC149CA"/>
    <w:rsid w:val="5AE42ACB"/>
    <w:rsid w:val="5B3475AF"/>
    <w:rsid w:val="5B5E5CA7"/>
    <w:rsid w:val="5BA04C44"/>
    <w:rsid w:val="5BDF5D95"/>
    <w:rsid w:val="5BFE7528"/>
    <w:rsid w:val="5C2F7D76"/>
    <w:rsid w:val="5C9F30C9"/>
    <w:rsid w:val="5CA92850"/>
    <w:rsid w:val="5CD765E0"/>
    <w:rsid w:val="5D7E7207"/>
    <w:rsid w:val="5D9205BD"/>
    <w:rsid w:val="5DA2181C"/>
    <w:rsid w:val="5E2467F1"/>
    <w:rsid w:val="5E451AD3"/>
    <w:rsid w:val="5EB752F0"/>
    <w:rsid w:val="5EC61893"/>
    <w:rsid w:val="5EDA5787"/>
    <w:rsid w:val="5F1A2B43"/>
    <w:rsid w:val="5F1C448A"/>
    <w:rsid w:val="5F5024DD"/>
    <w:rsid w:val="5F742670"/>
    <w:rsid w:val="5FB837BB"/>
    <w:rsid w:val="5FCB6008"/>
    <w:rsid w:val="5FCD3483"/>
    <w:rsid w:val="5FD5751D"/>
    <w:rsid w:val="5FF6225D"/>
    <w:rsid w:val="600532C8"/>
    <w:rsid w:val="6010496B"/>
    <w:rsid w:val="603A7439"/>
    <w:rsid w:val="60CA7BEF"/>
    <w:rsid w:val="60CC405A"/>
    <w:rsid w:val="60E22EA6"/>
    <w:rsid w:val="610861F0"/>
    <w:rsid w:val="615F1B5F"/>
    <w:rsid w:val="61727C75"/>
    <w:rsid w:val="61E215D8"/>
    <w:rsid w:val="61EE5FDE"/>
    <w:rsid w:val="621B3775"/>
    <w:rsid w:val="622E7280"/>
    <w:rsid w:val="62364782"/>
    <w:rsid w:val="628A21AA"/>
    <w:rsid w:val="62EF025F"/>
    <w:rsid w:val="63304B00"/>
    <w:rsid w:val="63323A71"/>
    <w:rsid w:val="634E0A64"/>
    <w:rsid w:val="635B76A3"/>
    <w:rsid w:val="638C3D00"/>
    <w:rsid w:val="6394356A"/>
    <w:rsid w:val="63AC353E"/>
    <w:rsid w:val="63C61B2C"/>
    <w:rsid w:val="63D40BE9"/>
    <w:rsid w:val="64065861"/>
    <w:rsid w:val="64102431"/>
    <w:rsid w:val="642B176B"/>
    <w:rsid w:val="643B6113"/>
    <w:rsid w:val="646507D9"/>
    <w:rsid w:val="64A5243A"/>
    <w:rsid w:val="64DD5792"/>
    <w:rsid w:val="64F531DE"/>
    <w:rsid w:val="650C334B"/>
    <w:rsid w:val="65181CEF"/>
    <w:rsid w:val="65373578"/>
    <w:rsid w:val="65776299"/>
    <w:rsid w:val="65B339DA"/>
    <w:rsid w:val="66227C6D"/>
    <w:rsid w:val="66CC1ACE"/>
    <w:rsid w:val="670F0ED0"/>
    <w:rsid w:val="671F124A"/>
    <w:rsid w:val="67703870"/>
    <w:rsid w:val="677A33C6"/>
    <w:rsid w:val="67FD0AD2"/>
    <w:rsid w:val="6804041E"/>
    <w:rsid w:val="680C16AE"/>
    <w:rsid w:val="681F6961"/>
    <w:rsid w:val="68610A2F"/>
    <w:rsid w:val="68805514"/>
    <w:rsid w:val="68914CF6"/>
    <w:rsid w:val="68D47A7B"/>
    <w:rsid w:val="68E5013A"/>
    <w:rsid w:val="68F87748"/>
    <w:rsid w:val="69016737"/>
    <w:rsid w:val="69316E2F"/>
    <w:rsid w:val="694B0300"/>
    <w:rsid w:val="694E2071"/>
    <w:rsid w:val="69744561"/>
    <w:rsid w:val="69766163"/>
    <w:rsid w:val="697A3B33"/>
    <w:rsid w:val="69847953"/>
    <w:rsid w:val="699F653B"/>
    <w:rsid w:val="69D44760"/>
    <w:rsid w:val="6A520EC7"/>
    <w:rsid w:val="6AF87E20"/>
    <w:rsid w:val="6B322639"/>
    <w:rsid w:val="6B680BAF"/>
    <w:rsid w:val="6B827C66"/>
    <w:rsid w:val="6B8C0D41"/>
    <w:rsid w:val="6C2471CC"/>
    <w:rsid w:val="6C4C4D75"/>
    <w:rsid w:val="6C53185F"/>
    <w:rsid w:val="6C5F31B3"/>
    <w:rsid w:val="6C636C38"/>
    <w:rsid w:val="6C7B01A6"/>
    <w:rsid w:val="6C801A18"/>
    <w:rsid w:val="6D7B2E1B"/>
    <w:rsid w:val="6DB34098"/>
    <w:rsid w:val="6DB545B6"/>
    <w:rsid w:val="6DB73911"/>
    <w:rsid w:val="6DCE3893"/>
    <w:rsid w:val="6DD508E0"/>
    <w:rsid w:val="6DE02FB4"/>
    <w:rsid w:val="6E052AE9"/>
    <w:rsid w:val="6E514CED"/>
    <w:rsid w:val="6E5D69C5"/>
    <w:rsid w:val="6EB563D5"/>
    <w:rsid w:val="6ED92677"/>
    <w:rsid w:val="6EE00D28"/>
    <w:rsid w:val="6EE91D09"/>
    <w:rsid w:val="6EFC7F8C"/>
    <w:rsid w:val="6F090954"/>
    <w:rsid w:val="6F225983"/>
    <w:rsid w:val="6F4436E1"/>
    <w:rsid w:val="6F8E2F5C"/>
    <w:rsid w:val="6FCE0273"/>
    <w:rsid w:val="6FFC5590"/>
    <w:rsid w:val="70141305"/>
    <w:rsid w:val="706D1DD0"/>
    <w:rsid w:val="70856B87"/>
    <w:rsid w:val="708F2503"/>
    <w:rsid w:val="70BB6825"/>
    <w:rsid w:val="70C57681"/>
    <w:rsid w:val="70D527EE"/>
    <w:rsid w:val="714532B2"/>
    <w:rsid w:val="71494FDF"/>
    <w:rsid w:val="715B5300"/>
    <w:rsid w:val="717C1858"/>
    <w:rsid w:val="719A3A8C"/>
    <w:rsid w:val="71A373BF"/>
    <w:rsid w:val="71D27F8A"/>
    <w:rsid w:val="71F47640"/>
    <w:rsid w:val="72190E55"/>
    <w:rsid w:val="722F2426"/>
    <w:rsid w:val="72553024"/>
    <w:rsid w:val="72D336FA"/>
    <w:rsid w:val="72D72655"/>
    <w:rsid w:val="72E13808"/>
    <w:rsid w:val="73122968"/>
    <w:rsid w:val="731A4E85"/>
    <w:rsid w:val="731F5D5E"/>
    <w:rsid w:val="739C2A49"/>
    <w:rsid w:val="73C51AD5"/>
    <w:rsid w:val="73CD639B"/>
    <w:rsid w:val="73DC038C"/>
    <w:rsid w:val="741E793C"/>
    <w:rsid w:val="745E3944"/>
    <w:rsid w:val="74850408"/>
    <w:rsid w:val="74CE4543"/>
    <w:rsid w:val="74FA5CA4"/>
    <w:rsid w:val="752A39D3"/>
    <w:rsid w:val="754D57A8"/>
    <w:rsid w:val="75A15810"/>
    <w:rsid w:val="75B12AD4"/>
    <w:rsid w:val="7630676D"/>
    <w:rsid w:val="7635099D"/>
    <w:rsid w:val="76593F16"/>
    <w:rsid w:val="76650B0D"/>
    <w:rsid w:val="766703E1"/>
    <w:rsid w:val="76D13197"/>
    <w:rsid w:val="7730111A"/>
    <w:rsid w:val="77762421"/>
    <w:rsid w:val="77931C2F"/>
    <w:rsid w:val="77B56B1F"/>
    <w:rsid w:val="77C6382D"/>
    <w:rsid w:val="780F09F4"/>
    <w:rsid w:val="789B25C4"/>
    <w:rsid w:val="78A82F32"/>
    <w:rsid w:val="78A90480"/>
    <w:rsid w:val="78F42964"/>
    <w:rsid w:val="791C2876"/>
    <w:rsid w:val="79312F28"/>
    <w:rsid w:val="796055BB"/>
    <w:rsid w:val="79933F60"/>
    <w:rsid w:val="7A33472F"/>
    <w:rsid w:val="7A364017"/>
    <w:rsid w:val="7A601D17"/>
    <w:rsid w:val="7A8265E1"/>
    <w:rsid w:val="7A86235C"/>
    <w:rsid w:val="7A8B0BA1"/>
    <w:rsid w:val="7A9674E6"/>
    <w:rsid w:val="7B06480D"/>
    <w:rsid w:val="7B686D42"/>
    <w:rsid w:val="7B6E5D6D"/>
    <w:rsid w:val="7B7A2624"/>
    <w:rsid w:val="7B841746"/>
    <w:rsid w:val="7B9A36F9"/>
    <w:rsid w:val="7C6C5AC7"/>
    <w:rsid w:val="7C8963D7"/>
    <w:rsid w:val="7C8F243F"/>
    <w:rsid w:val="7CA13F21"/>
    <w:rsid w:val="7CB97F59"/>
    <w:rsid w:val="7CBE2D25"/>
    <w:rsid w:val="7CC6544B"/>
    <w:rsid w:val="7CDC31AB"/>
    <w:rsid w:val="7D0239FF"/>
    <w:rsid w:val="7D221505"/>
    <w:rsid w:val="7D227404"/>
    <w:rsid w:val="7D5176F5"/>
    <w:rsid w:val="7D5E40CD"/>
    <w:rsid w:val="7D641299"/>
    <w:rsid w:val="7D781125"/>
    <w:rsid w:val="7DCD56F2"/>
    <w:rsid w:val="7E130E4E"/>
    <w:rsid w:val="7E1D22C7"/>
    <w:rsid w:val="7E5576B9"/>
    <w:rsid w:val="7F001CE7"/>
    <w:rsid w:val="7F250E39"/>
    <w:rsid w:val="7FAC3308"/>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nhideWhenUsed="0" w:uiPriority="0" w:semiHidden="0" w:name="heading 2" w:locked="1"/>
    <w:lsdException w:qFormat="1" w:unhideWhenUsed="0" w:uiPriority="0" w:semiHidden="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qFormat="1" w:uiPriority="0" w:semiHidden="0" w:name="toc 7" w:locked="1"/>
    <w:lsdException w:unhideWhenUsed="0" w:uiPriority="0" w:semiHidden="0" w:name="toc 8" w:locked="1"/>
    <w:lsdException w:unhideWhenUsed="0" w:uiPriority="0" w:semiHidden="0" w:name="toc 9" w:locked="1"/>
    <w:lsdException w:qFormat="1" w:uiPriority="0" w:semiHidden="0" w:name="Normal Indent" w:locked="1"/>
    <w:lsdException w:unhideWhenUsed="0" w:uiPriority="0" w:semiHidden="0" w:name="footnote text" w:locked="1"/>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nhideWhenUsed="0" w:uiPriority="99" w:semiHidden="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qFormat="1"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unhideWhenUsed="0" w:uiPriority="0" w:semiHidden="0" w:name="Body Text First Indent" w:locked="1"/>
    <w:lsdException w:qFormat="1" w:unhideWhenUsed="0" w:uiPriority="99" w:semiHidden="0" w:name="Body Text First Indent 2" w:locked="1"/>
    <w:lsdException w:qFormat="1" w:uiPriority="0" w:semiHidden="0" w:name="Note Heading" w:locked="1"/>
    <w:lsdException w:unhideWhenUsed="0" w:uiPriority="0" w:semiHidden="0" w:name="Body Text 2" w:locked="1"/>
    <w:lsdException w:unhideWhenUsed="0" w:uiPriority="0" w:semiHidden="0" w:name="Body Text 3" w:locked="1"/>
    <w:lsdException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qFormat="1" w:unhideWhenUsed="0" w:uiPriority="0" w:semiHidden="0" w:name="Document Map" w:locked="1"/>
    <w:lsdException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iPriority="99" w:name="Normal Table"/>
    <w:lsdException w:qFormat="1" w:unhideWhenUsed="0" w:uiPriority="0" w:semiHidden="0" w:name="annotation subject"/>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semiHidden="0" w:name="Balloon Text"/>
    <w:lsdException w:qFormat="1" w:unhideWhenUsed="0" w:uiPriority="0" w:semiHidden="0" w:name="Table Grid"/>
    <w:lsdException w:uiPriority="0" w:name="Table Theme" w:locked="1"/>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overflowPunct w:val="0"/>
      <w:spacing w:line="360" w:lineRule="auto"/>
      <w:ind w:firstLine="720" w:firstLineChars="200"/>
    </w:pPr>
    <w:rPr>
      <w:rFonts w:ascii="Times New Roman" w:hAnsi="Times New Roman" w:eastAsia="宋体" w:cs="Times New Roman"/>
      <w:sz w:val="24"/>
      <w:szCs w:val="24"/>
      <w:lang w:val="en-US" w:eastAsia="zh-CN" w:bidi="ar-SA"/>
    </w:rPr>
  </w:style>
  <w:style w:type="paragraph" w:styleId="2">
    <w:name w:val="heading 1"/>
    <w:next w:val="1"/>
    <w:link w:val="30"/>
    <w:qFormat/>
    <w:locked/>
    <w:uiPriority w:val="99"/>
    <w:pPr>
      <w:keepNext/>
      <w:overflowPunct w:val="0"/>
      <w:snapToGrid w:val="0"/>
      <w:spacing w:line="360" w:lineRule="auto"/>
      <w:jc w:val="center"/>
      <w:outlineLvl w:val="0"/>
    </w:pPr>
    <w:rPr>
      <w:rFonts w:ascii="Times New Roman" w:hAnsi="Times New Roman" w:eastAsia="宋体" w:cs="Times New Roman"/>
      <w:b/>
      <w:bCs/>
      <w:color w:val="000000"/>
      <w:kern w:val="44"/>
      <w:sz w:val="72"/>
      <w:szCs w:val="30"/>
      <w:lang w:val="en-US" w:eastAsia="zh-CN" w:bidi="ar-SA"/>
    </w:rPr>
  </w:style>
  <w:style w:type="paragraph" w:styleId="3">
    <w:name w:val="heading 2"/>
    <w:basedOn w:val="1"/>
    <w:next w:val="1"/>
    <w:qFormat/>
    <w:locked/>
    <w:uiPriority w:val="0"/>
    <w:pPr>
      <w:keepNext/>
      <w:keepLines/>
      <w:spacing w:before="260" w:after="260"/>
      <w:jc w:val="center"/>
      <w:outlineLvl w:val="1"/>
    </w:pPr>
    <w:rPr>
      <w:rFonts w:ascii="Arial" w:hAnsi="Arial"/>
      <w:sz w:val="48"/>
    </w:rPr>
  </w:style>
  <w:style w:type="paragraph" w:styleId="4">
    <w:name w:val="heading 3"/>
    <w:next w:val="1"/>
    <w:qFormat/>
    <w:locked/>
    <w:uiPriority w:val="0"/>
    <w:pPr>
      <w:keepNext/>
      <w:keepLines/>
      <w:spacing w:before="260" w:after="260" w:line="360" w:lineRule="auto"/>
      <w:jc w:val="center"/>
      <w:outlineLvl w:val="2"/>
    </w:pPr>
    <w:rPr>
      <w:rFonts w:ascii="Times New Roman" w:hAnsi="Times New Roman" w:eastAsia="宋体" w:cs="Times New Roman"/>
      <w:sz w:val="36"/>
      <w:lang w:val="en-US" w:eastAsia="zh-CN" w:bidi="ar-SA"/>
    </w:rPr>
  </w:style>
  <w:style w:type="paragraph" w:styleId="5">
    <w:name w:val="heading 4"/>
    <w:basedOn w:val="1"/>
    <w:next w:val="1"/>
    <w:qFormat/>
    <w:locked/>
    <w:uiPriority w:val="0"/>
    <w:pPr>
      <w:keepNext/>
      <w:keepLines/>
      <w:spacing w:before="280"/>
      <w:jc w:val="center"/>
      <w:outlineLvl w:val="3"/>
    </w:pPr>
    <w:rPr>
      <w:rFonts w:ascii="Arial" w:hAnsi="Arial" w:eastAsia="黑体"/>
      <w:b/>
      <w:sz w:val="30"/>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unhideWhenUsed/>
    <w:qFormat/>
    <w:locked/>
    <w:uiPriority w:val="0"/>
    <w:pPr>
      <w:ind w:firstLine="0" w:firstLineChars="0"/>
    </w:pPr>
    <w:rPr>
      <w:rFonts w:hint="eastAsia"/>
      <w:b/>
      <w:bCs/>
      <w:szCs w:val="21"/>
    </w:rPr>
  </w:style>
  <w:style w:type="paragraph" w:styleId="7">
    <w:name w:val="Note Heading"/>
    <w:next w:val="1"/>
    <w:unhideWhenUsed/>
    <w:qFormat/>
    <w:locked/>
    <w:uiPriority w:val="0"/>
    <w:pPr>
      <w:spacing w:line="240" w:lineRule="atLeast"/>
      <w:jc w:val="center"/>
    </w:pPr>
    <w:rPr>
      <w:rFonts w:hint="eastAsia" w:ascii="Times New Roman" w:hAnsi="Times New Roman" w:eastAsia="Times New Roman" w:cs="Times New Roman"/>
      <w:b/>
      <w:sz w:val="21"/>
      <w:szCs w:val="24"/>
      <w:lang w:val="en-US" w:eastAsia="zh-CN" w:bidi="ar-SA"/>
    </w:rPr>
  </w:style>
  <w:style w:type="paragraph" w:styleId="8">
    <w:name w:val="Normal Indent"/>
    <w:basedOn w:val="1"/>
    <w:next w:val="9"/>
    <w:unhideWhenUsed/>
    <w:qFormat/>
    <w:locked/>
    <w:uiPriority w:val="0"/>
    <w:pPr>
      <w:ind w:firstLine="420"/>
    </w:pPr>
    <w:rPr>
      <w:szCs w:val="22"/>
    </w:rPr>
  </w:style>
  <w:style w:type="paragraph" w:styleId="9">
    <w:name w:val="Body Text First Indent 2"/>
    <w:basedOn w:val="5"/>
    <w:next w:val="1"/>
    <w:qFormat/>
    <w:locked/>
    <w:uiPriority w:val="99"/>
    <w:pPr>
      <w:keepNext w:val="0"/>
      <w:keepLines w:val="0"/>
      <w:spacing w:before="120" w:after="120" w:line="240" w:lineRule="auto"/>
      <w:ind w:left="864" w:firstLine="420"/>
      <w:jc w:val="left"/>
    </w:pPr>
    <w:rPr>
      <w:rFonts w:hint="eastAsia" w:ascii="黑体"/>
      <w:b w:val="0"/>
      <w:sz w:val="28"/>
    </w:rPr>
  </w:style>
  <w:style w:type="paragraph" w:styleId="10">
    <w:name w:val="caption"/>
    <w:basedOn w:val="1"/>
    <w:next w:val="1"/>
    <w:qFormat/>
    <w:locked/>
    <w:uiPriority w:val="99"/>
    <w:pPr>
      <w:jc w:val="center"/>
    </w:pPr>
    <w:rPr>
      <w:rFonts w:hint="eastAsia"/>
      <w:b/>
      <w:sz w:val="21"/>
      <w:szCs w:val="20"/>
    </w:rPr>
  </w:style>
  <w:style w:type="paragraph" w:styleId="11">
    <w:name w:val="Document Map"/>
    <w:link w:val="31"/>
    <w:qFormat/>
    <w:locked/>
    <w:uiPriority w:val="0"/>
    <w:pPr>
      <w:jc w:val="center"/>
    </w:pPr>
    <w:rPr>
      <w:rFonts w:ascii="宋体" w:hAnsi="宋体" w:eastAsia="宋体" w:cs="Times New Roman"/>
      <w:sz w:val="24"/>
      <w:szCs w:val="18"/>
      <w:lang w:val="en-US" w:eastAsia="zh-CN" w:bidi="ar-SA"/>
    </w:rPr>
  </w:style>
  <w:style w:type="paragraph" w:styleId="12">
    <w:name w:val="annotation text"/>
    <w:basedOn w:val="1"/>
    <w:link w:val="32"/>
    <w:qFormat/>
    <w:uiPriority w:val="0"/>
    <w:rPr>
      <w:b/>
      <w:szCs w:val="20"/>
    </w:rPr>
  </w:style>
  <w:style w:type="paragraph" w:styleId="13">
    <w:name w:val="Body Text"/>
    <w:basedOn w:val="1"/>
    <w:next w:val="14"/>
    <w:link w:val="33"/>
    <w:qFormat/>
    <w:uiPriority w:val="0"/>
    <w:pPr>
      <w:widowControl/>
      <w:snapToGrid w:val="0"/>
    </w:pPr>
  </w:style>
  <w:style w:type="paragraph" w:customStyle="1" w:styleId="14">
    <w:name w:val="xl27"/>
    <w:basedOn w:val="1"/>
    <w:unhideWhenUsed/>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sz w:val="21"/>
    </w:rPr>
  </w:style>
  <w:style w:type="paragraph" w:styleId="15">
    <w:name w:val="Body Text Indent"/>
    <w:basedOn w:val="1"/>
    <w:link w:val="34"/>
    <w:qFormat/>
    <w:uiPriority w:val="0"/>
    <w:pPr>
      <w:spacing w:after="120"/>
      <w:ind w:left="420" w:leftChars="200"/>
    </w:pPr>
    <w:rPr>
      <w:szCs w:val="20"/>
    </w:rPr>
  </w:style>
  <w:style w:type="paragraph" w:styleId="16">
    <w:name w:val="Date"/>
    <w:basedOn w:val="1"/>
    <w:next w:val="1"/>
    <w:link w:val="35"/>
    <w:qFormat/>
    <w:uiPriority w:val="0"/>
    <w:pPr>
      <w:ind w:left="100" w:leftChars="2500"/>
    </w:pPr>
    <w:rPr>
      <w:szCs w:val="20"/>
    </w:rPr>
  </w:style>
  <w:style w:type="paragraph" w:styleId="17">
    <w:name w:val="Balloon Text"/>
    <w:basedOn w:val="1"/>
    <w:link w:val="36"/>
    <w:qFormat/>
    <w:uiPriority w:val="0"/>
    <w:pPr>
      <w:ind w:firstLine="0" w:firstLineChars="0"/>
    </w:pPr>
    <w:rPr>
      <w:b/>
      <w:sz w:val="28"/>
      <w:szCs w:val="20"/>
    </w:rPr>
  </w:style>
  <w:style w:type="paragraph" w:styleId="18">
    <w:name w:val="footer"/>
    <w:basedOn w:val="1"/>
    <w:link w:val="37"/>
    <w:qFormat/>
    <w:uiPriority w:val="99"/>
    <w:pPr>
      <w:tabs>
        <w:tab w:val="center" w:pos="4153"/>
        <w:tab w:val="right" w:pos="8306"/>
      </w:tabs>
      <w:snapToGrid w:val="0"/>
    </w:pPr>
    <w:rPr>
      <w:sz w:val="18"/>
      <w:szCs w:val="20"/>
    </w:rPr>
  </w:style>
  <w:style w:type="paragraph" w:styleId="19">
    <w:name w:val="header"/>
    <w:basedOn w:val="1"/>
    <w:link w:val="38"/>
    <w:qFormat/>
    <w:uiPriority w:val="0"/>
    <w:pPr>
      <w:pBdr>
        <w:bottom w:val="single" w:color="auto" w:sz="6" w:space="1"/>
      </w:pBdr>
      <w:tabs>
        <w:tab w:val="center" w:pos="4153"/>
        <w:tab w:val="right" w:pos="8306"/>
      </w:tabs>
      <w:snapToGrid w:val="0"/>
      <w:jc w:val="center"/>
    </w:pPr>
    <w:rPr>
      <w:sz w:val="18"/>
      <w:szCs w:val="20"/>
    </w:rPr>
  </w:style>
  <w:style w:type="paragraph" w:styleId="20">
    <w:name w:val="List"/>
    <w:basedOn w:val="1"/>
    <w:next w:val="1"/>
    <w:link w:val="71"/>
    <w:qFormat/>
    <w:locked/>
    <w:uiPriority w:val="0"/>
    <w:pPr>
      <w:adjustRightInd w:val="0"/>
      <w:snapToGrid w:val="0"/>
      <w:spacing w:line="240" w:lineRule="atLeast"/>
      <w:ind w:firstLine="0" w:firstLineChars="0"/>
      <w:jc w:val="center"/>
    </w:pPr>
    <w:rPr>
      <w:sz w:val="21"/>
      <w:szCs w:val="21"/>
    </w:rPr>
  </w:style>
  <w:style w:type="paragraph" w:styleId="21">
    <w:name w:val="Normal (Web)"/>
    <w:basedOn w:val="1"/>
    <w:link w:val="39"/>
    <w:qFormat/>
    <w:uiPriority w:val="0"/>
    <w:pPr>
      <w:widowControl/>
      <w:spacing w:before="100" w:beforeAutospacing="1" w:after="100" w:afterAutospacing="1"/>
    </w:pPr>
    <w:rPr>
      <w:rFonts w:ascii="宋体" w:hAnsi="宋体"/>
      <w:szCs w:val="20"/>
    </w:rPr>
  </w:style>
  <w:style w:type="paragraph" w:styleId="22">
    <w:name w:val="annotation subject"/>
    <w:next w:val="1"/>
    <w:link w:val="40"/>
    <w:qFormat/>
    <w:uiPriority w:val="0"/>
    <w:pPr>
      <w:autoSpaceDE w:val="0"/>
      <w:autoSpaceDN w:val="0"/>
      <w:jc w:val="center"/>
    </w:pPr>
    <w:rPr>
      <w:rFonts w:ascii="Times New Roman" w:hAnsi="Times New Roman" w:eastAsia="宋体" w:cs="Times New Roman"/>
      <w:b/>
      <w:kern w:val="2"/>
      <w:sz w:val="21"/>
      <w:lang w:val="en-US" w:eastAsia="zh-CN" w:bidi="ar-SA"/>
    </w:rPr>
  </w:style>
  <w:style w:type="table" w:styleId="24">
    <w:name w:val="Table Grid"/>
    <w:basedOn w:val="2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qFormat/>
    <w:locked/>
    <w:uiPriority w:val="0"/>
  </w:style>
  <w:style w:type="character" w:styleId="27">
    <w:name w:val="Hyperlink"/>
    <w:qFormat/>
    <w:locked/>
    <w:uiPriority w:val="0"/>
    <w:rPr>
      <w:color w:val="0000FF"/>
      <w:u w:val="single"/>
    </w:rPr>
  </w:style>
  <w:style w:type="character" w:styleId="28">
    <w:name w:val="annotation reference"/>
    <w:semiHidden/>
    <w:qFormat/>
    <w:uiPriority w:val="0"/>
    <w:rPr>
      <w:sz w:val="21"/>
    </w:rPr>
  </w:style>
  <w:style w:type="paragraph" w:customStyle="1" w:styleId="29">
    <w:name w:val="环评表格"/>
    <w:basedOn w:val="1"/>
    <w:qFormat/>
    <w:uiPriority w:val="0"/>
    <w:pPr>
      <w:spacing w:before="100" w:after="100" w:line="240" w:lineRule="exact"/>
      <w:ind w:firstLine="0" w:firstLineChars="0"/>
      <w:jc w:val="center"/>
    </w:pPr>
    <w:rPr>
      <w:rFonts w:hint="eastAsia"/>
      <w:kern w:val="2"/>
      <w:sz w:val="21"/>
    </w:rPr>
  </w:style>
  <w:style w:type="character" w:customStyle="1" w:styleId="30">
    <w:name w:val="标题 1 字符"/>
    <w:link w:val="2"/>
    <w:qFormat/>
    <w:uiPriority w:val="99"/>
    <w:rPr>
      <w:rFonts w:ascii="Times New Roman" w:hAnsi="Times New Roman" w:eastAsia="宋体"/>
      <w:b/>
      <w:bCs/>
      <w:color w:val="000000"/>
      <w:kern w:val="44"/>
      <w:sz w:val="72"/>
      <w:szCs w:val="30"/>
    </w:rPr>
  </w:style>
  <w:style w:type="character" w:customStyle="1" w:styleId="31">
    <w:name w:val="文档结构图 字符"/>
    <w:link w:val="11"/>
    <w:qFormat/>
    <w:uiPriority w:val="0"/>
    <w:rPr>
      <w:rFonts w:ascii="宋体" w:hAnsi="宋体" w:eastAsia="宋体"/>
      <w:kern w:val="2"/>
      <w:sz w:val="24"/>
      <w:szCs w:val="18"/>
    </w:rPr>
  </w:style>
  <w:style w:type="character" w:customStyle="1" w:styleId="32">
    <w:name w:val="批注文字 字符"/>
    <w:link w:val="12"/>
    <w:qFormat/>
    <w:locked/>
    <w:uiPriority w:val="0"/>
    <w:rPr>
      <w:rFonts w:ascii="Times New Roman" w:hAnsi="Times New Roman" w:eastAsia="宋体"/>
      <w:b/>
      <w:sz w:val="24"/>
    </w:rPr>
  </w:style>
  <w:style w:type="character" w:customStyle="1" w:styleId="33">
    <w:name w:val="正文文本 字符"/>
    <w:link w:val="13"/>
    <w:qFormat/>
    <w:locked/>
    <w:uiPriority w:val="0"/>
    <w:rPr>
      <w:rFonts w:ascii="Times New Roman" w:hAnsi="Times New Roman" w:eastAsia="宋体"/>
      <w:sz w:val="24"/>
      <w:szCs w:val="24"/>
    </w:rPr>
  </w:style>
  <w:style w:type="character" w:customStyle="1" w:styleId="34">
    <w:name w:val="正文文本缩进 字符"/>
    <w:link w:val="15"/>
    <w:semiHidden/>
    <w:qFormat/>
    <w:locked/>
    <w:uiPriority w:val="0"/>
    <w:rPr>
      <w:rFonts w:ascii="Times New Roman" w:hAnsi="Times New Roman" w:eastAsia="宋体"/>
      <w:sz w:val="24"/>
    </w:rPr>
  </w:style>
  <w:style w:type="character" w:customStyle="1" w:styleId="35">
    <w:name w:val="日期 字符1"/>
    <w:link w:val="16"/>
    <w:qFormat/>
    <w:locked/>
    <w:uiPriority w:val="0"/>
    <w:rPr>
      <w:rFonts w:ascii="Times New Roman" w:hAnsi="Times New Roman" w:eastAsia="宋体"/>
      <w:sz w:val="24"/>
    </w:rPr>
  </w:style>
  <w:style w:type="character" w:customStyle="1" w:styleId="36">
    <w:name w:val="批注框文本 字符"/>
    <w:link w:val="17"/>
    <w:semiHidden/>
    <w:qFormat/>
    <w:locked/>
    <w:uiPriority w:val="0"/>
    <w:rPr>
      <w:rFonts w:ascii="Times New Roman" w:hAnsi="Times New Roman" w:eastAsia="宋体"/>
      <w:b/>
      <w:sz w:val="28"/>
    </w:rPr>
  </w:style>
  <w:style w:type="character" w:customStyle="1" w:styleId="37">
    <w:name w:val="页脚 字符1"/>
    <w:link w:val="18"/>
    <w:qFormat/>
    <w:locked/>
    <w:uiPriority w:val="99"/>
    <w:rPr>
      <w:sz w:val="18"/>
    </w:rPr>
  </w:style>
  <w:style w:type="character" w:customStyle="1" w:styleId="38">
    <w:name w:val="页眉 字符"/>
    <w:link w:val="19"/>
    <w:qFormat/>
    <w:locked/>
    <w:uiPriority w:val="0"/>
    <w:rPr>
      <w:sz w:val="18"/>
    </w:rPr>
  </w:style>
  <w:style w:type="character" w:customStyle="1" w:styleId="39">
    <w:name w:val="普通(网站) 字符"/>
    <w:link w:val="21"/>
    <w:qFormat/>
    <w:locked/>
    <w:uiPriority w:val="0"/>
    <w:rPr>
      <w:rFonts w:ascii="宋体" w:hAnsi="宋体" w:eastAsia="宋体"/>
      <w:sz w:val="24"/>
    </w:rPr>
  </w:style>
  <w:style w:type="character" w:customStyle="1" w:styleId="40">
    <w:name w:val="批注主题 字符"/>
    <w:link w:val="22"/>
    <w:semiHidden/>
    <w:qFormat/>
    <w:locked/>
    <w:uiPriority w:val="0"/>
    <w:rPr>
      <w:rFonts w:ascii="Times New Roman" w:hAnsi="Times New Roman" w:eastAsia="宋体"/>
      <w:b/>
      <w:kern w:val="2"/>
      <w:sz w:val="21"/>
    </w:rPr>
  </w:style>
  <w:style w:type="paragraph" w:customStyle="1" w:styleId="41">
    <w:name w:val="表内容"/>
    <w:link w:val="42"/>
    <w:unhideWhenUsed/>
    <w:qFormat/>
    <w:uiPriority w:val="99"/>
    <w:pPr>
      <w:spacing w:line="240" w:lineRule="atLeast"/>
      <w:jc w:val="center"/>
    </w:pPr>
    <w:rPr>
      <w:rFonts w:ascii="Times New Roman" w:hAnsi="Times New Roman" w:eastAsia="宋体" w:cs="Times New Roman"/>
      <w:kern w:val="2"/>
      <w:sz w:val="21"/>
      <w:szCs w:val="24"/>
      <w:lang w:val="en-US" w:eastAsia="zh-CN" w:bidi="ar-SA"/>
    </w:rPr>
  </w:style>
  <w:style w:type="character" w:customStyle="1" w:styleId="42">
    <w:name w:val="表内容 Char"/>
    <w:link w:val="41"/>
    <w:qFormat/>
    <w:uiPriority w:val="99"/>
    <w:rPr>
      <w:rFonts w:ascii="Times New Roman" w:hAnsi="Times New Roman" w:eastAsia="宋体"/>
      <w:kern w:val="2"/>
      <w:sz w:val="21"/>
      <w:szCs w:val="24"/>
      <w:lang w:val="en-US" w:eastAsia="zh-CN" w:bidi="ar-SA"/>
    </w:rPr>
  </w:style>
  <w:style w:type="paragraph" w:customStyle="1" w:styleId="43">
    <w:name w:val="纯文本1"/>
    <w:basedOn w:val="1"/>
    <w:next w:val="1"/>
    <w:qFormat/>
    <w:uiPriority w:val="0"/>
    <w:pPr>
      <w:adjustRightInd w:val="0"/>
      <w:jc w:val="center"/>
      <w:textAlignment w:val="baseline"/>
    </w:pPr>
    <w:rPr>
      <w:rFonts w:ascii="宋体" w:hAnsi="Courier New"/>
      <w:szCs w:val="20"/>
    </w:rPr>
  </w:style>
  <w:style w:type="paragraph" w:customStyle="1" w:styleId="44">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character" w:customStyle="1" w:styleId="45">
    <w:name w:val="日期 字符"/>
    <w:semiHidden/>
    <w:qFormat/>
    <w:uiPriority w:val="0"/>
    <w:rPr>
      <w:rFonts w:ascii="Times New Roman" w:hAnsi="Times New Roman" w:eastAsia="宋体"/>
      <w:sz w:val="24"/>
    </w:rPr>
  </w:style>
  <w:style w:type="character" w:customStyle="1" w:styleId="46">
    <w:name w:val="表格 Char"/>
    <w:link w:val="47"/>
    <w:qFormat/>
    <w:locked/>
    <w:uiPriority w:val="0"/>
    <w:rPr>
      <w:rFonts w:ascii="宋体"/>
      <w:sz w:val="21"/>
    </w:rPr>
  </w:style>
  <w:style w:type="paragraph" w:customStyle="1" w:styleId="47">
    <w:name w:val="表格"/>
    <w:basedOn w:val="1"/>
    <w:next w:val="1"/>
    <w:link w:val="46"/>
    <w:qFormat/>
    <w:uiPriority w:val="0"/>
    <w:pPr>
      <w:adjustRightInd w:val="0"/>
      <w:snapToGrid w:val="0"/>
      <w:spacing w:beforeLines="10" w:afterLines="10" w:line="259" w:lineRule="auto"/>
      <w:jc w:val="center"/>
    </w:pPr>
    <w:rPr>
      <w:rFonts w:ascii="宋体"/>
      <w:szCs w:val="20"/>
    </w:rPr>
  </w:style>
  <w:style w:type="character" w:customStyle="1" w:styleId="48">
    <w:name w:val="正文文本 字符1"/>
    <w:semiHidden/>
    <w:qFormat/>
    <w:uiPriority w:val="0"/>
    <w:rPr>
      <w:rFonts w:ascii="Times New Roman" w:hAnsi="Times New Roman" w:eastAsia="宋体"/>
      <w:sz w:val="24"/>
    </w:rPr>
  </w:style>
  <w:style w:type="character" w:customStyle="1" w:styleId="49">
    <w:name w:val="页脚 字符"/>
    <w:qFormat/>
    <w:uiPriority w:val="99"/>
  </w:style>
  <w:style w:type="character" w:customStyle="1" w:styleId="50">
    <w:name w:val="批注文字 字符1"/>
    <w:semiHidden/>
    <w:qFormat/>
    <w:uiPriority w:val="0"/>
    <w:rPr>
      <w:rFonts w:ascii="Times New Roman" w:hAnsi="Times New Roman" w:eastAsia="宋体"/>
      <w:sz w:val="24"/>
    </w:rPr>
  </w:style>
  <w:style w:type="paragraph" w:customStyle="1" w:styleId="51">
    <w:name w:val="封面"/>
    <w:next w:val="52"/>
    <w:qFormat/>
    <w:uiPriority w:val="0"/>
    <w:pPr>
      <w:widowControl w:val="0"/>
      <w:spacing w:line="360" w:lineRule="auto"/>
      <w:jc w:val="center"/>
    </w:pPr>
    <w:rPr>
      <w:rFonts w:ascii="Times New Roman" w:hAnsi="Times New Roman" w:eastAsia="方正小标宋_GBK" w:cs="Times New Roman"/>
      <w:kern w:val="2"/>
      <w:sz w:val="72"/>
      <w:szCs w:val="22"/>
      <w:lang w:val="en-US" w:eastAsia="zh-CN" w:bidi="ar-SA"/>
    </w:rPr>
  </w:style>
  <w:style w:type="paragraph" w:customStyle="1" w:styleId="52">
    <w:name w:val="封面2"/>
    <w:basedOn w:val="1"/>
    <w:qFormat/>
    <w:uiPriority w:val="0"/>
    <w:pPr>
      <w:widowControl/>
      <w:spacing w:before="100" w:beforeAutospacing="1" w:afterAutospacing="1"/>
      <w:ind w:firstLine="0" w:firstLineChars="0"/>
      <w:jc w:val="center"/>
    </w:pPr>
    <w:rPr>
      <w:rFonts w:ascii="宋体" w:hAnsi="宋体" w:eastAsia="楷体_GB2312"/>
      <w:sz w:val="48"/>
      <w:szCs w:val="20"/>
    </w:rPr>
  </w:style>
  <w:style w:type="paragraph" w:customStyle="1" w:styleId="53">
    <w:name w:val="封面3"/>
    <w:qFormat/>
    <w:uiPriority w:val="0"/>
    <w:pPr>
      <w:widowControl w:val="0"/>
      <w:adjustRightInd w:val="0"/>
      <w:spacing w:line="288" w:lineRule="auto"/>
      <w:ind w:firstLine="720" w:firstLineChars="200"/>
    </w:pPr>
    <w:rPr>
      <w:rFonts w:ascii="宋体" w:hAnsi="宋体" w:eastAsia="仿宋_GB2312" w:cs="宋体"/>
      <w:color w:val="000000"/>
      <w:sz w:val="36"/>
      <w:szCs w:val="24"/>
      <w:lang w:val="en-US" w:eastAsia="zh-CN" w:bidi="ar-SA"/>
    </w:rPr>
  </w:style>
  <w:style w:type="paragraph" w:customStyle="1" w:styleId="54">
    <w:name w:val="封面4"/>
    <w:basedOn w:val="1"/>
    <w:qFormat/>
    <w:uiPriority w:val="0"/>
    <w:pPr>
      <w:widowControl/>
      <w:snapToGrid w:val="0"/>
      <w:ind w:firstLine="0" w:firstLineChars="0"/>
      <w:jc w:val="center"/>
    </w:pPr>
    <w:rPr>
      <w:rFonts w:ascii="Calibri" w:hAnsi="Calibri" w:eastAsia="楷体"/>
      <w:sz w:val="36"/>
    </w:rPr>
  </w:style>
  <w:style w:type="paragraph" w:customStyle="1" w:styleId="55">
    <w:name w:val="Char Char Char Char"/>
    <w:basedOn w:val="1"/>
    <w:qFormat/>
    <w:uiPriority w:val="0"/>
    <w:pPr>
      <w:spacing w:after="160" w:line="240" w:lineRule="exact"/>
    </w:pPr>
    <w:rPr>
      <w:rFonts w:ascii="Verdana" w:hAnsi="Verdana" w:eastAsia="仿宋_GB2312" w:cs="Verdana"/>
      <w:sz w:val="20"/>
      <w:lang w:eastAsia="en-US"/>
    </w:rPr>
  </w:style>
  <w:style w:type="character" w:customStyle="1" w:styleId="56">
    <w:name w:val="fontstyle01"/>
    <w:qFormat/>
    <w:uiPriority w:val="0"/>
    <w:rPr>
      <w:rFonts w:hint="eastAsia" w:ascii="宋体" w:hAnsi="宋体" w:eastAsia="宋体"/>
      <w:color w:val="000000"/>
      <w:sz w:val="22"/>
      <w:szCs w:val="22"/>
    </w:rPr>
  </w:style>
  <w:style w:type="character" w:styleId="57">
    <w:name w:val="Placeholder Text"/>
    <w:unhideWhenUsed/>
    <w:qFormat/>
    <w:uiPriority w:val="99"/>
    <w:rPr>
      <w:color w:val="808080"/>
    </w:rPr>
  </w:style>
  <w:style w:type="paragraph" w:customStyle="1" w:styleId="58">
    <w:name w:val="p0"/>
    <w:basedOn w:val="1"/>
    <w:unhideWhenUsed/>
    <w:qFormat/>
    <w:uiPriority w:val="0"/>
    <w:pPr>
      <w:widowControl/>
      <w:snapToGrid w:val="0"/>
      <w:spacing w:line="360" w:lineRule="atLeast"/>
    </w:pPr>
    <w:rPr>
      <w:rFonts w:ascii="Calibri" w:hAnsi="Calibri"/>
    </w:rPr>
  </w:style>
  <w:style w:type="character" w:customStyle="1" w:styleId="59">
    <w:name w:val="font11"/>
    <w:qFormat/>
    <w:uiPriority w:val="0"/>
    <w:rPr>
      <w:rFonts w:hint="eastAsia" w:ascii="宋体" w:hAnsi="宋体" w:eastAsia="宋体" w:cs="宋体"/>
      <w:color w:val="000000"/>
      <w:sz w:val="21"/>
      <w:szCs w:val="21"/>
      <w:u w:val="none"/>
    </w:rPr>
  </w:style>
  <w:style w:type="character" w:customStyle="1" w:styleId="60">
    <w:name w:val="font21"/>
    <w:qFormat/>
    <w:uiPriority w:val="0"/>
    <w:rPr>
      <w:rFonts w:hint="default" w:ascii="Times New Roman" w:hAnsi="Times New Roman" w:cs="Times New Roman"/>
      <w:color w:val="000000"/>
      <w:sz w:val="21"/>
      <w:szCs w:val="21"/>
      <w:u w:val="none"/>
    </w:rPr>
  </w:style>
  <w:style w:type="character" w:customStyle="1" w:styleId="61">
    <w:name w:val="font31"/>
    <w:qFormat/>
    <w:uiPriority w:val="0"/>
    <w:rPr>
      <w:rFonts w:hint="default" w:ascii="Times New Roman" w:hAnsi="Times New Roman" w:cs="Times New Roman"/>
      <w:color w:val="000000"/>
      <w:sz w:val="21"/>
      <w:szCs w:val="21"/>
      <w:u w:val="none"/>
      <w:vertAlign w:val="superscript"/>
    </w:rPr>
  </w:style>
  <w:style w:type="paragraph" w:customStyle="1" w:styleId="62">
    <w:name w:val="Table Text"/>
    <w:basedOn w:val="1"/>
    <w:qFormat/>
    <w:uiPriority w:val="0"/>
    <w:pPr>
      <w:kinsoku w:val="0"/>
      <w:autoSpaceDE w:val="0"/>
      <w:autoSpaceDN w:val="0"/>
      <w:adjustRightInd w:val="0"/>
      <w:snapToGrid w:val="0"/>
      <w:textAlignment w:val="baseline"/>
    </w:pPr>
    <w:rPr>
      <w:rFonts w:hint="eastAsia" w:ascii="宋体" w:hAnsi="宋体"/>
      <w:color w:val="000000"/>
      <w:sz w:val="20"/>
      <w:szCs w:val="20"/>
    </w:rPr>
  </w:style>
  <w:style w:type="table" w:customStyle="1" w:styleId="63">
    <w:name w:val="Table Normal"/>
    <w:basedOn w:val="23"/>
    <w:qFormat/>
    <w:uiPriority w:val="0"/>
    <w:tblPr>
      <w:tblCellMar>
        <w:left w:w="0" w:type="dxa"/>
        <w:right w:w="0" w:type="dxa"/>
      </w:tblCellMar>
    </w:tblPr>
  </w:style>
  <w:style w:type="character" w:customStyle="1" w:styleId="64">
    <w:name w:val="font41"/>
    <w:qFormat/>
    <w:uiPriority w:val="0"/>
    <w:rPr>
      <w:rFonts w:hint="eastAsia" w:ascii="宋体" w:hAnsi="宋体" w:eastAsia="宋体" w:cs="宋体"/>
      <w:color w:val="FF0000"/>
      <w:sz w:val="21"/>
      <w:szCs w:val="21"/>
      <w:u w:val="none"/>
    </w:rPr>
  </w:style>
  <w:style w:type="character" w:customStyle="1" w:styleId="65">
    <w:name w:val="font51"/>
    <w:qFormat/>
    <w:uiPriority w:val="0"/>
    <w:rPr>
      <w:rFonts w:hint="eastAsia" w:ascii="宋体" w:hAnsi="宋体" w:eastAsia="宋体" w:cs="宋体"/>
      <w:color w:val="000000"/>
      <w:sz w:val="21"/>
      <w:szCs w:val="21"/>
      <w:u w:val="none"/>
      <w:vertAlign w:val="superscript"/>
    </w:rPr>
  </w:style>
  <w:style w:type="paragraph" w:customStyle="1" w:styleId="66">
    <w:name w:val="Default"/>
    <w:basedOn w:val="43"/>
    <w:next w:val="44"/>
    <w:unhideWhenUsed/>
    <w:qFormat/>
    <w:uiPriority w:val="0"/>
    <w:pPr>
      <w:autoSpaceDE w:val="0"/>
      <w:autoSpaceDN w:val="0"/>
    </w:pPr>
    <w:rPr>
      <w:rFonts w:hint="eastAsia" w:hAnsi="宋体" w:cs="宋体"/>
      <w:color w:val="000000"/>
      <w:szCs w:val="24"/>
    </w:rPr>
  </w:style>
  <w:style w:type="character" w:customStyle="1" w:styleId="67">
    <w:name w:val="15"/>
    <w:unhideWhenUsed/>
    <w:qFormat/>
    <w:uiPriority w:val="0"/>
    <w:rPr>
      <w:rFonts w:hint="default" w:ascii="Times New Roman" w:hAnsi="Times New Roman" w:eastAsia="宋体" w:cs="Times New Roman"/>
      <w:sz w:val="24"/>
      <w:szCs w:val="24"/>
    </w:rPr>
  </w:style>
  <w:style w:type="character" w:customStyle="1" w:styleId="68">
    <w:name w:val="16"/>
    <w:unhideWhenUsed/>
    <w:qFormat/>
    <w:uiPriority w:val="0"/>
    <w:rPr>
      <w:rFonts w:hint="default" w:ascii="Times New Roman" w:hAnsi="Times New Roman" w:eastAsia="宋体" w:cs="Times New Roman"/>
      <w:b/>
      <w:color w:val="000000"/>
      <w:sz w:val="21"/>
      <w:szCs w:val="21"/>
    </w:rPr>
  </w:style>
  <w:style w:type="character" w:customStyle="1" w:styleId="69">
    <w:name w:val="17"/>
    <w:unhideWhenUsed/>
    <w:qFormat/>
    <w:uiPriority w:val="0"/>
    <w:rPr>
      <w:rFonts w:hint="default" w:ascii="Times New Roman" w:hAnsi="Times New Roman" w:eastAsia="宋体" w:cs="Times New Roman"/>
      <w:b/>
      <w:color w:val="000000"/>
      <w:sz w:val="21"/>
      <w:szCs w:val="21"/>
    </w:rPr>
  </w:style>
  <w:style w:type="character" w:customStyle="1" w:styleId="70">
    <w:name w:val="font91"/>
    <w:unhideWhenUsed/>
    <w:qFormat/>
    <w:uiPriority w:val="0"/>
    <w:rPr>
      <w:rFonts w:hint="default" w:ascii="宋体" w:hAnsi="宋体" w:eastAsia="宋体" w:cs="宋体"/>
      <w:color w:val="000000"/>
      <w:sz w:val="21"/>
      <w:szCs w:val="21"/>
    </w:rPr>
  </w:style>
  <w:style w:type="character" w:customStyle="1" w:styleId="71">
    <w:name w:val="列表 字符"/>
    <w:link w:val="20"/>
    <w:qFormat/>
    <w:uiPriority w:val="0"/>
    <w:rPr>
      <w:rFonts w:hint="default" w:ascii="Times New Roman" w:hAnsi="Times New Roman" w:eastAsia="宋体" w:cs="Times New Roman"/>
      <w:snapToGrid/>
      <w:kern w:val="0"/>
      <w:sz w:val="21"/>
      <w:szCs w:val="21"/>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18.png"/><Relationship Id="rId33" Type="http://schemas.openxmlformats.org/officeDocument/2006/relationships/image" Target="media/image17.png"/><Relationship Id="rId32" Type="http://schemas.openxmlformats.org/officeDocument/2006/relationships/image" Target="media/image16.png"/><Relationship Id="rId31" Type="http://schemas.openxmlformats.org/officeDocument/2006/relationships/image" Target="media/image15.png"/><Relationship Id="rId30" Type="http://schemas.openxmlformats.org/officeDocument/2006/relationships/image" Target="media/image14.png"/><Relationship Id="rId3" Type="http://schemas.openxmlformats.org/officeDocument/2006/relationships/footnotes" Target="footnotes.xml"/><Relationship Id="rId29" Type="http://schemas.openxmlformats.org/officeDocument/2006/relationships/image" Target="media/image13.png"/><Relationship Id="rId28" Type="http://schemas.openxmlformats.org/officeDocument/2006/relationships/image" Target="media/image12.png"/><Relationship Id="rId27" Type="http://schemas.openxmlformats.org/officeDocument/2006/relationships/image" Target="media/image11.wmf"/><Relationship Id="rId26" Type="http://schemas.openxmlformats.org/officeDocument/2006/relationships/image" Target="media/image10.wmf"/><Relationship Id="rId25" Type="http://schemas.openxmlformats.org/officeDocument/2006/relationships/image" Target="media/image9.wmf"/><Relationship Id="rId24" Type="http://schemas.openxmlformats.org/officeDocument/2006/relationships/image" Target="media/image8.wmf"/><Relationship Id="rId23" Type="http://schemas.openxmlformats.org/officeDocument/2006/relationships/image" Target="media/image7.wmf"/><Relationship Id="rId22" Type="http://schemas.openxmlformats.org/officeDocument/2006/relationships/image" Target="media/image6.wmf"/><Relationship Id="rId21" Type="http://schemas.openxmlformats.org/officeDocument/2006/relationships/oleObject" Target="embeddings/oleObject1.bin"/><Relationship Id="rId20" Type="http://schemas.openxmlformats.org/officeDocument/2006/relationships/image" Target="media/image5.jpeg"/><Relationship Id="rId2" Type="http://schemas.openxmlformats.org/officeDocument/2006/relationships/settings" Target="settings.xml"/><Relationship Id="rId19" Type="http://schemas.openxmlformats.org/officeDocument/2006/relationships/image" Target="media/image4.jpeg"/><Relationship Id="rId18" Type="http://schemas.openxmlformats.org/officeDocument/2006/relationships/image" Target="media/image3.png"/><Relationship Id="rId17" Type="http://schemas.openxmlformats.org/officeDocument/2006/relationships/image" Target="media/image2.jpeg"/><Relationship Id="rId16" Type="http://schemas.openxmlformats.org/officeDocument/2006/relationships/image" Target="media/image1.jpeg"/><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105</Pages>
  <Words>54266</Words>
  <Characters>64328</Characters>
  <Lines>492</Lines>
  <Paragraphs>138</Paragraphs>
  <TotalTime>149</TotalTime>
  <ScaleCrop>false</ScaleCrop>
  <LinksUpToDate>false</LinksUpToDate>
  <CharactersWithSpaces>64750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2024-06-14T02:27:00Z</dcterms:created>
  <dc:creator>尚云环境</dc:creator>
  <cp:lastModifiedBy>mhx</cp:lastModifiedBy>
  <cp:lastPrinted>2023-11-14T08:37:00Z</cp:lastPrinted>
  <dcterms:modified xsi:type="dcterms:W3CDTF">2024-08-06T08:19:47Z</dcterms:modified>
  <dc:title>建设项目环境影响报告表（污染影响类）</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B9592CF6C0BF4BF6BED1669A18811470_13</vt:lpwstr>
  </property>
</Properties>
</file>