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方正小标宋简体" w:hAnsi="方正小标宋简体" w:eastAsia="方正小标宋简体" w:cs="方正小标宋简体"/>
          <w:b w:val="0"/>
          <w:bCs w:val="0"/>
          <w:sz w:val="44"/>
          <w:szCs w:val="44"/>
          <w:lang w:val="en-US" w:eastAsia="zh-CN"/>
        </w:rPr>
      </w:pPr>
      <w:bookmarkStart w:id="0" w:name="_GoBack"/>
      <w:bookmarkEnd w:id="0"/>
      <w:r>
        <w:rPr>
          <w:rFonts w:hint="eastAsia" w:ascii="方正小标宋简体" w:hAnsi="方正小标宋简体" w:eastAsia="方正小标宋简体" w:cs="方正小标宋简体"/>
          <w:b w:val="0"/>
          <w:bCs w:val="0"/>
          <w:sz w:val="44"/>
          <w:szCs w:val="44"/>
          <w:lang w:val="en-US" w:eastAsia="zh-CN"/>
        </w:rPr>
        <w:t>乐昌产业转移工业园产城融合基础设施配套建设项目投后管理情况报告</w:t>
      </w:r>
    </w:p>
    <w:p>
      <w:pPr>
        <w:keepNext w:val="0"/>
        <w:keepLines w:val="0"/>
        <w:widowControl/>
        <w:suppressLineNumbers w:val="0"/>
        <w:jc w:val="left"/>
        <w:rPr>
          <w:rFonts w:hint="default" w:ascii="仿宋_GB2312" w:hAnsi="仿宋_GB2312" w:eastAsia="仿宋_GB2312" w:cs="仿宋_GB2312"/>
          <w:sz w:val="32"/>
          <w:szCs w:val="32"/>
          <w:lang w:val="en-US" w:eastAsia="zh-CN"/>
        </w:rPr>
      </w:pPr>
      <w:r>
        <w:rPr>
          <w:rFonts w:hint="eastAsia" w:ascii="方正小标宋简体" w:hAnsi="方正小标宋简体" w:eastAsia="方正小标宋简体" w:cs="方正小标宋简体"/>
          <w:b w:val="0"/>
          <w:bCs w:val="0"/>
          <w:sz w:val="44"/>
          <w:szCs w:val="44"/>
          <w:lang w:val="en-US" w:eastAsia="zh-CN"/>
        </w:rPr>
        <w:t xml:space="preserve">   </w:t>
      </w:r>
      <w:r>
        <w:rPr>
          <w:rFonts w:hint="eastAsia" w:ascii="仿宋_GB2312" w:hAnsi="仿宋_GB2312" w:eastAsia="仿宋_GB2312" w:cs="仿宋_GB2312"/>
          <w:sz w:val="32"/>
          <w:szCs w:val="32"/>
          <w:lang w:val="en-US" w:eastAsia="zh-CN"/>
        </w:rPr>
        <w:t>根据《关于对你市开展专项债券项目投后管理调研工作的通知》的精神，现将乐昌产业转移工业园产城融合基础设施配套建设项目投后管理情况汇报如下：</w:t>
      </w:r>
    </w:p>
    <w:p>
      <w:pPr>
        <w:numPr>
          <w:ilvl w:val="0"/>
          <w:numId w:val="1"/>
        </w:numPr>
        <w:ind w:left="0" w:leftChars="0" w:firstLine="593" w:firstLineChars="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项目基本情况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截至2023年底，乐昌产业转移工业园产城融合基础设施配套建设项目</w:t>
      </w:r>
      <w:r>
        <w:rPr>
          <w:rFonts w:hint="eastAsia" w:ascii="仿宋" w:hAnsi="仿宋" w:eastAsia="仿宋" w:cs="仿宋"/>
          <w:sz w:val="32"/>
          <w:szCs w:val="32"/>
          <w:lang w:val="en-US" w:eastAsia="zh-CN"/>
        </w:rPr>
        <w:t>已使用专项债资金支付子项目共11个，其中已竣工验收子项目1个。目前项目整体处于建设期，暂未投入运营。</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二、子项目建设情况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eastAsia" w:ascii="CESI楷体-GB2312" w:hAnsi="CESI楷体-GB2312" w:eastAsia="CESI楷体-GB2312" w:cs="CESI楷体-GB2312"/>
          <w:b w:val="0"/>
          <w:bCs w:val="0"/>
          <w:sz w:val="32"/>
          <w:szCs w:val="32"/>
          <w:highlight w:val="none"/>
          <w:lang w:val="en-US" w:eastAsia="zh-CN"/>
        </w:rPr>
        <w:t>项目总体存续情况。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子项目1：</w:t>
      </w:r>
      <w:r>
        <w:rPr>
          <w:rFonts w:hint="eastAsia" w:ascii="仿宋" w:hAnsi="仿宋" w:eastAsia="仿宋" w:cs="仿宋_GB2312"/>
          <w:color w:val="000000"/>
          <w:sz w:val="32"/>
          <w:szCs w:val="32"/>
          <w:lang w:val="en-US"/>
        </w:rPr>
        <w:t>雨污分流排水设施建设工程</w:t>
      </w:r>
      <w:r>
        <w:rPr>
          <w:rFonts w:hint="eastAsia" w:ascii="仿宋_GB2312" w:hAnsi="仿宋_GB2312" w:eastAsia="仿宋_GB2312" w:cs="仿宋_GB2312"/>
          <w:sz w:val="32"/>
          <w:szCs w:val="32"/>
          <w:lang w:val="en-US" w:eastAsia="zh-CN"/>
        </w:rPr>
        <w:t>，获得发改批复：</w:t>
      </w:r>
      <w:r>
        <w:rPr>
          <w:rFonts w:hint="eastAsia" w:ascii="仿宋" w:hAnsi="仿宋" w:eastAsia="仿宋" w:cs="仿宋_GB2312"/>
          <w:color w:val="000000"/>
          <w:sz w:val="32"/>
          <w:szCs w:val="32"/>
          <w:lang w:val="en-US"/>
        </w:rPr>
        <w:t>乐发改投审〔2022〕34号</w:t>
      </w:r>
      <w:r>
        <w:rPr>
          <w:rFonts w:hint="eastAsia" w:ascii="仿宋_GB2312" w:hAnsi="仿宋_GB2312" w:eastAsia="仿宋_GB2312" w:cs="仿宋_GB2312"/>
          <w:sz w:val="32"/>
          <w:szCs w:val="32"/>
          <w:lang w:val="en-US" w:eastAsia="zh-CN"/>
        </w:rPr>
        <w:t>号，于2020年3月2日开工建设，2023年9月7日完成竣工验收。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子项目2：</w:t>
      </w:r>
      <w:r>
        <w:rPr>
          <w:rFonts w:hint="eastAsia" w:ascii="仿宋" w:hAnsi="仿宋" w:eastAsia="仿宋" w:cs="仿宋_GB2312"/>
          <w:color w:val="000000"/>
          <w:sz w:val="32"/>
          <w:szCs w:val="32"/>
          <w:lang w:val="en-US"/>
        </w:rPr>
        <w:t>发展配套基础设施建设工程二期工程</w:t>
      </w:r>
      <w:r>
        <w:rPr>
          <w:rFonts w:hint="eastAsia" w:ascii="仿宋_GB2312" w:hAnsi="仿宋_GB2312" w:eastAsia="仿宋_GB2312" w:cs="仿宋_GB2312"/>
          <w:sz w:val="32"/>
          <w:szCs w:val="32"/>
          <w:lang w:val="en-US" w:eastAsia="zh-CN"/>
        </w:rPr>
        <w:t>，2020年5月12日获得发改批复：乐发改〔2020〕37号，</w:t>
      </w:r>
      <w:r>
        <w:rPr>
          <w:rFonts w:hint="eastAsia" w:ascii="仿宋" w:hAnsi="仿宋" w:eastAsia="仿宋" w:cs="仿宋_GB2312"/>
          <w:color w:val="000000"/>
          <w:sz w:val="32"/>
          <w:szCs w:val="32"/>
          <w:lang w:val="en-US"/>
        </w:rPr>
        <w:t>于2023年2月6日开工，计划于2023年8月4日竣工</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子项目3：</w:t>
      </w:r>
      <w:r>
        <w:rPr>
          <w:rFonts w:hint="eastAsia" w:ascii="仿宋" w:hAnsi="仿宋" w:eastAsia="仿宋" w:cs="仿宋_GB2312"/>
          <w:color w:val="000000"/>
          <w:sz w:val="32"/>
          <w:szCs w:val="32"/>
          <w:lang w:val="en-US"/>
        </w:rPr>
        <w:t>给水管采购及消防设施工程</w:t>
      </w:r>
      <w:r>
        <w:rPr>
          <w:rFonts w:hint="eastAsia" w:ascii="仿宋_GB2312" w:hAnsi="仿宋_GB2312" w:eastAsia="仿宋_GB2312" w:cs="仿宋_GB2312"/>
          <w:color w:val="auto"/>
          <w:kern w:val="2"/>
          <w:sz w:val="32"/>
          <w:szCs w:val="32"/>
          <w:lang w:val="en-US" w:eastAsia="zh-CN" w:bidi="ar-SA"/>
        </w:rPr>
        <w:t>，</w:t>
      </w:r>
      <w:r>
        <w:rPr>
          <w:rFonts w:hint="eastAsia" w:ascii="仿宋" w:hAnsi="仿宋" w:eastAsia="仿宋" w:cs="仿宋_GB2312"/>
          <w:color w:val="000000"/>
          <w:sz w:val="32"/>
          <w:szCs w:val="32"/>
          <w:lang w:val="en-US"/>
        </w:rPr>
        <w:t>金湖一路东、金山一路东、金山二路西、金山三路、金山四路东、环园东路给水主管采购项目无需立项。于2022年4月20日，经市政府常务会议纪要（十六届12次）审议通过，同意项目实施。于2022年9月15日完成招投标工作，目前已完成60%水管配件采购工作</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子项目4：乐昌产业园产业发展配套基础设施建设四期工程经市人民政府2024年3月26日审批同意开展前期工作，计划于2025年12月开工。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子项目5：乐昌产业园标准厂房配套设施建设项目二期经市人民政府2024年3月26日审批同意开展前期工作，计划于2024年9月开工。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子项目6:乐昌产业园共建园标准厂房配套设施建设项目经市人民政府2024年3月24日审批同意开展前期工作，计划于2024年9月开工。</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CESI楷体-GB2312" w:hAnsi="CESI楷体-GB2312" w:eastAsia="CESI楷体-GB2312" w:cs="CESI楷体-GB2312"/>
          <w:b w:val="0"/>
          <w:bCs w:val="0"/>
          <w:sz w:val="32"/>
          <w:szCs w:val="32"/>
          <w:highlight w:val="none"/>
          <w:lang w:val="en-US" w:eastAsia="zh-CN"/>
        </w:rPr>
        <w:t>项目资产管理情况。</w:t>
      </w:r>
      <w:r>
        <w:rPr>
          <w:rFonts w:hint="eastAsia" w:ascii="仿宋_GB2312" w:hAnsi="仿宋_GB2312" w:eastAsia="仿宋_GB2312" w:cs="仿宋_GB2312"/>
          <w:sz w:val="32"/>
          <w:szCs w:val="32"/>
          <w:lang w:val="en-US" w:eastAsia="zh-CN"/>
        </w:rPr>
        <w:t>乐昌产业转移工业园产城融合基础设施配套建设项目</w:t>
      </w:r>
      <w:r>
        <w:rPr>
          <w:rFonts w:hint="eastAsia" w:ascii="仿宋_GB2312" w:eastAsia="仿宋_GB2312"/>
          <w:sz w:val="32"/>
          <w:szCs w:val="32"/>
          <w:lang w:val="en-US" w:eastAsia="zh-CN"/>
        </w:rPr>
        <w:t>实施单位为</w:t>
      </w:r>
      <w:r>
        <w:rPr>
          <w:rFonts w:hint="default" w:ascii="仿宋_GB2312" w:eastAsia="仿宋_GB2312"/>
          <w:sz w:val="32"/>
          <w:szCs w:val="32"/>
          <w:lang w:val="en-US" w:eastAsia="zh-CN"/>
        </w:rPr>
        <w:t>乐昌产业转移工业园投资开发有限公司</w:t>
      </w:r>
      <w:r>
        <w:rPr>
          <w:rFonts w:hint="eastAsia" w:ascii="仿宋_GB2312" w:hAnsi="仿宋_GB2312" w:eastAsia="仿宋_GB2312" w:cs="仿宋_GB2312"/>
          <w:sz w:val="32"/>
          <w:szCs w:val="32"/>
          <w:lang w:val="en-US" w:eastAsia="zh-CN"/>
        </w:rPr>
        <w:t>（国企）</w:t>
      </w:r>
      <w:r>
        <w:rPr>
          <w:rFonts w:hint="eastAsia" w:ascii="仿宋_GB2312" w:eastAsia="仿宋_GB2312"/>
          <w:sz w:val="32"/>
          <w:szCs w:val="32"/>
          <w:lang w:val="en-US" w:eastAsia="zh-CN"/>
        </w:rPr>
        <w:t>，主管单位为</w:t>
      </w:r>
      <w:r>
        <w:rPr>
          <w:rFonts w:hint="default" w:ascii="仿宋_GB2312" w:eastAsia="仿宋_GB2312"/>
          <w:sz w:val="32"/>
          <w:szCs w:val="32"/>
          <w:lang w:val="en-US" w:eastAsia="zh-CN"/>
        </w:rPr>
        <w:t>乐昌市产业转移工业园服务中心</w:t>
      </w:r>
      <w:r>
        <w:rPr>
          <w:rFonts w:hint="eastAsia" w:ascii="仿宋_GB2312" w:eastAsia="仿宋_GB2312"/>
          <w:sz w:val="32"/>
          <w:szCs w:val="32"/>
          <w:lang w:val="en-US" w:eastAsia="zh-CN"/>
        </w:rPr>
        <w:t>，</w:t>
      </w:r>
      <w:r>
        <w:rPr>
          <w:rFonts w:hint="eastAsia" w:ascii="仿宋_GB2312" w:eastAsia="仿宋_GB2312"/>
          <w:sz w:val="32"/>
          <w:szCs w:val="32"/>
          <w:highlight w:val="none"/>
          <w:lang w:val="en-US" w:eastAsia="zh-CN"/>
        </w:rPr>
        <w:t>财务收支核算方式为直接支付，资产登记入账广东乐昌经济开发区管委会，</w:t>
      </w:r>
      <w:r>
        <w:rPr>
          <w:rFonts w:hint="eastAsia" w:ascii="仿宋_GB2312" w:hAnsi="仿宋_GB2312" w:eastAsia="仿宋_GB2312" w:cs="仿宋_GB2312"/>
          <w:sz w:val="32"/>
          <w:szCs w:val="32"/>
          <w:lang w:val="en-US" w:eastAsia="zh-CN"/>
        </w:rPr>
        <w:t>无抵押情况；目前各子项目处于在建状态，暂未竣工结算；不存在因权属不清而无人管理、维护，或管理不当造成资产损失；不存在划拨、调配、转让过程中存在资产减值；不存在人为在债券存续期内将资产用于抵押、处置、转让等行为。</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CESI楷体-GB2312" w:hAnsi="CESI楷体-GB2312" w:eastAsia="CESI楷体-GB2312" w:cs="CESI楷体-GB2312"/>
          <w:b w:val="0"/>
          <w:bCs w:val="0"/>
          <w:sz w:val="32"/>
          <w:szCs w:val="32"/>
          <w:highlight w:val="none"/>
          <w:lang w:val="en-US" w:eastAsia="zh-CN"/>
        </w:rPr>
        <w:t>项目运营及财务核算情况。</w:t>
      </w:r>
      <w:r>
        <w:rPr>
          <w:rFonts w:hint="eastAsia" w:ascii="仿宋_GB2312" w:hAnsi="仿宋_GB2312" w:eastAsia="仿宋_GB2312" w:cs="仿宋_GB2312"/>
          <w:sz w:val="32"/>
          <w:szCs w:val="32"/>
          <w:lang w:val="en-US" w:eastAsia="zh-CN"/>
        </w:rPr>
        <w:t>项目建成后由</w:t>
      </w:r>
      <w:r>
        <w:rPr>
          <w:rFonts w:hint="default" w:ascii="仿宋_GB2312" w:hAnsi="仿宋_GB2312" w:eastAsia="仿宋_GB2312" w:cs="仿宋_GB2312"/>
          <w:sz w:val="32"/>
          <w:szCs w:val="32"/>
          <w:lang w:val="en-US" w:eastAsia="zh-CN"/>
        </w:rPr>
        <w:t>乐昌产业转移工业园投资开发有限公司</w:t>
      </w:r>
      <w:r>
        <w:rPr>
          <w:rFonts w:hint="eastAsia" w:ascii="仿宋_GB2312" w:hAnsi="仿宋_GB2312" w:eastAsia="仿宋_GB2312" w:cs="仿宋_GB2312"/>
          <w:sz w:val="32"/>
          <w:szCs w:val="32"/>
          <w:lang w:val="en-US" w:eastAsia="zh-CN"/>
        </w:rPr>
        <w:t>运营，现有入园工业项目167个，投产企业123家，在建项目29个，规上企业65家，年产值亿元以上企业11家。</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CESI楷体-GB2312" w:hAnsi="CESI楷体-GB2312" w:eastAsia="CESI楷体-GB2312" w:cs="CESI楷体-GB2312"/>
          <w:b w:val="0"/>
          <w:bCs w:val="0"/>
          <w:sz w:val="32"/>
          <w:szCs w:val="32"/>
          <w:highlight w:val="none"/>
          <w:lang w:val="en-US" w:eastAsia="zh-CN"/>
        </w:rPr>
        <w:t>收益上缴情况。</w:t>
      </w:r>
      <w:r>
        <w:rPr>
          <w:rFonts w:hint="eastAsia" w:ascii="仿宋_GB2312" w:hAnsi="仿宋_GB2312" w:eastAsia="仿宋_GB2312" w:cs="仿宋_GB2312"/>
          <w:sz w:val="32"/>
          <w:szCs w:val="32"/>
          <w:lang w:val="en-US" w:eastAsia="zh-CN"/>
        </w:rPr>
        <w:t>项目建成后将按专项债券支付、管理相关制度，严格落实资产管理、收益上缴、募投报告提出的债券偿还本息责任等。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593" w:left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三、存在问题与困难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1.加快推进土地征拆、成片开发方案、用地指标报批等要素保障工作</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2.加快对接确定和推进园区基础设施建设计划和前期工作</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为推动基础设施、招商引资项目落地建设的前置条件和要素保障等提供坚实基础</w:t>
      </w:r>
      <w:r>
        <w:rPr>
          <w:rFonts w:hint="eastAsia" w:ascii="仿宋_GB2312" w:hAnsi="仿宋_GB2312" w:eastAsia="仿宋_GB2312" w:cs="仿宋_GB2312"/>
          <w:sz w:val="32"/>
          <w:szCs w:val="32"/>
          <w:lang w:val="en-US" w:eastAsia="zh-CN"/>
        </w:rPr>
        <w:t>。</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CESI楷体-GB2312">
    <w:altName w:val="宋体"/>
    <w:panose1 w:val="02000500000000000000"/>
    <w:charset w:val="86"/>
    <w:family w:val="auto"/>
    <w:pitch w:val="default"/>
    <w:sig w:usb0="00000000" w:usb1="00000000" w:usb2="00000012"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9F77CD"/>
    <w:multiLevelType w:val="singleLevel"/>
    <w:tmpl w:val="EB9F77CD"/>
    <w:lvl w:ilvl="0" w:tentative="0">
      <w:start w:val="1"/>
      <w:numFmt w:val="chineseCounting"/>
      <w:suff w:val="nothing"/>
      <w:lvlText w:val="%1、"/>
      <w:lvlJc w:val="left"/>
      <w:pPr>
        <w:ind w:left="0" w:firstLine="593"/>
      </w:pPr>
      <w:rPr>
        <w:rFonts w:hint="eastAsia"/>
      </w:rPr>
    </w:lvl>
  </w:abstractNum>
  <w:abstractNum w:abstractNumId="1">
    <w:nsid w:val="6493E5DB"/>
    <w:multiLevelType w:val="singleLevel"/>
    <w:tmpl w:val="6493E5DB"/>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2MGYyMDYzZTQ2NGI5OTcyN2U5NDA4ODE4ODYxN2UifQ=="/>
  </w:docVars>
  <w:rsids>
    <w:rsidRoot w:val="65DD1B91"/>
    <w:rsid w:val="0A911F5A"/>
    <w:rsid w:val="251A1865"/>
    <w:rsid w:val="3C2459F9"/>
    <w:rsid w:val="49A3785C"/>
    <w:rsid w:val="60AB64CF"/>
    <w:rsid w:val="60CD6A43"/>
    <w:rsid w:val="65DD1B91"/>
    <w:rsid w:val="6F240F93"/>
    <w:rsid w:val="716911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NormalCharacter"/>
    <w:qFormat/>
    <w:uiPriority w:val="0"/>
  </w:style>
  <w:style w:type="paragraph" w:customStyle="1" w:styleId="7">
    <w:name w:val="Default"/>
    <w:unhideWhenUsed/>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993</Words>
  <Characters>1103</Characters>
  <Lines>0</Lines>
  <Paragraphs>0</Paragraphs>
  <TotalTime>1</TotalTime>
  <ScaleCrop>false</ScaleCrop>
  <LinksUpToDate>false</LinksUpToDate>
  <CharactersWithSpaces>1106</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2024-05-30T03:33:00Z</dcterms:created>
  <dc:creator>◡̈ Leii</dc:creator>
  <cp:lastModifiedBy>Administrator</cp:lastModifiedBy>
  <dcterms:modified xsi:type="dcterms:W3CDTF">2024-09-14T07:38:35Z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59033271B8E04F63BD63B431ECAE94F2</vt:lpwstr>
  </property>
</Properties>
</file>