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乐昌产业转移工业园基础设施建设项目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投后管理情况报告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根据《关于对你市开展专项债券项目投后管理调研工作的通知》的精神，现将乐昌产业转移工业园基础设施建设项目投后管理情况汇报如下：</w:t>
      </w:r>
    </w:p>
    <w:p>
      <w:pPr>
        <w:numPr>
          <w:ilvl w:val="0"/>
          <w:numId w:val="1"/>
        </w:numPr>
        <w:ind w:left="0" w:leftChars="0" w:firstLine="593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截至2023年底，乐昌产业转移工业园基础设施建设项目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已使用专项债资金支付子项目共25个，其中已竣工验收子项目14个。目前项目整体处于建设期，暂未投入运营。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二、子项目建设情况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  <w:highlight w:val="none"/>
          <w:lang w:val="en-US" w:eastAsia="zh-CN"/>
        </w:rPr>
        <w:t>项目总体存续情况。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子项目1：2019年土地平整及边坡防护工程，2018年2月6日获得发改批复：乐发改〔2018〕81号，已完成勘察、设计、可形性研究报告编制及公开招投标，于2020年3月2日开工建设，2023年6月20日完成竣工验收。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2：道路建设提升及边坡防护工程（一期），2020年5月12日获得发改批复：乐发改〔2020〕37号，已完成勘察、设计、可行性研究报告编制及公开招投标，A标段于2020年12月28日完成竣工验收，B标段于2023年6月6日完成竣工验收，C标段预计2023年1月4日完成竣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子项目3：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碧水湖工程项目，2018年12月6日获得发改批复：乐发改[2018]140号，已完成设计及公开招投标，于2020年10月29日完成竣工验收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子项目4：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金山湖工程项目，2018年12月6日获得发改批复：乐发改[2018]139号，已完成设计及公开招投标，于2020年10月27日完成竣工验收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子项目5：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金岭四路改造工程项目，2018年12月6日获得发改批复：乐发改[2018]138号，已完成勘察、设计及公开招投标，于2019年12月27日完成竣工验收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子项目6: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路网建设工程，2016年9月18日获得发改批复：乐发改〔2016〕182号，目前已完成工程规划许可、环评审批、用地规划许可、公开招投标，于2017年9月24开工建设，计划2022年9月30日竣工验收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</w:t>
      </w:r>
      <w:r>
        <w:rPr>
          <w:rFonts w:hint="eastAsia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公交枢纽站项目，2018年7月3日获得发改批复：乐发改[2018]48号，已完成勘察、设计、可形性研究报告编制及公开招投标，于2019年11月1日完成竣工验收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：金岭五路道路提升与整治工程，2020年4月21日获得发改批复：乐发改〔2020〕31号，已完成勘察、设计及公开招投标，于2020年12月25日完成竣工验收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子项目9：乐廊路与乐园大道交汇处接口道路拓宽工程；已完成设计、预算，市政府已审批，计划2021年5月30日开工，2021年11月8日竣工验收。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：精铟和精信项目排水工程，已完成设计、预算，市政府已审批，于2021年6月5日竣工验收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：乐昌产业园加油站西面及南面边坡工程，市政府已审批，于2021年1月21日竣工验收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子项目12：乐昌产业转移工业园豪立边坡防护工程，市政府已审批，计划2021年6月15日开工，2021年11月9日前完成竣工验收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13：电力工程，于2019年12月17日开工，2019年9月26日获得立项批复（乐发改〔2019〕68号），2020年5月12日已获发改批复：乐发改〔2020〕36号，2021年11月19日获得：乐发改〔2021〕105号，2022年4月26日获得：乐发改投审〔2022〕12号，已完成勘察、设计及公开招投标，2023年2月28日竣工验收，2024年1月24日获得：乐发改投审〔2024〕4号，已完成预算审核，正在进行政府采购意向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子项目14：道路交通电子监控设施及标志标线优化工程，已获市政府批复，已完成设计、预算及开工，计划于2024年12月30日前完工。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子项目15：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乐园大道北面延伸工程，2018年12月6日获得发改批复：乐发改〔2018〕141号，已完成建设项目选址意见、公开招投标，于2020年12月17日完成竣工验收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子项目16：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城东地块运动公园工程，2018年2月6日获得发改批复：乐发改[2018]11号，已完成设计及公开招投标，于2019年5月23日完成竣工验收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子项目17：标准厂房配套设施建设项目，2023年6月25日获批乐发改投审〔2023〕30号，已完成立设计、预算编制，计划于2024年12月30日前完工。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18：产业发展配套基础设施建设工程2021年获得：乐发改〔2021〕52号，已完成可形性研究报告编制、勘察、设计及公开招投标，2021年10月14日开工；乐昌产业转移工业园产业发展配套基础设施建设三期工程，市政府已审批，2023年3月23日获批乐发改投审〔2023〕10号，已完成可行性研究报告编制、勘察设计、预算编制、预算审核及公开招投标，于2024年3月25日开工，预计2025年12月30日前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子项目19：科技创新智慧化平台项目，计划2024年12月29日竣工。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子项目20：固体废弃物处理设施补短板项目，市政府已审批，2022年11月29日获批乐发改投审〔2022〕74号，已完成设计、图审、预算，预计2024年12月底前开工。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子项目21：北部片区地下管道改造工程，已获市政府批复，2024年1月18日获批乐发改〔2024〕1号，已完成可研、设计、预算，预计于2024年6月30日前开工。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子项目22：城乡融合发展排水系统补短板项目，市政府已审批，2023年5月9日获批乐发改投审〔2023〕21号，已完成可行性研究报告编制、勘察设计、预算编制及预算审核，预计2024年12月30日前完工。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23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综合整治项目土地平整及边坡防护工程，主要进行石方、土方及边坡工程，2017年12月26日获得发改批复：乐发改〔2017〕187号，已完成勘察、设计、可形性研究报告编制及公开招投标，于2018年5月1日开工，计划2024年12月27日竣工验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；</w:t>
      </w:r>
    </w:p>
    <w:p>
      <w:pPr>
        <w:pStyle w:val="7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给水管采购及消防设施工程，主要进行园区内给水管采购及消防工程，市政府已审批，于2021年6月7日开工，预计2025年12月完工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pStyle w:val="7"/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子项目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污水处理设施及配套管网建设项目，分别于2018年8月17日、2018年10月15日获得发改批复：乐发改〔2018〕69号、乐发改〔2018〕109号、乐发改〔2021〕64号，已完成勘察、设计、可形性研究报告编制及公开招投标，计划2025年12月7日前竣工验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  <w:highlight w:val="none"/>
          <w:lang w:val="en-US" w:eastAsia="zh-CN"/>
        </w:rPr>
        <w:t>项目资产管理情况。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乐昌产业转移工业园基础设施建设项目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实施单位为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乐昌产业转移工业园投资开发有限公司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（国企）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，主管单位为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乐昌市产业转移工业园服务中心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财务收支核算方式为直接支付，资产登记入账广东乐昌经济开发区管委会，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抵押情况；目前各子项目处于在建状态，暂未竣工结算；不存在因权属不清而无人管理、维护，或管理不当造成资产损失；不存在划拨、调配、转让过程中存在资产减值；不存在人为在债券存续期内将资产用于抵押、处置、转让等行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  <w:highlight w:val="none"/>
          <w:lang w:val="en-US" w:eastAsia="zh-CN"/>
        </w:rPr>
        <w:t>项目运营及财务核算情况。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项目建成后由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乐昌产业转移工业园投资开发有限公司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运营，现有入园工业项目167个，投产企业123家，在建项目29个，规上企业65家，年产值亿元以上企业11家。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sz w:val="32"/>
          <w:szCs w:val="32"/>
          <w:highlight w:val="none"/>
          <w:lang w:val="en-US" w:eastAsia="zh-CN"/>
        </w:rPr>
        <w:t>收益上缴情况。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项目建成后将按专项债券支付、管理相关制度，严格落实资产管理、收益上缴、募投报告提出的债券偿还本息责任等。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3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三、存在问题与困难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1.加快推进土地征拆、成片开发方案、用地指标报批等要素保障工作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2.加快对接确定和推进园区基础设施建设计划和前期工作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为推动基础设施、招商引资项目落地建设的前置条件和要素保障等提供坚实基础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9F77CD"/>
    <w:multiLevelType w:val="singleLevel"/>
    <w:tmpl w:val="EB9F77CD"/>
    <w:lvl w:ilvl="0" w:tentative="0">
      <w:start w:val="1"/>
      <w:numFmt w:val="chineseCounting"/>
      <w:suff w:val="nothing"/>
      <w:lvlText w:val="%1、"/>
      <w:lvlJc w:val="left"/>
      <w:pPr>
        <w:ind w:left="0" w:firstLine="593"/>
      </w:pPr>
      <w:rPr>
        <w:rFonts w:hint="eastAsia"/>
      </w:rPr>
    </w:lvl>
  </w:abstractNum>
  <w:abstractNum w:abstractNumId="1">
    <w:nsid w:val="6493E5DB"/>
    <w:multiLevelType w:val="singleLevel"/>
    <w:tmpl w:val="6493E5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GYyMDYzZTQ2NGI5OTcyN2U5NDA4ODE4ODYxN2UifQ=="/>
  </w:docVars>
  <w:rsids>
    <w:rsidRoot w:val="65DD1B91"/>
    <w:rsid w:val="251A1865"/>
    <w:rsid w:val="27681F32"/>
    <w:rsid w:val="3C2459F9"/>
    <w:rsid w:val="49A3785C"/>
    <w:rsid w:val="60CD6A43"/>
    <w:rsid w:val="65DD1B91"/>
    <w:rsid w:val="6F240F93"/>
    <w:rsid w:val="7169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NormalCharacter"/>
    <w:qFormat/>
    <w:uiPriority w:val="0"/>
  </w:style>
  <w:style w:type="paragraph" w:customStyle="1" w:styleId="7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993</Words>
  <Characters>1103</Characters>
  <Lines>0</Lines>
  <Paragraphs>0</Paragraphs>
  <TotalTime>21</TotalTime>
  <ScaleCrop>false</ScaleCrop>
  <LinksUpToDate>false</LinksUpToDate>
  <CharactersWithSpaces>1106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2024-05-30T03:33:00Z</dcterms:created>
  <dc:creator>◡̈ Leii</dc:creator>
  <cp:lastModifiedBy>Administrator</cp:lastModifiedBy>
  <dcterms:modified xsi:type="dcterms:W3CDTF">2024-09-14T07:39:06Z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DB0C29BDFAFE4F7DBED073A29C7AF0FF</vt:lpwstr>
  </property>
</Properties>
</file>