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A3B5B8">
      <w:pPr>
        <w:jc w:val="center"/>
        <w:rPr>
          <w:rFonts w:hint="eastAsia"/>
          <w:b/>
          <w:bCs/>
          <w:sz w:val="36"/>
          <w:szCs w:val="36"/>
          <w:lang w:val="en-US" w:eastAsia="zh-CN"/>
        </w:rPr>
      </w:pPr>
      <w:r>
        <w:rPr>
          <w:rFonts w:hint="eastAsia"/>
          <w:b/>
          <w:bCs/>
          <w:sz w:val="36"/>
          <w:szCs w:val="36"/>
          <w:lang w:val="en-US" w:eastAsia="zh-CN"/>
        </w:rPr>
        <w:t>2024年度乐昌市第二人民医院重要决策事项、决策方式和结果</w:t>
      </w:r>
    </w:p>
    <w:p w14:paraId="67891088">
      <w:pPr>
        <w:jc w:val="center"/>
        <w:rPr>
          <w:rFonts w:hint="eastAsia"/>
          <w:b/>
          <w:bCs/>
          <w:sz w:val="36"/>
          <w:szCs w:val="36"/>
          <w:lang w:val="en-US" w:eastAsia="zh-CN"/>
        </w:rPr>
      </w:pPr>
      <w:r>
        <w:rPr>
          <w:rFonts w:hint="eastAsia"/>
          <w:b/>
          <w:bCs/>
          <w:sz w:val="36"/>
          <w:szCs w:val="36"/>
          <w:lang w:val="en-US" w:eastAsia="zh-CN"/>
        </w:rPr>
        <w:t>（第三季度）</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7"/>
        <w:gridCol w:w="7743"/>
        <w:gridCol w:w="1722"/>
        <w:gridCol w:w="1721"/>
        <w:gridCol w:w="1477"/>
      </w:tblGrid>
      <w:tr w14:paraId="56674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7" w:type="dxa"/>
          </w:tcPr>
          <w:p w14:paraId="3A14A6AD">
            <w:pPr>
              <w:jc w:val="center"/>
              <w:rPr>
                <w:rFonts w:hint="eastAsia"/>
                <w:b/>
                <w:bCs/>
                <w:sz w:val="28"/>
                <w:szCs w:val="28"/>
                <w:vertAlign w:val="baseline"/>
                <w:lang w:val="en-US" w:eastAsia="zh-CN"/>
              </w:rPr>
            </w:pPr>
            <w:r>
              <w:rPr>
                <w:rFonts w:hint="eastAsia"/>
                <w:b/>
                <w:bCs/>
                <w:sz w:val="28"/>
                <w:szCs w:val="28"/>
                <w:vertAlign w:val="baseline"/>
                <w:lang w:val="en-US" w:eastAsia="zh-CN"/>
              </w:rPr>
              <w:t>时间</w:t>
            </w:r>
          </w:p>
        </w:tc>
        <w:tc>
          <w:tcPr>
            <w:tcW w:w="7743" w:type="dxa"/>
          </w:tcPr>
          <w:p w14:paraId="3A8058CB">
            <w:pPr>
              <w:jc w:val="center"/>
              <w:rPr>
                <w:rFonts w:hint="eastAsia"/>
                <w:b/>
                <w:bCs/>
                <w:sz w:val="28"/>
                <w:szCs w:val="28"/>
                <w:vertAlign w:val="baseline"/>
                <w:lang w:val="en-US" w:eastAsia="zh-CN"/>
              </w:rPr>
            </w:pPr>
            <w:r>
              <w:rPr>
                <w:rFonts w:hint="eastAsia"/>
                <w:b/>
                <w:bCs/>
                <w:sz w:val="28"/>
                <w:szCs w:val="28"/>
                <w:lang w:val="en-US" w:eastAsia="zh-CN"/>
              </w:rPr>
              <w:t>重要决策事项</w:t>
            </w:r>
          </w:p>
        </w:tc>
        <w:tc>
          <w:tcPr>
            <w:tcW w:w="1722" w:type="dxa"/>
          </w:tcPr>
          <w:p w14:paraId="4C981197">
            <w:pPr>
              <w:jc w:val="center"/>
              <w:rPr>
                <w:rFonts w:hint="eastAsia"/>
                <w:b/>
                <w:bCs/>
                <w:sz w:val="28"/>
                <w:szCs w:val="28"/>
                <w:vertAlign w:val="baseline"/>
                <w:lang w:val="en-US" w:eastAsia="zh-CN"/>
              </w:rPr>
            </w:pPr>
            <w:r>
              <w:rPr>
                <w:rFonts w:hint="eastAsia"/>
                <w:b/>
                <w:bCs/>
                <w:sz w:val="28"/>
                <w:szCs w:val="28"/>
                <w:lang w:val="en-US" w:eastAsia="zh-CN"/>
              </w:rPr>
              <w:t>决策方式</w:t>
            </w:r>
          </w:p>
        </w:tc>
        <w:tc>
          <w:tcPr>
            <w:tcW w:w="1721" w:type="dxa"/>
          </w:tcPr>
          <w:p w14:paraId="4176989C">
            <w:pPr>
              <w:jc w:val="center"/>
              <w:rPr>
                <w:rFonts w:hint="eastAsia"/>
                <w:b/>
                <w:bCs/>
                <w:sz w:val="28"/>
                <w:szCs w:val="28"/>
                <w:vertAlign w:val="baseline"/>
                <w:lang w:val="en-US" w:eastAsia="zh-CN"/>
              </w:rPr>
            </w:pPr>
            <w:r>
              <w:rPr>
                <w:rFonts w:hint="eastAsia"/>
                <w:b/>
                <w:bCs/>
                <w:sz w:val="28"/>
                <w:szCs w:val="28"/>
                <w:lang w:val="en-US" w:eastAsia="zh-CN"/>
              </w:rPr>
              <w:t>结果</w:t>
            </w:r>
          </w:p>
        </w:tc>
        <w:tc>
          <w:tcPr>
            <w:tcW w:w="1477" w:type="dxa"/>
          </w:tcPr>
          <w:p w14:paraId="3CC089CC">
            <w:pPr>
              <w:jc w:val="center"/>
              <w:rPr>
                <w:rFonts w:hint="eastAsia" w:eastAsiaTheme="minorEastAsia"/>
                <w:b/>
                <w:bCs/>
                <w:sz w:val="28"/>
                <w:szCs w:val="28"/>
                <w:lang w:val="en-US" w:eastAsia="zh-CN"/>
              </w:rPr>
            </w:pPr>
            <w:r>
              <w:rPr>
                <w:rFonts w:hint="eastAsia"/>
                <w:b/>
                <w:bCs/>
                <w:sz w:val="28"/>
                <w:szCs w:val="28"/>
                <w:lang w:val="en-US" w:eastAsia="zh-CN"/>
              </w:rPr>
              <w:t>公布时间</w:t>
            </w:r>
          </w:p>
        </w:tc>
      </w:tr>
      <w:tr w14:paraId="18066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7" w:type="dxa"/>
          </w:tcPr>
          <w:p w14:paraId="69DACF38">
            <w:pPr>
              <w:jc w:val="center"/>
              <w:rPr>
                <w:rFonts w:hint="eastAsia"/>
                <w:b w:val="0"/>
                <w:bCs w:val="0"/>
                <w:sz w:val="28"/>
                <w:szCs w:val="28"/>
                <w:vertAlign w:val="baseline"/>
                <w:lang w:val="en-US" w:eastAsia="zh-CN"/>
              </w:rPr>
            </w:pPr>
            <w:r>
              <w:rPr>
                <w:rFonts w:hint="eastAsia"/>
                <w:b w:val="0"/>
                <w:bCs w:val="0"/>
                <w:sz w:val="28"/>
                <w:szCs w:val="28"/>
                <w:lang w:val="en-US" w:eastAsia="zh-CN"/>
              </w:rPr>
              <w:t>2024年第三季度</w:t>
            </w:r>
          </w:p>
        </w:tc>
        <w:tc>
          <w:tcPr>
            <w:tcW w:w="7743" w:type="dxa"/>
          </w:tcPr>
          <w:p w14:paraId="4B0CF00D">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1.郭永正、李华文、李文德、廖荣辉、邝丽芳</w:t>
            </w:r>
            <w:r>
              <w:rPr>
                <w:rFonts w:hint="eastAsia"/>
                <w:lang w:val="en-US" w:eastAsia="zh-CN"/>
              </w:rPr>
              <w:t>、</w:t>
            </w:r>
            <w:r>
              <w:rPr>
                <w:rFonts w:hint="eastAsia" w:ascii="宋体" w:hAnsi="宋体" w:eastAsia="宋体" w:cs="宋体"/>
                <w:b w:val="0"/>
                <w:bCs w:val="0"/>
                <w:sz w:val="24"/>
                <w:szCs w:val="24"/>
                <w:lang w:val="en-US" w:eastAsia="zh-CN"/>
              </w:rPr>
              <w:t>陈凌英等同志辞职；开除陈丹平同志；续聘曾萍等22名临聘人员半年；杨雪莲、彭艳玲、陈艳霞外出进修3个月；</w:t>
            </w:r>
            <w:r>
              <w:rPr>
                <w:rFonts w:hint="eastAsia"/>
                <w:lang w:val="en-US" w:eastAsia="zh-CN"/>
              </w:rPr>
              <w:t>不再继续返聘白芊同志；</w:t>
            </w:r>
            <w:r>
              <w:rPr>
                <w:rFonts w:hint="eastAsia" w:ascii="宋体" w:hAnsi="宋体" w:eastAsia="宋体" w:cs="宋体"/>
                <w:b w:val="0"/>
                <w:bCs w:val="0"/>
                <w:sz w:val="24"/>
                <w:szCs w:val="24"/>
                <w:lang w:val="en-US" w:eastAsia="zh-CN"/>
              </w:rPr>
              <w:t>白玉红同志由儿科调到医务股工作，2024年9月1日起执行。</w:t>
            </w:r>
          </w:p>
          <w:p w14:paraId="02A02DC7">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2.任薛艳姣为外二科支部书记，谭其杰、周琼为外二科支部委员。</w:t>
            </w:r>
          </w:p>
          <w:p w14:paraId="0A888BC8">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3.麻醉科医师不足，一致同意引进两名麻醉医师。</w:t>
            </w:r>
          </w:p>
          <w:p w14:paraId="452D2085">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4.移动公司坪石分公司在我院住院部楼顶安装基站和信号接收放大器，基站和信号接收放大器产生的电费及</w:t>
            </w:r>
            <w:bookmarkStart w:id="0" w:name="_GoBack"/>
            <w:bookmarkEnd w:id="0"/>
            <w:r>
              <w:rPr>
                <w:rFonts w:hint="eastAsia" w:ascii="宋体" w:hAnsi="宋体" w:eastAsia="宋体" w:cs="宋体"/>
                <w:b w:val="0"/>
                <w:bCs w:val="0"/>
                <w:sz w:val="24"/>
                <w:szCs w:val="24"/>
                <w:lang w:val="en-US" w:eastAsia="zh-CN"/>
              </w:rPr>
              <w:t>其他费用由移动公司坪石分公司自理。</w:t>
            </w:r>
          </w:p>
          <w:p w14:paraId="22B3B51F">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5.坪石发电B厂到我院建屋顶分布式光伏，并签订协议。</w:t>
            </w:r>
          </w:p>
          <w:p w14:paraId="0DF6CC15">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6.与广东康卫士医用包装容器有限公司签订我院输液瓶（袋）免费回收协议，暂签三年。</w:t>
            </w:r>
          </w:p>
          <w:p w14:paraId="7893694E">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7.签订雷电防护装置定期检测协议及重症医学科和手术室净化系统的维保协议。</w:t>
            </w:r>
          </w:p>
          <w:p w14:paraId="552BAD9E">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8.按国家网络信息安全有关文件要求，对我院《国家网络信息安全二级等保通过证书》进行复测，费用30000元。</w:t>
            </w:r>
          </w:p>
          <w:p w14:paraId="1958DAB1">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9.购买从业人员体检信息管理系统，金额：26980元</w:t>
            </w:r>
          </w:p>
          <w:p w14:paraId="5666AD5F">
            <w:pPr>
              <w:widowControl w:val="0"/>
              <w:numPr>
                <w:ilvl w:val="0"/>
                <w:numId w:val="0"/>
              </w:numPr>
              <w:ind w:firstLine="480" w:firstLineChars="200"/>
              <w:jc w:val="both"/>
              <w:rPr>
                <w:rFonts w:hint="default"/>
                <w:lang w:val="en-US"/>
              </w:rPr>
            </w:pPr>
            <w:r>
              <w:rPr>
                <w:rFonts w:hint="eastAsia" w:ascii="宋体" w:hAnsi="宋体" w:eastAsia="宋体" w:cs="宋体"/>
                <w:b w:val="0"/>
                <w:bCs w:val="0"/>
                <w:sz w:val="24"/>
                <w:szCs w:val="24"/>
                <w:lang w:val="en-US" w:eastAsia="zh-CN"/>
              </w:rPr>
              <w:t>10.旧院区DR室防辐射补漏工程进行议价采购，与广州市卫环医疗器械有限公司进行议价，议价5.5万元。</w:t>
            </w:r>
          </w:p>
          <w:p w14:paraId="7568ABA9">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11.二门诊提出采购一台特定蛋白分析仪的申请，金额：55000元。</w:t>
            </w:r>
          </w:p>
          <w:p w14:paraId="74DCE15E">
            <w:pPr>
              <w:widowControl w:val="0"/>
              <w:numPr>
                <w:ilvl w:val="0"/>
                <w:numId w:val="0"/>
              </w:numPr>
              <w:ind w:firstLine="480" w:firstLineChars="200"/>
              <w:jc w:val="both"/>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12.手术室前的天花板部分脱落，同意维修，费用3100元。</w:t>
            </w:r>
          </w:p>
          <w:p w14:paraId="1A0BECB3">
            <w:pPr>
              <w:widowControl w:val="0"/>
              <w:numPr>
                <w:ilvl w:val="0"/>
                <w:numId w:val="0"/>
              </w:numPr>
              <w:ind w:firstLine="480" w:firstLineChars="200"/>
              <w:jc w:val="both"/>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13.将“医养结合”项目服务价格成本测算交由韶关市诺正会计师事务所负责，费用：12000元。</w:t>
            </w:r>
          </w:p>
          <w:p w14:paraId="1E5B3A28">
            <w:pPr>
              <w:widowControl w:val="0"/>
              <w:numPr>
                <w:ilvl w:val="0"/>
                <w:numId w:val="0"/>
              </w:numPr>
              <w:ind w:firstLine="480" w:firstLineChars="200"/>
              <w:jc w:val="both"/>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14.订购120院前急救服装，金额：11222元。</w:t>
            </w:r>
          </w:p>
          <w:p w14:paraId="4165BAD6">
            <w:pPr>
              <w:widowControl w:val="0"/>
              <w:numPr>
                <w:ilvl w:val="0"/>
                <w:numId w:val="0"/>
              </w:numPr>
              <w:ind w:firstLine="480" w:firstLineChars="200"/>
              <w:jc w:val="both"/>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15.医院的物业管理服务于今年12月31日到期，会议同意重新招标，招标金额：108万元。</w:t>
            </w:r>
          </w:p>
          <w:p w14:paraId="685F6A61">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16.新建立了《乐昌市第二人民医院国有资产处置制度》。</w:t>
            </w:r>
          </w:p>
          <w:p w14:paraId="2AAC9431">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17.由乐昌市鸿泰机电设备有限公司更换旧医院变压器的老旧设备，费用5780.13元。</w:t>
            </w:r>
          </w:p>
          <w:p w14:paraId="6B007B9B">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18.由韶关市纳科环保科技有限公司为我院辐射安全许可延续换诊提供技术服务，费用6000元。</w:t>
            </w:r>
          </w:p>
          <w:p w14:paraId="25860838">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19.借助郴州市第一人民医院“组团式”帮扶，由医务股负责对接相关工作。</w:t>
            </w:r>
          </w:p>
          <w:p w14:paraId="173E7D2D">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20.由杜晟副院长牵头，医务股具体负责做好组团下乡帮扶工作及在8月前开展胸痛中心创建工作。</w:t>
            </w:r>
          </w:p>
          <w:p w14:paraId="6E50AE3F">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pPr>
            <w:r>
              <w:rPr>
                <w:rFonts w:hint="eastAsia" w:ascii="宋体" w:hAnsi="宋体" w:eastAsia="宋体" w:cs="宋体"/>
                <w:b w:val="0"/>
                <w:bCs w:val="0"/>
                <w:sz w:val="24"/>
                <w:szCs w:val="24"/>
                <w:lang w:val="en-US" w:eastAsia="zh-CN"/>
              </w:rPr>
              <w:t>21.坪石镇卫生院麻醉医师参与做无痛胃肠镜的，同意补助其：无痛胃镜60元/例，无痛肠镜80元/例。</w:t>
            </w:r>
          </w:p>
          <w:p w14:paraId="170AD639">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pPr>
            <w:r>
              <w:rPr>
                <w:rFonts w:hint="eastAsia" w:ascii="宋体" w:hAnsi="宋体" w:eastAsia="宋体" w:cs="宋体"/>
                <w:b w:val="0"/>
                <w:bCs w:val="0"/>
                <w:sz w:val="24"/>
                <w:szCs w:val="24"/>
                <w:lang w:val="en-US" w:eastAsia="zh-CN"/>
              </w:rPr>
              <w:t>22.与坪石区域性敬老院签订医疗服务协议。</w:t>
            </w:r>
          </w:p>
          <w:p w14:paraId="5EC8BC15">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23.按新修订的《请假休假制度》执行请假休假。</w:t>
            </w:r>
          </w:p>
          <w:p w14:paraId="5A22AC85">
            <w:pPr>
              <w:widowControl w:val="0"/>
              <w:numPr>
                <w:ilvl w:val="0"/>
                <w:numId w:val="0"/>
              </w:numPr>
              <w:ind w:firstLine="480" w:firstLineChars="200"/>
              <w:jc w:val="both"/>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24.加强对医院太平间的管理，并约谈第三方，此项工作由杜晟副院长和总务股谢志坚负责落实。</w:t>
            </w:r>
          </w:p>
          <w:p w14:paraId="450A87DA">
            <w:pPr>
              <w:widowControl w:val="0"/>
              <w:numPr>
                <w:ilvl w:val="0"/>
                <w:numId w:val="0"/>
              </w:numPr>
              <w:ind w:firstLine="480" w:firstLineChars="200"/>
              <w:jc w:val="both"/>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25.关于胸痛中心、创伤中心建设，由护理部负责组织宣传团队进社区、下乡镇进行宣传；由杜晟副院长和医务股李苏明同志负责落实其他事项。</w:t>
            </w:r>
          </w:p>
          <w:p w14:paraId="7F46B9B9">
            <w:pPr>
              <w:widowControl w:val="0"/>
              <w:numPr>
                <w:ilvl w:val="0"/>
                <w:numId w:val="0"/>
              </w:numPr>
              <w:ind w:firstLine="480" w:firstLineChars="200"/>
              <w:jc w:val="both"/>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26.二门诊有关工作事项：购买1台超敏C反应蛋白机，由总务谢志坚同志股负责落实；儿童输液需儿科专业护士操作，由护理部周艳萍同志负责落实；由邓顺林副院长负责彩超机的调配；由医务股李苏明同志负责调整医生上班时间安排；由办公室刘卫国同志负责宣传。</w:t>
            </w:r>
          </w:p>
          <w:p w14:paraId="22C7DE96">
            <w:pPr>
              <w:widowControl w:val="0"/>
              <w:numPr>
                <w:ilvl w:val="0"/>
                <w:numId w:val="0"/>
              </w:numPr>
              <w:ind w:firstLine="480" w:firstLineChars="200"/>
              <w:jc w:val="both"/>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27.从业人员健康体检检测报告审核由罗国文同志负责；非从业人员健康体检检测报告审核由张晓静、王源泉同志负责。</w:t>
            </w:r>
          </w:p>
          <w:p w14:paraId="2A5FABB3">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28.落实行政值班制度，每个值班班组2人一组，严格遵守行政值班职责，于7月1日起执行。</w:t>
            </w:r>
          </w:p>
          <w:p w14:paraId="0F9885E9">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29.医保办要完成全院医生的医保培训工作，要提交医保数据分析，要到ICU监管医保收费，要把第三方医保自查的院内招标工作完成。</w:t>
            </w:r>
          </w:p>
          <w:p w14:paraId="70EDBEBD">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30.由总务股落实好闲置实施设备的清查工作，有关消防验收工作要了解清楚。</w:t>
            </w:r>
          </w:p>
          <w:p w14:paraId="3CEF78F8">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31.组织相关部门负责人到核工业四一九医院学习“医养结合”项目。</w:t>
            </w:r>
          </w:p>
          <w:p w14:paraId="2D1C995A">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pPr>
            <w:r>
              <w:rPr>
                <w:rFonts w:hint="eastAsia" w:ascii="宋体" w:hAnsi="宋体" w:eastAsia="宋体" w:cs="宋体"/>
                <w:b w:val="0"/>
                <w:bCs w:val="0"/>
                <w:sz w:val="24"/>
                <w:szCs w:val="24"/>
                <w:lang w:val="en-US" w:eastAsia="zh-CN"/>
              </w:rPr>
              <w:t>32.关于医养结合项目，计划在今年9月份着手实施，由护理部负责护理人员进修培训相关专业知识及护理员考点的申请；财务股负责收费项目报批；院办负责申报项目并向医保局、民政局和卫生健康局备案；由护理部和政工股推荐医养结合科室护理负责人。</w:t>
            </w:r>
          </w:p>
          <w:p w14:paraId="7C53A973">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33.坪石区域性敬老院医疗保障工作由杜晟副院长牵头，医务股、护理部具体负责落实工作；对敬老院的88名老人全部进行一次健康体检；在7月完成敬老院老年人的健康档案的建档工作及其他工作。</w:t>
            </w:r>
          </w:p>
        </w:tc>
        <w:tc>
          <w:tcPr>
            <w:tcW w:w="1722" w:type="dxa"/>
          </w:tcPr>
          <w:p w14:paraId="4486F08B">
            <w:pPr>
              <w:jc w:val="center"/>
              <w:rPr>
                <w:rFonts w:hint="eastAsia"/>
                <w:b/>
                <w:bCs/>
                <w:sz w:val="24"/>
                <w:szCs w:val="24"/>
                <w:vertAlign w:val="baseline"/>
                <w:lang w:val="en-US" w:eastAsia="zh-CN"/>
              </w:rPr>
            </w:pPr>
            <w:r>
              <w:rPr>
                <w:rFonts w:hint="eastAsia"/>
                <w:b w:val="0"/>
                <w:bCs w:val="0"/>
                <w:sz w:val="24"/>
                <w:szCs w:val="24"/>
                <w:vertAlign w:val="baseline"/>
                <w:lang w:val="en-US" w:eastAsia="zh-CN"/>
              </w:rPr>
              <w:t>医院党总支会议集中决策</w:t>
            </w:r>
          </w:p>
        </w:tc>
        <w:tc>
          <w:tcPr>
            <w:tcW w:w="1721" w:type="dxa"/>
          </w:tcPr>
          <w:p w14:paraId="25D9ED68">
            <w:pPr>
              <w:jc w:val="center"/>
              <w:rPr>
                <w:rFonts w:hint="eastAsia"/>
                <w:b/>
                <w:bCs/>
                <w:sz w:val="24"/>
                <w:szCs w:val="24"/>
                <w:vertAlign w:val="baseline"/>
                <w:lang w:val="en-US" w:eastAsia="zh-CN"/>
              </w:rPr>
            </w:pPr>
            <w:r>
              <w:rPr>
                <w:rFonts w:hint="eastAsia"/>
                <w:b w:val="0"/>
                <w:bCs w:val="0"/>
                <w:sz w:val="24"/>
                <w:szCs w:val="24"/>
                <w:vertAlign w:val="baseline"/>
                <w:lang w:val="en-US" w:eastAsia="zh-CN"/>
              </w:rPr>
              <w:t>经表决同意2024年第三季度各项重要事项</w:t>
            </w:r>
          </w:p>
        </w:tc>
        <w:tc>
          <w:tcPr>
            <w:tcW w:w="1477" w:type="dxa"/>
          </w:tcPr>
          <w:p w14:paraId="0E4679CD">
            <w:pPr>
              <w:jc w:val="center"/>
              <w:rPr>
                <w:rFonts w:hint="default"/>
                <w:b w:val="0"/>
                <w:bCs w:val="0"/>
                <w:sz w:val="24"/>
                <w:szCs w:val="24"/>
                <w:vertAlign w:val="baseline"/>
                <w:lang w:val="en-US" w:eastAsia="zh-CN"/>
              </w:rPr>
            </w:pPr>
            <w:r>
              <w:rPr>
                <w:rFonts w:hint="eastAsia"/>
                <w:b w:val="0"/>
                <w:bCs w:val="0"/>
                <w:sz w:val="24"/>
                <w:szCs w:val="24"/>
                <w:vertAlign w:val="baseline"/>
                <w:lang w:val="en-US" w:eastAsia="zh-CN"/>
              </w:rPr>
              <w:t>2024年9月30日</w:t>
            </w:r>
          </w:p>
        </w:tc>
      </w:tr>
    </w:tbl>
    <w:p w14:paraId="72399A54">
      <w:pPr>
        <w:tabs>
          <w:tab w:val="left" w:pos="2102"/>
        </w:tabs>
        <w:bidi w:val="0"/>
        <w:jc w:val="left"/>
        <w:rPr>
          <w:rFonts w:hint="eastAsia"/>
          <w:lang w:val="en-US" w:eastAsia="zh-CN"/>
        </w:rPr>
      </w:pPr>
    </w:p>
    <w:sectPr>
      <w:pgSz w:w="16838" w:h="11906" w:orient="landscape"/>
      <w:pgMar w:top="1746" w:right="1440" w:bottom="1746"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5ZTk4ZTkzYmEyNThjMDJiYmVlMjQwNzg4ZGUxNmEifQ=="/>
  </w:docVars>
  <w:rsids>
    <w:rsidRoot w:val="40AF0793"/>
    <w:rsid w:val="057E12A3"/>
    <w:rsid w:val="066C3044"/>
    <w:rsid w:val="0A264F34"/>
    <w:rsid w:val="0A8F3F6A"/>
    <w:rsid w:val="0AF24069"/>
    <w:rsid w:val="15832E74"/>
    <w:rsid w:val="24AD7057"/>
    <w:rsid w:val="275E4DF0"/>
    <w:rsid w:val="2C5F7FC3"/>
    <w:rsid w:val="2D576F84"/>
    <w:rsid w:val="2EA8720D"/>
    <w:rsid w:val="369F79FC"/>
    <w:rsid w:val="37421881"/>
    <w:rsid w:val="40AF0793"/>
    <w:rsid w:val="423B1524"/>
    <w:rsid w:val="4BEA2F99"/>
    <w:rsid w:val="4DF61D74"/>
    <w:rsid w:val="500E0665"/>
    <w:rsid w:val="511E088A"/>
    <w:rsid w:val="52FF4571"/>
    <w:rsid w:val="53206AC2"/>
    <w:rsid w:val="59392A3D"/>
    <w:rsid w:val="642B3519"/>
    <w:rsid w:val="65EF7A30"/>
    <w:rsid w:val="6B4462AF"/>
    <w:rsid w:val="6BC26511"/>
    <w:rsid w:val="73740A39"/>
    <w:rsid w:val="7A9E4A38"/>
    <w:rsid w:val="7C354ADD"/>
    <w:rsid w:val="7C720C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1571</Words>
  <Characters>1691</Characters>
  <Lines>0</Lines>
  <Paragraphs>0</Paragraphs>
  <TotalTime>7</TotalTime>
  <ScaleCrop>false</ScaleCrop>
  <LinksUpToDate>false</LinksUpToDate>
  <CharactersWithSpaces>1691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2022-03-14T07:37:00Z</dcterms:created>
  <dc:creator>lenovo</dc:creator>
  <cp:lastModifiedBy>*Supreme~</cp:lastModifiedBy>
  <cp:lastPrinted>2024-09-27T08:56:01Z</cp:lastPrinted>
  <dcterms:modified xsi:type="dcterms:W3CDTF">2024-09-27T09:00:35Z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909A35A2C59E4F688F1B6ABC62B9077A_13</vt:lpwstr>
  </property>
</Properties>
</file>