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A5" w:rsidRDefault="00B86308">
      <w:pPr>
        <w:pStyle w:val="a3"/>
        <w:widowControl/>
        <w:wordWrap w:val="0"/>
        <w:spacing w:beforeAutospacing="0" w:afterAutospacing="0"/>
        <w:jc w:val="both"/>
        <w:rPr>
          <w:rFonts w:ascii="微软雅黑" w:eastAsia="微软雅黑" w:hAnsi="微软雅黑" w:cs="微软雅黑"/>
          <w:sz w:val="28"/>
          <w:szCs w:val="28"/>
        </w:rPr>
      </w:pPr>
      <w:r>
        <w:rPr>
          <w:rFonts w:ascii="微软雅黑" w:eastAsia="微软雅黑" w:hAnsi="微软雅黑" w:cs="微软雅黑" w:hint="eastAsia"/>
          <w:sz w:val="28"/>
          <w:szCs w:val="28"/>
        </w:rPr>
        <w:t>附件</w:t>
      </w:r>
    </w:p>
    <w:p w:rsidR="00345AA5" w:rsidRDefault="00B86308">
      <w:pPr>
        <w:pStyle w:val="a3"/>
        <w:widowControl/>
        <w:wordWrap w:val="0"/>
        <w:spacing w:beforeAutospacing="0" w:afterAutospacing="0"/>
        <w:jc w:val="center"/>
        <w:rPr>
          <w:rFonts w:ascii="微软雅黑" w:eastAsia="微软雅黑" w:hAnsi="微软雅黑" w:cs="微软雅黑"/>
          <w:sz w:val="44"/>
          <w:szCs w:val="44"/>
        </w:rPr>
      </w:pPr>
      <w:r>
        <w:rPr>
          <w:rFonts w:ascii="微软雅黑" w:eastAsia="微软雅黑" w:hAnsi="微软雅黑" w:cs="微软雅黑" w:hint="eastAsia"/>
          <w:sz w:val="44"/>
          <w:szCs w:val="44"/>
        </w:rPr>
        <w:t>乐昌市住建管理局</w:t>
      </w:r>
      <w:r>
        <w:rPr>
          <w:rFonts w:ascii="微软雅黑" w:eastAsia="微软雅黑" w:hAnsi="微软雅黑" w:cs="微软雅黑" w:hint="eastAsia"/>
          <w:sz w:val="44"/>
          <w:szCs w:val="44"/>
        </w:rPr>
        <w:t>2021</w:t>
      </w:r>
      <w:r>
        <w:rPr>
          <w:rFonts w:ascii="微软雅黑" w:eastAsia="微软雅黑" w:hAnsi="微软雅黑" w:cs="微软雅黑" w:hint="eastAsia"/>
          <w:sz w:val="44"/>
          <w:szCs w:val="44"/>
        </w:rPr>
        <w:t>年普法责任清单</w:t>
      </w:r>
    </w:p>
    <w:tbl>
      <w:tblPr>
        <w:tblW w:w="14255" w:type="dxa"/>
        <w:tblCellMar>
          <w:left w:w="0" w:type="dxa"/>
          <w:right w:w="0" w:type="dxa"/>
        </w:tblCellMar>
        <w:tblLook w:val="04A0"/>
      </w:tblPr>
      <w:tblGrid>
        <w:gridCol w:w="804"/>
        <w:gridCol w:w="5217"/>
        <w:gridCol w:w="2966"/>
        <w:gridCol w:w="1750"/>
        <w:gridCol w:w="2284"/>
        <w:gridCol w:w="1234"/>
      </w:tblGrid>
      <w:tr w:rsidR="00345AA5">
        <w:trPr>
          <w:trHeight w:val="738"/>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pPr>
            <w:r>
              <w:rPr>
                <w:rStyle w:val="a5"/>
                <w:rFonts w:ascii="微软雅黑" w:eastAsia="微软雅黑" w:hAnsi="微软雅黑" w:cs="微软雅黑" w:hint="eastAsia"/>
                <w:sz w:val="21"/>
                <w:szCs w:val="21"/>
              </w:rPr>
              <w:t>序号</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pPr>
            <w:r>
              <w:rPr>
                <w:rStyle w:val="a5"/>
                <w:rFonts w:ascii="微软雅黑" w:eastAsia="微软雅黑" w:hAnsi="微软雅黑" w:cs="微软雅黑" w:hint="eastAsia"/>
                <w:sz w:val="21"/>
                <w:szCs w:val="21"/>
              </w:rPr>
              <w:t>普法内容</w:t>
            </w:r>
          </w:p>
        </w:tc>
        <w:tc>
          <w:tcPr>
            <w:tcW w:w="2966"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jc w:val="center"/>
              <w:rPr>
                <w:rStyle w:val="a5"/>
                <w:rFonts w:ascii="微软雅黑" w:eastAsia="微软雅黑" w:hAnsi="微软雅黑" w:cs="微软雅黑"/>
                <w:szCs w:val="21"/>
              </w:rPr>
            </w:pPr>
            <w:r>
              <w:rPr>
                <w:rStyle w:val="a5"/>
                <w:rFonts w:ascii="微软雅黑" w:eastAsia="微软雅黑" w:hAnsi="微软雅黑" w:cs="微软雅黑" w:hint="eastAsia"/>
                <w:szCs w:val="21"/>
              </w:rPr>
              <w:t>普法目标</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pPr>
            <w:r>
              <w:rPr>
                <w:rStyle w:val="a5"/>
                <w:rFonts w:ascii="微软雅黑" w:eastAsia="微软雅黑" w:hAnsi="微软雅黑" w:cs="微软雅黑" w:hint="eastAsia"/>
                <w:sz w:val="21"/>
                <w:szCs w:val="21"/>
              </w:rPr>
              <w:t>普法对象</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pPr>
            <w:r>
              <w:rPr>
                <w:rStyle w:val="a5"/>
                <w:rFonts w:ascii="微软雅黑" w:eastAsia="微软雅黑" w:hAnsi="微软雅黑" w:cs="微软雅黑" w:hint="eastAsia"/>
                <w:sz w:val="21"/>
                <w:szCs w:val="21"/>
              </w:rPr>
              <w:t>普法形式</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pPr>
            <w:r>
              <w:rPr>
                <w:rStyle w:val="a5"/>
                <w:rFonts w:ascii="微软雅黑" w:eastAsia="微软雅黑" w:hAnsi="微软雅黑" w:cs="微软雅黑" w:hint="eastAsia"/>
                <w:sz w:val="21"/>
                <w:szCs w:val="21"/>
              </w:rPr>
              <w:t>责任科室</w:t>
            </w:r>
          </w:p>
        </w:tc>
      </w:tr>
      <w:tr w:rsidR="00345AA5">
        <w:trPr>
          <w:trHeight w:val="1232"/>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pPr>
            <w:r>
              <w:rPr>
                <w:rFonts w:ascii="微软雅黑" w:eastAsia="微软雅黑" w:hAnsi="微软雅黑" w:cs="微软雅黑" w:hint="eastAsia"/>
                <w:sz w:val="21"/>
                <w:szCs w:val="21"/>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学习习近平新时代中国特色社会主义思想，特别是习近平总书记关于全面依法治国、依规治党的重要论述和以习近平同志为核心的党中央关于全面依法治国的重要部署</w:t>
            </w:r>
          </w:p>
        </w:tc>
        <w:tc>
          <w:tcPr>
            <w:tcW w:w="2966" w:type="dxa"/>
            <w:vMerge w:val="restart"/>
            <w:tcBorders>
              <w:top w:val="single" w:sz="6" w:space="0" w:color="000000"/>
              <w:left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要把学习宣传贯彻习近平法治思想同党史学习教育结合起来，同深入学习百年来我们党推进法治建设特别是党的十八大以来全面依法治国的成就和经验结合起来，传承红色基因，坚定法治自信，坚定不移走中国特色社会主义法治道路。要以高质量法治助推高质量发展，服务保障“十四五”开好局起好步。要开展好“我为群众办实事”实践活动，着力解决群众反映强烈的法治领域突出问题。</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局全体工作人员</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自学、集中学习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党委办办公室</w:t>
            </w:r>
          </w:p>
        </w:tc>
      </w:tr>
      <w:tr w:rsidR="00345AA5">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pPr>
            <w:r>
              <w:rPr>
                <w:rFonts w:ascii="微软雅黑" w:eastAsia="微软雅黑" w:hAnsi="微软雅黑" w:cs="微软雅黑" w:hint="eastAsia"/>
                <w:sz w:val="21"/>
                <w:szCs w:val="21"/>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开展党史学习教育，学习《关于新形势下党内政治生活的若干准则》《中国共产党廉洁自律准则》等各项党内法规</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局全体党员</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自学、集中学习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党委办</w:t>
            </w:r>
          </w:p>
        </w:tc>
      </w:tr>
      <w:tr w:rsidR="00345AA5">
        <w:trPr>
          <w:trHeight w:val="90"/>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pPr>
            <w:r>
              <w:rPr>
                <w:rFonts w:ascii="微软雅黑" w:eastAsia="微软雅黑" w:hAnsi="微软雅黑" w:cs="微软雅黑" w:hint="eastAsia"/>
                <w:sz w:val="21"/>
                <w:szCs w:val="21"/>
              </w:rPr>
              <w:t>3</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落实党组中心组集体学法制度、领导干部法制讲座制度，制订并落实领导干部年度学法计划。</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局党组中心组</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集中学习（党组理论中心组学习）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党委办</w:t>
            </w:r>
          </w:p>
        </w:tc>
      </w:tr>
      <w:tr w:rsidR="00345AA5">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hint="eastAsia"/>
                <w:sz w:val="21"/>
                <w:szCs w:val="21"/>
              </w:rPr>
              <w:t>4</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组织领导干部参加法治专题培训班、法治专题讲座等学法活动</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局全体工作人员</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专题培训班、专题讲座</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法规股</w:t>
            </w:r>
          </w:p>
        </w:tc>
      </w:tr>
      <w:tr w:rsidR="00345AA5">
        <w:trPr>
          <w:trHeight w:val="1398"/>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hint="eastAsia"/>
                <w:sz w:val="21"/>
                <w:szCs w:val="21"/>
              </w:rPr>
              <w:t>5</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学习宪法、民法典，组织宪法宣传周活动</w:t>
            </w:r>
          </w:p>
        </w:tc>
        <w:tc>
          <w:tcPr>
            <w:tcW w:w="2966" w:type="dxa"/>
            <w:vMerge/>
            <w:tcBorders>
              <w:left w:val="single" w:sz="6" w:space="0" w:color="000000"/>
              <w:bottom w:val="single" w:sz="4" w:space="0" w:color="auto"/>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局党组中心组局全体工作人员</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集中学习、自学、结合“</w:t>
            </w:r>
            <w:r>
              <w:rPr>
                <w:rFonts w:ascii="仿宋_GB2312" w:eastAsia="仿宋_GB2312" w:hAnsi="仿宋_GB2312" w:cs="仿宋_GB2312" w:hint="eastAsia"/>
                <w:szCs w:val="22"/>
                <w:lang w:bidi="zh-CN"/>
              </w:rPr>
              <w:t>12.4</w:t>
            </w:r>
            <w:r>
              <w:rPr>
                <w:rFonts w:ascii="仿宋_GB2312" w:eastAsia="仿宋_GB2312" w:hAnsi="仿宋_GB2312" w:cs="仿宋_GB2312" w:hint="eastAsia"/>
                <w:szCs w:val="22"/>
                <w:lang w:val="zh-CN" w:bidi="zh-CN"/>
              </w:rPr>
              <w:t>”宪法宣传日开展系列法治宣传活动</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法规股</w:t>
            </w:r>
          </w:p>
        </w:tc>
      </w:tr>
      <w:tr w:rsidR="00345AA5">
        <w:trPr>
          <w:trHeight w:val="635"/>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bidi="zh-CN"/>
              </w:rPr>
              <w:lastRenderedPageBreak/>
              <w:t>6</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《中华人民共和国保守国家秘密法》</w:t>
            </w:r>
            <w:bookmarkStart w:id="0" w:name="_GoBack"/>
            <w:bookmarkEnd w:id="0"/>
          </w:p>
        </w:tc>
        <w:tc>
          <w:tcPr>
            <w:tcW w:w="2966" w:type="dxa"/>
            <w:vMerge w:val="restart"/>
            <w:tcBorders>
              <w:top w:val="single" w:sz="4" w:space="0" w:color="auto"/>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spacing w:beforeAutospacing="0" w:afterAutospacing="0"/>
              <w:jc w:val="center"/>
              <w:rPr>
                <w:rFonts w:ascii="仿宋_GB2312" w:eastAsia="仿宋_GB2312" w:hAnsi="仿宋_GB2312" w:cs="仿宋_GB2312"/>
                <w:szCs w:val="22"/>
                <w:lang w:val="zh-CN" w:bidi="zh-CN"/>
              </w:rPr>
            </w:pPr>
          </w:p>
          <w:p w:rsidR="00345AA5" w:rsidRDefault="00B86308">
            <w:pPr>
              <w:pStyle w:val="a3"/>
              <w:widowControl/>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落实好“谁执法谁普法”</w:t>
            </w: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t>责任制工作要求，不断推进普法工作深入开展，以增强工作人员依法履职能力和法律素质为中心，坚持系统内普法与社会普法相结合，在执法过程中进行实时普法、精准普法，</w:t>
            </w: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t>提高社会公众对相关法律法规的知晓度，营造人人学法用法的良好社会氛围，进一步推进各项工作依法规范和管理，不断提高法治化管理水平。</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党组中心组局</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集中学习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办公室</w:t>
            </w:r>
          </w:p>
        </w:tc>
      </w:tr>
      <w:tr w:rsidR="00345AA5">
        <w:trPr>
          <w:trHeight w:val="689"/>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bidi="zh-CN"/>
              </w:rPr>
              <w:t>7</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《中华人民共和国行政处罚法》</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局全体执法人员</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邀请局法律顾问集中授课。</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法规股</w:t>
            </w:r>
          </w:p>
        </w:tc>
      </w:tr>
      <w:tr w:rsidR="00345AA5">
        <w:trPr>
          <w:trHeight w:val="905"/>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bidi="zh-CN"/>
              </w:rPr>
              <w:t>8</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《广东省实施</w:t>
            </w:r>
            <w:r>
              <w:rPr>
                <w:rFonts w:ascii="仿宋_GB2312" w:eastAsia="仿宋_GB2312" w:hAnsi="仿宋_GB2312" w:cs="仿宋_GB2312" w:hint="eastAsia"/>
                <w:szCs w:val="22"/>
                <w:lang w:val="zh-CN" w:bidi="zh-CN"/>
              </w:rPr>
              <w:t>&lt;</w:t>
            </w:r>
            <w:r>
              <w:rPr>
                <w:rFonts w:ascii="仿宋_GB2312" w:eastAsia="仿宋_GB2312" w:hAnsi="仿宋_GB2312" w:cs="仿宋_GB2312" w:hint="eastAsia"/>
                <w:szCs w:val="22"/>
                <w:lang w:val="zh-CN" w:bidi="zh-CN"/>
              </w:rPr>
              <w:t>中华人民共和国人民防空法</w:t>
            </w:r>
            <w:r>
              <w:rPr>
                <w:rFonts w:ascii="仿宋_GB2312" w:eastAsia="仿宋_GB2312" w:hAnsi="仿宋_GB2312" w:cs="仿宋_GB2312" w:hint="eastAsia"/>
                <w:szCs w:val="22"/>
                <w:lang w:val="zh-CN" w:bidi="zh-CN"/>
              </w:rPr>
              <w:t>&gt;</w:t>
            </w:r>
            <w:r>
              <w:rPr>
                <w:rFonts w:ascii="仿宋_GB2312" w:eastAsia="仿宋_GB2312" w:hAnsi="仿宋_GB2312" w:cs="仿宋_GB2312" w:hint="eastAsia"/>
                <w:szCs w:val="22"/>
                <w:lang w:val="zh-CN" w:bidi="zh-CN"/>
              </w:rPr>
              <w:t>办法》</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全体工作人员、服务对象及社会公众</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发放宣传资料、宣传册等进行宣传。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人防股</w:t>
            </w:r>
          </w:p>
        </w:tc>
      </w:tr>
      <w:tr w:rsidR="00345AA5">
        <w:trPr>
          <w:trHeight w:val="804"/>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bidi="zh-CN"/>
              </w:rPr>
              <w:t>9</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《中华人民共和国消防法》</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全体工作人员、服务对象及社会公众</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发放宣传资料、宣传册等进行宣传。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消防股</w:t>
            </w:r>
          </w:p>
        </w:tc>
      </w:tr>
      <w:tr w:rsidR="00345AA5">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bidi="zh-CN"/>
              </w:rPr>
              <w:t>10</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《中华人民共和国建筑法》、《建设工程施工许可管理办法》、《房屋建筑和市政基础设施工程竣工验收备案管理办法》</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全体工作人员、服务对象及社会公众、建筑业企业、协会</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结合住房城乡建设事业“十四五”规划目标、开展或参与法治宣传主题活动，开展送法进企业活动，</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建管股</w:t>
            </w:r>
          </w:p>
        </w:tc>
      </w:tr>
      <w:tr w:rsidR="00345AA5">
        <w:trPr>
          <w:trHeight w:val="1878"/>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bidi="zh-CN"/>
              </w:rPr>
              <w:t>11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节能建筑与绿色建筑相关法律法规规章，《广东省民用建筑节能条例》</w:t>
            </w:r>
          </w:p>
        </w:tc>
        <w:tc>
          <w:tcPr>
            <w:tcW w:w="2966" w:type="dxa"/>
            <w:vMerge/>
            <w:tcBorders>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全体工作人员、服务对象及社会公众、建筑业企业、协会</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利用</w:t>
            </w:r>
            <w:r>
              <w:rPr>
                <w:rFonts w:ascii="仿宋_GB2312" w:eastAsia="仿宋_GB2312" w:hAnsi="仿宋_GB2312" w:cs="仿宋_GB2312" w:hint="eastAsia"/>
                <w:szCs w:val="22"/>
                <w:lang w:val="zh-CN" w:bidi="zh-CN"/>
              </w:rPr>
              <w:t xml:space="preserve"> 6 </w:t>
            </w:r>
            <w:r>
              <w:rPr>
                <w:rFonts w:ascii="仿宋_GB2312" w:eastAsia="仿宋_GB2312" w:hAnsi="仿宋_GB2312" w:cs="仿宋_GB2312" w:hint="eastAsia"/>
                <w:szCs w:val="22"/>
                <w:lang w:val="zh-CN" w:bidi="zh-CN"/>
              </w:rPr>
              <w:t>月份建筑节能宣传月开展现场普法、发放宣传手册、专题培训等活动。</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建管股</w:t>
            </w:r>
          </w:p>
        </w:tc>
      </w:tr>
      <w:tr w:rsidR="00345AA5">
        <w:trPr>
          <w:trHeight w:val="2197"/>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val="zh-CN" w:bidi="zh-CN"/>
              </w:rPr>
              <w:lastRenderedPageBreak/>
              <w:t>1</w:t>
            </w:r>
            <w:r>
              <w:rPr>
                <w:rFonts w:ascii="仿宋_GB2312" w:eastAsia="仿宋_GB2312" w:hAnsi="仿宋_GB2312" w:cs="仿宋_GB2312" w:hint="eastAsia"/>
                <w:szCs w:val="22"/>
                <w:lang w:bidi="zh-CN"/>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建筑工程质量、安全生产管理相关法律法规规章《建设工程质量管理条例》、《建设工程安全</w:t>
            </w:r>
            <w:r w:rsidR="003307C7">
              <w:rPr>
                <w:rFonts w:ascii="仿宋_GB2312" w:eastAsia="仿宋_GB2312" w:hAnsi="仿宋_GB2312" w:cs="仿宋_GB2312" w:hint="eastAsia"/>
                <w:szCs w:val="22"/>
                <w:lang w:val="zh-CN" w:bidi="zh-CN"/>
              </w:rPr>
              <w:t>生产</w:t>
            </w:r>
            <w:r>
              <w:rPr>
                <w:rFonts w:ascii="仿宋_GB2312" w:eastAsia="仿宋_GB2312" w:hAnsi="仿宋_GB2312" w:cs="仿宋_GB2312" w:hint="eastAsia"/>
                <w:szCs w:val="22"/>
                <w:lang w:val="zh-CN" w:bidi="zh-CN"/>
              </w:rPr>
              <w:t>管理条例》</w:t>
            </w:r>
          </w:p>
        </w:tc>
        <w:tc>
          <w:tcPr>
            <w:tcW w:w="2966" w:type="dxa"/>
            <w:vMerge w:val="restart"/>
            <w:tcBorders>
              <w:top w:val="single" w:sz="6" w:space="0" w:color="000000"/>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落实好“谁执法谁普法”</w:t>
            </w: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t>责任制工作要求，不断推进普法工作深入开展，以增强工作人员依法履职能力和法律素质为中心，坚持系统内普法与社会普法相结合，在执法过程中进行实时普法、精准普法，</w:t>
            </w:r>
            <w:r>
              <w:rPr>
                <w:rFonts w:ascii="仿宋_GB2312" w:eastAsia="仿宋_GB2312" w:hAnsi="仿宋_GB2312" w:cs="仿宋_GB2312" w:hint="eastAsia"/>
                <w:szCs w:val="22"/>
                <w:lang w:val="zh-CN" w:bidi="zh-CN"/>
              </w:rPr>
              <w:t xml:space="preserve"> </w:t>
            </w:r>
            <w:r>
              <w:rPr>
                <w:rFonts w:ascii="仿宋_GB2312" w:eastAsia="仿宋_GB2312" w:hAnsi="仿宋_GB2312" w:cs="仿宋_GB2312" w:hint="eastAsia"/>
                <w:szCs w:val="22"/>
                <w:lang w:val="zh-CN" w:bidi="zh-CN"/>
              </w:rPr>
              <w:t>提高社会公众对相关法律法规的知晓度，营造人人学法用法的良好社会氛围，进一步推进各项工作依法规范和管理，不断提高法治化管理水平。</w:t>
            </w: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全体工作人员、服务对象及社会公众、建筑业企业、协会</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在日常执法检查、服务指导过程中开展法治宣传教利用</w:t>
            </w:r>
            <w:r>
              <w:rPr>
                <w:rFonts w:ascii="仿宋_GB2312" w:eastAsia="仿宋_GB2312" w:hAnsi="仿宋_GB2312" w:cs="仿宋_GB2312" w:hint="eastAsia"/>
                <w:szCs w:val="22"/>
                <w:lang w:val="zh-CN" w:bidi="zh-CN"/>
              </w:rPr>
              <w:t xml:space="preserve"> 6 </w:t>
            </w:r>
            <w:r>
              <w:rPr>
                <w:rFonts w:ascii="仿宋_GB2312" w:eastAsia="仿宋_GB2312" w:hAnsi="仿宋_GB2312" w:cs="仿宋_GB2312" w:hint="eastAsia"/>
                <w:szCs w:val="22"/>
                <w:lang w:val="zh-CN" w:bidi="zh-CN"/>
              </w:rPr>
              <w:t>月份“安全月”、</w:t>
            </w:r>
            <w:r>
              <w:rPr>
                <w:rFonts w:ascii="仿宋_GB2312" w:eastAsia="仿宋_GB2312" w:hAnsi="仿宋_GB2312" w:cs="仿宋_GB2312" w:hint="eastAsia"/>
                <w:szCs w:val="22"/>
                <w:lang w:val="zh-CN" w:bidi="zh-CN"/>
              </w:rPr>
              <w:t xml:space="preserve"> 9 </w:t>
            </w:r>
            <w:r>
              <w:rPr>
                <w:rFonts w:ascii="仿宋_GB2312" w:eastAsia="仿宋_GB2312" w:hAnsi="仿宋_GB2312" w:cs="仿宋_GB2312" w:hint="eastAsia"/>
                <w:szCs w:val="22"/>
                <w:lang w:val="zh-CN" w:bidi="zh-CN"/>
              </w:rPr>
              <w:t>月份“质量月”开展现场普法、发放宣传手册、专题培训等活动。</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建管股、质量中心</w:t>
            </w:r>
          </w:p>
        </w:tc>
      </w:tr>
      <w:tr w:rsidR="00345AA5">
        <w:trPr>
          <w:trHeight w:val="1228"/>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val="zh-CN" w:bidi="zh-CN"/>
              </w:rPr>
              <w:t>1</w:t>
            </w:r>
            <w:r>
              <w:rPr>
                <w:rFonts w:ascii="仿宋_GB2312" w:eastAsia="仿宋_GB2312" w:hAnsi="仿宋_GB2312" w:cs="仿宋_GB2312" w:hint="eastAsia"/>
                <w:szCs w:val="22"/>
                <w:lang w:bidi="zh-CN"/>
              </w:rPr>
              <w:t>3</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商品房销售、房地产市场管理相关法律法规规章、《广东省商品房预售管理条例》（</w:t>
            </w:r>
            <w:r>
              <w:rPr>
                <w:rFonts w:ascii="仿宋_GB2312" w:eastAsia="仿宋_GB2312" w:hAnsi="仿宋_GB2312" w:cs="仿宋_GB2312" w:hint="eastAsia"/>
                <w:szCs w:val="22"/>
                <w:lang w:val="zh-CN" w:bidi="zh-CN"/>
              </w:rPr>
              <w:t xml:space="preserve">2014 </w:t>
            </w:r>
            <w:r>
              <w:rPr>
                <w:rFonts w:ascii="仿宋_GB2312" w:eastAsia="仿宋_GB2312" w:hAnsi="仿宋_GB2312" w:cs="仿宋_GB2312" w:hint="eastAsia"/>
                <w:szCs w:val="22"/>
                <w:lang w:val="zh-CN" w:bidi="zh-CN"/>
              </w:rPr>
              <w:t>年修正）《房地产开发企业资质管理规定》、《城市房地产开发经营管理条例》、</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全体工作人员、服务对象及社会公众</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在日常执法检查、服务指导过程中开展法治宣传教育、发放宣传资料、宣传册等进行宣传。</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房管股</w:t>
            </w:r>
          </w:p>
        </w:tc>
      </w:tr>
      <w:tr w:rsidR="00345AA5">
        <w:trPr>
          <w:trHeight w:val="1607"/>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14</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住宅小区物业管理相关法律法规规章、《民法典》、《物业管理条例》、《住宅专项维修资金管理办法》、《广东省物业管理条例》</w:t>
            </w:r>
          </w:p>
        </w:tc>
        <w:tc>
          <w:tcPr>
            <w:tcW w:w="2966" w:type="dxa"/>
            <w:vMerge/>
            <w:tcBorders>
              <w:left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全体工作人员，物业从业人员和业主。</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在日常执法检查、服务指导过程中开展法治宣传教育、集中学习，在线宣传、发放宣传资料、培训等。</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房管局</w:t>
            </w:r>
          </w:p>
        </w:tc>
      </w:tr>
      <w:tr w:rsidR="00345AA5">
        <w:trPr>
          <w:trHeight w:val="1689"/>
        </w:trPr>
        <w:tc>
          <w:tcPr>
            <w:tcW w:w="80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tcPr>
          <w:p w:rsidR="00345AA5" w:rsidRDefault="00B86308">
            <w:pPr>
              <w:pStyle w:val="a3"/>
              <w:widowControl/>
              <w:wordWrap w:val="0"/>
              <w:spacing w:beforeAutospacing="0" w:afterAutospacing="0"/>
              <w:jc w:val="center"/>
              <w:rPr>
                <w:rFonts w:ascii="仿宋_GB2312" w:eastAsia="仿宋_GB2312" w:hAnsi="仿宋_GB2312" w:cs="仿宋_GB2312"/>
                <w:szCs w:val="22"/>
                <w:lang w:bidi="zh-CN"/>
              </w:rPr>
            </w:pPr>
            <w:r>
              <w:rPr>
                <w:rFonts w:ascii="仿宋_GB2312" w:eastAsia="仿宋_GB2312" w:hAnsi="仿宋_GB2312" w:cs="仿宋_GB2312" w:hint="eastAsia"/>
                <w:szCs w:val="22"/>
                <w:lang w:val="zh-CN" w:bidi="zh-CN"/>
              </w:rPr>
              <w:t>1</w:t>
            </w:r>
            <w:r>
              <w:rPr>
                <w:rFonts w:ascii="仿宋_GB2312" w:eastAsia="仿宋_GB2312" w:hAnsi="仿宋_GB2312" w:cs="仿宋_GB2312" w:hint="eastAsia"/>
                <w:szCs w:val="22"/>
                <w:lang w:bidi="zh-CN"/>
              </w:rPr>
              <w:t>5</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燃气安全、燃气经营管理相关法律法规规章、《广东省燃气管理条例》</w:t>
            </w:r>
          </w:p>
        </w:tc>
        <w:tc>
          <w:tcPr>
            <w:tcW w:w="2966" w:type="dxa"/>
            <w:vMerge/>
            <w:tcBorders>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345AA5">
            <w:pPr>
              <w:pStyle w:val="a3"/>
              <w:widowControl/>
              <w:wordWrap w:val="0"/>
              <w:spacing w:beforeAutospacing="0" w:afterAutospacing="0"/>
              <w:jc w:val="center"/>
              <w:rPr>
                <w:rFonts w:ascii="仿宋_GB2312" w:eastAsia="仿宋_GB2312" w:hAnsi="仿宋_GB2312" w:cs="仿宋_GB2312"/>
                <w:szCs w:val="22"/>
                <w:lang w:val="zh-CN" w:bidi="zh-CN"/>
              </w:rPr>
            </w:pPr>
          </w:p>
        </w:tc>
        <w:tc>
          <w:tcPr>
            <w:tcW w:w="175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、服务对象及社会公众、各燃气经营公司及销售点工作人员</w:t>
            </w:r>
          </w:p>
        </w:tc>
        <w:tc>
          <w:tcPr>
            <w:tcW w:w="2284"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发放宣传资料、宣传册等进行宣传。在日常执法检查、服务指导过程中开展法治宣传教育</w:t>
            </w:r>
          </w:p>
        </w:tc>
        <w:tc>
          <w:tcPr>
            <w:tcW w:w="1234" w:type="dxa"/>
            <w:tcBorders>
              <w:top w:val="single" w:sz="6" w:space="0" w:color="000000"/>
              <w:left w:val="single" w:sz="6" w:space="0" w:color="000000"/>
              <w:bottom w:val="single" w:sz="6" w:space="0" w:color="000000"/>
              <w:right w:val="single" w:sz="4" w:space="0" w:color="auto"/>
            </w:tcBorders>
            <w:shd w:val="clear" w:color="auto" w:fill="auto"/>
            <w:tcMar>
              <w:top w:w="75" w:type="dxa"/>
              <w:left w:w="150" w:type="dxa"/>
              <w:bottom w:w="75" w:type="dxa"/>
              <w:right w:w="150" w:type="dxa"/>
            </w:tcMar>
          </w:tcPr>
          <w:p w:rsidR="00345AA5" w:rsidRDefault="00B86308">
            <w:pPr>
              <w:pStyle w:val="a3"/>
              <w:widowControl/>
              <w:wordWrap w:val="0"/>
              <w:spacing w:beforeAutospacing="0" w:afterAutospacing="0"/>
              <w:jc w:val="center"/>
              <w:rPr>
                <w:rFonts w:ascii="仿宋_GB2312" w:eastAsia="仿宋_GB2312" w:hAnsi="仿宋_GB2312" w:cs="仿宋_GB2312"/>
                <w:szCs w:val="22"/>
                <w:lang w:val="zh-CN" w:bidi="zh-CN"/>
              </w:rPr>
            </w:pPr>
            <w:r>
              <w:rPr>
                <w:rFonts w:ascii="仿宋_GB2312" w:eastAsia="仿宋_GB2312" w:hAnsi="仿宋_GB2312" w:cs="仿宋_GB2312" w:hint="eastAsia"/>
                <w:szCs w:val="22"/>
                <w:lang w:val="zh-CN" w:bidi="zh-CN"/>
              </w:rPr>
              <w:t>环卫燃气股</w:t>
            </w:r>
          </w:p>
        </w:tc>
      </w:tr>
    </w:tbl>
    <w:p w:rsidR="00345AA5" w:rsidRDefault="00345AA5"/>
    <w:sectPr w:rsidR="00345AA5" w:rsidSect="00345A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308" w:rsidRDefault="00B86308" w:rsidP="003307C7">
      <w:r>
        <w:separator/>
      </w:r>
    </w:p>
  </w:endnote>
  <w:endnote w:type="continuationSeparator" w:id="1">
    <w:p w:rsidR="00B86308" w:rsidRDefault="00B86308" w:rsidP="00330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308" w:rsidRDefault="00B86308" w:rsidP="003307C7">
      <w:r>
        <w:separator/>
      </w:r>
    </w:p>
  </w:footnote>
  <w:footnote w:type="continuationSeparator" w:id="1">
    <w:p w:rsidR="00B86308" w:rsidRDefault="00B86308" w:rsidP="00330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1AD24E4"/>
    <w:rsid w:val="003307C7"/>
    <w:rsid w:val="00345AA5"/>
    <w:rsid w:val="00B86308"/>
    <w:rsid w:val="0E116A55"/>
    <w:rsid w:val="11AD24E4"/>
    <w:rsid w:val="29A74DD5"/>
    <w:rsid w:val="424B5D79"/>
    <w:rsid w:val="47BC2FB8"/>
    <w:rsid w:val="507311C6"/>
    <w:rsid w:val="7ECA3D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A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45AA5"/>
    <w:pPr>
      <w:spacing w:beforeAutospacing="1" w:afterAutospacing="1"/>
      <w:jc w:val="left"/>
    </w:pPr>
    <w:rPr>
      <w:rFonts w:cs="Times New Roman"/>
      <w:kern w:val="0"/>
      <w:sz w:val="24"/>
    </w:rPr>
  </w:style>
  <w:style w:type="table" w:styleId="a4">
    <w:name w:val="Table Grid"/>
    <w:basedOn w:val="a1"/>
    <w:qFormat/>
    <w:rsid w:val="00345A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345AA5"/>
    <w:rPr>
      <w:b/>
    </w:rPr>
  </w:style>
  <w:style w:type="paragraph" w:customStyle="1" w:styleId="TableParagraph">
    <w:name w:val="Table Paragraph"/>
    <w:basedOn w:val="a"/>
    <w:uiPriority w:val="1"/>
    <w:qFormat/>
    <w:rsid w:val="00345AA5"/>
    <w:rPr>
      <w:rFonts w:ascii="仿宋_GB2312" w:eastAsia="仿宋_GB2312" w:hAnsi="仿宋_GB2312" w:cs="仿宋_GB2312"/>
      <w:lang w:val="zh-CN" w:bidi="zh-CN"/>
    </w:rPr>
  </w:style>
  <w:style w:type="paragraph" w:styleId="a6">
    <w:name w:val="header"/>
    <w:basedOn w:val="a"/>
    <w:link w:val="Char"/>
    <w:rsid w:val="00330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307C7"/>
    <w:rPr>
      <w:rFonts w:asciiTheme="minorHAnsi" w:eastAsiaTheme="minorEastAsia" w:hAnsiTheme="minorHAnsi" w:cstheme="minorBidi"/>
      <w:kern w:val="2"/>
      <w:sz w:val="18"/>
      <w:szCs w:val="18"/>
    </w:rPr>
  </w:style>
  <w:style w:type="paragraph" w:styleId="a7">
    <w:name w:val="footer"/>
    <w:basedOn w:val="a"/>
    <w:link w:val="Char0"/>
    <w:rsid w:val="003307C7"/>
    <w:pPr>
      <w:tabs>
        <w:tab w:val="center" w:pos="4153"/>
        <w:tab w:val="right" w:pos="8306"/>
      </w:tabs>
      <w:snapToGrid w:val="0"/>
      <w:jc w:val="left"/>
    </w:pPr>
    <w:rPr>
      <w:sz w:val="18"/>
      <w:szCs w:val="18"/>
    </w:rPr>
  </w:style>
  <w:style w:type="character" w:customStyle="1" w:styleId="Char0">
    <w:name w:val="页脚 Char"/>
    <w:basedOn w:val="a0"/>
    <w:link w:val="a7"/>
    <w:rsid w:val="003307C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283</Words>
  <Characters>1618</Characters>
  <Application>Microsoft Office Word</Application>
  <DocSecurity>0</DocSecurity>
  <Lines>13</Lines>
  <Paragraphs>3</Paragraphs>
  <ScaleCrop>false</ScaleCrop>
  <Company>P R C</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深渊有底</dc:creator>
  <cp:lastModifiedBy>Windows User</cp:lastModifiedBy>
  <cp:revision>2</cp:revision>
  <dcterms:created xsi:type="dcterms:W3CDTF">2021-06-23T09:48:00Z</dcterms:created>
  <dcterms:modified xsi:type="dcterms:W3CDTF">2024-12-19T02:08:00Z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72691ADA7A794607BB24D9759073AA93</vt:lpwstr>
  </property>
</Properties>
</file>