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ink/ink4.xml" ContentType="application/inkml+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B53F472">
      <w:pPr>
        <w:pageBreakBefore w:val="0"/>
        <w:wordWrap w:val="0"/>
        <w:overflowPunct/>
        <w:bidi w:val="0"/>
        <w:jc w:val="center"/>
        <w:rPr>
          <w:rFonts w:hint="eastAsia" w:ascii="Times New Roman" w:hAnsi="Times New Roman" w:eastAsia="楷体_GB2312" w:cs="Times New Roman"/>
          <w:color w:val="auto"/>
          <w:sz w:val="36"/>
          <w:szCs w:val="36"/>
          <w:highlight w:val="none"/>
          <w:lang w:eastAsia="zh-CN"/>
        </w:rPr>
        <w:sectPr>
          <w:footerReference r:id="rId5" w:type="default"/>
          <w:pgSz w:w="11906" w:h="16838"/>
          <w:pgMar w:top="0" w:right="0" w:bottom="0" w:left="0" w:header="851" w:footer="1077" w:gutter="0"/>
          <w:pgBorders>
            <w:top w:val="none" w:sz="0" w:space="0"/>
            <w:left w:val="none" w:sz="0" w:space="0"/>
            <w:bottom w:val="none" w:sz="0" w:space="0"/>
            <w:right w:val="none" w:sz="0" w:space="0"/>
          </w:pgBorders>
          <w:pgNumType w:start="1"/>
          <w:cols w:space="720" w:num="1"/>
          <w:docGrid w:linePitch="312" w:charSpace="0"/>
        </w:sectPr>
      </w:pPr>
      <w:bookmarkStart w:id="151" w:name="_GoBack"/>
      <w:bookmarkEnd w:id="151"/>
      <w:r>
        <w:rPr>
          <w:rFonts w:hint="eastAsia" w:ascii="Times New Roman" w:hAnsi="Times New Roman" w:eastAsia="楷体_GB2312" w:cs="Times New Roman"/>
          <w:color w:val="auto"/>
          <w:sz w:val="36"/>
          <w:szCs w:val="36"/>
          <w:highlight w:val="none"/>
          <w:lang w:eastAsia="zh-CN"/>
        </w:rPr>
        <w:drawing>
          <wp:inline distT="0" distB="0" distL="114300" distR="114300">
            <wp:extent cx="7553325" cy="10683875"/>
            <wp:effectExtent l="0" t="0" r="9525" b="3175"/>
            <wp:docPr id="57" name="图片 57" descr="沃府项目资质资料--业主盖章页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沃府项目资质资料--业主盖章页_00"/>
                    <pic:cNvPicPr>
                      <a:picLocks noChangeAspect="1"/>
                    </pic:cNvPicPr>
                  </pic:nvPicPr>
                  <pic:blipFill>
                    <a:blip r:embed="rId11"/>
                    <a:stretch>
                      <a:fillRect/>
                    </a:stretch>
                  </pic:blipFill>
                  <pic:spPr>
                    <a:xfrm>
                      <a:off x="0" y="0"/>
                      <a:ext cx="7553325" cy="10683875"/>
                    </a:xfrm>
                    <a:prstGeom prst="rect">
                      <a:avLst/>
                    </a:prstGeom>
                  </pic:spPr>
                </pic:pic>
              </a:graphicData>
            </a:graphic>
          </wp:inline>
        </w:drawing>
      </w:r>
    </w:p>
    <w:p w14:paraId="3D40B3F1">
      <w:pPr>
        <w:pageBreakBefore w:val="0"/>
        <w:wordWrap w:val="0"/>
        <w:overflowPunct/>
        <w:bidi w:val="0"/>
        <w:jc w:val="center"/>
        <w:rPr>
          <w:rFonts w:hint="eastAsia" w:ascii="Times New Roman" w:hAnsi="Times New Roman" w:eastAsia="楷体_GB2312" w:cs="Times New Roman"/>
          <w:color w:val="auto"/>
          <w:sz w:val="36"/>
          <w:szCs w:val="36"/>
          <w:highlight w:val="none"/>
          <w:lang w:eastAsia="zh-CN"/>
        </w:rPr>
        <w:sectPr>
          <w:pgSz w:w="11906" w:h="16838"/>
          <w:pgMar w:top="0" w:right="0" w:bottom="0" w:left="0" w:header="851" w:footer="1077" w:gutter="0"/>
          <w:pgBorders>
            <w:top w:val="none" w:sz="0" w:space="0"/>
            <w:left w:val="none" w:sz="0" w:space="0"/>
            <w:bottom w:val="none" w:sz="0" w:space="0"/>
            <w:right w:val="none" w:sz="0" w:space="0"/>
          </w:pgBorders>
          <w:pgNumType w:start="1"/>
          <w:cols w:space="720" w:num="1"/>
          <w:docGrid w:linePitch="312" w:charSpace="0"/>
        </w:sectPr>
      </w:pPr>
      <w:r>
        <w:rPr>
          <w:sz w:val="36"/>
        </w:rPr>
        <mc:AlternateContent>
          <mc:Choice Requires="wps">
            <w:drawing>
              <wp:anchor distT="0" distB="0" distL="114300" distR="114300" simplePos="0" relativeHeight="251784192" behindDoc="0" locked="0" layoutInCell="1" allowOverlap="1">
                <wp:simplePos x="0" y="0"/>
                <wp:positionH relativeFrom="column">
                  <wp:posOffset>3954780</wp:posOffset>
                </wp:positionH>
                <wp:positionV relativeFrom="paragraph">
                  <wp:posOffset>7135495</wp:posOffset>
                </wp:positionV>
                <wp:extent cx="2520950" cy="2006600"/>
                <wp:effectExtent l="6350" t="6350" r="12700" b="6350"/>
                <wp:wrapNone/>
                <wp:docPr id="75" name="矩形 75"/>
                <wp:cNvGraphicFramePr/>
                <a:graphic xmlns:a="http://schemas.openxmlformats.org/drawingml/2006/main">
                  <a:graphicData uri="http://schemas.microsoft.com/office/word/2010/wordprocessingShape">
                    <wps:wsp>
                      <wps:cNvSpPr/>
                      <wps:spPr>
                        <a:xfrm>
                          <a:off x="0" y="0"/>
                          <a:ext cx="2520950" cy="200660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1.4pt;margin-top:561.85pt;height:158pt;width:198.5pt;z-index:251784192;v-text-anchor:middle;mso-width-relative:page;mso-height-relative:page;" fillcolor="#5B9BD5 [3204]" filled="t" stroked="t" coordsize="21600,21600" o:gfxdata="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yvY1gNwAAAAOAQAA&#10;DwAAAAAAAAABACAAAAAiAAAAZHJzL2Rvd25yZXYueG1sUEsBAhQAFAAAAAgAh07iQIVIHs+HAgAA&#10;GQUAAA4AAAAAAAAAAQAgAAAAKwEAAGRycy9lMm9Eb2MueG1sUEsFBgAAAAAGAAYAWQEAACQGAAAA&#10;AA==&#10;">
                <v:fill on="t" focussize="0,0"/>
                <v:stroke weight="1pt" color="#2E75B6 [2404]" miterlimit="8" joinstyle="miter"/>
                <v:imagedata o:title=""/>
                <o:lock v:ext="edit" aspectratio="f"/>
              </v:rect>
            </w:pict>
          </mc:Fallback>
        </mc:AlternateContent>
      </w:r>
      <w:r>
        <w:rPr>
          <w:sz w:val="36"/>
        </w:rPr>
        <mc:AlternateContent>
          <mc:Choice Requires="wps">
            <w:drawing>
              <wp:anchor distT="0" distB="0" distL="114300" distR="114300" simplePos="0" relativeHeight="251783168" behindDoc="0" locked="0" layoutInCell="1" allowOverlap="1">
                <wp:simplePos x="0" y="0"/>
                <wp:positionH relativeFrom="column">
                  <wp:posOffset>3383280</wp:posOffset>
                </wp:positionH>
                <wp:positionV relativeFrom="paragraph">
                  <wp:posOffset>4138295</wp:posOffset>
                </wp:positionV>
                <wp:extent cx="1136650" cy="1009650"/>
                <wp:effectExtent l="6350" t="6350" r="12700" b="12700"/>
                <wp:wrapNone/>
                <wp:docPr id="65" name="矩形 65"/>
                <wp:cNvGraphicFramePr/>
                <a:graphic xmlns:a="http://schemas.openxmlformats.org/drawingml/2006/main">
                  <a:graphicData uri="http://schemas.microsoft.com/office/word/2010/wordprocessingShape">
                    <wps:wsp>
                      <wps:cNvSpPr/>
                      <wps:spPr>
                        <a:xfrm>
                          <a:off x="3383280" y="4138295"/>
                          <a:ext cx="1136650" cy="100965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6.4pt;margin-top:325.85pt;height:79.5pt;width:89.5pt;z-index:251783168;v-text-anchor:middle;mso-width-relative:page;mso-height-relative:page;" fillcolor="#5B9BD5 [3204]" filled="t" stroked="t" coordsize="21600,21600" o:gfxdata="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q8QwL9oAAAALAQAADwAAAAAAAAABACAAAAAiAAAAZHJzL2Rvd25yZXYueG1sUEsBAhQAFAAAAAgA&#10;h07iQPl+7tGVAgAAJQUAAA4AAAAAAAAAAQAgAAAAKQEAAGRycy9lMm9Eb2MueG1sUEsFBgAAAAAG&#10;AAYAWQEAADAGAAAAAA==&#10;">
                <v:fill on="t" focussize="0,0"/>
                <v:stroke weight="1pt" color="#2E75B6 [2404]" miterlimit="8" joinstyle="miter"/>
                <v:imagedata o:title=""/>
                <o:lock v:ext="edit" aspectratio="f"/>
              </v:rect>
            </w:pict>
          </mc:Fallback>
        </mc:AlternateContent>
      </w:r>
      <w:r>
        <w:rPr>
          <w:rFonts w:hint="eastAsia" w:ascii="Times New Roman" w:hAnsi="Times New Roman" w:eastAsia="楷体_GB2312" w:cs="Times New Roman"/>
          <w:color w:val="auto"/>
          <w:sz w:val="36"/>
          <w:szCs w:val="36"/>
          <w:highlight w:val="none"/>
          <w:lang w:eastAsia="zh-CN"/>
        </w:rPr>
        <w:drawing>
          <wp:inline distT="0" distB="0" distL="114300" distR="114300">
            <wp:extent cx="7556500" cy="10686415"/>
            <wp:effectExtent l="0" t="0" r="6350" b="635"/>
            <wp:docPr id="66" name="图片 66" descr="沃府项目资质资料--业主盖章页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沃府项目资质资料--业主盖章页_01"/>
                    <pic:cNvPicPr>
                      <a:picLocks noChangeAspect="1"/>
                    </pic:cNvPicPr>
                  </pic:nvPicPr>
                  <pic:blipFill>
                    <a:blip r:embed="rId12"/>
                    <a:stretch>
                      <a:fillRect/>
                    </a:stretch>
                  </pic:blipFill>
                  <pic:spPr>
                    <a:xfrm>
                      <a:off x="0" y="0"/>
                      <a:ext cx="7556500" cy="10686415"/>
                    </a:xfrm>
                    <a:prstGeom prst="rect">
                      <a:avLst/>
                    </a:prstGeom>
                  </pic:spPr>
                </pic:pic>
              </a:graphicData>
            </a:graphic>
          </wp:inline>
        </w:drawing>
      </w:r>
    </w:p>
    <w:p w14:paraId="72F6C300">
      <w:pPr>
        <w:pageBreakBefore w:val="0"/>
        <w:wordWrap w:val="0"/>
        <w:overflowPunct/>
        <w:bidi w:val="0"/>
        <w:jc w:val="center"/>
        <w:rPr>
          <w:rFonts w:hint="eastAsia" w:ascii="Times New Roman" w:hAnsi="Times New Roman" w:eastAsia="楷体_GB2312" w:cs="Times New Roman"/>
          <w:color w:val="auto"/>
          <w:sz w:val="36"/>
          <w:szCs w:val="36"/>
          <w:highlight w:val="none"/>
          <w:lang w:eastAsia="zh-CN"/>
        </w:rPr>
        <w:sectPr>
          <w:pgSz w:w="11906" w:h="16838"/>
          <w:pgMar w:top="0" w:right="0" w:bottom="0" w:left="0"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ascii="Times New Roman" w:hAnsi="Times New Roman" w:eastAsia="楷体_GB2312" w:cs="Times New Roman"/>
          <w:color w:val="auto"/>
          <w:sz w:val="36"/>
          <w:szCs w:val="36"/>
          <w:highlight w:val="none"/>
          <w:lang w:eastAsia="zh-CN"/>
        </w:rPr>
        <w:drawing>
          <wp:inline distT="0" distB="0" distL="114300" distR="114300">
            <wp:extent cx="7562215" cy="10688955"/>
            <wp:effectExtent l="0" t="0" r="635" b="17145"/>
            <wp:docPr id="67" name="图片 67" descr="沃府项目资质资料--盖章扫描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沃府项目资质资料--盖章扫描件_02"/>
                    <pic:cNvPicPr>
                      <a:picLocks noChangeAspect="1"/>
                    </pic:cNvPicPr>
                  </pic:nvPicPr>
                  <pic:blipFill>
                    <a:blip r:embed="rId13"/>
                    <a:stretch>
                      <a:fillRect/>
                    </a:stretch>
                  </pic:blipFill>
                  <pic:spPr>
                    <a:xfrm>
                      <a:off x="0" y="0"/>
                      <a:ext cx="7562215" cy="10688955"/>
                    </a:xfrm>
                    <a:prstGeom prst="rect">
                      <a:avLst/>
                    </a:prstGeom>
                  </pic:spPr>
                </pic:pic>
              </a:graphicData>
            </a:graphic>
          </wp:inline>
        </w:drawing>
      </w:r>
    </w:p>
    <w:p w14:paraId="04728BEB">
      <w:pPr>
        <w:pageBreakBefore w:val="0"/>
        <w:wordWrap w:val="0"/>
        <w:overflowPunct/>
        <w:bidi w:val="0"/>
        <w:jc w:val="center"/>
        <w:rPr>
          <w:rFonts w:hint="eastAsia" w:ascii="Times New Roman" w:hAnsi="Times New Roman" w:eastAsia="楷体_GB2312" w:cs="Times New Roman"/>
          <w:color w:val="auto"/>
          <w:sz w:val="36"/>
          <w:szCs w:val="36"/>
          <w:highlight w:val="none"/>
          <w:lang w:eastAsia="zh-CN"/>
        </w:rPr>
        <w:sectPr>
          <w:pgSz w:w="11906" w:h="16838"/>
          <w:pgMar w:top="0" w:right="0" w:bottom="0" w:left="0"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ascii="Times New Roman" w:hAnsi="Times New Roman" w:eastAsia="楷体_GB2312" w:cs="Times New Roman"/>
          <w:color w:val="auto"/>
          <w:sz w:val="36"/>
          <w:szCs w:val="36"/>
          <w:highlight w:val="none"/>
          <w:lang w:eastAsia="zh-CN"/>
        </w:rPr>
        <w:drawing>
          <wp:inline distT="0" distB="0" distL="114300" distR="114300">
            <wp:extent cx="7555865" cy="10678160"/>
            <wp:effectExtent l="0" t="0" r="6985" b="8890"/>
            <wp:docPr id="68" name="图片 68" descr="沃府项目资质资料--盖章扫描件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沃府项目资质资料--盖章扫描件_03"/>
                    <pic:cNvPicPr>
                      <a:picLocks noChangeAspect="1"/>
                    </pic:cNvPicPr>
                  </pic:nvPicPr>
                  <pic:blipFill>
                    <a:blip r:embed="rId14"/>
                    <a:stretch>
                      <a:fillRect/>
                    </a:stretch>
                  </pic:blipFill>
                  <pic:spPr>
                    <a:xfrm>
                      <a:off x="0" y="0"/>
                      <a:ext cx="7555865" cy="10678160"/>
                    </a:xfrm>
                    <a:prstGeom prst="rect">
                      <a:avLst/>
                    </a:prstGeom>
                  </pic:spPr>
                </pic:pic>
              </a:graphicData>
            </a:graphic>
          </wp:inline>
        </w:drawing>
      </w:r>
    </w:p>
    <w:p w14:paraId="03A0DAD0">
      <w:pPr>
        <w:pageBreakBefore w:val="0"/>
        <w:wordWrap w:val="0"/>
        <w:overflowPunct/>
        <w:bidi w:val="0"/>
        <w:jc w:val="center"/>
        <w:rPr>
          <w:rFonts w:hint="eastAsia" w:ascii="Times New Roman" w:hAnsi="Times New Roman" w:eastAsia="楷体_GB2312" w:cs="Times New Roman"/>
          <w:color w:val="auto"/>
          <w:sz w:val="36"/>
          <w:szCs w:val="36"/>
          <w:highlight w:val="none"/>
          <w:lang w:eastAsia="zh-CN"/>
        </w:rPr>
        <w:sectPr>
          <w:pgSz w:w="11906" w:h="16838"/>
          <w:pgMar w:top="0" w:right="0" w:bottom="0" w:left="0" w:header="851" w:footer="1077" w:gutter="0"/>
          <w:pgBorders>
            <w:top w:val="none" w:sz="0" w:space="0"/>
            <w:left w:val="none" w:sz="0" w:space="0"/>
            <w:bottom w:val="none" w:sz="0" w:space="0"/>
            <w:right w:val="none" w:sz="0" w:space="0"/>
          </w:pgBorders>
          <w:pgNumType w:start="1"/>
          <w:cols w:space="720" w:num="1"/>
          <w:docGrid w:linePitch="312" w:charSpace="0"/>
        </w:sectPr>
      </w:pPr>
      <w:r>
        <w:rPr>
          <w:sz w:val="36"/>
        </w:rPr>
        <mc:AlternateContent>
          <mc:Choice Requires="wps">
            <w:drawing>
              <wp:anchor distT="0" distB="0" distL="114300" distR="114300" simplePos="0" relativeHeight="251785216" behindDoc="0" locked="0" layoutInCell="1" allowOverlap="1">
                <wp:simplePos x="0" y="0"/>
                <wp:positionH relativeFrom="column">
                  <wp:posOffset>4558030</wp:posOffset>
                </wp:positionH>
                <wp:positionV relativeFrom="paragraph">
                  <wp:posOffset>7205345</wp:posOffset>
                </wp:positionV>
                <wp:extent cx="1796415" cy="1637665"/>
                <wp:effectExtent l="6350" t="6350" r="13335" b="6985"/>
                <wp:wrapNone/>
                <wp:docPr id="76" name="矩形 76"/>
                <wp:cNvGraphicFramePr/>
                <a:graphic xmlns:a="http://schemas.openxmlformats.org/drawingml/2006/main">
                  <a:graphicData uri="http://schemas.microsoft.com/office/word/2010/wordprocessingShape">
                    <wps:wsp>
                      <wps:cNvSpPr/>
                      <wps:spPr>
                        <a:xfrm>
                          <a:off x="0" y="0"/>
                          <a:ext cx="1796415" cy="163766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8.9pt;margin-top:567.35pt;height:128.95pt;width:141.45pt;z-index:251785216;v-text-anchor:middle;mso-width-relative:page;mso-height-relative:page;" fillcolor="#5B9BD5 [3204]" filled="t" stroked="t" coordsize="21600,21600" o:gfxdata="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f+7OQ2wAAAA4B&#10;AAAPAAAAAAAAAAEAIAAAACIAAABkcnMvZG93bnJldi54bWxQSwECFAAUAAAACACHTuJABfQPOYoC&#10;AAAZBQAADgAAAAAAAAABACAAAAAqAQAAZHJzL2Uyb0RvYy54bWxQSwUGAAAAAAYABgBZAQAAJgYA&#10;AAAA&#10;">
                <v:fill on="t" focussize="0,0"/>
                <v:stroke weight="1pt" color="#2E75B6 [2404]" miterlimit="8" joinstyle="miter"/>
                <v:imagedata o:title=""/>
                <o:lock v:ext="edit" aspectratio="f"/>
              </v:rect>
            </w:pict>
          </mc:Fallback>
        </mc:AlternateContent>
      </w:r>
      <w:r>
        <w:rPr>
          <w:rFonts w:hint="eastAsia" w:ascii="Times New Roman" w:hAnsi="Times New Roman" w:eastAsia="楷体_GB2312" w:cs="Times New Roman"/>
          <w:color w:val="auto"/>
          <w:sz w:val="36"/>
          <w:szCs w:val="36"/>
          <w:highlight w:val="none"/>
          <w:lang w:eastAsia="zh-CN"/>
        </w:rPr>
        <w:drawing>
          <wp:inline distT="0" distB="0" distL="114300" distR="114300">
            <wp:extent cx="7562215" cy="10688955"/>
            <wp:effectExtent l="0" t="0" r="635" b="17145"/>
            <wp:docPr id="69" name="图片 69" descr="沃府项目资质资料--盖章扫描件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沃府项目资质资料--盖章扫描件_04"/>
                    <pic:cNvPicPr>
                      <a:picLocks noChangeAspect="1"/>
                    </pic:cNvPicPr>
                  </pic:nvPicPr>
                  <pic:blipFill>
                    <a:blip r:embed="rId15"/>
                    <a:stretch>
                      <a:fillRect/>
                    </a:stretch>
                  </pic:blipFill>
                  <pic:spPr>
                    <a:xfrm>
                      <a:off x="0" y="0"/>
                      <a:ext cx="7562215" cy="10688955"/>
                    </a:xfrm>
                    <a:prstGeom prst="rect">
                      <a:avLst/>
                    </a:prstGeom>
                  </pic:spPr>
                </pic:pic>
              </a:graphicData>
            </a:graphic>
          </wp:inline>
        </w:drawing>
      </w:r>
    </w:p>
    <w:p w14:paraId="1F6A7F56">
      <w:pPr>
        <w:pageBreakBefore w:val="0"/>
        <w:wordWrap w:val="0"/>
        <w:overflowPunct/>
        <w:bidi w:val="0"/>
        <w:jc w:val="center"/>
        <w:rPr>
          <w:rFonts w:hint="eastAsia" w:ascii="Times New Roman" w:hAnsi="Times New Roman" w:eastAsia="楷体_GB2312" w:cs="Times New Roman"/>
          <w:color w:val="auto"/>
          <w:sz w:val="36"/>
          <w:szCs w:val="36"/>
          <w:highlight w:val="none"/>
          <w:lang w:eastAsia="zh-CN"/>
        </w:rPr>
        <w:sectPr>
          <w:pgSz w:w="11906" w:h="16838"/>
          <w:pgMar w:top="0" w:right="0" w:bottom="0" w:left="0"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ascii="Times New Roman" w:hAnsi="Times New Roman" w:eastAsia="楷体_GB2312" w:cs="Times New Roman"/>
          <w:color w:val="auto"/>
          <w:sz w:val="36"/>
          <w:szCs w:val="36"/>
          <w:highlight w:val="none"/>
          <w:lang w:eastAsia="zh-CN"/>
        </w:rPr>
        <w:drawing>
          <wp:inline distT="0" distB="0" distL="114300" distR="114300">
            <wp:extent cx="7562215" cy="10686415"/>
            <wp:effectExtent l="0" t="0" r="635" b="635"/>
            <wp:docPr id="70" name="图片 70" descr="沃府项目资质资料--盖章扫描件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沃府项目资质资料--盖章扫描件_05"/>
                    <pic:cNvPicPr>
                      <a:picLocks noChangeAspect="1"/>
                    </pic:cNvPicPr>
                  </pic:nvPicPr>
                  <pic:blipFill>
                    <a:blip r:embed="rId16"/>
                    <a:stretch>
                      <a:fillRect/>
                    </a:stretch>
                  </pic:blipFill>
                  <pic:spPr>
                    <a:xfrm>
                      <a:off x="0" y="0"/>
                      <a:ext cx="7562215" cy="10686415"/>
                    </a:xfrm>
                    <a:prstGeom prst="rect">
                      <a:avLst/>
                    </a:prstGeom>
                  </pic:spPr>
                </pic:pic>
              </a:graphicData>
            </a:graphic>
          </wp:inline>
        </w:drawing>
      </w:r>
      <w:r>
        <w:rPr>
          <w:rFonts w:hint="eastAsia" w:ascii="Times New Roman" w:hAnsi="Times New Roman" w:eastAsia="楷体_GB2312" w:cs="Times New Roman"/>
          <w:color w:val="auto"/>
          <w:sz w:val="36"/>
          <w:szCs w:val="36"/>
          <w:highlight w:val="none"/>
          <w:lang w:eastAsia="zh-CN"/>
        </w:rPr>
        <w:drawing>
          <wp:inline distT="0" distB="0" distL="114300" distR="114300">
            <wp:extent cx="7557770" cy="10681335"/>
            <wp:effectExtent l="0" t="0" r="5080" b="5715"/>
            <wp:docPr id="71" name="图片 71" descr="沃府项目资质资料--盖章扫描件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沃府项目资质资料--盖章扫描件_06"/>
                    <pic:cNvPicPr>
                      <a:picLocks noChangeAspect="1"/>
                    </pic:cNvPicPr>
                  </pic:nvPicPr>
                  <pic:blipFill>
                    <a:blip r:embed="rId17"/>
                    <a:stretch>
                      <a:fillRect/>
                    </a:stretch>
                  </pic:blipFill>
                  <pic:spPr>
                    <a:xfrm>
                      <a:off x="0" y="0"/>
                      <a:ext cx="7557770" cy="10681335"/>
                    </a:xfrm>
                    <a:prstGeom prst="rect">
                      <a:avLst/>
                    </a:prstGeom>
                  </pic:spPr>
                </pic:pic>
              </a:graphicData>
            </a:graphic>
          </wp:inline>
        </w:drawing>
      </w:r>
    </w:p>
    <w:p w14:paraId="16F3F7F4">
      <w:pPr>
        <w:pageBreakBefore w:val="0"/>
        <w:wordWrap w:val="0"/>
        <w:overflowPunct/>
        <w:bidi w:val="0"/>
        <w:jc w:val="center"/>
        <w:rPr>
          <w:rFonts w:hint="eastAsia" w:ascii="Times New Roman" w:hAnsi="Times New Roman" w:eastAsia="楷体_GB2312" w:cs="Times New Roman"/>
          <w:color w:val="auto"/>
          <w:sz w:val="36"/>
          <w:szCs w:val="36"/>
          <w:highlight w:val="none"/>
          <w:lang w:eastAsia="zh-CN"/>
        </w:rPr>
        <w:sectPr>
          <w:pgSz w:w="11906" w:h="16838"/>
          <w:pgMar w:top="0" w:right="0" w:bottom="0" w:left="0"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ascii="Times New Roman" w:hAnsi="Times New Roman" w:eastAsia="楷体_GB2312" w:cs="Times New Roman"/>
          <w:color w:val="auto"/>
          <w:sz w:val="36"/>
          <w:szCs w:val="36"/>
          <w:highlight w:val="none"/>
          <w:lang w:eastAsia="zh-CN"/>
        </w:rPr>
        <w:drawing>
          <wp:inline distT="0" distB="0" distL="114300" distR="114300">
            <wp:extent cx="7562850" cy="10688955"/>
            <wp:effectExtent l="0" t="0" r="0" b="17145"/>
            <wp:docPr id="73" name="图片 73" descr="沃府项目资质资料--盖章扫描件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沃府项目资质资料--盖章扫描件_07"/>
                    <pic:cNvPicPr>
                      <a:picLocks noChangeAspect="1"/>
                    </pic:cNvPicPr>
                  </pic:nvPicPr>
                  <pic:blipFill>
                    <a:blip r:embed="rId18"/>
                    <a:stretch>
                      <a:fillRect/>
                    </a:stretch>
                  </pic:blipFill>
                  <pic:spPr>
                    <a:xfrm>
                      <a:off x="0" y="0"/>
                      <a:ext cx="7562850" cy="10688955"/>
                    </a:xfrm>
                    <a:prstGeom prst="rect">
                      <a:avLst/>
                    </a:prstGeom>
                  </pic:spPr>
                </pic:pic>
              </a:graphicData>
            </a:graphic>
          </wp:inline>
        </w:drawing>
      </w:r>
    </w:p>
    <w:p w14:paraId="218B5A95">
      <w:pPr>
        <w:pageBreakBefore w:val="0"/>
        <w:wordWrap w:val="0"/>
        <w:overflowPunct/>
        <w:bidi w:val="0"/>
        <w:jc w:val="center"/>
        <w:rPr>
          <w:rFonts w:hint="eastAsia" w:ascii="Times New Roman" w:hAnsi="Times New Roman" w:eastAsia="楷体_GB2312" w:cs="Times New Roman"/>
          <w:color w:val="auto"/>
          <w:sz w:val="36"/>
          <w:szCs w:val="36"/>
          <w:highlight w:val="none"/>
          <w:lang w:eastAsia="zh-CN"/>
        </w:rPr>
        <w:sectPr>
          <w:pgSz w:w="11906" w:h="16838"/>
          <w:pgMar w:top="0" w:right="0" w:bottom="0" w:left="0" w:header="851" w:footer="1077" w:gutter="0"/>
          <w:pgBorders>
            <w:top w:val="none" w:sz="0" w:space="0"/>
            <w:left w:val="none" w:sz="0" w:space="0"/>
            <w:bottom w:val="none" w:sz="0" w:space="0"/>
            <w:right w:val="none" w:sz="0" w:space="0"/>
          </w:pgBorders>
          <w:pgNumType w:start="1"/>
          <w:cols w:space="720" w:num="1"/>
          <w:docGrid w:linePitch="312" w:charSpace="0"/>
        </w:sectPr>
      </w:pPr>
      <w:r>
        <w:rPr>
          <w:sz w:val="36"/>
        </w:rPr>
        <mc:AlternateContent>
          <mc:Choice Requires="wps">
            <w:drawing>
              <wp:anchor distT="0" distB="0" distL="114300" distR="114300" simplePos="0" relativeHeight="251786240" behindDoc="0" locked="0" layoutInCell="1" allowOverlap="1">
                <wp:simplePos x="0" y="0"/>
                <wp:positionH relativeFrom="column">
                  <wp:posOffset>4202430</wp:posOffset>
                </wp:positionH>
                <wp:positionV relativeFrom="paragraph">
                  <wp:posOffset>4703445</wp:posOffset>
                </wp:positionV>
                <wp:extent cx="1790700" cy="1314450"/>
                <wp:effectExtent l="6350" t="6350" r="6350" b="12700"/>
                <wp:wrapNone/>
                <wp:docPr id="131" name="矩形 131"/>
                <wp:cNvGraphicFramePr/>
                <a:graphic xmlns:a="http://schemas.openxmlformats.org/drawingml/2006/main">
                  <a:graphicData uri="http://schemas.microsoft.com/office/word/2010/wordprocessingShape">
                    <wps:wsp>
                      <wps:cNvSpPr/>
                      <wps:spPr>
                        <a:xfrm>
                          <a:off x="0" y="0"/>
                          <a:ext cx="1790700" cy="131445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0.9pt;margin-top:370.35pt;height:103.5pt;width:141pt;z-index:251786240;v-text-anchor:middle;mso-width-relative:page;mso-height-relative:page;" fillcolor="#5B9BD5 [3204]" filled="t" stroked="t" coordsize="21600,21600" o:gfxdata="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qDndWNoAAAALAQAADwAA&#10;AAAAAAABACAAAAAiAAAAZHJzL2Rvd25yZXYueG1sUEsBAhQAFAAAAAgAh07iQC8e3EOGAgAAGwUA&#10;AA4AAAAAAAAAAQAgAAAAKQEAAGRycy9lMm9Eb2MueG1sUEsFBgAAAAAGAAYAWQEAACEGAAAAAA==&#10;">
                <v:fill on="t" focussize="0,0"/>
                <v:stroke weight="1pt" color="#2E75B6 [2404]" miterlimit="8" joinstyle="miter"/>
                <v:imagedata o:title=""/>
                <o:lock v:ext="edit" aspectratio="f"/>
              </v:rect>
            </w:pict>
          </mc:Fallback>
        </mc:AlternateContent>
      </w:r>
      <w:r>
        <w:rPr>
          <w:rFonts w:hint="eastAsia" w:ascii="Times New Roman" w:hAnsi="Times New Roman" w:eastAsia="楷体_GB2312" w:cs="Times New Roman"/>
          <w:color w:val="auto"/>
          <w:sz w:val="36"/>
          <w:szCs w:val="36"/>
          <w:highlight w:val="none"/>
          <w:lang w:eastAsia="zh-CN"/>
        </w:rPr>
        <w:drawing>
          <wp:inline distT="0" distB="0" distL="114300" distR="114300">
            <wp:extent cx="7558405" cy="10688320"/>
            <wp:effectExtent l="0" t="0" r="4445" b="17780"/>
            <wp:docPr id="74" name="图片 74" descr="沃府项目资质资料--业主盖章页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沃府项目资质资料--业主盖章页_02"/>
                    <pic:cNvPicPr>
                      <a:picLocks noChangeAspect="1"/>
                    </pic:cNvPicPr>
                  </pic:nvPicPr>
                  <pic:blipFill>
                    <a:blip r:embed="rId19"/>
                    <a:stretch>
                      <a:fillRect/>
                    </a:stretch>
                  </pic:blipFill>
                  <pic:spPr>
                    <a:xfrm>
                      <a:off x="0" y="0"/>
                      <a:ext cx="7558405" cy="10688320"/>
                    </a:xfrm>
                    <a:prstGeom prst="rect">
                      <a:avLst/>
                    </a:prstGeom>
                  </pic:spPr>
                </pic:pic>
              </a:graphicData>
            </a:graphic>
          </wp:inline>
        </w:drawing>
      </w:r>
    </w:p>
    <w:sdt>
      <w:sdtPr>
        <w:rPr>
          <w:rFonts w:hint="default" w:ascii="Times New Roman" w:hAnsi="Times New Roman" w:cs="Times New Roman"/>
          <w:b/>
          <w:bCs/>
          <w:color w:val="auto"/>
          <w:sz w:val="36"/>
          <w:szCs w:val="44"/>
          <w:highlight w:val="none"/>
        </w:rPr>
        <w:id w:val="147459935"/>
        <w15:color w:val="DBDBDB"/>
        <w:docPartObj>
          <w:docPartGallery w:val="Table of Contents"/>
          <w:docPartUnique/>
        </w:docPartObj>
      </w:sdtPr>
      <w:sdtEndPr>
        <w:rPr>
          <w:rFonts w:hint="default" w:ascii="Times New Roman" w:hAnsi="Times New Roman" w:cs="Times New Roman"/>
          <w:b/>
          <w:bCs/>
          <w:color w:val="auto"/>
          <w:sz w:val="24"/>
          <w:szCs w:val="24"/>
          <w:highlight w:val="none"/>
        </w:rPr>
      </w:sdtEndPr>
      <w:sdtContent>
        <w:p w14:paraId="6E38899E">
          <w:pPr>
            <w:pageBreakBefore w:val="0"/>
            <w:wordWrap w:val="0"/>
            <w:overflowPunct/>
            <w:bidi w:val="0"/>
            <w:spacing w:line="240" w:lineRule="auto"/>
            <w:jc w:val="center"/>
            <w:rPr>
              <w:rFonts w:hint="default" w:ascii="Times New Roman" w:hAnsi="Times New Roman" w:cs="Times New Roman"/>
              <w:b/>
              <w:bCs/>
              <w:color w:val="auto"/>
              <w:sz w:val="44"/>
              <w:szCs w:val="44"/>
              <w:highlight w:val="none"/>
            </w:rPr>
          </w:pPr>
          <w:r>
            <w:rPr>
              <w:rFonts w:hint="default" w:ascii="Times New Roman" w:hAnsi="Times New Roman" w:cs="Times New Roman"/>
              <w:b/>
              <w:bCs/>
              <w:color w:val="auto"/>
              <w:sz w:val="36"/>
              <w:szCs w:val="44"/>
              <w:highlight w:val="none"/>
            </w:rPr>
            <w:t>目</w:t>
          </w:r>
          <w:r>
            <w:rPr>
              <w:rFonts w:hint="default" w:ascii="Times New Roman" w:hAnsi="Times New Roman" w:cs="Times New Roman"/>
              <w:b/>
              <w:bCs/>
              <w:color w:val="auto"/>
              <w:sz w:val="36"/>
              <w:szCs w:val="44"/>
              <w:highlight w:val="none"/>
              <w:lang w:val="en-US" w:eastAsia="zh-CN"/>
            </w:rPr>
            <w:t xml:space="preserve">  </w:t>
          </w:r>
          <w:r>
            <w:rPr>
              <w:rFonts w:hint="default" w:ascii="Times New Roman" w:hAnsi="Times New Roman" w:cs="Times New Roman"/>
              <w:b/>
              <w:bCs/>
              <w:color w:val="auto"/>
              <w:sz w:val="36"/>
              <w:szCs w:val="44"/>
              <w:highlight w:val="none"/>
            </w:rPr>
            <w:t>录</w:t>
          </w:r>
        </w:p>
        <w:p w14:paraId="590AEAC0">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TOC \o "1-2" \h \u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_Toc3210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一、建设项目基本情况</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_Toc3210 \h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0629486D">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_Toc21053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二、建设项目工程分析</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_Toc21053 \h </w:instrText>
          </w:r>
          <w:r>
            <w:rPr>
              <w:rFonts w:hint="default" w:ascii="Times New Roman" w:hAnsi="Times New Roman" w:cs="Times New Roman"/>
              <w:color w:val="auto"/>
            </w:rPr>
            <w:fldChar w:fldCharType="separate"/>
          </w:r>
          <w:r>
            <w:rPr>
              <w:rFonts w:hint="default" w:ascii="Times New Roman" w:hAnsi="Times New Roman" w:cs="Times New Roman"/>
              <w:color w:val="auto"/>
            </w:rPr>
            <w:t>14</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00C8819F">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_Toc18396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三、区域环境质量现状、环境保护目标及评价标准</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_Toc18396 \h </w:instrText>
          </w:r>
          <w:r>
            <w:rPr>
              <w:rFonts w:hint="default" w:ascii="Times New Roman" w:hAnsi="Times New Roman" w:cs="Times New Roman"/>
              <w:color w:val="auto"/>
            </w:rPr>
            <w:fldChar w:fldCharType="separate"/>
          </w:r>
          <w:r>
            <w:rPr>
              <w:rFonts w:hint="default" w:ascii="Times New Roman" w:hAnsi="Times New Roman" w:cs="Times New Roman"/>
              <w:color w:val="auto"/>
            </w:rPr>
            <w:t>30</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6061A072">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_Toc214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四、主要环境影响和保护措施</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_Toc214 \h </w:instrText>
          </w:r>
          <w:r>
            <w:rPr>
              <w:rFonts w:hint="default" w:ascii="Times New Roman" w:hAnsi="Times New Roman" w:cs="Times New Roman"/>
              <w:color w:val="auto"/>
            </w:rPr>
            <w:fldChar w:fldCharType="separate"/>
          </w:r>
          <w:r>
            <w:rPr>
              <w:rFonts w:hint="default" w:ascii="Times New Roman" w:hAnsi="Times New Roman" w:cs="Times New Roman"/>
              <w:color w:val="auto"/>
            </w:rPr>
            <w:t>36</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24C9958C">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_Toc7202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五、环境保护措施监督检查清单</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_Toc7202 \h </w:instrText>
          </w:r>
          <w:r>
            <w:rPr>
              <w:rFonts w:hint="default" w:ascii="Times New Roman" w:hAnsi="Times New Roman" w:cs="Times New Roman"/>
              <w:color w:val="auto"/>
            </w:rPr>
            <w:fldChar w:fldCharType="separate"/>
          </w:r>
          <w:r>
            <w:rPr>
              <w:rFonts w:hint="default" w:ascii="Times New Roman" w:hAnsi="Times New Roman" w:cs="Times New Roman"/>
              <w:color w:val="auto"/>
            </w:rPr>
            <w:t>66</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5C973DC0">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_Toc25627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六、结论</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_Toc25627 \h </w:instrText>
          </w:r>
          <w:r>
            <w:rPr>
              <w:rFonts w:hint="default" w:ascii="Times New Roman" w:hAnsi="Times New Roman" w:cs="Times New Roman"/>
              <w:color w:val="auto"/>
            </w:rPr>
            <w:fldChar w:fldCharType="separate"/>
          </w:r>
          <w:r>
            <w:rPr>
              <w:rFonts w:hint="default" w:ascii="Times New Roman" w:hAnsi="Times New Roman" w:cs="Times New Roman"/>
              <w:color w:val="auto"/>
            </w:rPr>
            <w:t>70</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696F22FD">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_Toc21319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color w:val="auto"/>
              <w:szCs w:val="28"/>
              <w:highlight w:val="none"/>
              <w:lang w:val="en-US" w:eastAsia="zh-CN"/>
            </w:rPr>
            <w:t>附表</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_Toc21319 \h </w:instrText>
          </w:r>
          <w:r>
            <w:rPr>
              <w:rFonts w:hint="default" w:ascii="Times New Roman" w:hAnsi="Times New Roman" w:cs="Times New Roman"/>
              <w:color w:val="auto"/>
            </w:rPr>
            <w:fldChar w:fldCharType="separate"/>
          </w:r>
          <w:r>
            <w:rPr>
              <w:rFonts w:hint="default" w:ascii="Times New Roman" w:hAnsi="Times New Roman" w:cs="Times New Roman"/>
              <w:color w:val="auto"/>
            </w:rPr>
            <w:t>71</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469FD546">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_Toc12906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rPr>
            <w:t>附图1 项目地理位置图</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_Toc12906 \h </w:instrText>
          </w:r>
          <w:r>
            <w:rPr>
              <w:rFonts w:hint="default" w:ascii="Times New Roman" w:hAnsi="Times New Roman" w:cs="Times New Roman"/>
              <w:color w:val="auto"/>
            </w:rPr>
            <w:fldChar w:fldCharType="separate"/>
          </w:r>
          <w:r>
            <w:rPr>
              <w:rFonts w:hint="default" w:ascii="Times New Roman" w:hAnsi="Times New Roman" w:cs="Times New Roman"/>
              <w:color w:val="auto"/>
            </w:rPr>
            <w:t>73</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6EF14537">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_Toc18743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rPr>
            <w:t>附图2 项目四至情况</w:t>
          </w:r>
          <w:r>
            <w:rPr>
              <w:rFonts w:hint="default" w:ascii="Times New Roman" w:hAnsi="Times New Roman" w:cs="Times New Roman"/>
              <w:bCs/>
              <w:color w:val="auto"/>
              <w:szCs w:val="24"/>
              <w:lang w:val="en-US" w:eastAsia="zh-CN"/>
            </w:rPr>
            <w:t>卫星图</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_Toc18743 \h </w:instrText>
          </w:r>
          <w:r>
            <w:rPr>
              <w:rFonts w:hint="default" w:ascii="Times New Roman" w:hAnsi="Times New Roman" w:cs="Times New Roman"/>
              <w:color w:val="auto"/>
            </w:rPr>
            <w:fldChar w:fldCharType="separate"/>
          </w:r>
          <w:r>
            <w:rPr>
              <w:rFonts w:hint="default" w:ascii="Times New Roman" w:hAnsi="Times New Roman" w:cs="Times New Roman"/>
              <w:color w:val="auto"/>
            </w:rPr>
            <w:t>74</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031B14AD">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_Toc31136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rPr>
            <w:t xml:space="preserve">附图3 </w:t>
          </w:r>
          <w:r>
            <w:rPr>
              <w:rFonts w:hint="default" w:ascii="Times New Roman" w:hAnsi="Times New Roman" w:cs="Times New Roman"/>
              <w:bCs/>
              <w:color w:val="auto"/>
              <w:szCs w:val="24"/>
              <w:lang w:eastAsia="zh-CN"/>
            </w:rPr>
            <w:t>厂区</w:t>
          </w:r>
          <w:r>
            <w:rPr>
              <w:rFonts w:hint="default" w:ascii="Times New Roman" w:hAnsi="Times New Roman" w:eastAsia="宋体" w:cs="Times New Roman"/>
              <w:bCs/>
              <w:color w:val="auto"/>
              <w:szCs w:val="24"/>
            </w:rPr>
            <w:t>平面布置图</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_Toc31136 \h </w:instrText>
          </w:r>
          <w:r>
            <w:rPr>
              <w:rFonts w:hint="default" w:ascii="Times New Roman" w:hAnsi="Times New Roman" w:cs="Times New Roman"/>
              <w:color w:val="auto"/>
            </w:rPr>
            <w:fldChar w:fldCharType="separate"/>
          </w:r>
          <w:r>
            <w:rPr>
              <w:rFonts w:hint="default" w:ascii="Times New Roman" w:hAnsi="Times New Roman" w:cs="Times New Roman"/>
              <w:color w:val="auto"/>
            </w:rPr>
            <w:t>75</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5B0BBA05">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_Toc5543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eastAsia="zh-CN"/>
            </w:rPr>
            <w:t xml:space="preserve">附图4 </w:t>
          </w:r>
          <w:r>
            <w:rPr>
              <w:rFonts w:hint="default" w:ascii="Times New Roman" w:hAnsi="Times New Roman" w:cs="Times New Roman"/>
              <w:bCs/>
              <w:color w:val="auto"/>
              <w:szCs w:val="24"/>
              <w:lang w:val="en-US" w:eastAsia="zh-CN"/>
            </w:rPr>
            <w:t>10号厂房</w:t>
          </w:r>
          <w:r>
            <w:rPr>
              <w:rFonts w:hint="default" w:ascii="Times New Roman" w:hAnsi="Times New Roman" w:cs="Times New Roman"/>
              <w:bCs/>
              <w:color w:val="auto"/>
              <w:szCs w:val="24"/>
              <w:lang w:eastAsia="zh-CN"/>
            </w:rPr>
            <w:t>车间</w:t>
          </w:r>
          <w:r>
            <w:rPr>
              <w:rFonts w:hint="default" w:ascii="Times New Roman" w:hAnsi="Times New Roman" w:eastAsia="宋体" w:cs="Times New Roman"/>
              <w:bCs/>
              <w:color w:val="auto"/>
              <w:szCs w:val="24"/>
              <w:lang w:eastAsia="zh-CN"/>
            </w:rPr>
            <w:t>平面布置图</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_Toc5543 \h </w:instrText>
          </w:r>
          <w:r>
            <w:rPr>
              <w:rFonts w:hint="default" w:ascii="Times New Roman" w:hAnsi="Times New Roman" w:cs="Times New Roman"/>
              <w:color w:val="auto"/>
            </w:rPr>
            <w:fldChar w:fldCharType="separate"/>
          </w:r>
          <w:r>
            <w:rPr>
              <w:rFonts w:hint="default" w:ascii="Times New Roman" w:hAnsi="Times New Roman" w:cs="Times New Roman"/>
              <w:color w:val="auto"/>
            </w:rPr>
            <w:t>76</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79E5D30A">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_Toc22202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eastAsia="zh-CN"/>
            </w:rPr>
            <w:t>附图5 环境保护目标分布图</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_Toc22202 \h </w:instrText>
          </w:r>
          <w:r>
            <w:rPr>
              <w:rFonts w:hint="default" w:ascii="Times New Roman" w:hAnsi="Times New Roman" w:cs="Times New Roman"/>
              <w:color w:val="auto"/>
            </w:rPr>
            <w:fldChar w:fldCharType="separate"/>
          </w:r>
          <w:r>
            <w:rPr>
              <w:rFonts w:hint="default" w:ascii="Times New Roman" w:hAnsi="Times New Roman" w:cs="Times New Roman"/>
              <w:color w:val="auto"/>
            </w:rPr>
            <w:t>77</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48F10F45">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_Toc4364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eastAsia="zh-CN"/>
            </w:rPr>
            <w:t>附图6 建设项目土地利用规划图</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_Toc4364 \h </w:instrText>
          </w:r>
          <w:r>
            <w:rPr>
              <w:rFonts w:hint="default" w:ascii="Times New Roman" w:hAnsi="Times New Roman" w:cs="Times New Roman"/>
              <w:color w:val="auto"/>
            </w:rPr>
            <w:fldChar w:fldCharType="separate"/>
          </w:r>
          <w:r>
            <w:rPr>
              <w:rFonts w:hint="default" w:ascii="Times New Roman" w:hAnsi="Times New Roman" w:cs="Times New Roman"/>
              <w:color w:val="auto"/>
            </w:rPr>
            <w:t>78</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7147F0C8">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_Toc12890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eastAsia="zh-CN"/>
            </w:rPr>
            <w:t>附图7 水环境功能区划图</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_Toc12890 \h </w:instrText>
          </w:r>
          <w:r>
            <w:rPr>
              <w:rFonts w:hint="default" w:ascii="Times New Roman" w:hAnsi="Times New Roman" w:cs="Times New Roman"/>
              <w:color w:val="auto"/>
            </w:rPr>
            <w:fldChar w:fldCharType="separate"/>
          </w:r>
          <w:r>
            <w:rPr>
              <w:rFonts w:hint="default" w:ascii="Times New Roman" w:hAnsi="Times New Roman" w:cs="Times New Roman"/>
              <w:color w:val="auto"/>
            </w:rPr>
            <w:t>79</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36200BF8">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_Toc8196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eastAsia="zh-CN"/>
            </w:rPr>
            <w:t>附图8 大气环境功能区划图</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_Toc8196 \h </w:instrText>
          </w:r>
          <w:r>
            <w:rPr>
              <w:rFonts w:hint="default" w:ascii="Times New Roman" w:hAnsi="Times New Roman" w:cs="Times New Roman"/>
              <w:color w:val="auto"/>
            </w:rPr>
            <w:fldChar w:fldCharType="separate"/>
          </w:r>
          <w:r>
            <w:rPr>
              <w:rFonts w:hint="default" w:ascii="Times New Roman" w:hAnsi="Times New Roman" w:cs="Times New Roman"/>
              <w:color w:val="auto"/>
            </w:rPr>
            <w:t>80</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70B1853A">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_Toc10871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eastAsia="zh-CN"/>
            </w:rPr>
            <w:t xml:space="preserve">附图9 </w:t>
          </w:r>
          <w:r>
            <w:rPr>
              <w:rFonts w:hint="default" w:ascii="Times New Roman" w:hAnsi="Times New Roman" w:cs="Times New Roman"/>
              <w:bCs/>
              <w:color w:val="auto"/>
              <w:szCs w:val="24"/>
              <w:lang w:eastAsia="zh-CN"/>
            </w:rPr>
            <w:t>声环境功能区划图</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_Toc10871 \h </w:instrText>
          </w:r>
          <w:r>
            <w:rPr>
              <w:rFonts w:hint="default" w:ascii="Times New Roman" w:hAnsi="Times New Roman" w:cs="Times New Roman"/>
              <w:color w:val="auto"/>
            </w:rPr>
            <w:fldChar w:fldCharType="separate"/>
          </w:r>
          <w:r>
            <w:rPr>
              <w:rFonts w:hint="default" w:ascii="Times New Roman" w:hAnsi="Times New Roman" w:cs="Times New Roman"/>
              <w:color w:val="auto"/>
            </w:rPr>
            <w:t>81</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6B73F498">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_Toc30773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eastAsia="zh-CN"/>
            </w:rPr>
            <w:t>附图10 生态红线分布图</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_Toc30773 \h </w:instrText>
          </w:r>
          <w:r>
            <w:rPr>
              <w:rFonts w:hint="default" w:ascii="Times New Roman" w:hAnsi="Times New Roman" w:cs="Times New Roman"/>
              <w:color w:val="auto"/>
            </w:rPr>
            <w:fldChar w:fldCharType="separate"/>
          </w:r>
          <w:r>
            <w:rPr>
              <w:rFonts w:hint="default" w:ascii="Times New Roman" w:hAnsi="Times New Roman" w:cs="Times New Roman"/>
              <w:color w:val="auto"/>
            </w:rPr>
            <w:t>82</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0E4CB4FA">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_Toc20841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eastAsia="zh-CN"/>
            </w:rPr>
            <w:t>附图11 水环境管控单元图</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_Toc20841 \h </w:instrText>
          </w:r>
          <w:r>
            <w:rPr>
              <w:rFonts w:hint="default" w:ascii="Times New Roman" w:hAnsi="Times New Roman" w:cs="Times New Roman"/>
              <w:color w:val="auto"/>
            </w:rPr>
            <w:fldChar w:fldCharType="separate"/>
          </w:r>
          <w:r>
            <w:rPr>
              <w:rFonts w:hint="default" w:ascii="Times New Roman" w:hAnsi="Times New Roman" w:cs="Times New Roman"/>
              <w:color w:val="auto"/>
            </w:rPr>
            <w:t>83</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6FA4140D">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_Toc8569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eastAsia="zh-CN"/>
            </w:rPr>
            <w:t>附图12 大气环境管控单元图</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_Toc8569 \h </w:instrText>
          </w:r>
          <w:r>
            <w:rPr>
              <w:rFonts w:hint="default" w:ascii="Times New Roman" w:hAnsi="Times New Roman" w:cs="Times New Roman"/>
              <w:color w:val="auto"/>
            </w:rPr>
            <w:fldChar w:fldCharType="separate"/>
          </w:r>
          <w:r>
            <w:rPr>
              <w:rFonts w:hint="default" w:ascii="Times New Roman" w:hAnsi="Times New Roman" w:cs="Times New Roman"/>
              <w:color w:val="auto"/>
            </w:rPr>
            <w:t>84</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404ED692">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_Toc30069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eastAsia="zh-CN"/>
            </w:rPr>
            <w:t>附图13 生态管控单元分区图</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_Toc30069 \h </w:instrText>
          </w:r>
          <w:r>
            <w:rPr>
              <w:rFonts w:hint="default" w:ascii="Times New Roman" w:hAnsi="Times New Roman" w:cs="Times New Roman"/>
              <w:color w:val="auto"/>
            </w:rPr>
            <w:fldChar w:fldCharType="separate"/>
          </w:r>
          <w:r>
            <w:rPr>
              <w:rFonts w:hint="default" w:ascii="Times New Roman" w:hAnsi="Times New Roman" w:cs="Times New Roman"/>
              <w:color w:val="auto"/>
            </w:rPr>
            <w:t>85</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716FBF10">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_Toc26477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eastAsia="zh-CN"/>
            </w:rPr>
            <w:t>附图14 项目周边现状图</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_Toc26477 \h </w:instrText>
          </w:r>
          <w:r>
            <w:rPr>
              <w:rFonts w:hint="default" w:ascii="Times New Roman" w:hAnsi="Times New Roman" w:cs="Times New Roman"/>
              <w:color w:val="auto"/>
            </w:rPr>
            <w:fldChar w:fldCharType="separate"/>
          </w:r>
          <w:r>
            <w:rPr>
              <w:rFonts w:hint="default" w:ascii="Times New Roman" w:hAnsi="Times New Roman" w:cs="Times New Roman"/>
              <w:color w:val="auto"/>
            </w:rPr>
            <w:t>86</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2D185C64">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_Toc22638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val="en-US" w:eastAsia="zh-CN"/>
            </w:rPr>
            <w:t>附图15 广东省“三线一单”截图</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_Toc22638 \h </w:instrText>
          </w:r>
          <w:r>
            <w:rPr>
              <w:rFonts w:hint="default" w:ascii="Times New Roman" w:hAnsi="Times New Roman" w:cs="Times New Roman"/>
              <w:color w:val="auto"/>
            </w:rPr>
            <w:fldChar w:fldCharType="separate"/>
          </w:r>
          <w:r>
            <w:rPr>
              <w:rFonts w:hint="default" w:ascii="Times New Roman" w:hAnsi="Times New Roman" w:cs="Times New Roman"/>
              <w:color w:val="auto"/>
            </w:rPr>
            <w:t>87</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0822D998">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_Toc16029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val="en-US" w:eastAsia="zh-CN"/>
            </w:rPr>
            <w:t>附图16 项目与大气</w:t>
          </w:r>
          <w:r>
            <w:rPr>
              <w:rFonts w:hint="default" w:ascii="Times New Roman" w:hAnsi="Times New Roman" w:cs="Times New Roman"/>
              <w:bCs/>
              <w:color w:val="auto"/>
              <w:szCs w:val="24"/>
              <w:lang w:val="en-US" w:eastAsia="zh-CN"/>
            </w:rPr>
            <w:t>引用</w:t>
          </w:r>
          <w:r>
            <w:rPr>
              <w:rFonts w:hint="default" w:ascii="Times New Roman" w:hAnsi="Times New Roman" w:eastAsia="宋体" w:cs="Times New Roman"/>
              <w:bCs/>
              <w:color w:val="auto"/>
              <w:szCs w:val="24"/>
              <w:lang w:val="en-US" w:eastAsia="zh-CN"/>
            </w:rPr>
            <w:t>监测点位置图</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_Toc16029 \h </w:instrText>
          </w:r>
          <w:r>
            <w:rPr>
              <w:rFonts w:hint="default" w:ascii="Times New Roman" w:hAnsi="Times New Roman" w:cs="Times New Roman"/>
              <w:color w:val="auto"/>
            </w:rPr>
            <w:fldChar w:fldCharType="separate"/>
          </w:r>
          <w:r>
            <w:rPr>
              <w:rFonts w:hint="default" w:ascii="Times New Roman" w:hAnsi="Times New Roman" w:cs="Times New Roman"/>
              <w:color w:val="auto"/>
            </w:rPr>
            <w:t>88</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04B5846C">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_Toc3080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val="en-US" w:eastAsia="zh-CN"/>
            </w:rPr>
            <w:t>附图17 乐昌产业转移工业园管网分布图</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_Toc3080 \h </w:instrText>
          </w:r>
          <w:r>
            <w:rPr>
              <w:rFonts w:hint="default" w:ascii="Times New Roman" w:hAnsi="Times New Roman" w:cs="Times New Roman"/>
              <w:color w:val="auto"/>
            </w:rPr>
            <w:fldChar w:fldCharType="separate"/>
          </w:r>
          <w:r>
            <w:rPr>
              <w:rFonts w:hint="default" w:ascii="Times New Roman" w:hAnsi="Times New Roman" w:cs="Times New Roman"/>
              <w:color w:val="auto"/>
            </w:rPr>
            <w:t>89</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64552CD3">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_Toc23299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val="en-US" w:eastAsia="zh-CN"/>
            </w:rPr>
            <w:t xml:space="preserve">附件1 </w:t>
          </w:r>
          <w:r>
            <w:rPr>
              <w:rFonts w:hint="default" w:ascii="Times New Roman" w:hAnsi="Times New Roman" w:cs="Times New Roman"/>
              <w:bCs/>
              <w:color w:val="auto"/>
              <w:szCs w:val="24"/>
              <w:lang w:val="en-US" w:eastAsia="zh-CN"/>
            </w:rPr>
            <w:t>营业执照</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_Toc23299 \h </w:instrText>
          </w:r>
          <w:r>
            <w:rPr>
              <w:rFonts w:hint="default" w:ascii="Times New Roman" w:hAnsi="Times New Roman" w:cs="Times New Roman"/>
              <w:color w:val="auto"/>
            </w:rPr>
            <w:fldChar w:fldCharType="separate"/>
          </w:r>
          <w:r>
            <w:rPr>
              <w:rFonts w:hint="default" w:ascii="Times New Roman" w:hAnsi="Times New Roman" w:cs="Times New Roman"/>
              <w:color w:val="auto"/>
            </w:rPr>
            <w:t>90</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00185E1F">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_Toc10736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val="en-US" w:eastAsia="zh-CN"/>
            </w:rPr>
            <w:t xml:space="preserve">附件2 </w:t>
          </w:r>
          <w:r>
            <w:rPr>
              <w:rFonts w:hint="default" w:ascii="Times New Roman" w:hAnsi="Times New Roman" w:cs="Times New Roman"/>
              <w:bCs/>
              <w:color w:val="auto"/>
              <w:szCs w:val="24"/>
              <w:lang w:val="en-US" w:eastAsia="zh-CN"/>
            </w:rPr>
            <w:t>法人身份证复印件</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_Toc10736 \h </w:instrText>
          </w:r>
          <w:r>
            <w:rPr>
              <w:rFonts w:hint="default" w:ascii="Times New Roman" w:hAnsi="Times New Roman" w:cs="Times New Roman"/>
              <w:color w:val="auto"/>
            </w:rPr>
            <w:fldChar w:fldCharType="separate"/>
          </w:r>
          <w:r>
            <w:rPr>
              <w:rFonts w:hint="default" w:ascii="Times New Roman" w:hAnsi="Times New Roman" w:cs="Times New Roman"/>
              <w:color w:val="auto"/>
            </w:rPr>
            <w:t>91</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3A4524CA">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_Toc3770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val="en-US" w:eastAsia="zh-CN"/>
            </w:rPr>
            <w:t xml:space="preserve">附件3 </w:t>
          </w:r>
          <w:r>
            <w:rPr>
              <w:rFonts w:hint="default" w:ascii="Times New Roman" w:hAnsi="Times New Roman" w:cs="Times New Roman"/>
              <w:bCs/>
              <w:color w:val="auto"/>
              <w:szCs w:val="24"/>
              <w:lang w:val="en-US" w:eastAsia="zh-CN"/>
            </w:rPr>
            <w:t>不动产权证书</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_Toc3770 \h </w:instrText>
          </w:r>
          <w:r>
            <w:rPr>
              <w:rFonts w:hint="default" w:ascii="Times New Roman" w:hAnsi="Times New Roman" w:cs="Times New Roman"/>
              <w:color w:val="auto"/>
            </w:rPr>
            <w:fldChar w:fldCharType="separate"/>
          </w:r>
          <w:r>
            <w:rPr>
              <w:rFonts w:hint="default" w:ascii="Times New Roman" w:hAnsi="Times New Roman" w:cs="Times New Roman"/>
              <w:color w:val="auto"/>
            </w:rPr>
            <w:t>92</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49EE7B9A">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_Toc7192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val="en-US" w:eastAsia="zh-CN"/>
            </w:rPr>
            <w:t xml:space="preserve">附件4 </w:t>
          </w:r>
          <w:r>
            <w:rPr>
              <w:rFonts w:hint="default" w:ascii="Times New Roman" w:hAnsi="Times New Roman" w:cs="Times New Roman"/>
              <w:bCs/>
              <w:color w:val="auto"/>
              <w:szCs w:val="24"/>
              <w:lang w:val="en-US" w:eastAsia="zh-CN"/>
            </w:rPr>
            <w:t>备案证</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_Toc7192 \h </w:instrText>
          </w:r>
          <w:r>
            <w:rPr>
              <w:rFonts w:hint="default" w:ascii="Times New Roman" w:hAnsi="Times New Roman" w:cs="Times New Roman"/>
              <w:color w:val="auto"/>
            </w:rPr>
            <w:fldChar w:fldCharType="separate"/>
          </w:r>
          <w:r>
            <w:rPr>
              <w:rFonts w:hint="default" w:ascii="Times New Roman" w:hAnsi="Times New Roman" w:cs="Times New Roman"/>
              <w:color w:val="auto"/>
            </w:rPr>
            <w:t>94</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0EF05FDA">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_Toc28539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val="en-US" w:eastAsia="zh-CN"/>
            </w:rPr>
            <w:t>附件5 企业环保责任主体变更证明</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_Toc28539 \h </w:instrText>
          </w:r>
          <w:r>
            <w:rPr>
              <w:rFonts w:hint="default" w:ascii="Times New Roman" w:hAnsi="Times New Roman" w:cs="Times New Roman"/>
              <w:color w:val="auto"/>
            </w:rPr>
            <w:fldChar w:fldCharType="separate"/>
          </w:r>
          <w:r>
            <w:rPr>
              <w:rFonts w:hint="default" w:ascii="Times New Roman" w:hAnsi="Times New Roman" w:cs="Times New Roman"/>
              <w:color w:val="auto"/>
            </w:rPr>
            <w:t>95</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33242583">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_Toc14030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val="en-US" w:eastAsia="zh-CN"/>
            </w:rPr>
            <w:t>附件6 原项目环评批复</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_Toc14030 \h </w:instrText>
          </w:r>
          <w:r>
            <w:rPr>
              <w:rFonts w:hint="default" w:ascii="Times New Roman" w:hAnsi="Times New Roman" w:cs="Times New Roman"/>
              <w:color w:val="auto"/>
            </w:rPr>
            <w:fldChar w:fldCharType="separate"/>
          </w:r>
          <w:r>
            <w:rPr>
              <w:rFonts w:hint="default" w:ascii="Times New Roman" w:hAnsi="Times New Roman" w:cs="Times New Roman"/>
              <w:color w:val="auto"/>
            </w:rPr>
            <w:t>96</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2EA7E484">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_Toc16530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val="en-US" w:eastAsia="zh-CN"/>
            </w:rPr>
            <w:t>附件7 原项目一期、二期验收意见</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_Toc16530 \h </w:instrText>
          </w:r>
          <w:r>
            <w:rPr>
              <w:rFonts w:hint="default" w:ascii="Times New Roman" w:hAnsi="Times New Roman" w:cs="Times New Roman"/>
              <w:color w:val="auto"/>
            </w:rPr>
            <w:fldChar w:fldCharType="separate"/>
          </w:r>
          <w:r>
            <w:rPr>
              <w:rFonts w:hint="default" w:ascii="Times New Roman" w:hAnsi="Times New Roman" w:cs="Times New Roman"/>
              <w:color w:val="auto"/>
            </w:rPr>
            <w:t>99</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58C53006">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_Toc22395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val="en-US" w:eastAsia="zh-CN"/>
            </w:rPr>
            <w:t>附件8 排污许可证</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_Toc22395 \h </w:instrText>
          </w:r>
          <w:r>
            <w:rPr>
              <w:rFonts w:hint="default" w:ascii="Times New Roman" w:hAnsi="Times New Roman" w:cs="Times New Roman"/>
              <w:color w:val="auto"/>
            </w:rPr>
            <w:fldChar w:fldCharType="separate"/>
          </w:r>
          <w:r>
            <w:rPr>
              <w:rFonts w:hint="default" w:ascii="Times New Roman" w:hAnsi="Times New Roman" w:cs="Times New Roman"/>
              <w:color w:val="auto"/>
            </w:rPr>
            <w:t>118</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72233A47">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_Toc15312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val="en-US" w:eastAsia="zh-CN"/>
            </w:rPr>
            <w:t xml:space="preserve">附件9 </w:t>
          </w:r>
          <w:r>
            <w:rPr>
              <w:rFonts w:hint="default" w:ascii="Times New Roman" w:hAnsi="Times New Roman" w:cs="Times New Roman"/>
              <w:bCs/>
              <w:color w:val="auto"/>
              <w:szCs w:val="24"/>
              <w:lang w:val="en-US" w:eastAsia="zh-CN"/>
            </w:rPr>
            <w:t>环境质量现状监测报告（摘录部分）</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_Toc15312 \h </w:instrText>
          </w:r>
          <w:r>
            <w:rPr>
              <w:rFonts w:hint="default" w:ascii="Times New Roman" w:hAnsi="Times New Roman" w:cs="Times New Roman"/>
              <w:color w:val="auto"/>
            </w:rPr>
            <w:fldChar w:fldCharType="separate"/>
          </w:r>
          <w:r>
            <w:rPr>
              <w:rFonts w:hint="default" w:ascii="Times New Roman" w:hAnsi="Times New Roman" w:cs="Times New Roman"/>
              <w:color w:val="auto"/>
            </w:rPr>
            <w:t>119</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2CAC73B0">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_Toc660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val="en-US" w:eastAsia="zh-CN"/>
            </w:rPr>
            <w:t xml:space="preserve">附件10 </w:t>
          </w:r>
          <w:r>
            <w:rPr>
              <w:rFonts w:hint="default" w:ascii="Times New Roman" w:hAnsi="Times New Roman" w:cs="Times New Roman"/>
              <w:bCs/>
              <w:color w:val="auto"/>
              <w:szCs w:val="24"/>
              <w:lang w:val="en-US" w:eastAsia="zh-CN"/>
            </w:rPr>
            <w:t>原辅料MSDS</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_Toc660 \h </w:instrText>
          </w:r>
          <w:r>
            <w:rPr>
              <w:rFonts w:hint="default" w:ascii="Times New Roman" w:hAnsi="Times New Roman" w:cs="Times New Roman"/>
              <w:color w:val="auto"/>
            </w:rPr>
            <w:fldChar w:fldCharType="separate"/>
          </w:r>
          <w:r>
            <w:rPr>
              <w:rFonts w:hint="default" w:ascii="Times New Roman" w:hAnsi="Times New Roman" w:cs="Times New Roman"/>
              <w:color w:val="auto"/>
            </w:rPr>
            <w:t>130</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10BB6993">
          <w:pPr>
            <w:pStyle w:val="29"/>
            <w:pageBreakBefore w:val="0"/>
            <w:tabs>
              <w:tab w:val="right" w:leader="dot" w:pos="8844"/>
            </w:tabs>
            <w:wordWrap w:val="0"/>
            <w:overflowPunct/>
            <w:bidi w:val="0"/>
            <w:rPr>
              <w:rFonts w:hint="default" w:ascii="Times New Roman" w:hAnsi="Times New Roman" w:cs="Times New Roman"/>
              <w:color w:val="auto"/>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_Toc17968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lang w:val="en-US" w:eastAsia="zh-CN"/>
            </w:rPr>
            <w:t xml:space="preserve">附件11 </w:t>
          </w:r>
          <w:r>
            <w:rPr>
              <w:rFonts w:hint="default" w:ascii="Times New Roman" w:hAnsi="Times New Roman" w:cs="Times New Roman"/>
              <w:bCs/>
              <w:color w:val="auto"/>
              <w:szCs w:val="24"/>
              <w:lang w:val="en-US" w:eastAsia="zh-CN"/>
            </w:rPr>
            <w:t>VOCs检测报告</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_Toc17968 \h </w:instrText>
          </w:r>
          <w:r>
            <w:rPr>
              <w:rFonts w:hint="default" w:ascii="Times New Roman" w:hAnsi="Times New Roman" w:cs="Times New Roman"/>
              <w:color w:val="auto"/>
            </w:rPr>
            <w:fldChar w:fldCharType="separate"/>
          </w:r>
          <w:r>
            <w:rPr>
              <w:rFonts w:hint="default" w:ascii="Times New Roman" w:hAnsi="Times New Roman" w:cs="Times New Roman"/>
              <w:color w:val="auto"/>
            </w:rPr>
            <w:t>143</w:t>
          </w:r>
          <w:r>
            <w:rPr>
              <w:rFonts w:hint="default" w:ascii="Times New Roman" w:hAnsi="Times New Roman" w:cs="Times New Roman"/>
              <w:color w:val="auto"/>
            </w:rPr>
            <w:fldChar w:fldCharType="end"/>
          </w:r>
          <w:r>
            <w:rPr>
              <w:rFonts w:hint="default" w:ascii="Times New Roman" w:hAnsi="Times New Roman" w:cs="Times New Roman"/>
              <w:color w:val="auto"/>
              <w:highlight w:val="none"/>
            </w:rPr>
            <w:fldChar w:fldCharType="end"/>
          </w:r>
        </w:p>
        <w:p w14:paraId="2CF5F986">
          <w:pPr>
            <w:pageBreakBefore w:val="0"/>
            <w:wordWrap w:val="0"/>
            <w:overflowPunct/>
            <w:bidi w:val="0"/>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end"/>
          </w:r>
        </w:p>
      </w:sdtContent>
    </w:sdt>
    <w:p w14:paraId="77C949D2">
      <w:pPr>
        <w:pageBreakBefore w:val="0"/>
        <w:wordWrap w:val="0"/>
        <w:overflowPunct/>
        <w:bidi w:val="0"/>
        <w:rPr>
          <w:rFonts w:hint="default" w:ascii="Times New Roman" w:hAnsi="Times New Roman" w:cs="Times New Roman"/>
          <w:color w:val="auto"/>
          <w:highlight w:val="none"/>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fmt="upperRoman" w:start="1"/>
          <w:cols w:space="0" w:num="1"/>
          <w:docGrid w:linePitch="312" w:charSpace="0"/>
        </w:sectPr>
      </w:pPr>
    </w:p>
    <w:p w14:paraId="35C93D17">
      <w:pPr>
        <w:pStyle w:val="2"/>
        <w:pageBreakBefore w:val="0"/>
        <w:numPr>
          <w:ilvl w:val="0"/>
          <w:numId w:val="0"/>
        </w:numPr>
        <w:wordWrap w:val="0"/>
        <w:overflowPunct/>
        <w:bidi w:val="0"/>
        <w:rPr>
          <w:rFonts w:hint="default" w:ascii="Times New Roman" w:hAnsi="Times New Roman" w:cs="Times New Roman"/>
          <w:color w:val="auto"/>
          <w:highlight w:val="none"/>
        </w:rPr>
      </w:pPr>
      <w:bookmarkStart w:id="0" w:name="_Toc2620"/>
      <w:bookmarkStart w:id="1" w:name="_Toc3210"/>
      <w:r>
        <w:rPr>
          <w:rFonts w:hint="default" w:ascii="Times New Roman" w:hAnsi="Times New Roman" w:cs="Times New Roman"/>
          <w:color w:val="auto"/>
          <w:highlight w:val="none"/>
        </w:rPr>
        <w:t>一、建设项目基本情况</w:t>
      </w:r>
      <w:bookmarkEnd w:id="0"/>
      <w:bookmarkEnd w:id="1"/>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1485"/>
        <w:gridCol w:w="1809"/>
        <w:gridCol w:w="502"/>
        <w:gridCol w:w="1147"/>
        <w:gridCol w:w="967"/>
        <w:gridCol w:w="2162"/>
      </w:tblGrid>
      <w:tr w14:paraId="3636A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23" w:type="pct"/>
            <w:gridSpan w:val="2"/>
            <w:vAlign w:val="center"/>
          </w:tcPr>
          <w:p w14:paraId="04C7DD7B">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建设项目名称</w:t>
            </w:r>
          </w:p>
        </w:tc>
        <w:tc>
          <w:tcPr>
            <w:tcW w:w="3876" w:type="pct"/>
            <w:gridSpan w:val="5"/>
            <w:vAlign w:val="center"/>
          </w:tcPr>
          <w:p w14:paraId="2510DEFC">
            <w:pPr>
              <w:keepNext w:val="0"/>
              <w:keepLines w:val="0"/>
              <w:pageBreakBefore w:val="0"/>
              <w:kinsoku/>
              <w:wordWrap w:val="0"/>
              <w:overflowPunct/>
              <w:topLinePunct w:val="0"/>
              <w:bidi w:val="0"/>
              <w:adjustRightInd/>
              <w:snapToGrid/>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广东沃府实业有限公司扩建项目</w:t>
            </w:r>
          </w:p>
        </w:tc>
      </w:tr>
      <w:tr w14:paraId="0AEFF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23" w:type="pct"/>
            <w:gridSpan w:val="2"/>
            <w:vAlign w:val="center"/>
          </w:tcPr>
          <w:p w14:paraId="416DFFF6">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项目代码</w:t>
            </w:r>
          </w:p>
        </w:tc>
        <w:tc>
          <w:tcPr>
            <w:tcW w:w="3876" w:type="pct"/>
            <w:gridSpan w:val="5"/>
            <w:vAlign w:val="center"/>
          </w:tcPr>
          <w:p w14:paraId="0CB9257F">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rPr>
              <w:t>2504-440281-04-01-699175</w:t>
            </w:r>
          </w:p>
        </w:tc>
      </w:tr>
      <w:tr w14:paraId="0B35D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23" w:type="pct"/>
            <w:gridSpan w:val="2"/>
            <w:vAlign w:val="center"/>
          </w:tcPr>
          <w:p w14:paraId="5E075149">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建设单位联系人</w:t>
            </w:r>
          </w:p>
        </w:tc>
        <w:tc>
          <w:tcPr>
            <w:tcW w:w="1361" w:type="pct"/>
            <w:gridSpan w:val="2"/>
            <w:vAlign w:val="center"/>
          </w:tcPr>
          <w:p w14:paraId="05D134E5">
            <w:pPr>
              <w:pStyle w:val="57"/>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温</w:t>
            </w:r>
          </w:p>
        </w:tc>
        <w:tc>
          <w:tcPr>
            <w:tcW w:w="1245" w:type="pct"/>
            <w:gridSpan w:val="2"/>
            <w:vAlign w:val="center"/>
          </w:tcPr>
          <w:p w14:paraId="6F37CB19">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联系方式</w:t>
            </w:r>
          </w:p>
        </w:tc>
        <w:tc>
          <w:tcPr>
            <w:tcW w:w="1269" w:type="pct"/>
            <w:vAlign w:val="center"/>
          </w:tcPr>
          <w:p w14:paraId="05D47816">
            <w:pPr>
              <w:pStyle w:val="57"/>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4"/>
                <w:highlight w:val="none"/>
                <w:lang w:eastAsia="zh-CN"/>
              </w:rPr>
            </w:pPr>
          </w:p>
        </w:tc>
      </w:tr>
      <w:tr w14:paraId="138E3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23" w:type="pct"/>
            <w:gridSpan w:val="2"/>
            <w:vAlign w:val="center"/>
          </w:tcPr>
          <w:p w14:paraId="7702B734">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建设地点</w:t>
            </w:r>
          </w:p>
        </w:tc>
        <w:tc>
          <w:tcPr>
            <w:tcW w:w="3876" w:type="pct"/>
            <w:gridSpan w:val="5"/>
            <w:vAlign w:val="center"/>
          </w:tcPr>
          <w:p w14:paraId="642EC223">
            <w:pPr>
              <w:keepNext w:val="0"/>
              <w:keepLines w:val="0"/>
              <w:pageBreakBefore w:val="0"/>
              <w:widowControl/>
              <w:kinsoku/>
              <w:wordWrap w:val="0"/>
              <w:overflowPunct/>
              <w:topLinePunct w:val="0"/>
              <w:bidi w:val="0"/>
              <w:adjustRightInd/>
              <w:snapToGrid/>
              <w:jc w:val="center"/>
              <w:outlineLvl w:val="9"/>
              <w:rPr>
                <w:rFonts w:hint="default" w:ascii="Times New Roman" w:hAnsi="Times New Roman" w:cs="Times New Roman"/>
                <w:color w:val="auto"/>
                <w:highlight w:val="none"/>
              </w:rPr>
            </w:pPr>
            <w:r>
              <w:rPr>
                <w:rFonts w:hint="eastAsia" w:cs="Times New Roman"/>
                <w:color w:val="auto"/>
                <w:highlight w:val="none"/>
                <w:lang w:val="en-US" w:eastAsia="zh-CN"/>
              </w:rPr>
              <w:t>韶关市乐昌市廊田镇乐昌市乐昌产业转移工业园金岭四路7号（广东乐昌经济开发区）</w:t>
            </w:r>
          </w:p>
        </w:tc>
      </w:tr>
      <w:tr w14:paraId="7D5B3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23" w:type="pct"/>
            <w:gridSpan w:val="2"/>
            <w:vAlign w:val="center"/>
          </w:tcPr>
          <w:p w14:paraId="5329BA44">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地理坐标</w:t>
            </w:r>
          </w:p>
        </w:tc>
        <w:tc>
          <w:tcPr>
            <w:tcW w:w="3876" w:type="pct"/>
            <w:gridSpan w:val="5"/>
            <w:vAlign w:val="center"/>
          </w:tcPr>
          <w:p w14:paraId="60A04C48">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E113°24′16.326″</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N25°7′49.776″</w:t>
            </w:r>
          </w:p>
        </w:tc>
      </w:tr>
      <w:tr w14:paraId="6DF88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1" w:hRule="atLeast"/>
          <w:jc w:val="center"/>
        </w:trPr>
        <w:tc>
          <w:tcPr>
            <w:tcW w:w="1123" w:type="pct"/>
            <w:gridSpan w:val="2"/>
            <w:vAlign w:val="center"/>
          </w:tcPr>
          <w:p w14:paraId="005B502C">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国民经济</w:t>
            </w:r>
          </w:p>
          <w:p w14:paraId="27A0A1C4">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p>
        </w:tc>
        <w:tc>
          <w:tcPr>
            <w:tcW w:w="1064" w:type="pct"/>
            <w:vAlign w:val="center"/>
          </w:tcPr>
          <w:p w14:paraId="7B827FA9">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C2929 塑料零件及其他塑料制品制造</w:t>
            </w:r>
          </w:p>
        </w:tc>
        <w:tc>
          <w:tcPr>
            <w:tcW w:w="972" w:type="pct"/>
            <w:gridSpan w:val="2"/>
            <w:vAlign w:val="center"/>
          </w:tcPr>
          <w:p w14:paraId="104D37FB">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w:t>
            </w:r>
          </w:p>
          <w:p w14:paraId="11984669">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p>
        </w:tc>
        <w:tc>
          <w:tcPr>
            <w:tcW w:w="1839" w:type="pct"/>
            <w:gridSpan w:val="2"/>
            <w:vAlign w:val="center"/>
          </w:tcPr>
          <w:p w14:paraId="575C3393">
            <w:pPr>
              <w:pStyle w:val="57"/>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二十六、橡胶和塑料制品业29---53、塑料制品业292--其他（年用非溶剂型低VOCs含量涂料10吨以下的除外）</w:t>
            </w:r>
          </w:p>
        </w:tc>
      </w:tr>
      <w:tr w14:paraId="558D7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2" w:hRule="atLeast"/>
          <w:jc w:val="center"/>
        </w:trPr>
        <w:tc>
          <w:tcPr>
            <w:tcW w:w="1123" w:type="pct"/>
            <w:gridSpan w:val="2"/>
            <w:vAlign w:val="center"/>
          </w:tcPr>
          <w:p w14:paraId="22C7D38F">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建设性质</w:t>
            </w:r>
          </w:p>
        </w:tc>
        <w:tc>
          <w:tcPr>
            <w:tcW w:w="1064" w:type="pct"/>
            <w:vAlign w:val="center"/>
          </w:tcPr>
          <w:p w14:paraId="534568E6">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A3"/>
            </w:r>
            <w:r>
              <w:rPr>
                <w:rFonts w:hint="default" w:ascii="Times New Roman" w:hAnsi="Times New Roman" w:eastAsia="宋体" w:cs="Times New Roman"/>
                <w:color w:val="auto"/>
                <w:highlight w:val="none"/>
              </w:rPr>
              <w:t>新建（迁建）</w:t>
            </w:r>
          </w:p>
          <w:p w14:paraId="62048EB2">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A3"/>
            </w:r>
            <w:r>
              <w:rPr>
                <w:rFonts w:hint="default" w:ascii="Times New Roman" w:hAnsi="Times New Roman" w:eastAsia="宋体" w:cs="Times New Roman"/>
                <w:color w:val="auto"/>
                <w:highlight w:val="none"/>
              </w:rPr>
              <w:t>改建</w:t>
            </w:r>
          </w:p>
          <w:p w14:paraId="6F41A49A">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52"/>
            </w:r>
            <w:r>
              <w:rPr>
                <w:rFonts w:hint="default" w:ascii="Times New Roman" w:hAnsi="Times New Roman" w:eastAsia="宋体" w:cs="Times New Roman"/>
                <w:color w:val="auto"/>
                <w:highlight w:val="none"/>
              </w:rPr>
              <w:t>扩建</w:t>
            </w:r>
          </w:p>
          <w:p w14:paraId="41DB278E">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outlineLvl w:val="9"/>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sym w:font="Wingdings 2" w:char="00A3"/>
            </w:r>
            <w:r>
              <w:rPr>
                <w:rFonts w:hint="default" w:ascii="Times New Roman" w:hAnsi="Times New Roman" w:eastAsia="宋体" w:cs="Times New Roman"/>
                <w:color w:val="auto"/>
                <w:highlight w:val="none"/>
              </w:rPr>
              <w:t>技术改造</w:t>
            </w:r>
          </w:p>
        </w:tc>
        <w:tc>
          <w:tcPr>
            <w:tcW w:w="972" w:type="pct"/>
            <w:gridSpan w:val="2"/>
            <w:vAlign w:val="center"/>
          </w:tcPr>
          <w:p w14:paraId="63294978">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w:t>
            </w:r>
          </w:p>
          <w:p w14:paraId="1631A12E">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申报情形</w:t>
            </w:r>
          </w:p>
        </w:tc>
        <w:tc>
          <w:tcPr>
            <w:tcW w:w="1839" w:type="pct"/>
            <w:gridSpan w:val="2"/>
            <w:vAlign w:val="center"/>
          </w:tcPr>
          <w:p w14:paraId="36884F14">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52"/>
            </w:r>
            <w:r>
              <w:rPr>
                <w:rFonts w:hint="default" w:ascii="Times New Roman" w:hAnsi="Times New Roman" w:eastAsia="宋体" w:cs="Times New Roman"/>
                <w:color w:val="auto"/>
                <w:highlight w:val="none"/>
              </w:rPr>
              <w:t>首次申报项目</w:t>
            </w:r>
          </w:p>
          <w:p w14:paraId="11250474">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A3"/>
            </w:r>
            <w:r>
              <w:rPr>
                <w:rFonts w:hint="default" w:ascii="Times New Roman" w:hAnsi="Times New Roman" w:eastAsia="宋体" w:cs="Times New Roman"/>
                <w:color w:val="auto"/>
                <w:highlight w:val="none"/>
              </w:rPr>
              <w:t>不予批准后再次申报项目</w:t>
            </w:r>
          </w:p>
          <w:p w14:paraId="056786B3">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A3"/>
            </w:r>
            <w:r>
              <w:rPr>
                <w:rFonts w:hint="default" w:ascii="Times New Roman" w:hAnsi="Times New Roman" w:eastAsia="宋体" w:cs="Times New Roman"/>
                <w:color w:val="auto"/>
                <w:highlight w:val="none"/>
              </w:rPr>
              <w:t>超五年重新审核项目</w:t>
            </w:r>
          </w:p>
          <w:p w14:paraId="75EF4BEA">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outlineLvl w:val="9"/>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sym w:font="Wingdings 2" w:char="00A3"/>
            </w:r>
            <w:r>
              <w:rPr>
                <w:rFonts w:hint="default" w:ascii="Times New Roman" w:hAnsi="Times New Roman" w:eastAsia="宋体" w:cs="Times New Roman"/>
                <w:color w:val="auto"/>
                <w:highlight w:val="none"/>
              </w:rPr>
              <w:t>重大变动重新报批项目</w:t>
            </w:r>
          </w:p>
        </w:tc>
      </w:tr>
      <w:tr w14:paraId="3FC39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4" w:hRule="atLeast"/>
          <w:jc w:val="center"/>
        </w:trPr>
        <w:tc>
          <w:tcPr>
            <w:tcW w:w="1123" w:type="pct"/>
            <w:gridSpan w:val="2"/>
            <w:vAlign w:val="center"/>
          </w:tcPr>
          <w:p w14:paraId="00FBB9AF">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项目审批（核准/备案）部门（选填）</w:t>
            </w:r>
          </w:p>
        </w:tc>
        <w:tc>
          <w:tcPr>
            <w:tcW w:w="1064" w:type="pct"/>
            <w:vAlign w:val="center"/>
          </w:tcPr>
          <w:p w14:paraId="283C70AB">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p>
        </w:tc>
        <w:tc>
          <w:tcPr>
            <w:tcW w:w="972" w:type="pct"/>
            <w:gridSpan w:val="2"/>
            <w:vAlign w:val="center"/>
          </w:tcPr>
          <w:p w14:paraId="61025E61">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项目审批（核准/备案）文号（选填）</w:t>
            </w:r>
          </w:p>
        </w:tc>
        <w:tc>
          <w:tcPr>
            <w:tcW w:w="1839" w:type="pct"/>
            <w:gridSpan w:val="2"/>
            <w:vAlign w:val="center"/>
          </w:tcPr>
          <w:p w14:paraId="57A3FB14">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p>
        </w:tc>
      </w:tr>
      <w:tr w14:paraId="4BCAA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jc w:val="center"/>
        </w:trPr>
        <w:tc>
          <w:tcPr>
            <w:tcW w:w="1123" w:type="pct"/>
            <w:gridSpan w:val="2"/>
            <w:vAlign w:val="center"/>
          </w:tcPr>
          <w:p w14:paraId="0A4E5AF2">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总投资（万元）</w:t>
            </w:r>
          </w:p>
        </w:tc>
        <w:tc>
          <w:tcPr>
            <w:tcW w:w="1064" w:type="pct"/>
            <w:vAlign w:val="center"/>
          </w:tcPr>
          <w:p w14:paraId="3760F6E8">
            <w:pPr>
              <w:pStyle w:val="57"/>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4"/>
                <w:highlight w:val="none"/>
                <w:lang w:val="en-US" w:eastAsia="zh-CN"/>
              </w:rPr>
            </w:pPr>
            <w:r>
              <w:rPr>
                <w:rFonts w:hint="eastAsia" w:cs="Times New Roman"/>
                <w:color w:val="auto"/>
                <w:lang w:val="en-US" w:eastAsia="zh-CN"/>
              </w:rPr>
              <w:t>770</w:t>
            </w:r>
          </w:p>
        </w:tc>
        <w:tc>
          <w:tcPr>
            <w:tcW w:w="972" w:type="pct"/>
            <w:gridSpan w:val="2"/>
            <w:vAlign w:val="center"/>
          </w:tcPr>
          <w:p w14:paraId="60B5E3E8">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w:t>
            </w:r>
          </w:p>
          <w:p w14:paraId="6AD28090">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（万元）</w:t>
            </w:r>
          </w:p>
        </w:tc>
        <w:tc>
          <w:tcPr>
            <w:tcW w:w="1839" w:type="pct"/>
            <w:gridSpan w:val="2"/>
            <w:vAlign w:val="center"/>
          </w:tcPr>
          <w:p w14:paraId="79D5A0F0">
            <w:pPr>
              <w:pStyle w:val="57"/>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50</w:t>
            </w:r>
          </w:p>
        </w:tc>
      </w:tr>
      <w:tr w14:paraId="11B8F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1123" w:type="pct"/>
            <w:gridSpan w:val="2"/>
            <w:vAlign w:val="center"/>
          </w:tcPr>
          <w:p w14:paraId="6B5C297A">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环保投资占比（%）</w:t>
            </w:r>
          </w:p>
        </w:tc>
        <w:tc>
          <w:tcPr>
            <w:tcW w:w="1064" w:type="pct"/>
            <w:vAlign w:val="center"/>
          </w:tcPr>
          <w:p w14:paraId="15A58C3B">
            <w:pPr>
              <w:pStyle w:val="57"/>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6.49</w:t>
            </w:r>
          </w:p>
        </w:tc>
        <w:tc>
          <w:tcPr>
            <w:tcW w:w="972" w:type="pct"/>
            <w:gridSpan w:val="2"/>
            <w:vAlign w:val="center"/>
          </w:tcPr>
          <w:p w14:paraId="13223127">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施工工期</w:t>
            </w:r>
          </w:p>
        </w:tc>
        <w:tc>
          <w:tcPr>
            <w:tcW w:w="1839" w:type="pct"/>
            <w:gridSpan w:val="2"/>
            <w:vAlign w:val="center"/>
          </w:tcPr>
          <w:p w14:paraId="7D26129C">
            <w:pPr>
              <w:pStyle w:val="57"/>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lang w:eastAsia="zh-CN"/>
              </w:rPr>
              <w:t>个月</w:t>
            </w:r>
          </w:p>
        </w:tc>
      </w:tr>
      <w:tr w14:paraId="7B81D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5" w:hRule="atLeast"/>
          <w:jc w:val="center"/>
        </w:trPr>
        <w:tc>
          <w:tcPr>
            <w:tcW w:w="1123" w:type="pct"/>
            <w:gridSpan w:val="2"/>
            <w:vAlign w:val="center"/>
          </w:tcPr>
          <w:p w14:paraId="0AFBBBE5">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是否开工建设</w:t>
            </w:r>
          </w:p>
        </w:tc>
        <w:tc>
          <w:tcPr>
            <w:tcW w:w="1064" w:type="pct"/>
            <w:vAlign w:val="center"/>
          </w:tcPr>
          <w:p w14:paraId="483A14BF">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52"/>
            </w:r>
            <w:r>
              <w:rPr>
                <w:rFonts w:hint="default" w:ascii="Times New Roman" w:hAnsi="Times New Roman" w:eastAsia="宋体" w:cs="Times New Roman"/>
                <w:color w:val="auto"/>
                <w:highlight w:val="none"/>
              </w:rPr>
              <w:t>否</w:t>
            </w:r>
          </w:p>
          <w:p w14:paraId="055B30CE">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outlineLvl w:val="9"/>
              <w:rPr>
                <w:rFonts w:hint="default" w:ascii="Times New Roman" w:hAnsi="Times New Roman" w:cs="Times New Roman"/>
                <w:color w:val="auto"/>
                <w:highlight w:val="none"/>
                <w:u w:val="single"/>
              </w:rPr>
            </w:pPr>
            <w:r>
              <w:rPr>
                <w:rFonts w:hint="default" w:ascii="Times New Roman" w:hAnsi="Times New Roman" w:eastAsia="宋体" w:cs="Times New Roman"/>
                <w:color w:val="auto"/>
                <w:highlight w:val="none"/>
              </w:rPr>
              <w:sym w:font="Wingdings 2" w:char="00A3"/>
            </w:r>
            <w:r>
              <w:rPr>
                <w:rFonts w:hint="default" w:ascii="Times New Roman" w:hAnsi="Times New Roman" w:eastAsia="宋体" w:cs="Times New Roman"/>
                <w:color w:val="auto"/>
                <w:highlight w:val="none"/>
              </w:rPr>
              <w:t>是：</w:t>
            </w:r>
          </w:p>
        </w:tc>
        <w:tc>
          <w:tcPr>
            <w:tcW w:w="972" w:type="pct"/>
            <w:gridSpan w:val="2"/>
            <w:vAlign w:val="center"/>
          </w:tcPr>
          <w:p w14:paraId="13080183">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用地（用海）面积（m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w:t>
            </w:r>
          </w:p>
        </w:tc>
        <w:tc>
          <w:tcPr>
            <w:tcW w:w="1839" w:type="pct"/>
            <w:gridSpan w:val="2"/>
            <w:vAlign w:val="center"/>
          </w:tcPr>
          <w:p w14:paraId="203AA239">
            <w:pPr>
              <w:pStyle w:val="57"/>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4687.2</w:t>
            </w:r>
          </w:p>
        </w:tc>
      </w:tr>
      <w:tr w14:paraId="74495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23" w:type="pct"/>
            <w:gridSpan w:val="2"/>
            <w:vAlign w:val="center"/>
          </w:tcPr>
          <w:p w14:paraId="23F1BB48">
            <w:pPr>
              <w:pStyle w:val="57"/>
              <w:pageBreakBefore w:val="0"/>
              <w:wordWrap w:val="0"/>
              <w:overflowPunct/>
              <w:bidi w:val="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专项评价设置情况</w:t>
            </w:r>
          </w:p>
        </w:tc>
        <w:tc>
          <w:tcPr>
            <w:tcW w:w="3876" w:type="pct"/>
            <w:gridSpan w:val="5"/>
            <w:vAlign w:val="center"/>
          </w:tcPr>
          <w:p w14:paraId="22569845">
            <w:pPr>
              <w:pStyle w:val="57"/>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2"/>
                <w:highlight w:val="none"/>
                <w:lang w:val="en-US" w:eastAsia="zh-CN"/>
              </w:rPr>
            </w:pPr>
            <w:r>
              <w:rPr>
                <w:rFonts w:hint="default" w:ascii="Times New Roman" w:hAnsi="Times New Roman" w:cs="Times New Roman"/>
                <w:color w:val="auto"/>
                <w:sz w:val="24"/>
                <w:szCs w:val="22"/>
                <w:highlight w:val="none"/>
                <w:lang w:val="en-US" w:eastAsia="zh-CN"/>
              </w:rPr>
              <w:t>无</w:t>
            </w:r>
          </w:p>
        </w:tc>
      </w:tr>
      <w:tr w14:paraId="03254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7" w:hRule="atLeast"/>
          <w:jc w:val="center"/>
        </w:trPr>
        <w:tc>
          <w:tcPr>
            <w:tcW w:w="1123" w:type="pct"/>
            <w:gridSpan w:val="2"/>
            <w:vAlign w:val="center"/>
          </w:tcPr>
          <w:p w14:paraId="4256B736">
            <w:pPr>
              <w:pStyle w:val="57"/>
              <w:pageBreakBefore w:val="0"/>
              <w:wordWrap w:val="0"/>
              <w:overflowPunct/>
              <w:bidi w:val="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规划情况</w:t>
            </w:r>
          </w:p>
        </w:tc>
        <w:tc>
          <w:tcPr>
            <w:tcW w:w="3876" w:type="pct"/>
            <w:gridSpan w:val="5"/>
            <w:vAlign w:val="center"/>
          </w:tcPr>
          <w:p w14:paraId="6B32CCBC">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《乐昌产业转移工业园控制性详细规划-城东地块论证报告调整后》，乐昌产业转移工业园管理委员会、广州博厦建筑设计研究院有限公司</w:t>
            </w:r>
          </w:p>
        </w:tc>
      </w:tr>
      <w:tr w14:paraId="6663A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23" w:type="pct"/>
            <w:gridSpan w:val="2"/>
            <w:vAlign w:val="center"/>
          </w:tcPr>
          <w:p w14:paraId="7EABC43A">
            <w:pPr>
              <w:pStyle w:val="57"/>
              <w:pageBreakBefore w:val="0"/>
              <w:wordWrap w:val="0"/>
              <w:overflowPunct/>
              <w:bidi w:val="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规划环境影响评价情况</w:t>
            </w:r>
          </w:p>
        </w:tc>
        <w:tc>
          <w:tcPr>
            <w:tcW w:w="3876" w:type="pct"/>
            <w:gridSpan w:val="5"/>
            <w:vAlign w:val="center"/>
          </w:tcPr>
          <w:p w14:paraId="0C719969">
            <w:pPr>
              <w:keepNext w:val="0"/>
              <w:keepLines w:val="0"/>
              <w:pageBreakBefore w:val="0"/>
              <w:numPr>
                <w:ilvl w:val="0"/>
                <w:numId w:val="0"/>
              </w:numPr>
              <w:tabs>
                <w:tab w:val="left" w:pos="0"/>
              </w:tabs>
              <w:kinsoku/>
              <w:wordWrap w:val="0"/>
              <w:overflowPunct/>
              <w:topLinePunct w:val="0"/>
              <w:bidi w:val="0"/>
              <w:adjustRightInd/>
              <w:snapToGrid/>
              <w:spacing w:line="420" w:lineRule="exact"/>
              <w:ind w:firstLine="476" w:firstLineChars="200"/>
              <w:jc w:val="left"/>
              <w:outlineLvl w:val="9"/>
              <w:rPr>
                <w:rFonts w:hint="default" w:ascii="Times New Roman" w:hAnsi="Times New Roman" w:cs="Times New Roman"/>
                <w:color w:val="auto"/>
                <w:sz w:val="24"/>
                <w:szCs w:val="22"/>
                <w:highlight w:val="none"/>
              </w:rPr>
            </w:pPr>
            <w:r>
              <w:rPr>
                <w:rFonts w:hint="default" w:ascii="Times New Roman" w:hAnsi="Times New Roman" w:eastAsia="宋体" w:cs="Times New Roman"/>
                <w:color w:val="auto"/>
                <w:spacing w:val="-1"/>
                <w:sz w:val="24"/>
                <w:szCs w:val="24"/>
                <w:highlight w:val="none"/>
              </w:rPr>
              <w:t>《广东乐昌经济开发区区位调整规划环境影响报告书》，</w:t>
            </w:r>
            <w:r>
              <w:rPr>
                <w:rFonts w:hint="default" w:ascii="Times New Roman" w:hAnsi="Times New Roman" w:eastAsia="宋体" w:cs="Times New Roman"/>
                <w:color w:val="auto"/>
                <w:spacing w:val="-1"/>
                <w:sz w:val="24"/>
                <w:szCs w:val="24"/>
                <w:highlight w:val="none"/>
                <w:lang w:eastAsia="zh-CN"/>
              </w:rPr>
              <w:t>审查单位：</w:t>
            </w:r>
            <w:r>
              <w:rPr>
                <w:rFonts w:hint="default" w:ascii="Times New Roman" w:hAnsi="Times New Roman" w:eastAsia="宋体" w:cs="Times New Roman"/>
                <w:color w:val="auto"/>
                <w:spacing w:val="-1"/>
                <w:sz w:val="24"/>
                <w:szCs w:val="24"/>
                <w:highlight w:val="none"/>
              </w:rPr>
              <w:t>广东省环保厅，</w:t>
            </w:r>
            <w:r>
              <w:rPr>
                <w:rFonts w:hint="eastAsia" w:cs="Times New Roman"/>
                <w:color w:val="auto"/>
                <w:spacing w:val="-1"/>
                <w:sz w:val="24"/>
                <w:szCs w:val="24"/>
                <w:highlight w:val="none"/>
                <w:lang w:val="en-US" w:eastAsia="zh-CN"/>
              </w:rPr>
              <w:t>审查文件：</w:t>
            </w:r>
            <w:r>
              <w:rPr>
                <w:rFonts w:hint="default" w:ascii="Times New Roman" w:hAnsi="Times New Roman" w:eastAsia="宋体" w:cs="Times New Roman"/>
                <w:color w:val="auto"/>
                <w:spacing w:val="-1"/>
                <w:sz w:val="24"/>
                <w:szCs w:val="24"/>
                <w:highlight w:val="none"/>
              </w:rPr>
              <w:t>广东省环保厅关于印发《广东乐昌经济开发区区位调整规划环境影响报告书审查小组意见》的函（粤环函</w:t>
            </w:r>
            <w:r>
              <w:rPr>
                <w:rFonts w:hint="default" w:ascii="Times New Roman" w:hAnsi="Times New Roman" w:eastAsia="宋体"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rPr>
              <w:t>2016</w:t>
            </w:r>
            <w:r>
              <w:rPr>
                <w:rFonts w:hint="default" w:ascii="Times New Roman" w:hAnsi="Times New Roman" w:eastAsia="宋体"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rPr>
              <w:t>186号）</w:t>
            </w:r>
          </w:p>
        </w:tc>
      </w:tr>
      <w:tr w14:paraId="6AA55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3" w:hRule="atLeast"/>
          <w:jc w:val="center"/>
        </w:trPr>
        <w:tc>
          <w:tcPr>
            <w:tcW w:w="1123" w:type="pct"/>
            <w:gridSpan w:val="2"/>
            <w:vAlign w:val="center"/>
          </w:tcPr>
          <w:p w14:paraId="0DB984A1">
            <w:pPr>
              <w:pStyle w:val="57"/>
              <w:pageBreakBefore w:val="0"/>
              <w:wordWrap w:val="0"/>
              <w:overflowPunct/>
              <w:bidi w:val="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规划及规划环境影响评价符合性分析</w:t>
            </w:r>
          </w:p>
        </w:tc>
        <w:tc>
          <w:tcPr>
            <w:tcW w:w="3876" w:type="pct"/>
            <w:gridSpan w:val="5"/>
            <w:vAlign w:val="center"/>
          </w:tcPr>
          <w:p w14:paraId="48543C5B">
            <w:pPr>
              <w:keepNext w:val="0"/>
              <w:keepLines w:val="0"/>
              <w:pageBreakBefore w:val="0"/>
              <w:numPr>
                <w:ilvl w:val="0"/>
                <w:numId w:val="0"/>
              </w:numPr>
              <w:tabs>
                <w:tab w:val="left" w:pos="0"/>
              </w:tabs>
              <w:kinsoku/>
              <w:wordWrap w:val="0"/>
              <w:overflowPunct/>
              <w:topLinePunct w:val="0"/>
              <w:bidi w:val="0"/>
              <w:adjustRightInd/>
              <w:snapToGrid/>
              <w:spacing w:line="420" w:lineRule="exact"/>
              <w:ind w:firstLine="476" w:firstLineChars="200"/>
              <w:jc w:val="left"/>
              <w:outlineLvl w:val="9"/>
              <w:rPr>
                <w:rFonts w:hint="default" w:ascii="Times New Roman" w:hAnsi="Times New Roman" w:eastAsia="宋体" w:cs="Times New Roman"/>
                <w:color w:val="auto"/>
                <w:spacing w:val="-1"/>
                <w:sz w:val="24"/>
                <w:szCs w:val="24"/>
                <w:highlight w:val="none"/>
              </w:rPr>
            </w:pPr>
            <w:bookmarkStart w:id="2" w:name="_Toc9596"/>
            <w:bookmarkStart w:id="3" w:name="_Toc24148"/>
            <w:r>
              <w:rPr>
                <w:rFonts w:hint="default" w:ascii="Times New Roman" w:hAnsi="Times New Roman" w:eastAsia="宋体" w:cs="Times New Roman"/>
                <w:color w:val="auto"/>
                <w:spacing w:val="-1"/>
                <w:sz w:val="24"/>
                <w:szCs w:val="24"/>
                <w:highlight w:val="none"/>
              </w:rPr>
              <w:t>根据《广东乐昌经济开发区区位调整规划环境影响报告书》及其审查意见，新引入企业不得包括《产业结构调整指导目录》（2011年本，2013年修订）、《广东省生态发展区产业发展指导目录（2014年本）》限制类和禁止类行业、工艺设备、产品。根据规划的主导产业类型和清洁生产要求，重点发展机械、电子、纺织产业，优先引进无污染物或轻污染项目，严禁引入电镀、化学制浆、漂染、鞣革等水污染物排放量大或排放一类水污染物、</w:t>
            </w:r>
            <w:r>
              <w:rPr>
                <w:rFonts w:hint="default" w:ascii="Times New Roman" w:hAnsi="Times New Roman" w:eastAsia="宋体" w:cs="Times New Roman"/>
                <w:color w:val="auto"/>
                <w:spacing w:val="-1"/>
                <w:sz w:val="24"/>
                <w:szCs w:val="24"/>
                <w:highlight w:val="none"/>
                <w:lang w:eastAsia="zh-CN"/>
              </w:rPr>
              <w:t>持</w:t>
            </w:r>
            <w:r>
              <w:rPr>
                <w:rFonts w:hint="default" w:ascii="Times New Roman" w:hAnsi="Times New Roman" w:eastAsia="宋体" w:cs="Times New Roman"/>
                <w:color w:val="auto"/>
                <w:spacing w:val="-1"/>
                <w:sz w:val="24"/>
                <w:szCs w:val="24"/>
                <w:highlight w:val="none"/>
              </w:rPr>
              <w:t>久性有机污染物的项目。</w:t>
            </w:r>
            <w:bookmarkEnd w:id="2"/>
            <w:bookmarkEnd w:id="3"/>
          </w:p>
          <w:p w14:paraId="20F9438F">
            <w:pPr>
              <w:pStyle w:val="57"/>
              <w:keepNext w:val="0"/>
              <w:keepLines w:val="0"/>
              <w:pageBreakBefore w:val="0"/>
              <w:kinsoku/>
              <w:wordWrap w:val="0"/>
              <w:overflowPunct/>
              <w:topLinePunct w:val="0"/>
              <w:bidi w:val="0"/>
              <w:adjustRightInd/>
              <w:snapToGrid/>
              <w:spacing w:line="360" w:lineRule="auto"/>
              <w:ind w:firstLine="476" w:firstLineChars="200"/>
              <w:jc w:val="left"/>
              <w:outlineLvl w:val="9"/>
              <w:rPr>
                <w:rFonts w:hint="default" w:ascii="Times New Roman" w:hAnsi="Times New Roman" w:cs="Times New Roman"/>
                <w:color w:val="auto"/>
                <w:sz w:val="24"/>
                <w:szCs w:val="22"/>
                <w:highlight w:val="none"/>
              </w:rPr>
            </w:pPr>
            <w:r>
              <w:rPr>
                <w:rFonts w:hint="default" w:ascii="Times New Roman" w:hAnsi="Times New Roman" w:cs="Times New Roman"/>
                <w:color w:val="auto"/>
                <w:spacing w:val="-1"/>
                <w:sz w:val="24"/>
                <w:szCs w:val="24"/>
                <w:highlight w:val="none"/>
              </w:rPr>
              <w:t>本项目满足国家和地方相关产业政策，不排放一类污染物和有毒有害物质，不向河流排放含汞、砷、镉、铬、铅等重金属污染物和持久性有机污染物，不属于园区禁止项目，符合园区准入条件。</w:t>
            </w:r>
          </w:p>
        </w:tc>
      </w:tr>
      <w:tr w14:paraId="0104A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4" w:hRule="atLeast"/>
          <w:jc w:val="center"/>
        </w:trPr>
        <w:tc>
          <w:tcPr>
            <w:tcW w:w="249" w:type="pct"/>
            <w:vAlign w:val="center"/>
          </w:tcPr>
          <w:p w14:paraId="44070655">
            <w:pPr>
              <w:keepNext/>
              <w:keepLines w:val="0"/>
              <w:pageBreakBefore w:val="0"/>
              <w:widowControl/>
              <w:numPr>
                <w:ilvl w:val="1"/>
                <w:numId w:val="0"/>
              </w:numPr>
              <w:tabs>
                <w:tab w:val="left" w:pos="420"/>
              </w:tabs>
              <w:kinsoku/>
              <w:wordWrap w:val="0"/>
              <w:overflowPunct/>
              <w:topLinePunct w:val="0"/>
              <w:autoSpaceDE/>
              <w:autoSpaceDN/>
              <w:bidi w:val="0"/>
              <w:adjustRightInd/>
              <w:snapToGrid/>
              <w:textAlignment w:val="auto"/>
              <w:outlineLvl w:val="9"/>
              <w:rPr>
                <w:rFonts w:hint="default" w:ascii="Times New Roman" w:hAnsi="Times New Roman" w:cs="Times New Roman"/>
                <w:color w:val="auto"/>
                <w:highlight w:val="none"/>
              </w:rPr>
            </w:pPr>
            <w:bookmarkStart w:id="4" w:name="_Toc2999"/>
            <w:bookmarkStart w:id="5" w:name="_Toc22642"/>
            <w:bookmarkStart w:id="6" w:name="_Toc11884"/>
            <w:bookmarkStart w:id="7" w:name="_Toc28749"/>
            <w:bookmarkStart w:id="8" w:name="_Toc27052"/>
            <w:r>
              <w:rPr>
                <w:rFonts w:hint="default" w:ascii="Times New Roman" w:hAnsi="Times New Roman" w:cs="Times New Roman"/>
                <w:color w:val="auto"/>
                <w:highlight w:val="none"/>
              </w:rPr>
              <w:t>其他符合性分析</w:t>
            </w:r>
            <w:bookmarkEnd w:id="4"/>
            <w:bookmarkEnd w:id="5"/>
            <w:bookmarkEnd w:id="6"/>
            <w:bookmarkEnd w:id="7"/>
            <w:bookmarkEnd w:id="8"/>
          </w:p>
        </w:tc>
        <w:tc>
          <w:tcPr>
            <w:tcW w:w="4750" w:type="pct"/>
            <w:gridSpan w:val="6"/>
            <w:vAlign w:val="center"/>
          </w:tcPr>
          <w:p w14:paraId="70F174EF">
            <w:pPr>
              <w:keepNext/>
              <w:keepLines/>
              <w:pageBreakBefore w:val="0"/>
              <w:tabs>
                <w:tab w:val="left" w:pos="0"/>
              </w:tabs>
              <w:wordWrap w:val="0"/>
              <w:overflowPunct/>
              <w:bidi w:val="0"/>
              <w:ind w:left="-2" w:firstLine="480" w:firstLineChars="20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一、产业政策相符性分析</w:t>
            </w:r>
          </w:p>
          <w:p w14:paraId="5EDB9997">
            <w:pPr>
              <w:keepNext/>
              <w:keepLines/>
              <w:pageBreakBefore w:val="0"/>
              <w:tabs>
                <w:tab w:val="left" w:pos="0"/>
              </w:tabs>
              <w:wordWrap w:val="0"/>
              <w:overflowPunct/>
              <w:bidi w:val="0"/>
              <w:ind w:firstLine="480" w:firstLineChars="200"/>
              <w:outlineLvl w:val="2"/>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本项目所属行业类别为</w:t>
            </w:r>
            <w:r>
              <w:rPr>
                <w:rFonts w:hint="default" w:ascii="Times New Roman" w:hAnsi="Times New Roman" w:cs="Times New Roman"/>
                <w:color w:val="auto"/>
                <w:highlight w:val="none"/>
                <w:lang w:eastAsia="zh-CN"/>
              </w:rPr>
              <w:t>C2929 塑料零件及其他塑料制品制造</w:t>
            </w:r>
            <w:r>
              <w:rPr>
                <w:rFonts w:hint="default" w:ascii="Times New Roman" w:hAnsi="Times New Roman" w:cs="Times New Roman"/>
                <w:color w:val="auto"/>
                <w:highlight w:val="none"/>
              </w:rPr>
              <w:t>，根据《产业结构调整指导目录（2024年本）》（国家发展和改革委员会令 第7号），本项目不属于指导目录中的鼓励类、限制类和淘汰类产业，符合国家有关法律、法规和政策规定，属于允许类。</w:t>
            </w:r>
          </w:p>
          <w:p w14:paraId="08D3208E">
            <w:pPr>
              <w:pStyle w:val="20"/>
              <w:pageBreakBefore w:val="0"/>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根据《国家发展改革委商务部关于印发</w:t>
            </w:r>
            <w:r>
              <w:rPr>
                <w:rFonts w:hint="eastAsia" w:cs="Times New Roman"/>
                <w:color w:val="auto"/>
                <w:kern w:val="0"/>
                <w:highlight w:val="none"/>
                <w:lang w:eastAsia="zh-CN" w:bidi="ar"/>
              </w:rPr>
              <w:t>〈</w:t>
            </w:r>
            <w:r>
              <w:rPr>
                <w:rFonts w:hint="default" w:ascii="Times New Roman" w:hAnsi="Times New Roman" w:cs="Times New Roman"/>
                <w:color w:val="auto"/>
                <w:kern w:val="0"/>
                <w:highlight w:val="none"/>
                <w:lang w:bidi="ar"/>
              </w:rPr>
              <w:t>市场准入负面清单（2022年版）</w:t>
            </w:r>
            <w:r>
              <w:rPr>
                <w:rFonts w:hint="eastAsia" w:cs="Times New Roman"/>
                <w:color w:val="auto"/>
                <w:kern w:val="0"/>
                <w:highlight w:val="none"/>
                <w:lang w:eastAsia="zh-CN" w:bidi="ar"/>
              </w:rPr>
              <w:t>〉</w:t>
            </w:r>
            <w:r>
              <w:rPr>
                <w:rFonts w:hint="default" w:ascii="Times New Roman" w:hAnsi="Times New Roman" w:cs="Times New Roman"/>
                <w:color w:val="auto"/>
                <w:kern w:val="0"/>
                <w:highlight w:val="none"/>
                <w:lang w:bidi="ar"/>
              </w:rPr>
              <w:t>的通知》（发改体改规〔2022〕397号）</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color w:val="auto"/>
                <w:kern w:val="0"/>
                <w:highlight w:val="none"/>
                <w:lang w:bidi="ar"/>
              </w:rPr>
              <w:t>《广东省国家重点生态功能区产业准入负面清单（试行）》（粤发改规划</w:t>
            </w:r>
            <w:r>
              <w:rPr>
                <w:rFonts w:hint="eastAsia" w:cs="Times New Roman"/>
                <w:color w:val="auto"/>
                <w:kern w:val="0"/>
                <w:highlight w:val="none"/>
                <w:lang w:eastAsia="zh-CN" w:bidi="ar"/>
              </w:rPr>
              <w:t>〔2017〕331号</w:t>
            </w:r>
            <w:r>
              <w:rPr>
                <w:rFonts w:hint="default" w:ascii="Times New Roman" w:hAnsi="Times New Roman" w:cs="Times New Roman"/>
                <w:color w:val="auto"/>
                <w:kern w:val="0"/>
                <w:highlight w:val="none"/>
                <w:lang w:bidi="ar"/>
              </w:rPr>
              <w:t>），</w:t>
            </w:r>
            <w:r>
              <w:rPr>
                <w:rFonts w:hint="default" w:ascii="Times New Roman" w:hAnsi="Times New Roman" w:cs="Times New Roman"/>
                <w:color w:val="auto"/>
                <w:kern w:val="0"/>
                <w:highlight w:val="none"/>
                <w:lang w:eastAsia="zh-CN" w:bidi="ar"/>
              </w:rPr>
              <w:t>项目</w:t>
            </w:r>
            <w:r>
              <w:rPr>
                <w:rFonts w:hint="default" w:ascii="Times New Roman" w:hAnsi="Times New Roman" w:cs="Times New Roman"/>
                <w:color w:val="auto"/>
                <w:kern w:val="0"/>
                <w:highlight w:val="none"/>
                <w:lang w:bidi="ar"/>
              </w:rPr>
              <w:t>不属于</w:t>
            </w:r>
            <w:r>
              <w:rPr>
                <w:rFonts w:hint="default" w:ascii="Times New Roman" w:hAnsi="Times New Roman" w:cs="Times New Roman"/>
                <w:color w:val="auto"/>
                <w:highlight w:val="none"/>
                <w:lang w:val="en-US" w:eastAsia="zh-CN"/>
              </w:rPr>
              <w:t>负面清单所列行业，也不属于许可准入事项</w:t>
            </w:r>
            <w:r>
              <w:rPr>
                <w:rFonts w:hint="default" w:ascii="Times New Roman" w:hAnsi="Times New Roman" w:cs="Times New Roman"/>
                <w:color w:val="auto"/>
                <w:kern w:val="0"/>
                <w:highlight w:val="none"/>
                <w:lang w:bidi="ar"/>
              </w:rPr>
              <w:t>。因此，本项目可依法进行建设和投产。</w:t>
            </w:r>
          </w:p>
          <w:p w14:paraId="722AA7D1">
            <w:pPr>
              <w:pageBreakBefore w:val="0"/>
              <w:wordWrap w:val="0"/>
              <w:overflowPunct/>
              <w:bidi w:val="0"/>
              <w:adjustRightInd w:val="0"/>
              <w:snapToGrid w:val="0"/>
              <w:ind w:firstLine="480" w:firstLineChars="200"/>
              <w:jc w:val="left"/>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二、与环境功能区划相符性分析</w:t>
            </w:r>
          </w:p>
          <w:p w14:paraId="2E49A602">
            <w:pPr>
              <w:pStyle w:val="20"/>
              <w:keepNext w:val="0"/>
              <w:keepLines w:val="0"/>
              <w:pageBreakBefore w:val="0"/>
              <w:widowControl w:val="0"/>
              <w:kinsoku/>
              <w:wordWrap w:val="0"/>
              <w:overflowPunct/>
              <w:topLinePunct w:val="0"/>
              <w:autoSpaceDE/>
              <w:autoSpaceDN/>
              <w:bidi w:val="0"/>
              <w:adjustRightInd/>
              <w:snapToGrid/>
              <w:ind w:firstLine="48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（1）根据《广东省人民政府关于印发</w:t>
            </w:r>
            <w:r>
              <w:rPr>
                <w:rFonts w:hint="eastAsia" w:cs="Times New Roman"/>
                <w:color w:val="auto"/>
                <w:kern w:val="0"/>
                <w:highlight w:val="none"/>
                <w:lang w:eastAsia="zh-CN"/>
              </w:rPr>
              <w:t>〈</w:t>
            </w:r>
            <w:r>
              <w:rPr>
                <w:rFonts w:hint="default" w:ascii="Times New Roman" w:hAnsi="Times New Roman" w:cs="Times New Roman"/>
                <w:color w:val="auto"/>
                <w:kern w:val="0"/>
                <w:highlight w:val="none"/>
              </w:rPr>
              <w:t>部分市乡镇集中式饮用水源保护区划分方案</w:t>
            </w:r>
            <w:r>
              <w:rPr>
                <w:rFonts w:hint="eastAsia" w:cs="Times New Roman"/>
                <w:color w:val="auto"/>
                <w:kern w:val="0"/>
                <w:highlight w:val="none"/>
                <w:lang w:eastAsia="zh-CN"/>
              </w:rPr>
              <w:t>〉</w:t>
            </w:r>
            <w:r>
              <w:rPr>
                <w:rFonts w:hint="default" w:ascii="Times New Roman" w:hAnsi="Times New Roman" w:cs="Times New Roman"/>
                <w:color w:val="auto"/>
                <w:kern w:val="0"/>
                <w:highlight w:val="none"/>
              </w:rPr>
              <w:t>的通知》（粤府函〔2015〕17号）及《广东省人民政府关于调整韶关市部分饮用水水源保护区的批复》（粤府函〔2018〕427号），项目所在地不属于韶关市一、二级水源保护区，符合</w:t>
            </w:r>
            <w:r>
              <w:rPr>
                <w:rFonts w:hint="default" w:ascii="Times New Roman" w:hAnsi="Times New Roman" w:cs="Times New Roman"/>
                <w:color w:val="auto"/>
                <w:highlight w:val="none"/>
              </w:rPr>
              <w:t>水污染防治条例</w:t>
            </w:r>
            <w:r>
              <w:rPr>
                <w:rFonts w:hint="default" w:ascii="Times New Roman" w:hAnsi="Times New Roman" w:cs="Times New Roman"/>
                <w:color w:val="auto"/>
                <w:kern w:val="0"/>
                <w:highlight w:val="none"/>
              </w:rPr>
              <w:t>的有关要求。</w:t>
            </w:r>
          </w:p>
          <w:p w14:paraId="357E70DB">
            <w:pPr>
              <w:pStyle w:val="20"/>
              <w:keepNext w:val="0"/>
              <w:keepLines w:val="0"/>
              <w:pageBreakBefore w:val="0"/>
              <w:widowControl w:val="0"/>
              <w:kinsoku/>
              <w:wordWrap w:val="0"/>
              <w:overflowPunct/>
              <w:topLinePunct w:val="0"/>
              <w:autoSpaceDE/>
              <w:autoSpaceDN/>
              <w:bidi w:val="0"/>
              <w:adjustRightInd/>
              <w:snapToGrid/>
              <w:ind w:firstLine="480" w:firstLineChars="200"/>
              <w:textAlignment w:val="auto"/>
              <w:rPr>
                <w:rFonts w:hint="eastAsia" w:ascii="Times New Roman" w:hAnsi="Times New Roman" w:eastAsia="宋体" w:cs="Times New Roman"/>
                <w:color w:val="auto"/>
                <w:kern w:val="0"/>
                <w:highlight w:val="none"/>
                <w:lang w:val="en-US" w:eastAsia="zh-CN"/>
              </w:rPr>
            </w:pPr>
            <w:r>
              <w:rPr>
                <w:rFonts w:hint="default" w:ascii="Times New Roman" w:hAnsi="Times New Roman" w:cs="Times New Roman"/>
                <w:color w:val="auto"/>
                <w:kern w:val="0"/>
                <w:highlight w:val="none"/>
              </w:rPr>
              <w:t>同时根据《广东省水利厅关于印发&lt;韶关市部分饮用水水源保护区调整方案&gt;的通知》（粤环函〔2024〕146号）可知，项目选址未处于各级饮用水水源保护区范围内。项目与最近饮用水水源保护区：韶关市区武江饮用水水源地准保护区距离约为</w:t>
            </w:r>
            <w:r>
              <w:rPr>
                <w:rFonts w:hint="eastAsia" w:cs="Times New Roman"/>
                <w:color w:val="auto"/>
                <w:kern w:val="0"/>
                <w:highlight w:val="none"/>
                <w:lang w:val="en-US" w:eastAsia="zh-CN"/>
              </w:rPr>
              <w:t>3500</w:t>
            </w:r>
            <w:r>
              <w:rPr>
                <w:rFonts w:hint="default" w:ascii="Times New Roman" w:hAnsi="Times New Roman" w:cs="Times New Roman"/>
                <w:color w:val="auto"/>
                <w:kern w:val="0"/>
                <w:highlight w:val="none"/>
              </w:rPr>
              <w:t>m</w:t>
            </w:r>
            <w:r>
              <w:rPr>
                <w:rFonts w:hint="eastAsia" w:cs="Times New Roman"/>
                <w:color w:val="auto"/>
                <w:kern w:val="0"/>
                <w:highlight w:val="none"/>
                <w:lang w:eastAsia="zh-CN"/>
              </w:rPr>
              <w:t>。</w:t>
            </w:r>
          </w:p>
          <w:p w14:paraId="0EBF2731">
            <w:pPr>
              <w:pageBreakBefore w:val="0"/>
              <w:widowControl/>
              <w:wordWrap w:val="0"/>
              <w:overflowPunct/>
              <w:bidi w:val="0"/>
              <w:ind w:firstLine="480" w:firstLineChars="200"/>
              <w:jc w:val="left"/>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（2）根据《乐昌市人民政府办公室关于印发</w:t>
            </w:r>
            <w:r>
              <w:rPr>
                <w:rFonts w:hint="eastAsia" w:cs="Times New Roman"/>
                <w:color w:val="auto"/>
                <w:kern w:val="0"/>
                <w:highlight w:val="none"/>
                <w:lang w:eastAsia="zh-CN"/>
              </w:rPr>
              <w:t>〈</w:t>
            </w:r>
            <w:r>
              <w:rPr>
                <w:rFonts w:hint="default" w:ascii="Times New Roman" w:hAnsi="Times New Roman" w:cs="Times New Roman"/>
                <w:color w:val="auto"/>
                <w:kern w:val="0"/>
                <w:highlight w:val="none"/>
              </w:rPr>
              <w:t>乐昌市生态环境保护“十四五”规划</w:t>
            </w:r>
            <w:r>
              <w:rPr>
                <w:rFonts w:hint="eastAsia" w:cs="Times New Roman"/>
                <w:color w:val="auto"/>
                <w:kern w:val="0"/>
                <w:highlight w:val="none"/>
                <w:lang w:eastAsia="zh-CN"/>
              </w:rPr>
              <w:t>〉</w:t>
            </w:r>
            <w:r>
              <w:rPr>
                <w:rFonts w:hint="default" w:ascii="Times New Roman" w:hAnsi="Times New Roman" w:cs="Times New Roman"/>
                <w:color w:val="auto"/>
                <w:kern w:val="0"/>
                <w:highlight w:val="none"/>
              </w:rPr>
              <w:t>的通知》（乐府办〔2022〕16号）中《乐昌市“十四五”生态环境保护规划大气环境功能区划图》，项目所在区域为环境空气质量二类功能区（详见附图</w:t>
            </w:r>
            <w:r>
              <w:rPr>
                <w:rFonts w:hint="default" w:ascii="Times New Roman" w:hAnsi="Times New Roman" w:cs="Times New Roman"/>
                <w:color w:val="auto"/>
                <w:kern w:val="0"/>
                <w:highlight w:val="none"/>
                <w:lang w:val="en-US" w:eastAsia="zh-CN"/>
              </w:rPr>
              <w:t>8</w:t>
            </w:r>
            <w:r>
              <w:rPr>
                <w:rFonts w:hint="default" w:ascii="Times New Roman" w:hAnsi="Times New Roman" w:cs="Times New Roman"/>
                <w:color w:val="auto"/>
                <w:kern w:val="0"/>
                <w:highlight w:val="none"/>
              </w:rPr>
              <w:t>），</w:t>
            </w:r>
            <w:r>
              <w:rPr>
                <w:rFonts w:hint="default" w:ascii="Times New Roman" w:hAnsi="Times New Roman" w:cs="Times New Roman"/>
                <w:color w:val="auto"/>
                <w:kern w:val="0"/>
                <w:highlight w:val="none"/>
                <w:lang w:bidi="ar"/>
              </w:rPr>
              <w:t>不属于环境空气质量一类功能区中的自然保护区风景名胜区和</w:t>
            </w:r>
            <w:r>
              <w:rPr>
                <w:rFonts w:hint="default" w:ascii="Times New Roman" w:hAnsi="Times New Roman" w:cs="Times New Roman"/>
                <w:color w:val="auto"/>
                <w:kern w:val="0"/>
                <w:highlight w:val="none"/>
                <w:lang w:eastAsia="zh-CN" w:bidi="ar"/>
              </w:rPr>
              <w:t>其他需要</w:t>
            </w:r>
            <w:r>
              <w:rPr>
                <w:rFonts w:hint="default" w:ascii="Times New Roman" w:hAnsi="Times New Roman" w:cs="Times New Roman"/>
                <w:color w:val="auto"/>
                <w:kern w:val="0"/>
                <w:highlight w:val="none"/>
                <w:lang w:bidi="ar"/>
              </w:rPr>
              <w:t>特殊保护的区域</w:t>
            </w:r>
            <w:r>
              <w:rPr>
                <w:rFonts w:hint="default" w:ascii="Times New Roman" w:hAnsi="Times New Roman" w:cs="Times New Roman"/>
                <w:color w:val="auto"/>
                <w:kern w:val="0"/>
                <w:highlight w:val="none"/>
              </w:rPr>
              <w:t>。</w:t>
            </w:r>
          </w:p>
          <w:p w14:paraId="75C5C526">
            <w:pPr>
              <w:pageBreakBefore w:val="0"/>
              <w:wordWrap w:val="0"/>
              <w:overflowPunct/>
              <w:bidi w:val="0"/>
              <w:adjustRightInd w:val="0"/>
              <w:snapToGrid w:val="0"/>
              <w:ind w:firstLine="480" w:firstLineChars="200"/>
              <w:jc w:val="left"/>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（3）根据《乐昌产业转移工业园控制性详细规划-城东地块论证报告调整后》及不动产权证，项目所在地位为工业用地，项目所在区域为声环境3类区，不属于声环境1类区。</w:t>
            </w:r>
          </w:p>
          <w:p w14:paraId="0B5017AF">
            <w:pPr>
              <w:pageBreakBefore w:val="0"/>
              <w:wordWrap w:val="0"/>
              <w:overflowPunct/>
              <w:bidi w:val="0"/>
              <w:adjustRightInd w:val="0"/>
              <w:snapToGrid w:val="0"/>
              <w:ind w:firstLine="480" w:firstLineChars="200"/>
              <w:jc w:val="left"/>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三、与城市规划相符性分析</w:t>
            </w:r>
          </w:p>
          <w:p w14:paraId="5E6B54F7">
            <w:pPr>
              <w:pageBreakBefore w:val="0"/>
              <w:wordWrap w:val="0"/>
              <w:overflowPunct/>
              <w:bidi w:val="0"/>
              <w:adjustRightInd w:val="0"/>
              <w:snapToGrid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项目位于</w:t>
            </w:r>
            <w:r>
              <w:rPr>
                <w:rFonts w:hint="eastAsia" w:cs="Times New Roman"/>
                <w:color w:val="auto"/>
                <w:kern w:val="0"/>
                <w:highlight w:val="none"/>
                <w:lang w:eastAsia="zh-CN"/>
              </w:rPr>
              <w:t>韶关市乐昌市廊田镇乐昌市乐昌产业转移工业园金岭四路7号（广东乐昌经济开发区）</w:t>
            </w:r>
            <w:r>
              <w:rPr>
                <w:rFonts w:hint="default" w:ascii="Times New Roman" w:hAnsi="Times New Roman" w:cs="Times New Roman"/>
                <w:color w:val="auto"/>
                <w:kern w:val="0"/>
                <w:highlight w:val="none"/>
              </w:rPr>
              <w:t>，根据《乐昌产业转移工业园控制性详细规划-城东地块论证报告调整后》，项目所在地为工业用地，项目所在地没有占用基本农业用地和林地，符合韶关市城市建设和环境功能区规划的要求，且具有水、电等供应保障，交通便利等条件。项目周围没有风景名胜区、生态脆弱带等。故项目选址是合理的。</w:t>
            </w:r>
            <w:bookmarkStart w:id="9" w:name="_Toc459880767"/>
          </w:p>
          <w:bookmarkEnd w:id="9"/>
          <w:p w14:paraId="7ACE3F59">
            <w:pPr>
              <w:keepNext/>
              <w:keepLines/>
              <w:pageBreakBefore w:val="0"/>
              <w:tabs>
                <w:tab w:val="left" w:pos="0"/>
              </w:tabs>
              <w:wordWrap w:val="0"/>
              <w:overflowPunct/>
              <w:bidi w:val="0"/>
              <w:ind w:left="-2" w:firstLine="480" w:firstLineChars="20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四、与《</w:t>
            </w:r>
            <w:r>
              <w:rPr>
                <w:rFonts w:hint="default" w:ascii="Times New Roman" w:hAnsi="Times New Roman" w:cs="Times New Roman"/>
                <w:b/>
                <w:bCs/>
                <w:color w:val="auto"/>
                <w:szCs w:val="28"/>
                <w:highlight w:val="none"/>
              </w:rPr>
              <w:t>工业和信息化部发布</w:t>
            </w:r>
            <w:r>
              <w:rPr>
                <w:rFonts w:hint="eastAsia" w:cs="Times New Roman"/>
                <w:b/>
                <w:bCs/>
                <w:color w:val="auto"/>
                <w:szCs w:val="28"/>
                <w:highlight w:val="none"/>
                <w:lang w:eastAsia="zh-CN"/>
              </w:rPr>
              <w:t>〈</w:t>
            </w:r>
            <w:r>
              <w:rPr>
                <w:rFonts w:hint="default" w:ascii="Times New Roman" w:hAnsi="Times New Roman" w:cs="Times New Roman"/>
                <w:b/>
                <w:bCs/>
                <w:color w:val="auto"/>
                <w:szCs w:val="28"/>
                <w:highlight w:val="none"/>
              </w:rPr>
              <w:t>限期淘汰产生严重污染环境的工业固体废物的落后生产工艺设备名录</w:t>
            </w:r>
            <w:r>
              <w:rPr>
                <w:rFonts w:hint="eastAsia" w:cs="Times New Roman"/>
                <w:b/>
                <w:bCs/>
                <w:color w:val="auto"/>
                <w:szCs w:val="28"/>
                <w:highlight w:val="none"/>
                <w:lang w:eastAsia="zh-CN"/>
              </w:rPr>
              <w:t>〉</w:t>
            </w:r>
            <w:r>
              <w:rPr>
                <w:rFonts w:hint="default" w:ascii="Times New Roman" w:hAnsi="Times New Roman" w:cs="Times New Roman"/>
                <w:b/>
                <w:bCs/>
                <w:color w:val="auto"/>
                <w:szCs w:val="28"/>
                <w:highlight w:val="none"/>
              </w:rPr>
              <w:t>公告》（中华人民共和国工业和信息化部公告 2021年第25号）相符性分析</w:t>
            </w:r>
          </w:p>
          <w:p w14:paraId="1E8A812F">
            <w:pPr>
              <w:pStyle w:val="43"/>
              <w:pageBreakBefore w:val="0"/>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Cs w:val="28"/>
                <w:highlight w:val="none"/>
              </w:rPr>
              <w:t>本项目所用生产工艺及设备不属于《限期淘汰产生严重污染环境的工业固体废物的落后生产工艺设备名录》中限期淘汰的落后生产工艺设备，故与《工业和信息化部发布</w:t>
            </w:r>
            <w:r>
              <w:rPr>
                <w:rFonts w:hint="eastAsia" w:ascii="Times New Roman" w:cs="Times New Roman"/>
                <w:color w:val="auto"/>
                <w:szCs w:val="28"/>
                <w:highlight w:val="none"/>
                <w:lang w:eastAsia="zh-CN"/>
              </w:rPr>
              <w:t>〈</w:t>
            </w:r>
            <w:r>
              <w:rPr>
                <w:rFonts w:hint="default" w:ascii="Times New Roman" w:hAnsi="Times New Roman" w:cs="Times New Roman"/>
                <w:color w:val="auto"/>
                <w:szCs w:val="28"/>
                <w:highlight w:val="none"/>
              </w:rPr>
              <w:t>限期淘汰产生严重污染环境的工业固体废物的落后生产工艺设备名录</w:t>
            </w:r>
            <w:r>
              <w:rPr>
                <w:rFonts w:hint="eastAsia" w:ascii="Times New Roman" w:cs="Times New Roman"/>
                <w:color w:val="auto"/>
                <w:szCs w:val="28"/>
                <w:highlight w:val="none"/>
                <w:lang w:eastAsia="zh-CN"/>
              </w:rPr>
              <w:t>〉</w:t>
            </w:r>
            <w:r>
              <w:rPr>
                <w:rFonts w:hint="default" w:ascii="Times New Roman" w:hAnsi="Times New Roman" w:cs="Times New Roman"/>
                <w:color w:val="auto"/>
                <w:szCs w:val="28"/>
                <w:highlight w:val="none"/>
              </w:rPr>
              <w:t>公告》（中华人民共和国工业和信息化部公告 2021年第25号）相符。</w:t>
            </w:r>
          </w:p>
          <w:p w14:paraId="70D4A1A8">
            <w:pPr>
              <w:keepNext/>
              <w:keepLines/>
              <w:pageBreakBefore w:val="0"/>
              <w:tabs>
                <w:tab w:val="left" w:pos="0"/>
              </w:tabs>
              <w:wordWrap w:val="0"/>
              <w:overflowPunct/>
              <w:bidi w:val="0"/>
              <w:ind w:left="-2" w:firstLine="480" w:firstLineChars="20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五、“三线一单”相符性分析</w:t>
            </w:r>
          </w:p>
          <w:p w14:paraId="793A385D">
            <w:pPr>
              <w:pStyle w:val="5"/>
              <w:pageBreakBefore w:val="0"/>
              <w:numPr>
                <w:ilvl w:val="3"/>
                <w:numId w:val="0"/>
              </w:numPr>
              <w:wordWrap w:val="0"/>
              <w:overflowPunct/>
              <w:bidi w:val="0"/>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项目与</w:t>
            </w:r>
            <w:r>
              <w:rPr>
                <w:rFonts w:hint="default" w:ascii="Times New Roman" w:hAnsi="Times New Roman" w:cs="Times New Roman"/>
                <w:color w:val="auto"/>
                <w:highlight w:val="none"/>
              </w:rPr>
              <w:t>《关于印发广东省“三线一单”生态环境分区管控方案的通知》（粤府〔2020〕71号）</w:t>
            </w:r>
            <w:r>
              <w:rPr>
                <w:rFonts w:hint="default" w:ascii="Times New Roman" w:hAnsi="Times New Roman" w:cs="Times New Roman"/>
                <w:color w:val="auto"/>
                <w:highlight w:val="none"/>
                <w:lang w:val="en-US" w:eastAsia="zh-CN"/>
              </w:rPr>
              <w:t>的相符性分析</w:t>
            </w:r>
          </w:p>
          <w:p w14:paraId="1C18F23B">
            <w:pPr>
              <w:pStyle w:val="19"/>
              <w:keepNext w:val="0"/>
              <w:keepLines w:val="0"/>
              <w:pageBreakBefore w:val="0"/>
              <w:widowControl w:val="0"/>
              <w:kinsoku/>
              <w:wordWrap w:val="0"/>
              <w:overflowPunct/>
              <w:topLinePunct w:val="0"/>
              <w:autoSpaceDE/>
              <w:autoSpaceDN/>
              <w:bidi w:val="0"/>
              <w:adjustRightInd/>
              <w:snapToGrid/>
              <w:spacing w:line="240" w:lineRule="auto"/>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表1-</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 xml:space="preserve"> “三线一单”相符性分析一览表</w:t>
            </w:r>
          </w:p>
          <w:tbl>
            <w:tblPr>
              <w:tblStyle w:val="3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80"/>
              <w:gridCol w:w="5868"/>
              <w:gridCol w:w="795"/>
            </w:tblGrid>
            <w:tr w14:paraId="4DA53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0" w:hRule="atLeast"/>
              </w:trPr>
              <w:tc>
                <w:tcPr>
                  <w:tcW w:w="752" w:type="pct"/>
                  <w:vAlign w:val="center"/>
                </w:tcPr>
                <w:p w14:paraId="4F8B7084">
                  <w:pPr>
                    <w:pStyle w:val="57"/>
                    <w:pageBreakBefore w:val="0"/>
                    <w:wordWrap w:val="0"/>
                    <w:overflowPunct/>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三线一单</w:t>
                  </w:r>
                </w:p>
              </w:tc>
              <w:tc>
                <w:tcPr>
                  <w:tcW w:w="3740" w:type="pct"/>
                  <w:vAlign w:val="center"/>
                </w:tcPr>
                <w:p w14:paraId="3F2B00CE">
                  <w:pPr>
                    <w:pStyle w:val="57"/>
                    <w:pageBreakBefore w:val="0"/>
                    <w:wordWrap w:val="0"/>
                    <w:overflowPunct/>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相符性</w:t>
                  </w:r>
                </w:p>
              </w:tc>
              <w:tc>
                <w:tcPr>
                  <w:tcW w:w="507" w:type="pct"/>
                  <w:vAlign w:val="center"/>
                </w:tcPr>
                <w:p w14:paraId="0FAE227E">
                  <w:pPr>
                    <w:pStyle w:val="57"/>
                    <w:pageBreakBefore w:val="0"/>
                    <w:wordWrap w:val="0"/>
                    <w:overflowPunct/>
                    <w:bidi w:val="0"/>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lang w:eastAsia="zh-CN"/>
                    </w:rPr>
                    <w:t>相符性</w:t>
                  </w:r>
                </w:p>
              </w:tc>
            </w:tr>
            <w:tr w14:paraId="78974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0" w:hRule="atLeast"/>
              </w:trPr>
              <w:tc>
                <w:tcPr>
                  <w:tcW w:w="752" w:type="pct"/>
                  <w:vAlign w:val="center"/>
                </w:tcPr>
                <w:p w14:paraId="7521DEFE">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生态保护红线</w:t>
                  </w:r>
                </w:p>
              </w:tc>
              <w:tc>
                <w:tcPr>
                  <w:tcW w:w="3740" w:type="pct"/>
                  <w:vAlign w:val="center"/>
                </w:tcPr>
                <w:p w14:paraId="175A028D">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kern w:val="2"/>
                      <w:highlight w:val="none"/>
                    </w:rPr>
                    <w:t>项目用地用途为工业厂房，不在</w:t>
                  </w:r>
                  <w:r>
                    <w:rPr>
                      <w:rFonts w:hint="default" w:ascii="Times New Roman" w:hAnsi="Times New Roman" w:cs="Times New Roman"/>
                      <w:color w:val="auto"/>
                      <w:kern w:val="2"/>
                      <w:highlight w:val="none"/>
                      <w:lang w:val="zh-CN"/>
                    </w:rPr>
                    <w:t>生态保护红线和生态环境空间管控区内，</w:t>
                  </w:r>
                  <w:r>
                    <w:rPr>
                      <w:rFonts w:hint="default" w:ascii="Times New Roman" w:hAnsi="Times New Roman" w:cs="Times New Roman"/>
                      <w:color w:val="auto"/>
                      <w:kern w:val="2"/>
                      <w:highlight w:val="none"/>
                    </w:rPr>
                    <w:t>符合生态保护红线要求</w:t>
                  </w:r>
                  <w:r>
                    <w:rPr>
                      <w:rFonts w:hint="default" w:ascii="Times New Roman" w:hAnsi="Times New Roman" w:cs="Times New Roman"/>
                      <w:color w:val="auto"/>
                      <w:highlight w:val="none"/>
                    </w:rPr>
                    <w:t>。</w:t>
                  </w:r>
                </w:p>
              </w:tc>
              <w:tc>
                <w:tcPr>
                  <w:tcW w:w="507" w:type="pct"/>
                  <w:vAlign w:val="center"/>
                </w:tcPr>
                <w:p w14:paraId="14CA787E">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12027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90" w:hRule="atLeast"/>
              </w:trPr>
              <w:tc>
                <w:tcPr>
                  <w:tcW w:w="752" w:type="pct"/>
                  <w:vAlign w:val="center"/>
                </w:tcPr>
                <w:p w14:paraId="1DB113E4">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资源利用上线</w:t>
                  </w:r>
                </w:p>
              </w:tc>
              <w:tc>
                <w:tcPr>
                  <w:tcW w:w="3740" w:type="pct"/>
                  <w:vAlign w:val="center"/>
                </w:tcPr>
                <w:p w14:paraId="441D935A">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占用基本农田等，土地资源消耗符合要求；生产所用资源主要为水、电，由市政自来水管网供水，由市政电网供电，不会突破当地的资源利用上线。生产及辅助设备均使用电能源，资源消耗量相对较少，不属于“三高”行业建设项目。</w:t>
                  </w:r>
                </w:p>
              </w:tc>
              <w:tc>
                <w:tcPr>
                  <w:tcW w:w="507" w:type="pct"/>
                  <w:vAlign w:val="center"/>
                </w:tcPr>
                <w:p w14:paraId="1298186A">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2C2C5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10" w:hRule="atLeast"/>
              </w:trPr>
              <w:tc>
                <w:tcPr>
                  <w:tcW w:w="752" w:type="pct"/>
                  <w:vAlign w:val="center"/>
                </w:tcPr>
                <w:p w14:paraId="7C783DE2">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环境质量底线</w:t>
                  </w:r>
                </w:p>
              </w:tc>
              <w:tc>
                <w:tcPr>
                  <w:tcW w:w="3740" w:type="pct"/>
                  <w:vAlign w:val="center"/>
                </w:tcPr>
                <w:p w14:paraId="28751506">
                  <w:pPr>
                    <w:pageBreakBefore w:val="0"/>
                    <w:wordWrap w:val="0"/>
                    <w:overflowPunct/>
                    <w:autoSpaceDE w:val="0"/>
                    <w:autoSpaceDN w:val="0"/>
                    <w:bidi w:val="0"/>
                    <w:adjustRightInd w:val="0"/>
                    <w:spacing w:line="240" w:lineRule="auto"/>
                    <w:ind w:firstLine="420" w:firstLineChars="200"/>
                    <w:jc w:val="left"/>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根据《202</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年韶关市生态环境状况公报》，可知项目所在地地表水环境质量现状良好。</w:t>
                  </w:r>
                  <w:r>
                    <w:rPr>
                      <w:rFonts w:hint="eastAsia" w:cs="Times New Roman"/>
                      <w:color w:val="auto"/>
                      <w:sz w:val="21"/>
                      <w:szCs w:val="21"/>
                      <w:highlight w:val="none"/>
                      <w:lang w:val="en-US" w:eastAsia="zh-CN"/>
                    </w:rPr>
                    <w:t>本次</w:t>
                  </w:r>
                  <w:r>
                    <w:rPr>
                      <w:rFonts w:hint="default" w:ascii="Times New Roman" w:hAnsi="Times New Roman" w:cs="Times New Roman"/>
                      <w:color w:val="auto"/>
                      <w:sz w:val="21"/>
                      <w:szCs w:val="21"/>
                      <w:highlight w:val="none"/>
                    </w:rPr>
                    <w:t>扩建项目没有新增</w:t>
                  </w:r>
                  <w:r>
                    <w:rPr>
                      <w:rFonts w:hint="eastAsia" w:cs="Times New Roman"/>
                      <w:color w:val="auto"/>
                      <w:sz w:val="21"/>
                      <w:szCs w:val="21"/>
                      <w:highlight w:val="none"/>
                      <w:lang w:val="en-US" w:eastAsia="zh-CN"/>
                    </w:rPr>
                    <w:t>废水排放</w:t>
                  </w:r>
                  <w:r>
                    <w:rPr>
                      <w:rFonts w:hint="default" w:ascii="Times New Roman" w:hAnsi="Times New Roman" w:cs="Times New Roman"/>
                      <w:color w:val="auto"/>
                      <w:sz w:val="21"/>
                      <w:szCs w:val="21"/>
                      <w:highlight w:val="none"/>
                    </w:rPr>
                    <w:t>。在严格落实各项污染防治措施的前提下，本项目的建设对周边环境影响较小，建成后不会突破当地环境质量底线，符合环境质量底线要求。</w:t>
                  </w:r>
                </w:p>
              </w:tc>
              <w:tc>
                <w:tcPr>
                  <w:tcW w:w="507" w:type="pct"/>
                  <w:vAlign w:val="center"/>
                </w:tcPr>
                <w:p w14:paraId="793207C0">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541EA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1" w:hRule="atLeast"/>
              </w:trPr>
              <w:tc>
                <w:tcPr>
                  <w:tcW w:w="752" w:type="pct"/>
                  <w:vAlign w:val="center"/>
                </w:tcPr>
                <w:p w14:paraId="2ED2824D">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生态环境准入清单</w:t>
                  </w:r>
                </w:p>
              </w:tc>
              <w:tc>
                <w:tcPr>
                  <w:tcW w:w="3740" w:type="pct"/>
                  <w:vAlign w:val="center"/>
                </w:tcPr>
                <w:p w14:paraId="3D9AAB60">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本项目营运期主要污染物为废气、噪声和固体废物，分别经处理后均能实现达标排放，固体废物经有效</w:t>
                  </w:r>
                  <w:r>
                    <w:rPr>
                      <w:rFonts w:hint="eastAsia" w:cs="Times New Roman"/>
                      <w:color w:val="auto"/>
                      <w:highlight w:val="none"/>
                      <w:lang w:eastAsia="zh-CN"/>
                    </w:rPr>
                    <w:t>地</w:t>
                  </w:r>
                  <w:r>
                    <w:rPr>
                      <w:rFonts w:hint="default" w:ascii="Times New Roman" w:hAnsi="Times New Roman" w:cs="Times New Roman"/>
                      <w:color w:val="auto"/>
                      <w:highlight w:val="none"/>
                    </w:rPr>
                    <w:t>分类收集、处置，对周围环境影响较小，故本项目可与周围环境相容，本项目不属于《市场准入负面清单（2022年版）》禁止准入类项目。</w:t>
                  </w:r>
                </w:p>
              </w:tc>
              <w:tc>
                <w:tcPr>
                  <w:tcW w:w="507" w:type="pct"/>
                  <w:vAlign w:val="center"/>
                </w:tcPr>
                <w:p w14:paraId="59547036">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bl>
          <w:p w14:paraId="0E6FEBC4">
            <w:pPr>
              <w:pStyle w:val="19"/>
              <w:keepNext w:val="0"/>
              <w:keepLines w:val="0"/>
              <w:pageBreakBefore w:val="0"/>
              <w:widowControl w:val="0"/>
              <w:kinsoku/>
              <w:wordWrap w:val="0"/>
              <w:overflowPunct/>
              <w:topLinePunct w:val="0"/>
              <w:autoSpaceDE/>
              <w:autoSpaceDN/>
              <w:bidi w:val="0"/>
              <w:adjustRightInd/>
              <w:snapToGrid/>
              <w:spacing w:line="240" w:lineRule="auto"/>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表1-</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 xml:space="preserve"> 环境管控单元要求一览表</w:t>
            </w:r>
          </w:p>
          <w:tbl>
            <w:tblPr>
              <w:tblStyle w:val="3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678"/>
              <w:gridCol w:w="4329"/>
              <w:gridCol w:w="2078"/>
              <w:gridCol w:w="758"/>
            </w:tblGrid>
            <w:tr w14:paraId="22F5A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Align w:val="center"/>
                </w:tcPr>
                <w:p w14:paraId="602513DE">
                  <w:pPr>
                    <w:pageBreakBefore w:val="0"/>
                    <w:widowControl/>
                    <w:wordWrap w:val="0"/>
                    <w:overflowPunct/>
                    <w:bidi w:val="0"/>
                    <w:spacing w:line="240" w:lineRule="auto"/>
                    <w:jc w:val="center"/>
                    <w:textAlignment w:val="center"/>
                    <w:rPr>
                      <w:rFonts w:hint="default" w:ascii="Times New Roman" w:hAnsi="Times New Roman" w:cs="Times New Roman"/>
                      <w:b/>
                      <w:bCs/>
                      <w:color w:val="auto"/>
                      <w:position w:val="-10"/>
                      <w:sz w:val="21"/>
                      <w:szCs w:val="21"/>
                      <w:highlight w:val="none"/>
                    </w:rPr>
                  </w:pPr>
                  <w:r>
                    <w:rPr>
                      <w:rFonts w:hint="default" w:ascii="Times New Roman" w:hAnsi="Times New Roman" w:cs="Times New Roman"/>
                      <w:b/>
                      <w:bCs/>
                      <w:color w:val="auto"/>
                      <w:position w:val="-10"/>
                      <w:sz w:val="21"/>
                      <w:szCs w:val="21"/>
                      <w:highlight w:val="none"/>
                    </w:rPr>
                    <w:t>单元</w:t>
                  </w:r>
                </w:p>
              </w:tc>
              <w:tc>
                <w:tcPr>
                  <w:tcW w:w="2759" w:type="pct"/>
                  <w:vAlign w:val="center"/>
                </w:tcPr>
                <w:p w14:paraId="3CDA25F0">
                  <w:pPr>
                    <w:pageBreakBefore w:val="0"/>
                    <w:widowControl/>
                    <w:wordWrap w:val="0"/>
                    <w:overflowPunct/>
                    <w:bidi w:val="0"/>
                    <w:spacing w:line="240" w:lineRule="auto"/>
                    <w:jc w:val="center"/>
                    <w:textAlignment w:val="center"/>
                    <w:rPr>
                      <w:rFonts w:hint="default" w:ascii="Times New Roman" w:hAnsi="Times New Roman" w:cs="Times New Roman"/>
                      <w:b/>
                      <w:bCs/>
                      <w:color w:val="auto"/>
                      <w:position w:val="-10"/>
                      <w:sz w:val="21"/>
                      <w:szCs w:val="21"/>
                      <w:highlight w:val="none"/>
                    </w:rPr>
                  </w:pPr>
                  <w:r>
                    <w:rPr>
                      <w:rFonts w:hint="default" w:ascii="Times New Roman" w:hAnsi="Times New Roman" w:cs="Times New Roman"/>
                      <w:b/>
                      <w:bCs/>
                      <w:color w:val="auto"/>
                      <w:position w:val="-10"/>
                      <w:sz w:val="21"/>
                      <w:szCs w:val="21"/>
                      <w:highlight w:val="none"/>
                    </w:rPr>
                    <w:t>保护和管控分区或相关要求（节选）</w:t>
                  </w:r>
                </w:p>
              </w:tc>
              <w:tc>
                <w:tcPr>
                  <w:tcW w:w="1324" w:type="pct"/>
                  <w:vAlign w:val="center"/>
                </w:tcPr>
                <w:p w14:paraId="5EA6CBC4">
                  <w:pPr>
                    <w:pageBreakBefore w:val="0"/>
                    <w:widowControl/>
                    <w:wordWrap w:val="0"/>
                    <w:overflowPunct/>
                    <w:bidi w:val="0"/>
                    <w:spacing w:line="240" w:lineRule="auto"/>
                    <w:jc w:val="center"/>
                    <w:textAlignment w:val="center"/>
                    <w:rPr>
                      <w:rFonts w:hint="default" w:ascii="Times New Roman" w:hAnsi="Times New Roman" w:cs="Times New Roman"/>
                      <w:b/>
                      <w:bCs/>
                      <w:color w:val="auto"/>
                      <w:position w:val="-10"/>
                      <w:sz w:val="21"/>
                      <w:szCs w:val="21"/>
                      <w:highlight w:val="none"/>
                    </w:rPr>
                  </w:pPr>
                  <w:r>
                    <w:rPr>
                      <w:rFonts w:hint="default" w:ascii="Times New Roman" w:hAnsi="Times New Roman" w:cs="Times New Roman"/>
                      <w:b/>
                      <w:bCs/>
                      <w:color w:val="auto"/>
                      <w:position w:val="-10"/>
                      <w:sz w:val="21"/>
                      <w:szCs w:val="21"/>
                      <w:highlight w:val="none"/>
                    </w:rPr>
                    <w:t>项目情况</w:t>
                  </w:r>
                </w:p>
              </w:tc>
              <w:tc>
                <w:tcPr>
                  <w:tcW w:w="483" w:type="pct"/>
                  <w:vAlign w:val="center"/>
                </w:tcPr>
                <w:p w14:paraId="04851467">
                  <w:pPr>
                    <w:pStyle w:val="57"/>
                    <w:pageBreakBefore w:val="0"/>
                    <w:wordWrap w:val="0"/>
                    <w:overflowPunct/>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eastAsia="zh-CN"/>
                    </w:rPr>
                    <w:t>相符性</w:t>
                  </w:r>
                </w:p>
              </w:tc>
            </w:tr>
            <w:tr w14:paraId="25502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restart"/>
                  <w:vAlign w:val="center"/>
                </w:tcPr>
                <w:p w14:paraId="76E8344E">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优先保护单元</w:t>
                  </w:r>
                </w:p>
              </w:tc>
              <w:tc>
                <w:tcPr>
                  <w:tcW w:w="2759" w:type="pct"/>
                  <w:vAlign w:val="center"/>
                </w:tcPr>
                <w:p w14:paraId="4D211958">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生态优先保护区：生态保护红线、一般生态空间</w:t>
                  </w:r>
                </w:p>
              </w:tc>
              <w:tc>
                <w:tcPr>
                  <w:tcW w:w="1324" w:type="pct"/>
                  <w:vAlign w:val="center"/>
                </w:tcPr>
                <w:p w14:paraId="7D15D756">
                  <w:pPr>
                    <w:pStyle w:val="57"/>
                    <w:pageBreakBefore w:val="0"/>
                    <w:wordWrap w:val="0"/>
                    <w:overflowPunct/>
                    <w:bidi w:val="0"/>
                    <w:jc w:val="both"/>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项目不在生态保护红线内，详见附图</w:t>
                  </w:r>
                  <w:r>
                    <w:rPr>
                      <w:rFonts w:hint="default" w:ascii="Times New Roman" w:hAnsi="Times New Roman" w:cs="Times New Roman"/>
                      <w:color w:val="auto"/>
                      <w:highlight w:val="none"/>
                      <w:lang w:val="en-US" w:eastAsia="zh-CN"/>
                    </w:rPr>
                    <w:t>10</w:t>
                  </w:r>
                </w:p>
              </w:tc>
              <w:tc>
                <w:tcPr>
                  <w:tcW w:w="483" w:type="pct"/>
                  <w:vAlign w:val="center"/>
                </w:tcPr>
                <w:p w14:paraId="4D7CDC48">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231B7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48B8F803">
                  <w:pPr>
                    <w:pStyle w:val="57"/>
                    <w:pageBreakBefore w:val="0"/>
                    <w:wordWrap w:val="0"/>
                    <w:overflowPunct/>
                    <w:bidi w:val="0"/>
                    <w:rPr>
                      <w:rFonts w:hint="default" w:ascii="Times New Roman" w:hAnsi="Times New Roman" w:cs="Times New Roman"/>
                      <w:color w:val="auto"/>
                      <w:highlight w:val="none"/>
                    </w:rPr>
                  </w:pPr>
                </w:p>
              </w:tc>
              <w:tc>
                <w:tcPr>
                  <w:tcW w:w="2759" w:type="pct"/>
                  <w:vAlign w:val="center"/>
                </w:tcPr>
                <w:p w14:paraId="34D0ABA7">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水环境优先保护区：饮用水水源一级保护区、二级保护区、准保护区</w:t>
                  </w:r>
                </w:p>
              </w:tc>
              <w:tc>
                <w:tcPr>
                  <w:tcW w:w="1324" w:type="pct"/>
                  <w:vAlign w:val="center"/>
                </w:tcPr>
                <w:p w14:paraId="79AEC320">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项目不在饮用水水源保护区内，不属于水环境优先保护区</w:t>
                  </w:r>
                </w:p>
              </w:tc>
              <w:tc>
                <w:tcPr>
                  <w:tcW w:w="483" w:type="pct"/>
                  <w:vAlign w:val="center"/>
                </w:tcPr>
                <w:p w14:paraId="511AC959">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474D5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6F95F36B">
                  <w:pPr>
                    <w:pStyle w:val="57"/>
                    <w:pageBreakBefore w:val="0"/>
                    <w:wordWrap w:val="0"/>
                    <w:overflowPunct/>
                    <w:bidi w:val="0"/>
                    <w:rPr>
                      <w:rFonts w:hint="default" w:ascii="Times New Roman" w:hAnsi="Times New Roman" w:cs="Times New Roman"/>
                      <w:color w:val="auto"/>
                      <w:highlight w:val="none"/>
                    </w:rPr>
                  </w:pPr>
                </w:p>
              </w:tc>
              <w:tc>
                <w:tcPr>
                  <w:tcW w:w="2759" w:type="pct"/>
                  <w:vAlign w:val="center"/>
                </w:tcPr>
                <w:p w14:paraId="0CA9B8E5">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大气环境优先保护区（环境空气质量一类功能区）</w:t>
                  </w:r>
                </w:p>
              </w:tc>
              <w:tc>
                <w:tcPr>
                  <w:tcW w:w="1324" w:type="pct"/>
                  <w:vAlign w:val="center"/>
                </w:tcPr>
                <w:p w14:paraId="3CF690BC">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项目属于空气质量二类功能区，不属于大气环境优先保护区</w:t>
                  </w:r>
                </w:p>
              </w:tc>
              <w:tc>
                <w:tcPr>
                  <w:tcW w:w="483" w:type="pct"/>
                  <w:vAlign w:val="center"/>
                </w:tcPr>
                <w:p w14:paraId="08E9AF24">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711C8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restart"/>
                  <w:vAlign w:val="center"/>
                </w:tcPr>
                <w:p w14:paraId="1E5C2A93">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重点管控单元</w:t>
                  </w:r>
                </w:p>
              </w:tc>
              <w:tc>
                <w:tcPr>
                  <w:tcW w:w="2759" w:type="pct"/>
                  <w:vAlign w:val="center"/>
                </w:tcPr>
                <w:p w14:paraId="7F39F204">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省级以上工业园区重点管控单元。依法开展园区规划环评，严格落实规划环评管理要求，开展环境质量跟踪监测，发布环境管理状况公告，制定并实施园区突发环境事件应急预案，定期开展环境安全隐患排查，提升风险防控及应急处置能力。周边1公里范围内涉及生态保护红线、自然保护地、饮用水水源地等生态环境敏感区域的园区，应优化产业布局，控制开发强度，优先引进无污染或轻污染的产业和项目，防止侵占生态空间。纳污水体水质超标的园区，应实施污水深度处理，新建、改建、扩建项目应实行重点污染物排放等量或减量替代。造纸、电镀、印染、鞣革等专业园区或基地应不断提升工艺水平，提高水回用率，逐步削减污染物排放总量；石化园区加快绿色智能升级改造，强化环保投入和管理，构建高效、清洁、低碳、循环的绿色制造体系。</w:t>
                  </w:r>
                </w:p>
              </w:tc>
              <w:tc>
                <w:tcPr>
                  <w:tcW w:w="1324" w:type="pct"/>
                  <w:vAlign w:val="center"/>
                </w:tcPr>
                <w:p w14:paraId="0E0772CE">
                  <w:pPr>
                    <w:pageBreakBefore w:val="0"/>
                    <w:wordWrap w:val="0"/>
                    <w:overflowPunct/>
                    <w:bidi w:val="0"/>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项目位于乐昌经济开发区重点管控单元（管控编码ZH44028120003），属于园区重点管控单元，</w:t>
                  </w:r>
                  <w:r>
                    <w:rPr>
                      <w:rFonts w:hint="default" w:ascii="Times New Roman" w:hAnsi="Times New Roman" w:cs="Times New Roman"/>
                      <w:color w:val="auto"/>
                      <w:sz w:val="21"/>
                      <w:szCs w:val="21"/>
                      <w:highlight w:val="none"/>
                      <w:lang w:val="en-US" w:eastAsia="zh-CN"/>
                    </w:rPr>
                    <w:t>扩建</w:t>
                  </w:r>
                  <w:r>
                    <w:rPr>
                      <w:rFonts w:hint="default" w:ascii="Times New Roman" w:hAnsi="Times New Roman" w:cs="Times New Roman"/>
                      <w:color w:val="auto"/>
                      <w:sz w:val="21"/>
                      <w:szCs w:val="21"/>
                      <w:highlight w:val="none"/>
                    </w:rPr>
                    <w:t>项目主要从事家电塑料配件</w:t>
                  </w:r>
                  <w:r>
                    <w:rPr>
                      <w:rFonts w:hint="default" w:ascii="Times New Roman" w:hAnsi="Times New Roman" w:cs="Times New Roman"/>
                      <w:color w:val="auto"/>
                      <w:sz w:val="21"/>
                      <w:szCs w:val="21"/>
                      <w:highlight w:val="none"/>
                      <w:lang w:val="en-US" w:eastAsia="zh-CN"/>
                    </w:rPr>
                    <w:t>制作</w:t>
                  </w:r>
                  <w:r>
                    <w:rPr>
                      <w:rFonts w:hint="default" w:ascii="Times New Roman" w:hAnsi="Times New Roman" w:cs="Times New Roman"/>
                      <w:color w:val="auto"/>
                      <w:sz w:val="21"/>
                      <w:szCs w:val="21"/>
                      <w:highlight w:val="none"/>
                    </w:rPr>
                    <w:t>，生产过程中产生</w:t>
                  </w:r>
                  <w:r>
                    <w:rPr>
                      <w:rFonts w:hint="default" w:ascii="Times New Roman" w:hAnsi="Times New Roman" w:cs="Times New Roman"/>
                      <w:color w:val="auto"/>
                      <w:sz w:val="21"/>
                      <w:szCs w:val="21"/>
                      <w:highlight w:val="none"/>
                      <w:lang w:val="en-US" w:eastAsia="zh-CN"/>
                    </w:rPr>
                    <w:t>有机废气</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但本次扩建项目建成后总体排放量少于现有工程许可排放量，无需申请总量</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扩建部分无新增废水排放</w:t>
                  </w:r>
                  <w:r>
                    <w:rPr>
                      <w:rFonts w:hint="default" w:ascii="Times New Roman" w:hAnsi="Times New Roman" w:cs="Times New Roman"/>
                      <w:color w:val="auto"/>
                      <w:sz w:val="21"/>
                      <w:szCs w:val="21"/>
                      <w:highlight w:val="none"/>
                    </w:rPr>
                    <w:t>。</w:t>
                  </w:r>
                </w:p>
              </w:tc>
              <w:tc>
                <w:tcPr>
                  <w:tcW w:w="483" w:type="pct"/>
                  <w:vAlign w:val="center"/>
                </w:tcPr>
                <w:p w14:paraId="704707DC">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1003B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0357AB31">
                  <w:pPr>
                    <w:pStyle w:val="57"/>
                    <w:pageBreakBefore w:val="0"/>
                    <w:wordWrap w:val="0"/>
                    <w:overflowPunct/>
                    <w:bidi w:val="0"/>
                    <w:rPr>
                      <w:rFonts w:hint="default" w:ascii="Times New Roman" w:hAnsi="Times New Roman" w:cs="Times New Roman"/>
                      <w:color w:val="auto"/>
                      <w:highlight w:val="none"/>
                    </w:rPr>
                  </w:pPr>
                </w:p>
              </w:tc>
              <w:tc>
                <w:tcPr>
                  <w:tcW w:w="2759" w:type="pct"/>
                  <w:vAlign w:val="center"/>
                </w:tcPr>
                <w:p w14:paraId="6045A879">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水环境质量超标类重点管控单元。严格控制耗水量大、污染物排放强度高的行业发展，新建、改建、扩建项目实施重点水污染物减量替代。以城镇生活污染为主的单元，加快推进城镇生活污水有效收集处理，重点完善污水处理设施配套管网建设，加快实施雨污分流改造，推动提升污水处理设施进水水量和浓度，充分发挥污水处理设施治污效能。</w:t>
                  </w:r>
                </w:p>
              </w:tc>
              <w:tc>
                <w:tcPr>
                  <w:tcW w:w="1324" w:type="pct"/>
                  <w:vAlign w:val="center"/>
                </w:tcPr>
                <w:p w14:paraId="2F65F08D">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项目不属于耗水量大和污染物排放强度高的行业，扩建部分无新增废水排放。</w:t>
                  </w:r>
                </w:p>
              </w:tc>
              <w:tc>
                <w:tcPr>
                  <w:tcW w:w="483" w:type="pct"/>
                  <w:vAlign w:val="center"/>
                </w:tcPr>
                <w:p w14:paraId="37EE09AA">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107AE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7461D78F">
                  <w:pPr>
                    <w:pStyle w:val="57"/>
                    <w:pageBreakBefore w:val="0"/>
                    <w:wordWrap w:val="0"/>
                    <w:overflowPunct/>
                    <w:bidi w:val="0"/>
                    <w:rPr>
                      <w:rFonts w:hint="default" w:ascii="Times New Roman" w:hAnsi="Times New Roman" w:cs="Times New Roman"/>
                      <w:color w:val="auto"/>
                      <w:highlight w:val="none"/>
                    </w:rPr>
                  </w:pPr>
                </w:p>
              </w:tc>
              <w:tc>
                <w:tcPr>
                  <w:tcW w:w="2759" w:type="pct"/>
                  <w:vAlign w:val="center"/>
                </w:tcPr>
                <w:p w14:paraId="1CD14DD8">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受体敏感类重点管控单元。严格限制新建钢铁、燃煤燃油火电、石化、储油库等项目，产生和排放有毒有害大气污染物项目，以及使用溶剂型油墨、涂料、清洗剂、胶黏剂等高挥发性有机物原辅材料的项目；鼓励现有该类项目逐步搬迁退出</w:t>
                  </w:r>
                </w:p>
              </w:tc>
              <w:tc>
                <w:tcPr>
                  <w:tcW w:w="1324" w:type="pct"/>
                  <w:vAlign w:val="center"/>
                </w:tcPr>
                <w:p w14:paraId="45B5EE68">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项目不属于产排有毒有害大气污染物的项目</w:t>
                  </w:r>
                </w:p>
              </w:tc>
              <w:tc>
                <w:tcPr>
                  <w:tcW w:w="483" w:type="pct"/>
                  <w:vAlign w:val="center"/>
                </w:tcPr>
                <w:p w14:paraId="51DE2090">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5D6F3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Align w:val="center"/>
                </w:tcPr>
                <w:p w14:paraId="53D620B8">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一般管控单元</w:t>
                  </w:r>
                </w:p>
              </w:tc>
              <w:tc>
                <w:tcPr>
                  <w:tcW w:w="2759" w:type="pct"/>
                  <w:vAlign w:val="center"/>
                </w:tcPr>
                <w:p w14:paraId="113E4030">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执行区域生态环境保护的基本要求。根据资源环境承载能力，引导产业科学布局，合理控制开发强度，维护生态环境功能稳定</w:t>
                  </w:r>
                </w:p>
              </w:tc>
              <w:tc>
                <w:tcPr>
                  <w:tcW w:w="1324" w:type="pct"/>
                  <w:vAlign w:val="center"/>
                </w:tcPr>
                <w:p w14:paraId="42348C03">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项目执行区域生态环境保护的基本要求</w:t>
                  </w:r>
                </w:p>
              </w:tc>
              <w:tc>
                <w:tcPr>
                  <w:tcW w:w="483" w:type="pct"/>
                  <w:vAlign w:val="center"/>
                </w:tcPr>
                <w:p w14:paraId="7A493E77">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bl>
          <w:p w14:paraId="2A96BE2B">
            <w:pPr>
              <w:pageBreakBefore w:val="0"/>
              <w:wordWrap w:val="0"/>
              <w:overflowPunct/>
              <w:bidi w:val="0"/>
              <w:spacing w:line="348" w:lineRule="auto"/>
              <w:ind w:right="86" w:rightChars="36"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综上所述，项目符合《广东省人民政府关于印发广东省“三线一单”生态环境分区管控方案的通知（粤府〔2020〕71号）》的相关要求。</w:t>
            </w:r>
          </w:p>
          <w:p w14:paraId="522F556D">
            <w:pPr>
              <w:pageBreakBefore w:val="0"/>
              <w:wordWrap w:val="0"/>
              <w:overflowPunct/>
              <w:bidi w:val="0"/>
              <w:spacing w:line="348" w:lineRule="auto"/>
              <w:ind w:right="86" w:rightChars="36" w:firstLine="480" w:firstLineChars="200"/>
              <w:jc w:val="left"/>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2、</w:t>
            </w:r>
            <w:r>
              <w:rPr>
                <w:rFonts w:hint="default" w:ascii="Times New Roman" w:hAnsi="Times New Roman" w:cs="Times New Roman"/>
                <w:b/>
                <w:bCs/>
                <w:color w:val="auto"/>
                <w:highlight w:val="none"/>
              </w:rPr>
              <w:t>项目与韶关市人民政府关于印发《韶关市“三线一单”生态环境分区管控方案的通知》的通知（韶府〔2021〕10号）</w:t>
            </w:r>
            <w:r>
              <w:rPr>
                <w:rFonts w:hint="eastAsia" w:cs="Times New Roman"/>
                <w:b/>
                <w:bCs/>
                <w:color w:val="auto"/>
                <w:highlight w:val="none"/>
                <w:lang w:eastAsia="zh-CN"/>
              </w:rPr>
              <w:t>、《韶关市生态环境分区管控动态更新成果》</w:t>
            </w:r>
            <w:r>
              <w:rPr>
                <w:rFonts w:hint="default" w:ascii="Times New Roman" w:hAnsi="Times New Roman" w:cs="Times New Roman"/>
                <w:b/>
                <w:bCs/>
                <w:color w:val="auto"/>
                <w:highlight w:val="none"/>
              </w:rPr>
              <w:t>的相符性分析</w:t>
            </w:r>
          </w:p>
          <w:p w14:paraId="35EEC481">
            <w:pPr>
              <w:keepNext w:val="0"/>
              <w:keepLines w:val="0"/>
              <w:pageBreakBefore w:val="0"/>
              <w:widowControl w:val="0"/>
              <w:kinsoku/>
              <w:wordWrap w:val="0"/>
              <w:overflowPunct/>
              <w:topLinePunct w:val="0"/>
              <w:autoSpaceDE/>
              <w:autoSpaceDN/>
              <w:bidi w:val="0"/>
              <w:adjustRightInd/>
              <w:snapToGrid/>
              <w:spacing w:line="240" w:lineRule="auto"/>
              <w:ind w:right="86" w:rightChars="36" w:firstLine="420" w:firstLineChars="20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表1-</w:t>
            </w:r>
            <w:r>
              <w:rPr>
                <w:rFonts w:hint="default" w:ascii="Times New Roman" w:hAnsi="Times New Roman"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rPr>
              <w:t xml:space="preserve"> （韶府〔2021〕10号）的相符性分析一览表</w:t>
            </w:r>
          </w:p>
          <w:tbl>
            <w:tblPr>
              <w:tblStyle w:val="3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356"/>
              <w:gridCol w:w="584"/>
              <w:gridCol w:w="4464"/>
              <w:gridCol w:w="1951"/>
              <w:gridCol w:w="488"/>
            </w:tblGrid>
            <w:tr w14:paraId="08F84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599" w:type="pct"/>
                  <w:gridSpan w:val="2"/>
                  <w:tcBorders>
                    <w:tl2br w:val="nil"/>
                    <w:tr2bl w:val="nil"/>
                  </w:tcBorders>
                  <w:vAlign w:val="center"/>
                </w:tcPr>
                <w:p w14:paraId="03CC1F4D">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内容</w:t>
                  </w:r>
                </w:p>
              </w:tc>
              <w:tc>
                <w:tcPr>
                  <w:tcW w:w="2845" w:type="pct"/>
                  <w:tcBorders>
                    <w:tl2br w:val="nil"/>
                    <w:tr2bl w:val="nil"/>
                  </w:tcBorders>
                  <w:vAlign w:val="center"/>
                </w:tcPr>
                <w:p w14:paraId="6DAA77F3">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要求</w:t>
                  </w:r>
                </w:p>
              </w:tc>
              <w:tc>
                <w:tcPr>
                  <w:tcW w:w="1243" w:type="pct"/>
                  <w:tcBorders>
                    <w:tl2br w:val="nil"/>
                    <w:tr2bl w:val="nil"/>
                  </w:tcBorders>
                  <w:vAlign w:val="center"/>
                </w:tcPr>
                <w:p w14:paraId="27277DAE">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相符性分析</w:t>
                  </w:r>
                </w:p>
              </w:tc>
              <w:tc>
                <w:tcPr>
                  <w:tcW w:w="311" w:type="pct"/>
                  <w:tcBorders>
                    <w:tl2br w:val="nil"/>
                    <w:tr2bl w:val="nil"/>
                  </w:tcBorders>
                  <w:vAlign w:val="center"/>
                </w:tcPr>
                <w:p w14:paraId="11F7FC72">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结论</w:t>
                  </w:r>
                </w:p>
              </w:tc>
            </w:tr>
            <w:tr w14:paraId="05DBE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restart"/>
                  <w:tcBorders>
                    <w:tl2br w:val="nil"/>
                    <w:tr2bl w:val="nil"/>
                  </w:tcBorders>
                  <w:vAlign w:val="center"/>
                </w:tcPr>
                <w:p w14:paraId="61B4D147">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全市总体管控</w:t>
                  </w:r>
                </w:p>
              </w:tc>
              <w:tc>
                <w:tcPr>
                  <w:tcW w:w="372" w:type="pct"/>
                  <w:tcBorders>
                    <w:tl2br w:val="nil"/>
                    <w:tr2bl w:val="nil"/>
                  </w:tcBorders>
                  <w:vAlign w:val="center"/>
                </w:tcPr>
                <w:p w14:paraId="1E4EE23A">
                  <w:pPr>
                    <w:pageBreakBefore w:val="0"/>
                    <w:widowControl/>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kern w:val="0"/>
                      <w:sz w:val="21"/>
                      <w:szCs w:val="21"/>
                      <w:highlight w:val="none"/>
                      <w:lang w:bidi="ar"/>
                    </w:rPr>
                    <w:t>区域布局管控</w:t>
                  </w:r>
                </w:p>
              </w:tc>
              <w:tc>
                <w:tcPr>
                  <w:tcW w:w="2845" w:type="pct"/>
                  <w:tcBorders>
                    <w:tl2br w:val="nil"/>
                    <w:tr2bl w:val="nil"/>
                  </w:tcBorders>
                  <w:vAlign w:val="center"/>
                </w:tcPr>
                <w:p w14:paraId="24DBB539">
                  <w:pPr>
                    <w:pageBreakBefore w:val="0"/>
                    <w:wordWrap w:val="0"/>
                    <w:overflowPunct/>
                    <w:bidi w:val="0"/>
                    <w:spacing w:line="240" w:lineRule="auto"/>
                    <w:jc w:val="both"/>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严格控制涉重金属和高污染高能耗项目建设。新建、扩建石化、化工、焦化、有色金属冶炼、平板玻璃项目应布设在依法合规设立并经规划环评的产业园区。严格控制水污染严重地区和水源保护敏感区域高耗水、高污染行业发展。新丰县东南部（丰城街道、梅坑镇、黄礤镇、马头镇）严控水污染项目建设，新建、改建、扩建涉水建设项目实行主要污染物和特征污染物排放减量替代。环境空气质量一类功能区实施严格保护，禁止新建、扩建排放大气污染物的工业项目（国家和省规定不纳入环评管理的项目除外）。逐步扩大高污染燃料禁燃区范围。</w:t>
                  </w:r>
                </w:p>
              </w:tc>
              <w:tc>
                <w:tcPr>
                  <w:tcW w:w="1243" w:type="pct"/>
                  <w:tcBorders>
                    <w:tl2br w:val="nil"/>
                    <w:tr2bl w:val="nil"/>
                  </w:tcBorders>
                  <w:vAlign w:val="center"/>
                </w:tcPr>
                <w:p w14:paraId="372EDA1E">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本项目为项目</w:t>
                  </w:r>
                  <w:r>
                    <w:rPr>
                      <w:rFonts w:hint="eastAsia" w:cs="Times New Roman"/>
                      <w:color w:val="auto"/>
                      <w:sz w:val="21"/>
                      <w:szCs w:val="21"/>
                      <w:highlight w:val="none"/>
                      <w:lang w:eastAsia="zh-CN"/>
                    </w:rPr>
                    <w:t>主要</w:t>
                  </w:r>
                  <w:r>
                    <w:rPr>
                      <w:rFonts w:hint="default" w:ascii="Times New Roman" w:hAnsi="Times New Roman" w:cs="Times New Roman"/>
                      <w:color w:val="auto"/>
                      <w:sz w:val="21"/>
                      <w:szCs w:val="21"/>
                      <w:highlight w:val="none"/>
                    </w:rPr>
                    <w:t>从事</w:t>
                  </w:r>
                  <w:r>
                    <w:rPr>
                      <w:rFonts w:hint="default" w:ascii="Times New Roman" w:hAnsi="Times New Roman" w:cs="Times New Roman"/>
                      <w:color w:val="auto"/>
                      <w:sz w:val="21"/>
                      <w:szCs w:val="21"/>
                      <w:highlight w:val="none"/>
                      <w:lang w:eastAsia="zh-CN"/>
                    </w:rPr>
                    <w:t>家电塑料配件</w:t>
                  </w:r>
                  <w:r>
                    <w:rPr>
                      <w:rFonts w:hint="default" w:ascii="Times New Roman" w:hAnsi="Times New Roman" w:cs="Times New Roman"/>
                      <w:color w:val="auto"/>
                      <w:sz w:val="21"/>
                      <w:szCs w:val="21"/>
                      <w:highlight w:val="none"/>
                    </w:rPr>
                    <w:t>制作，不涉重金属，不属于高污染高耗能行业，项目位于乐昌产业转移工业园，园区已开展规划环境评价，项目符合园区准入条件。项目所在地属于</w:t>
                  </w:r>
                  <w:r>
                    <w:rPr>
                      <w:rFonts w:hint="default" w:ascii="Times New Roman" w:hAnsi="Times New Roman" w:cs="Times New Roman"/>
                      <w:color w:val="auto"/>
                      <w:sz w:val="21"/>
                      <w:szCs w:val="21"/>
                      <w:highlight w:val="none"/>
                      <w:lang w:val="en-US" w:eastAsia="zh-CN"/>
                    </w:rPr>
                    <w:t>大气</w:t>
                  </w:r>
                  <w:r>
                    <w:rPr>
                      <w:rFonts w:hint="default" w:ascii="Times New Roman" w:hAnsi="Times New Roman" w:cs="Times New Roman"/>
                      <w:color w:val="auto"/>
                      <w:sz w:val="21"/>
                      <w:szCs w:val="21"/>
                      <w:highlight w:val="none"/>
                    </w:rPr>
                    <w:t>环境功能二类区、水环境质量达标区。</w:t>
                  </w:r>
                </w:p>
              </w:tc>
              <w:tc>
                <w:tcPr>
                  <w:tcW w:w="311" w:type="pct"/>
                  <w:tcBorders>
                    <w:tl2br w:val="nil"/>
                    <w:tr2bl w:val="nil"/>
                  </w:tcBorders>
                  <w:vAlign w:val="center"/>
                </w:tcPr>
                <w:p w14:paraId="76A22841">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078AE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7F89A518">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p>
              </w:tc>
              <w:tc>
                <w:tcPr>
                  <w:tcW w:w="372" w:type="pct"/>
                  <w:tcBorders>
                    <w:tl2br w:val="nil"/>
                    <w:tr2bl w:val="nil"/>
                  </w:tcBorders>
                  <w:vAlign w:val="center"/>
                </w:tcPr>
                <w:p w14:paraId="2CF88520">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能源资源利用</w:t>
                  </w:r>
                </w:p>
              </w:tc>
              <w:tc>
                <w:tcPr>
                  <w:tcW w:w="2845" w:type="pct"/>
                  <w:tcBorders>
                    <w:tl2br w:val="nil"/>
                    <w:tr2bl w:val="nil"/>
                  </w:tcBorders>
                  <w:vAlign w:val="center"/>
                </w:tcPr>
                <w:p w14:paraId="31C40A83">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积极落实国家、省制定的碳达峰碳中和目标任务，制定并落实碳达峰与碳减排工作计划、行动方案，综合运用相关政策工具和手段措施，持续推动实施。进一步优化调整能源结构，发展以光伏全产业链为龙头的风光氢等多元化可再生清洁能源产业，提高可再生能源发电装机占比，推动电力源网荷储一体化和多能互补。实行能源消费强度与消费总量“双控”制度。抓好电力、建材、冶炼等重点耗能行业的节能降耗工作，推动单位GDP能源消耗、单位GDP二氧化碳排放持续下降。鼓励使用天然气及可再生能源，县级及以上城市建成区，禁止新建每小时35蒸吨以下燃煤锅炉。原则上不再新建小水电以及除国家和省规划外的风电项目，对不符合生态环境要求的小水电进行清理整改。严格落实东江、北江流域等重要控制断面生态流量保障目标。加强城市节水，提高水资源的利用效率和效益。严格矿产资源开发准入管理，从严控制矿产资源开发总量和综合利用标准。加强矿产资源规划管理，提高矿产资源开发利用效率，推动矿产资源开发合理布局和节约集约利用。推进大宝山、凡口矿等矿山企业转型升级，打造国家级绿色矿山。全市矿山企业在2025年前全部达到绿色矿山标准。</w:t>
                  </w:r>
                </w:p>
              </w:tc>
              <w:tc>
                <w:tcPr>
                  <w:tcW w:w="1243" w:type="pct"/>
                  <w:tcBorders>
                    <w:tl2br w:val="nil"/>
                    <w:tr2bl w:val="nil"/>
                  </w:tcBorders>
                  <w:vAlign w:val="center"/>
                </w:tcPr>
                <w:p w14:paraId="26241C34">
                  <w:pPr>
                    <w:pageBreakBefore w:val="0"/>
                    <w:wordWrap w:val="0"/>
                    <w:overflowPunct/>
                    <w:bidi w:val="0"/>
                    <w:spacing w:line="240" w:lineRule="auto"/>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本项目主要从事家电塑料配件制作，不属于电力、建材、冶炼等重点耗能行业，不涉及水电、风电</w:t>
                  </w:r>
                  <w:r>
                    <w:rPr>
                      <w:rFonts w:hint="default" w:ascii="Times New Roman" w:hAnsi="Times New Roman" w:cs="Times New Roman"/>
                      <w:color w:val="auto"/>
                      <w:sz w:val="21"/>
                      <w:szCs w:val="21"/>
                      <w:highlight w:val="none"/>
                      <w:lang w:eastAsia="zh-CN"/>
                    </w:rPr>
                    <w:t>。</w:t>
                  </w:r>
                </w:p>
              </w:tc>
              <w:tc>
                <w:tcPr>
                  <w:tcW w:w="311" w:type="pct"/>
                  <w:tcBorders>
                    <w:tl2br w:val="nil"/>
                    <w:tr2bl w:val="nil"/>
                  </w:tcBorders>
                  <w:vAlign w:val="center"/>
                </w:tcPr>
                <w:p w14:paraId="6DA4C4C3">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779F6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0B8FA5B7">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p>
              </w:tc>
              <w:tc>
                <w:tcPr>
                  <w:tcW w:w="372" w:type="pct"/>
                  <w:tcBorders>
                    <w:tl2br w:val="nil"/>
                    <w:tr2bl w:val="nil"/>
                  </w:tcBorders>
                  <w:vAlign w:val="center"/>
                </w:tcPr>
                <w:p w14:paraId="0BF0763C">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污染物排放管控</w:t>
                  </w:r>
                </w:p>
              </w:tc>
              <w:tc>
                <w:tcPr>
                  <w:tcW w:w="2845" w:type="pct"/>
                  <w:tcBorders>
                    <w:tl2br w:val="nil"/>
                    <w:tr2bl w:val="nil"/>
                  </w:tcBorders>
                  <w:vAlign w:val="center"/>
                </w:tcPr>
                <w:p w14:paraId="0A29E93D">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深入实施重点污染物总量控制。“十四五”期间重点污染物排放总量在现有基础上持续减少。优化总量分配和调控机制，重点污染物排放总量指标优先向重点建设项目、重点工业园区、战略性产业集群倾斜。新建“两高”项目应配套区域主要污染物削减方案，采取有效的主要污染物区域削减措施，腾出足够的环境容量。新建项目原则上实施氮氧化物（NOx）和挥发性有机物（VOCs）等量替代，推动钢铁行业执行大气污染物超低排放标准。新建、改建、扩建造纸、焦化、有色金属、印染、农副食品加工、原料药制造、制革、农药、电镀等行业建设项目实行主要水体污染物排放等量替代。实施低挥发性有机物（VOCs）含量产品源头替代工程。全面加强无组织排放控制，深入实施精细化治理。推进溶剂使用及挥发性有机液体储运销环节的减排，全过程实施反应活性物质、有毒有害物质、恶臭物质的协同控制。对VOCs重点企业实施分级和清单化管控，将全面使用低VOCs含量原辅材料的企业纳入正面清单和政府绿色采购清单。</w:t>
                  </w:r>
                </w:p>
                <w:p w14:paraId="1CCC4FD7">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北江流域实行重金属污染物排放总量控制。新建、改建、扩建的项目严格实行重金属等特征污染物排放减量替代。加强“三矿两厂”等日常监督，在重点防控区域内新建、改建、扩建增加重金属污染物排放总量的建设项目应通过实施区域削减，实现增产减污。凡口铅锌矿及其周边区域（仁化县董塘镇）、大宝山矿及其周边区域（曲江区沙溪镇、翁源县铁龙镇）严格执行部分重金属水污染物特别排放限值的相关规定。</w:t>
                  </w:r>
                </w:p>
                <w:p w14:paraId="71EFB402">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饮用水水源保护区全面加强水源涵养，强化源头控制，禁止新建排污口，严格防范水源污染风险，切实保障饮用水安全，一级保护区内禁止新建、改建、扩建与供水设施和保护水源无关的建设项目：二级保护区内禁止新建、改建、扩建排放污染物的建设项目。饮用水水源准保护区内禁止新建、扩建对水体污染严重的建设项目。</w:t>
                  </w:r>
                </w:p>
                <w:p w14:paraId="42D97A19">
                  <w:pPr>
                    <w:pageBreakBefore w:val="0"/>
                    <w:wordWrap w:val="0"/>
                    <w:overflowPunct/>
                    <w:bidi w:val="0"/>
                    <w:spacing w:line="240" w:lineRule="auto"/>
                    <w:jc w:val="both"/>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完善污水处理厂配套管网建设，切实提高运行负荷。强化城中村、老旧城区和城乡结合部污水截流、收集。现有合流制排水系统应加快实施雨污分流改造，加快镇级生活污水处理设施及配套管网建设，因地制宜建设农村生活污水处理设施。加强农业面源污染治理，实施种植业“肥药双控”；严格禁养区管理，加强养殖污染防治，加强畜禽养殖废弃物资源化利用。</w:t>
                  </w:r>
                </w:p>
              </w:tc>
              <w:tc>
                <w:tcPr>
                  <w:tcW w:w="1243" w:type="pct"/>
                  <w:tcBorders>
                    <w:tl2br w:val="nil"/>
                    <w:tr2bl w:val="nil"/>
                  </w:tcBorders>
                  <w:vAlign w:val="center"/>
                </w:tcPr>
                <w:p w14:paraId="1C356890">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本项目主要从事</w:t>
                  </w:r>
                  <w:r>
                    <w:rPr>
                      <w:rFonts w:hint="default" w:ascii="Times New Roman" w:hAnsi="Times New Roman" w:cs="Times New Roman"/>
                      <w:color w:val="auto"/>
                      <w:sz w:val="21"/>
                      <w:szCs w:val="21"/>
                      <w:highlight w:val="none"/>
                      <w:lang w:eastAsia="zh-CN"/>
                    </w:rPr>
                    <w:t>家电塑料配件</w:t>
                  </w:r>
                  <w:r>
                    <w:rPr>
                      <w:rFonts w:hint="default" w:ascii="Times New Roman" w:hAnsi="Times New Roman" w:cs="Times New Roman"/>
                      <w:color w:val="auto"/>
                      <w:sz w:val="21"/>
                      <w:szCs w:val="21"/>
                      <w:highlight w:val="none"/>
                    </w:rPr>
                    <w:t>制作，不属于造纸、焦化、有色金属、印染、农副食品加工、原料药制造、制革、农药、电镀等行业，不属于“两高”项目。项目所在地不涉及饮用水水源保护区，扩建部分无新增废水排放。</w:t>
                  </w:r>
                </w:p>
              </w:tc>
              <w:tc>
                <w:tcPr>
                  <w:tcW w:w="311" w:type="pct"/>
                  <w:tcBorders>
                    <w:tl2br w:val="nil"/>
                    <w:tr2bl w:val="nil"/>
                  </w:tcBorders>
                  <w:vAlign w:val="center"/>
                </w:tcPr>
                <w:p w14:paraId="6B1AD50B">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3C4F4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35C61C44">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372" w:type="pct"/>
                  <w:tcBorders>
                    <w:tl2br w:val="nil"/>
                    <w:tr2bl w:val="nil"/>
                  </w:tcBorders>
                  <w:vAlign w:val="center"/>
                </w:tcPr>
                <w:p w14:paraId="32D8AA50">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环境风险管控</w:t>
                  </w:r>
                </w:p>
              </w:tc>
              <w:tc>
                <w:tcPr>
                  <w:tcW w:w="2845" w:type="pct"/>
                  <w:tcBorders>
                    <w:tl2br w:val="nil"/>
                    <w:tr2bl w:val="nil"/>
                  </w:tcBorders>
                  <w:vAlign w:val="center"/>
                </w:tcPr>
                <w:p w14:paraId="421440B0">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加强北江、东江干流沿岸以及饮用水水源地环境风险防控。严格控制沿岸石油加工、化学原料和化学制品制造、有色金属冶炼、纺织印染等项目环境风险。强化地表水、地下水和土壤污染风险协同防控，建立完善突发环境事件应急管理体系，全面排查“千吨万人”饮用水水源地周边环境问题并及时开展专项整治，保障饮用水水源地安全。重点加强环境风险分级分类管控，建立全市环境风险源在线监控预警系统，强化化工企业、涉重金属行业、工业园区和尾矿库等重点环境风险源的环境风险防控。构建企业、园区和区域三级环境风险防控联动体系，增强园区风险防控能力。园区管理机构应定期开展环境风险评估，编制完善综合环境应急预案并备案，整合应急资源，储备环境应急物资及装备，定期组织开展应急演练，全面提升园区突发环境事件应急处理能力。持续推进土壤环境风险管控工作。实行农用地分类分级安全利用，有效提升农用地土地资源开发利用率，依法划定特定农作物禁止种植区域，严格按照耕地土壤环境质量类别划分成果对耕地实施安全利用，防范农产品重金属含量超标风险。加强建设用地准入管理，规范受污染建设用地地块再开发。加强尾矿库的环境风险排查与防范。加强金属矿采选、金属冶炼企业的重金属污染风险防控。强化选矿废水治理设施的升级改造，选矿废水原则上回用不外排。全力避免因各类安全事故（事件）引发的次生环境风险事故（事件）。</w:t>
                  </w:r>
                </w:p>
              </w:tc>
              <w:tc>
                <w:tcPr>
                  <w:tcW w:w="1243" w:type="pct"/>
                  <w:tcBorders>
                    <w:tl2br w:val="nil"/>
                    <w:tr2bl w:val="nil"/>
                  </w:tcBorders>
                  <w:vAlign w:val="center"/>
                </w:tcPr>
                <w:p w14:paraId="7AC5495B">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涉及石油加工、化学原料和化学制品制造、有色金属冶炼、纺织印染行业，不涉及饮用水水源地，本项目制定有效的事故风险防范和应急措施，为防范污染事故发生，并避免发生事故对周围环境造成污染，确保环境安全。项目符合环境风险防控要求。</w:t>
                  </w:r>
                </w:p>
              </w:tc>
              <w:tc>
                <w:tcPr>
                  <w:tcW w:w="311" w:type="pct"/>
                  <w:tcBorders>
                    <w:tl2br w:val="nil"/>
                    <w:tr2bl w:val="nil"/>
                  </w:tcBorders>
                  <w:vAlign w:val="center"/>
                </w:tcPr>
                <w:p w14:paraId="30A9924F">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34312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restart"/>
                  <w:tcBorders>
                    <w:tl2br w:val="nil"/>
                    <w:tr2bl w:val="nil"/>
                  </w:tcBorders>
                  <w:vAlign w:val="center"/>
                </w:tcPr>
                <w:p w14:paraId="4794E51F">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生态环境准入清单</w:t>
                  </w:r>
                </w:p>
              </w:tc>
              <w:tc>
                <w:tcPr>
                  <w:tcW w:w="372" w:type="pct"/>
                  <w:tcBorders>
                    <w:tl2br w:val="nil"/>
                    <w:tr2bl w:val="nil"/>
                  </w:tcBorders>
                  <w:vAlign w:val="center"/>
                </w:tcPr>
                <w:p w14:paraId="7F5685E4">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区域布局管控</w:t>
                  </w:r>
                </w:p>
              </w:tc>
              <w:tc>
                <w:tcPr>
                  <w:tcW w:w="2845" w:type="pct"/>
                  <w:tcBorders>
                    <w:tl2br w:val="nil"/>
                    <w:tr2bl w:val="nil"/>
                  </w:tcBorders>
                  <w:vAlign w:val="center"/>
                </w:tcPr>
                <w:p w14:paraId="62348E71">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1-1.【产业/鼓励引导类】重点发展现代轻工产业（消费电子等）、先进装备制造业等产业，优先引进无污染物或轻污染项目。</w:t>
                  </w:r>
                </w:p>
                <w:p w14:paraId="213A6E77">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1-2.【产业/禁止类】园区禁止引入专业电镀、化学制浆、鞣革等水污染物排放量大或排放一类污染物、持久性有机污染物的项目。</w:t>
                  </w:r>
                </w:p>
                <w:p w14:paraId="22DD7890">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1-3.【产业/限制类】严格限制不符合园区发展定位的项目入驻。</w:t>
                  </w:r>
                </w:p>
                <w:p w14:paraId="32B91DC0">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1-4.【产业/综合类】居民区、学校等环境敏感点邻近地块优先布局废气排放量小、工业噪声影响小的产业。</w:t>
                  </w:r>
                </w:p>
              </w:tc>
              <w:tc>
                <w:tcPr>
                  <w:tcW w:w="1243" w:type="pct"/>
                  <w:tcBorders>
                    <w:tl2br w:val="nil"/>
                    <w:tr2bl w:val="nil"/>
                  </w:tcBorders>
                  <w:vAlign w:val="center"/>
                </w:tcPr>
                <w:p w14:paraId="513D96CF">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本项目主要从事</w:t>
                  </w:r>
                  <w:r>
                    <w:rPr>
                      <w:rFonts w:hint="default" w:ascii="Times New Roman" w:hAnsi="Times New Roman" w:cs="Times New Roman"/>
                      <w:color w:val="auto"/>
                      <w:sz w:val="21"/>
                      <w:szCs w:val="21"/>
                      <w:highlight w:val="none"/>
                      <w:lang w:eastAsia="zh-CN"/>
                    </w:rPr>
                    <w:t>家电塑料配件</w:t>
                  </w:r>
                  <w:r>
                    <w:rPr>
                      <w:rFonts w:hint="default" w:ascii="Times New Roman" w:hAnsi="Times New Roman" w:cs="Times New Roman"/>
                      <w:color w:val="auto"/>
                      <w:sz w:val="21"/>
                      <w:szCs w:val="21"/>
                      <w:highlight w:val="none"/>
                    </w:rPr>
                    <w:t>制作，不属于专业电镀、化学制浆、鞣革等水污染物排放量大或排放一类污染物、持久性有机污染物的项目；项目符合园区发展定位；周边无敏感点。</w:t>
                  </w:r>
                </w:p>
              </w:tc>
              <w:tc>
                <w:tcPr>
                  <w:tcW w:w="311" w:type="pct"/>
                  <w:tcBorders>
                    <w:tl2br w:val="nil"/>
                    <w:tr2bl w:val="nil"/>
                  </w:tcBorders>
                  <w:vAlign w:val="center"/>
                </w:tcPr>
                <w:p w14:paraId="2A9A5959">
                  <w:pPr>
                    <w:pageBreakBefore w:val="0"/>
                    <w:wordWrap w:val="0"/>
                    <w:overflowPunct/>
                    <w:bidi w:val="0"/>
                    <w:spacing w:line="240" w:lineRule="auto"/>
                    <w:ind w:right="86" w:rightChars="36"/>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2DD73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5BA82954">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372" w:type="pct"/>
                  <w:tcBorders>
                    <w:tl2br w:val="nil"/>
                    <w:tr2bl w:val="nil"/>
                  </w:tcBorders>
                  <w:vAlign w:val="center"/>
                </w:tcPr>
                <w:p w14:paraId="1E490604">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能源资源利用</w:t>
                  </w:r>
                </w:p>
              </w:tc>
              <w:tc>
                <w:tcPr>
                  <w:tcW w:w="2845" w:type="pct"/>
                  <w:tcBorders>
                    <w:tl2br w:val="nil"/>
                    <w:tr2bl w:val="nil"/>
                  </w:tcBorders>
                  <w:vAlign w:val="center"/>
                </w:tcPr>
                <w:p w14:paraId="480FE2D9">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2-1.【能源/鼓励引导类】园区内能源结构应以电能、燃气等清洁能源为主。</w:t>
                  </w:r>
                </w:p>
                <w:p w14:paraId="0F594AA3">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2-2.【水资源/综合类】提高园区水资源利用效率，加快中水回用系统建设。</w:t>
                  </w:r>
                </w:p>
                <w:p w14:paraId="1B2193D4">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2-3.【其他/综合类】有行业清洁生产标准的新引进项目清洁生产水平须达到本行业国内先进水平。</w:t>
                  </w:r>
                </w:p>
              </w:tc>
              <w:tc>
                <w:tcPr>
                  <w:tcW w:w="1243" w:type="pct"/>
                  <w:tcBorders>
                    <w:tl2br w:val="nil"/>
                    <w:tr2bl w:val="nil"/>
                  </w:tcBorders>
                  <w:vAlign w:val="center"/>
                </w:tcPr>
                <w:p w14:paraId="127AD33F">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项目以主要电能作为生产能源，属于清洁能源；项目扩建部分无新增废水排放。</w:t>
                  </w:r>
                </w:p>
              </w:tc>
              <w:tc>
                <w:tcPr>
                  <w:tcW w:w="311" w:type="pct"/>
                  <w:tcBorders>
                    <w:tl2br w:val="nil"/>
                    <w:tr2bl w:val="nil"/>
                  </w:tcBorders>
                  <w:vAlign w:val="center"/>
                </w:tcPr>
                <w:p w14:paraId="13767907">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49817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74E597B0">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372" w:type="pct"/>
                  <w:tcBorders>
                    <w:tl2br w:val="nil"/>
                    <w:tr2bl w:val="nil"/>
                  </w:tcBorders>
                  <w:vAlign w:val="center"/>
                </w:tcPr>
                <w:p w14:paraId="6AB9F615">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污染物排放管控</w:t>
                  </w:r>
                </w:p>
              </w:tc>
              <w:tc>
                <w:tcPr>
                  <w:tcW w:w="2845" w:type="pct"/>
                  <w:tcBorders>
                    <w:tl2br w:val="nil"/>
                    <w:tr2bl w:val="nil"/>
                  </w:tcBorders>
                  <w:vAlign w:val="center"/>
                </w:tcPr>
                <w:p w14:paraId="6F8EB5D1">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3-1.【水、大气/限制类】园区各项污染物排放总量不得突破园区规划环评核定的污染物排放总量管控要求。</w:t>
                  </w:r>
                </w:p>
                <w:p w14:paraId="3ACAF06C">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-2.【水/限制类】实行重点重金属污染物（铅、砷、汞、镉、铬）等量替代。严格控制涉重金属及有毒有害污染物排放的项目建设，新建、改建、扩建涉重金属重点行业的项目应明确重金属污染物总量来源。3-3.【大气/限制类】新建项目原则上实施氮氧化物、挥发性有机物排放量等量替代。</w:t>
                  </w:r>
                </w:p>
                <w:p w14:paraId="03A4D4CF">
                  <w:pPr>
                    <w:pageBreakBefore w:val="0"/>
                    <w:wordWrap w:val="0"/>
                    <w:overflowPunct/>
                    <w:bidi w:val="0"/>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3-4.【其它/鼓励引导类】支持危险废物专业收集转运和利用处置单位建设区域性收集网点和贮存设施。</w:t>
                  </w:r>
                </w:p>
              </w:tc>
              <w:tc>
                <w:tcPr>
                  <w:tcW w:w="1243" w:type="pct"/>
                  <w:tcBorders>
                    <w:tl2br w:val="nil"/>
                    <w:tr2bl w:val="nil"/>
                  </w:tcBorders>
                  <w:vAlign w:val="center"/>
                </w:tcPr>
                <w:p w14:paraId="59CB58FF">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本次扩建项目建成后总体排放量少于现有工程许可排放量，无需申请总量</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项目不涉及重金属污染物，危险废物贮存在厂区危险废物暂存间，统一收集后交有资质的单位处理。</w:t>
                  </w:r>
                </w:p>
              </w:tc>
              <w:tc>
                <w:tcPr>
                  <w:tcW w:w="311" w:type="pct"/>
                  <w:tcBorders>
                    <w:tl2br w:val="nil"/>
                    <w:tr2bl w:val="nil"/>
                  </w:tcBorders>
                  <w:vAlign w:val="center"/>
                </w:tcPr>
                <w:p w14:paraId="4882405E">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E685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0E7A827E">
                  <w:pPr>
                    <w:pageBreakBefore w:val="0"/>
                    <w:wordWrap w:val="0"/>
                    <w:overflowPunct/>
                    <w:bidi w:val="0"/>
                    <w:spacing w:line="240" w:lineRule="auto"/>
                    <w:ind w:right="86" w:rightChars="36"/>
                    <w:jc w:val="center"/>
                    <w:rPr>
                      <w:rFonts w:hint="default" w:ascii="Times New Roman" w:hAnsi="Times New Roman" w:cs="Times New Roman"/>
                      <w:color w:val="auto"/>
                      <w:sz w:val="21"/>
                      <w:szCs w:val="21"/>
                      <w:highlight w:val="none"/>
                    </w:rPr>
                  </w:pPr>
                </w:p>
              </w:tc>
              <w:tc>
                <w:tcPr>
                  <w:tcW w:w="372" w:type="pct"/>
                  <w:tcBorders>
                    <w:tl2br w:val="nil"/>
                    <w:tr2bl w:val="nil"/>
                  </w:tcBorders>
                  <w:vAlign w:val="center"/>
                </w:tcPr>
                <w:p w14:paraId="6278A559">
                  <w:pPr>
                    <w:pageBreakBefore w:val="0"/>
                    <w:wordWrap w:val="0"/>
                    <w:overflowPunct/>
                    <w:bidi w:val="0"/>
                    <w:spacing w:line="240" w:lineRule="auto"/>
                    <w:ind w:right="86" w:rightChars="36"/>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环境风险防控</w:t>
                  </w:r>
                </w:p>
              </w:tc>
              <w:tc>
                <w:tcPr>
                  <w:tcW w:w="2845" w:type="pct"/>
                  <w:tcBorders>
                    <w:tl2br w:val="nil"/>
                    <w:tr2bl w:val="nil"/>
                  </w:tcBorders>
                  <w:vAlign w:val="center"/>
                </w:tcPr>
                <w:p w14:paraId="0CBE12B8">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-1.【风险/综合类】园区内生产、使用、储存危险化学品的项目应设置足够容积的事故应急池，园区应制定环境风险事故防范和应急预案，建立健全企业、园区和市政三级事故应急体系，落实有效的事故风险防范和应急措施，有效防范污染事故发生，并避免发生事故对周围环境造成污染，确保环境安全。园区污</w:t>
                  </w:r>
                  <w:r>
                    <w:rPr>
                      <w:rFonts w:hint="default" w:ascii="Times New Roman" w:hAnsi="Times New Roman" w:cs="Times New Roman"/>
                      <w:color w:val="auto"/>
                      <w:sz w:val="21"/>
                      <w:szCs w:val="21"/>
                      <w:highlight w:val="none"/>
                      <w:lang w:eastAsia="zh-CN"/>
                    </w:rPr>
                    <w:t>水</w:t>
                  </w:r>
                  <w:r>
                    <w:rPr>
                      <w:rFonts w:hint="default" w:ascii="Times New Roman" w:hAnsi="Times New Roman" w:cs="Times New Roman"/>
                      <w:color w:val="auto"/>
                      <w:sz w:val="21"/>
                      <w:szCs w:val="21"/>
                      <w:highlight w:val="none"/>
                    </w:rPr>
                    <w:t>处理厂设置足够容积的事故应急池，纳污水体设置水质监控断面，发现问题，及时采取限制废水排放等措施。</w:t>
                  </w:r>
                </w:p>
              </w:tc>
              <w:tc>
                <w:tcPr>
                  <w:tcW w:w="1243" w:type="pct"/>
                  <w:tcBorders>
                    <w:tl2br w:val="nil"/>
                    <w:tr2bl w:val="nil"/>
                  </w:tcBorders>
                  <w:vAlign w:val="center"/>
                </w:tcPr>
                <w:p w14:paraId="7CF78AA8">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项目位于广东乐昌经济开发区内，广东乐昌经济开发区已完善相关环保手续，并制定了事故风险防范和应急措施，能够满足项目环境风险防控的要求。</w:t>
                  </w:r>
                </w:p>
              </w:tc>
              <w:tc>
                <w:tcPr>
                  <w:tcW w:w="311" w:type="pct"/>
                  <w:tcBorders>
                    <w:tl2br w:val="nil"/>
                    <w:tr2bl w:val="nil"/>
                  </w:tcBorders>
                  <w:vAlign w:val="center"/>
                </w:tcPr>
                <w:p w14:paraId="5D417322">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2EE3E428">
            <w:pPr>
              <w:pStyle w:val="19"/>
              <w:pageBreakBefore w:val="0"/>
              <w:wordWrap w:val="0"/>
              <w:overflowPunct/>
              <w:bidi w:val="0"/>
              <w:ind w:firstLine="480" w:firstLineChars="200"/>
              <w:jc w:val="left"/>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sz w:val="24"/>
                <w:highlight w:val="none"/>
              </w:rPr>
              <w:t>综上，项目符合韶关市人民政府关于印发《韶关市“三线一单”生态环境分区管控方案的通知》的通知（韶府〔2021〕10号）的相关要求。</w:t>
            </w:r>
          </w:p>
          <w:p w14:paraId="2F0AA290">
            <w:pPr>
              <w:keepNext/>
              <w:keepLines/>
              <w:pageBreakBefore w:val="0"/>
              <w:tabs>
                <w:tab w:val="left" w:pos="0"/>
              </w:tabs>
              <w:wordWrap w:val="0"/>
              <w:overflowPunct/>
              <w:bidi w:val="0"/>
              <w:ind w:left="-2" w:firstLine="480" w:firstLineChars="200"/>
              <w:outlineLvl w:val="2"/>
              <w:rPr>
                <w:rFonts w:hint="default" w:ascii="Times New Roman" w:hAnsi="Times New Roman" w:cs="Times New Roman"/>
                <w:color w:val="auto"/>
                <w:highlight w:val="none"/>
              </w:rPr>
            </w:pPr>
            <w:r>
              <w:rPr>
                <w:rFonts w:hint="default" w:ascii="Times New Roman" w:hAnsi="Times New Roman" w:cs="Times New Roman"/>
                <w:b/>
                <w:bCs/>
                <w:color w:val="auto"/>
                <w:highlight w:val="none"/>
              </w:rPr>
              <w:t>六、相关规划相符性分析</w:t>
            </w:r>
          </w:p>
          <w:p w14:paraId="3879A0AC">
            <w:pPr>
              <w:keepNext/>
              <w:keepLines/>
              <w:pageBreakBefore w:val="0"/>
              <w:tabs>
                <w:tab w:val="left" w:pos="0"/>
              </w:tabs>
              <w:wordWrap w:val="0"/>
              <w:overflowPunct/>
              <w:bidi w:val="0"/>
              <w:ind w:firstLine="480" w:firstLineChars="200"/>
              <w:outlineLvl w:val="3"/>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1、</w:t>
            </w:r>
            <w:r>
              <w:rPr>
                <w:rFonts w:hint="default" w:ascii="Times New Roman" w:hAnsi="Times New Roman" w:cs="Times New Roman"/>
                <w:b/>
                <w:bCs/>
                <w:color w:val="auto"/>
                <w:highlight w:val="none"/>
                <w:lang w:val="en-US" w:eastAsia="zh-CN"/>
              </w:rPr>
              <w:t>与</w:t>
            </w:r>
            <w:r>
              <w:rPr>
                <w:rFonts w:hint="default" w:ascii="Times New Roman" w:hAnsi="Times New Roman" w:cs="Times New Roman"/>
                <w:b/>
                <w:bCs/>
                <w:color w:val="auto"/>
                <w:highlight w:val="none"/>
              </w:rPr>
              <w:t>《关于印发</w:t>
            </w:r>
            <w:r>
              <w:rPr>
                <w:rFonts w:hint="eastAsia" w:cs="Times New Roman"/>
                <w:b/>
                <w:bCs/>
                <w:color w:val="auto"/>
                <w:highlight w:val="none"/>
                <w:lang w:eastAsia="zh-CN"/>
              </w:rPr>
              <w:t>〈</w:t>
            </w:r>
            <w:r>
              <w:rPr>
                <w:rFonts w:hint="default" w:ascii="Times New Roman" w:hAnsi="Times New Roman" w:cs="Times New Roman"/>
                <w:b/>
                <w:bCs/>
                <w:color w:val="auto"/>
                <w:highlight w:val="none"/>
              </w:rPr>
              <w:t>广东省生态环境保护“十四五”规划</w:t>
            </w:r>
            <w:r>
              <w:rPr>
                <w:rFonts w:hint="eastAsia" w:cs="Times New Roman"/>
                <w:b/>
                <w:bCs/>
                <w:color w:val="auto"/>
                <w:highlight w:val="none"/>
                <w:lang w:eastAsia="zh-CN"/>
              </w:rPr>
              <w:t>〉</w:t>
            </w:r>
            <w:r>
              <w:rPr>
                <w:rFonts w:hint="default" w:ascii="Times New Roman" w:hAnsi="Times New Roman" w:cs="Times New Roman"/>
                <w:b/>
                <w:bCs/>
                <w:color w:val="auto"/>
                <w:highlight w:val="none"/>
              </w:rPr>
              <w:t>的通知》（粤环〔2021〕10号）</w:t>
            </w:r>
            <w:r>
              <w:rPr>
                <w:rFonts w:hint="default" w:ascii="Times New Roman" w:hAnsi="Times New Roman" w:cs="Times New Roman"/>
                <w:b/>
                <w:bCs/>
                <w:color w:val="auto"/>
                <w:highlight w:val="none"/>
                <w:lang w:val="en-US" w:eastAsia="zh-CN"/>
              </w:rPr>
              <w:t>的相符性分析</w:t>
            </w:r>
          </w:p>
          <w:p w14:paraId="59505D9B">
            <w:pPr>
              <w:pStyle w:val="12"/>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广东省生态环境保护“十四五”规划》要求：新建高能耗项目单位产品（产值）能耗达到国际国内先进水平。大力推进低VOCs含量原辅材料源头替代，严格落实国家和地方产品VOCs含量限值质量标准，禁止建设生产和使用高VOCs含量的溶剂型涂料、油墨、胶粘剂等项目。强化对企业涉VOCs生产车间/工序废气的收集管理，推动企业开展治理设施升级改造。</w:t>
            </w:r>
            <w:bookmarkStart w:id="10" w:name="_Toc13033"/>
            <w:bookmarkStart w:id="11" w:name="_Toc16815"/>
          </w:p>
          <w:p w14:paraId="53B0184D">
            <w:pPr>
              <w:pStyle w:val="18"/>
              <w:pageBreakBefore w:val="0"/>
              <w:wordWrap w:val="0"/>
              <w:overflowPunct/>
              <w:bidi w:val="0"/>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本项目使用的水性漆、油性漆</w:t>
            </w:r>
            <w:r>
              <w:rPr>
                <w:rFonts w:hint="default" w:ascii="Times New Roman" w:hAnsi="Times New Roman" w:cs="Times New Roman"/>
                <w:color w:val="auto"/>
                <w:sz w:val="24"/>
                <w:highlight w:val="none"/>
                <w:lang w:val="en-US" w:eastAsia="zh-CN"/>
              </w:rPr>
              <w:t>均</w:t>
            </w:r>
            <w:r>
              <w:rPr>
                <w:rFonts w:hint="default" w:ascii="Times New Roman" w:hAnsi="Times New Roman" w:cs="Times New Roman"/>
                <w:color w:val="auto"/>
                <w:sz w:val="24"/>
                <w:highlight w:val="none"/>
              </w:rPr>
              <w:t>符合《低挥发性有机化合物含量涂料产品技术要求》（GB/T38597-2020）要求，为低VOC型涂料。注塑产生的有机废气经收集后通过“二级活性炭吸附装置”处理达标后，由排气筒DA005高空排放，排放高度为15m；喷涂工序产生的有机废气经收集后通过“水喷淋+干式过滤器+二级活性炭吸附装置”处理达标后，由排气筒DA006高空排放，排放高度为15m。</w:t>
            </w:r>
            <w:bookmarkEnd w:id="10"/>
            <w:bookmarkEnd w:id="11"/>
          </w:p>
          <w:p w14:paraId="279C7455">
            <w:pPr>
              <w:pStyle w:val="12"/>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综上所述，本项目与《关于印发</w:t>
            </w:r>
            <w:r>
              <w:rPr>
                <w:rFonts w:hint="eastAsia" w:cs="Times New Roman"/>
                <w:color w:val="auto"/>
                <w:highlight w:val="none"/>
                <w:lang w:eastAsia="zh-CN"/>
              </w:rPr>
              <w:t>〈</w:t>
            </w:r>
            <w:r>
              <w:rPr>
                <w:rFonts w:hint="default" w:ascii="Times New Roman" w:hAnsi="Times New Roman" w:cs="Times New Roman"/>
                <w:color w:val="auto"/>
                <w:highlight w:val="none"/>
              </w:rPr>
              <w:t>广东省生态环境保护“十四五”规划</w:t>
            </w:r>
            <w:r>
              <w:rPr>
                <w:rFonts w:hint="eastAsia" w:cs="Times New Roman"/>
                <w:color w:val="auto"/>
                <w:highlight w:val="none"/>
                <w:lang w:eastAsia="zh-CN"/>
              </w:rPr>
              <w:t>〉</w:t>
            </w:r>
            <w:r>
              <w:rPr>
                <w:rFonts w:hint="default" w:ascii="Times New Roman" w:hAnsi="Times New Roman" w:cs="Times New Roman"/>
                <w:color w:val="auto"/>
                <w:highlight w:val="none"/>
              </w:rPr>
              <w:t>的通知》（粤环〔2021〕10号）相符。</w:t>
            </w:r>
          </w:p>
          <w:p w14:paraId="37A53995">
            <w:pPr>
              <w:pStyle w:val="12"/>
              <w:pageBreakBefore w:val="0"/>
              <w:wordWrap w:val="0"/>
              <w:overflowPunct/>
              <w:bidi w:val="0"/>
              <w:ind w:firstLine="482"/>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2、</w:t>
            </w:r>
            <w:r>
              <w:rPr>
                <w:rFonts w:hint="default" w:ascii="Times New Roman" w:hAnsi="Times New Roman" w:cs="Times New Roman"/>
                <w:b/>
                <w:bCs/>
                <w:color w:val="auto"/>
                <w:highlight w:val="none"/>
                <w:lang w:val="en-US" w:eastAsia="zh-CN"/>
              </w:rPr>
              <w:t>与</w:t>
            </w:r>
            <w:r>
              <w:rPr>
                <w:rFonts w:hint="default" w:ascii="Times New Roman" w:hAnsi="Times New Roman" w:cs="Times New Roman"/>
                <w:b/>
                <w:bCs/>
                <w:color w:val="auto"/>
                <w:highlight w:val="none"/>
              </w:rPr>
              <w:t>《韶关市人民政府办公室关于印发</w:t>
            </w:r>
            <w:r>
              <w:rPr>
                <w:rFonts w:hint="eastAsia" w:cs="Times New Roman"/>
                <w:b/>
                <w:bCs/>
                <w:color w:val="auto"/>
                <w:highlight w:val="none"/>
                <w:lang w:eastAsia="zh-CN"/>
              </w:rPr>
              <w:t>〈</w:t>
            </w:r>
            <w:r>
              <w:rPr>
                <w:rFonts w:hint="default" w:ascii="Times New Roman" w:hAnsi="Times New Roman" w:cs="Times New Roman"/>
                <w:b/>
                <w:bCs/>
                <w:color w:val="auto"/>
                <w:highlight w:val="none"/>
              </w:rPr>
              <w:t>韶关市生态环境保护“十四五”规划</w:t>
            </w:r>
            <w:r>
              <w:rPr>
                <w:rFonts w:hint="eastAsia" w:cs="Times New Roman"/>
                <w:b/>
                <w:bCs/>
                <w:color w:val="auto"/>
                <w:highlight w:val="none"/>
                <w:lang w:eastAsia="zh-CN"/>
              </w:rPr>
              <w:t>〉</w:t>
            </w:r>
            <w:r>
              <w:rPr>
                <w:rFonts w:hint="default" w:ascii="Times New Roman" w:hAnsi="Times New Roman" w:cs="Times New Roman"/>
                <w:b/>
                <w:bCs/>
                <w:color w:val="auto"/>
                <w:highlight w:val="none"/>
              </w:rPr>
              <w:t>的通知》（韶府办〔2022〕1号）</w:t>
            </w:r>
            <w:r>
              <w:rPr>
                <w:rFonts w:hint="default" w:ascii="Times New Roman" w:hAnsi="Times New Roman" w:cs="Times New Roman"/>
                <w:b/>
                <w:bCs/>
                <w:color w:val="auto"/>
                <w:highlight w:val="none"/>
                <w:lang w:val="en-US" w:eastAsia="zh-CN"/>
              </w:rPr>
              <w:t>的相符性分析</w:t>
            </w:r>
          </w:p>
          <w:p w14:paraId="3AF76C70">
            <w:pPr>
              <w:pageBreakBefore w:val="0"/>
              <w:widowControl/>
              <w:wordWrap w:val="0"/>
              <w:overflowPunct/>
              <w:bidi w:val="0"/>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文件要求：深化工业源污染治理。以挥发性有机物、工业炉窑和锅炉综合治理为重点，深化工业源污染防治，健全分级管控体系，提升重点行业企业深度治理水平。深化工业炉窑和锅炉排放治理。加大工业锅炉整治力度，禁止新建35蒸吨/小时以下燃煤锅炉；推进陶瓷等行业实施深度治理，持续开展生物质成型燃料锅炉整治，推动实施燃气锅炉低氮燃烧改造。严格实施工业炉窑分级管控，全面推动B级以下工业炉窑的清洁低碳化改造、废气治理设施升级改造、全过程无组织排放管控。</w:t>
            </w:r>
          </w:p>
          <w:p w14:paraId="1E8BF4B9">
            <w:pPr>
              <w:pStyle w:val="12"/>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项目不涉及锅炉，</w:t>
            </w:r>
            <w:r>
              <w:rPr>
                <w:rFonts w:hint="default" w:ascii="Times New Roman" w:hAnsi="Times New Roman" w:cs="Times New Roman"/>
                <w:color w:val="auto"/>
                <w:highlight w:val="none"/>
                <w:lang w:eastAsia="zh-CN"/>
              </w:rPr>
              <w:t>设备均采用电能，</w:t>
            </w:r>
            <w:r>
              <w:rPr>
                <w:rFonts w:hint="default" w:ascii="Times New Roman" w:hAnsi="Times New Roman" w:cs="Times New Roman"/>
                <w:color w:val="auto"/>
                <w:highlight w:val="none"/>
                <w:lang w:val="en-US" w:eastAsia="zh-CN"/>
              </w:rPr>
              <w:t>注塑产生的有机废气</w:t>
            </w:r>
            <w:r>
              <w:rPr>
                <w:rFonts w:hint="default" w:ascii="Times New Roman" w:hAnsi="Times New Roman" w:cs="Times New Roman"/>
                <w:color w:val="auto"/>
                <w:highlight w:val="none"/>
              </w:rPr>
              <w:t>经</w:t>
            </w:r>
            <w:r>
              <w:rPr>
                <w:rFonts w:hint="default" w:ascii="Times New Roman" w:hAnsi="Times New Roman" w:cs="Times New Roman"/>
                <w:color w:val="auto"/>
                <w:highlight w:val="none"/>
                <w:lang w:val="en-US" w:eastAsia="zh-CN"/>
              </w:rPr>
              <w:t>收集后通过“二级活性炭吸附装置”处理达标后，由</w:t>
            </w:r>
            <w:r>
              <w:rPr>
                <w:rFonts w:hint="default" w:ascii="Times New Roman" w:hAnsi="Times New Roman" w:cs="Times New Roman"/>
                <w:color w:val="auto"/>
                <w:highlight w:val="none"/>
              </w:rPr>
              <w:t>排气筒DA00</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高空排放，排放高度为</w:t>
            </w:r>
            <w:r>
              <w:rPr>
                <w:rFonts w:hint="default" w:ascii="Times New Roman" w:hAnsi="Times New Roman" w:cs="Times New Roman"/>
                <w:color w:val="auto"/>
                <w:sz w:val="24"/>
                <w:highlight w:val="none"/>
                <w:lang w:val="en-US" w:eastAsia="zh-CN"/>
              </w:rPr>
              <w:t>15</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highlight w:val="none"/>
                <w:lang w:val="en-US" w:eastAsia="zh-CN"/>
              </w:rPr>
              <w:t>喷涂</w:t>
            </w:r>
            <w:r>
              <w:rPr>
                <w:rFonts w:hint="default" w:ascii="Times New Roman" w:hAnsi="Times New Roman" w:cs="Times New Roman"/>
                <w:color w:val="auto"/>
                <w:highlight w:val="none"/>
                <w:lang w:eastAsia="zh-CN"/>
              </w:rPr>
              <w:t>工序</w:t>
            </w:r>
            <w:r>
              <w:rPr>
                <w:rFonts w:hint="default" w:ascii="Times New Roman" w:hAnsi="Times New Roman" w:cs="Times New Roman"/>
                <w:color w:val="auto"/>
                <w:highlight w:val="none"/>
              </w:rPr>
              <w:t>产生的</w:t>
            </w:r>
            <w:r>
              <w:rPr>
                <w:rFonts w:hint="default" w:ascii="Times New Roman" w:hAnsi="Times New Roman" w:cs="Times New Roman"/>
                <w:color w:val="auto"/>
                <w:highlight w:val="none"/>
                <w:lang w:val="en-US" w:eastAsia="zh-CN"/>
              </w:rPr>
              <w:t>有机废气</w:t>
            </w:r>
            <w:r>
              <w:rPr>
                <w:rFonts w:hint="default" w:ascii="Times New Roman" w:hAnsi="Times New Roman" w:cs="Times New Roman"/>
                <w:color w:val="auto"/>
                <w:highlight w:val="none"/>
              </w:rPr>
              <w:t>经</w:t>
            </w:r>
            <w:r>
              <w:rPr>
                <w:rFonts w:hint="default" w:ascii="Times New Roman" w:hAnsi="Times New Roman" w:cs="Times New Roman"/>
                <w:color w:val="auto"/>
                <w:highlight w:val="none"/>
                <w:lang w:val="en-US" w:eastAsia="zh-CN"/>
              </w:rPr>
              <w:t>收集后通过“水喷淋+干式过滤器+二级活性炭吸附装置”处理达标后，由</w:t>
            </w:r>
            <w:r>
              <w:rPr>
                <w:rFonts w:hint="default" w:ascii="Times New Roman" w:hAnsi="Times New Roman" w:cs="Times New Roman"/>
                <w:color w:val="auto"/>
                <w:highlight w:val="none"/>
              </w:rPr>
              <w:t>排气筒DA00</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高空排放，排放高度为</w:t>
            </w:r>
            <w:r>
              <w:rPr>
                <w:rFonts w:hint="default" w:ascii="Times New Roman" w:hAnsi="Times New Roman" w:cs="Times New Roman"/>
                <w:color w:val="auto"/>
                <w:sz w:val="24"/>
                <w:highlight w:val="none"/>
                <w:lang w:val="en-US" w:eastAsia="zh-CN"/>
              </w:rPr>
              <w:t>15</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highlight w:val="none"/>
              </w:rPr>
              <w:t>故本项目与韶关市人民政府办公室《关于印发</w:t>
            </w:r>
            <w:r>
              <w:rPr>
                <w:rFonts w:hint="eastAsia" w:cs="Times New Roman"/>
                <w:color w:val="auto"/>
                <w:highlight w:val="none"/>
                <w:lang w:eastAsia="zh-CN"/>
              </w:rPr>
              <w:t>〈</w:t>
            </w:r>
            <w:r>
              <w:rPr>
                <w:rFonts w:hint="default" w:ascii="Times New Roman" w:hAnsi="Times New Roman" w:cs="Times New Roman"/>
                <w:color w:val="auto"/>
                <w:highlight w:val="none"/>
              </w:rPr>
              <w:t>韶关市生态环境保护“十四五”规划</w:t>
            </w:r>
            <w:r>
              <w:rPr>
                <w:rFonts w:hint="eastAsia" w:cs="Times New Roman"/>
                <w:color w:val="auto"/>
                <w:highlight w:val="none"/>
                <w:lang w:eastAsia="zh-CN"/>
              </w:rPr>
              <w:t>〉</w:t>
            </w:r>
            <w:r>
              <w:rPr>
                <w:rFonts w:hint="default" w:ascii="Times New Roman" w:hAnsi="Times New Roman" w:cs="Times New Roman"/>
                <w:color w:val="auto"/>
                <w:highlight w:val="none"/>
              </w:rPr>
              <w:t>的通知》（韶府办〔2022〕1号）相符。</w:t>
            </w:r>
          </w:p>
          <w:p w14:paraId="279198B3">
            <w:pPr>
              <w:pStyle w:val="18"/>
              <w:pageBreakBefore w:val="0"/>
              <w:wordWrap w:val="0"/>
              <w:overflowPunct/>
              <w:bidi w:val="0"/>
              <w:ind w:firstLine="482"/>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rPr>
              <w:t>3、</w:t>
            </w:r>
            <w:r>
              <w:rPr>
                <w:rFonts w:hint="default" w:ascii="Times New Roman" w:hAnsi="Times New Roman" w:cs="Times New Roman"/>
                <w:b/>
                <w:bCs/>
                <w:color w:val="auto"/>
                <w:sz w:val="24"/>
                <w:highlight w:val="none"/>
                <w:lang w:val="en-US" w:eastAsia="zh-CN"/>
              </w:rPr>
              <w:t>与</w:t>
            </w:r>
            <w:r>
              <w:rPr>
                <w:rFonts w:hint="default" w:ascii="Times New Roman" w:hAnsi="Times New Roman" w:cs="Times New Roman"/>
                <w:b/>
                <w:bCs/>
                <w:color w:val="auto"/>
                <w:sz w:val="24"/>
                <w:highlight w:val="none"/>
              </w:rPr>
              <w:t>《乐昌市人民政府办公室关于印发乐昌市生态环境保护“十四五”规划的通知》（乐府办〔2022〕16号）</w:t>
            </w:r>
            <w:r>
              <w:rPr>
                <w:rFonts w:hint="default" w:ascii="Times New Roman" w:hAnsi="Times New Roman" w:cs="Times New Roman"/>
                <w:b/>
                <w:bCs/>
                <w:color w:val="auto"/>
                <w:sz w:val="24"/>
                <w:highlight w:val="none"/>
                <w:lang w:val="en-US" w:eastAsia="zh-CN"/>
              </w:rPr>
              <w:t>的相符性分析</w:t>
            </w:r>
          </w:p>
          <w:p w14:paraId="4B6A28AF">
            <w:pPr>
              <w:pStyle w:val="45"/>
              <w:pageBreakBefore w:val="0"/>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深化重点污染源治理，推进污染物减排。在水泥、化工、火电等行业全面执行大气污染物特别排放限值。逐步推进水泥行业实施超低排放改造，力争到2025年全市水泥</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熟料</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制造企业的水泥窑及窑尾余热利用系统烟气 NOx 排放浓度不高于100mg/m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。持续开展生物质成型燃料锅炉整治，推动实施燃气锅炉低氮燃烧改造。严格实施工业炉窑分级管控，全面推动B级以下企业工业炉窑的燃料清洁低碳化替代、废气治理设施升级改造、全过程无组织排放管控。</w:t>
            </w:r>
          </w:p>
          <w:p w14:paraId="1C800B07">
            <w:pPr>
              <w:pStyle w:val="18"/>
              <w:pageBreakBefore w:val="0"/>
              <w:wordWrap w:val="0"/>
              <w:overflowPunct/>
              <w:bidi w:val="0"/>
              <w:ind w:firstLine="48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项目不涉及锅炉，</w:t>
            </w:r>
            <w:r>
              <w:rPr>
                <w:rFonts w:hint="default" w:ascii="Times New Roman" w:hAnsi="Times New Roman" w:cs="Times New Roman"/>
                <w:color w:val="auto"/>
                <w:sz w:val="24"/>
                <w:szCs w:val="28"/>
                <w:highlight w:val="none"/>
                <w:lang w:eastAsia="zh-CN"/>
              </w:rPr>
              <w:t>设备均采用电能，注塑产生的有机废气经收集后通过“二级活性炭吸附装置”处理达标后，由排气筒DA005高空排放，排放高度为15m；喷涂工序产生的有机废气经收集后通过“水喷淋+干式过滤器+二级活性炭吸附装置”处理达标后，由排气筒DA006高空排放，排放高度为15m</w:t>
            </w:r>
            <w:r>
              <w:rPr>
                <w:rFonts w:hint="default" w:ascii="Times New Roman" w:hAnsi="Times New Roman" w:cs="Times New Roman"/>
                <w:color w:val="auto"/>
                <w:sz w:val="24"/>
                <w:highlight w:val="none"/>
              </w:rPr>
              <w:t>。</w:t>
            </w:r>
            <w:r>
              <w:rPr>
                <w:rFonts w:hint="default" w:ascii="Times New Roman" w:hAnsi="Times New Roman" w:cs="Times New Roman"/>
                <w:color w:val="auto"/>
                <w:sz w:val="24"/>
                <w:szCs w:val="28"/>
                <w:highlight w:val="none"/>
              </w:rPr>
              <w:t>故本项目与乐昌市人民政府办公室《关于印发乐昌市生态环境保护“十四五”规划的通知》（乐府办〔2022〕16号）相符。</w:t>
            </w:r>
          </w:p>
          <w:p w14:paraId="11E303EB">
            <w:pPr>
              <w:pStyle w:val="5"/>
              <w:pageBreakBefore w:val="0"/>
              <w:numPr>
                <w:ilvl w:val="3"/>
                <w:numId w:val="0"/>
              </w:numPr>
              <w:wordWrap w:val="0"/>
              <w:overflowPunct/>
              <w:bidi w:val="0"/>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七、</w:t>
            </w:r>
            <w:r>
              <w:rPr>
                <w:rFonts w:hint="default" w:ascii="Times New Roman" w:hAnsi="Times New Roman" w:cs="Times New Roman"/>
                <w:color w:val="auto"/>
                <w:highlight w:val="none"/>
                <w:lang w:val="en-US" w:eastAsia="zh-CN"/>
              </w:rPr>
              <w:t>与</w:t>
            </w:r>
            <w:r>
              <w:rPr>
                <w:rFonts w:hint="default" w:ascii="Times New Roman" w:hAnsi="Times New Roman" w:cs="Times New Roman"/>
                <w:color w:val="auto"/>
                <w:highlight w:val="none"/>
              </w:rPr>
              <w:t>《环境保护部关于印发</w:t>
            </w:r>
            <w:r>
              <w:rPr>
                <w:rFonts w:hint="eastAsia" w:cs="Times New Roman"/>
                <w:color w:val="auto"/>
                <w:highlight w:val="none"/>
                <w:lang w:eastAsia="zh-CN"/>
              </w:rPr>
              <w:t>〈</w:t>
            </w:r>
            <w:r>
              <w:rPr>
                <w:rFonts w:hint="default" w:ascii="Times New Roman" w:hAnsi="Times New Roman" w:cs="Times New Roman"/>
                <w:color w:val="auto"/>
                <w:highlight w:val="none"/>
              </w:rPr>
              <w:t>重点行业挥发性有机物综合治理方案</w:t>
            </w:r>
            <w:r>
              <w:rPr>
                <w:rFonts w:hint="eastAsia" w:cs="Times New Roman"/>
                <w:color w:val="auto"/>
                <w:highlight w:val="none"/>
                <w:lang w:eastAsia="zh-CN"/>
              </w:rPr>
              <w:t>〉</w:t>
            </w:r>
            <w:r>
              <w:rPr>
                <w:rFonts w:hint="default" w:ascii="Times New Roman" w:hAnsi="Times New Roman" w:cs="Times New Roman"/>
                <w:color w:val="auto"/>
                <w:highlight w:val="none"/>
              </w:rPr>
              <w:t>的通知》（环大气〔2019〕53号）</w:t>
            </w:r>
            <w:r>
              <w:rPr>
                <w:rFonts w:hint="default" w:ascii="Times New Roman" w:hAnsi="Times New Roman" w:cs="Times New Roman"/>
                <w:color w:val="auto"/>
                <w:highlight w:val="none"/>
                <w:lang w:val="en-US" w:eastAsia="zh-CN"/>
              </w:rPr>
              <w:t>的相符性分析</w:t>
            </w:r>
          </w:p>
          <w:p w14:paraId="21478AA4">
            <w:pPr>
              <w:pStyle w:val="12"/>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文件中提出：“大力推进源头替代。化工行业要推广使用低（无）VOCs含量、低反应活性的原辅材料。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推进建设适宜高效的治污设施。”</w:t>
            </w:r>
          </w:p>
          <w:p w14:paraId="3DD1E92E">
            <w:pPr>
              <w:pStyle w:val="12"/>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不属于重点行业，涉及</w:t>
            </w:r>
            <w:r>
              <w:rPr>
                <w:rFonts w:hint="default" w:ascii="Times New Roman" w:hAnsi="Times New Roman" w:cs="Times New Roman"/>
                <w:color w:val="auto"/>
                <w:highlight w:val="none"/>
              </w:rPr>
              <w:t>VOCs原料</w:t>
            </w:r>
            <w:r>
              <w:rPr>
                <w:rFonts w:hint="default" w:ascii="Times New Roman" w:hAnsi="Times New Roman" w:cs="Times New Roman"/>
                <w:color w:val="auto"/>
                <w:highlight w:val="none"/>
                <w:lang w:val="en-US" w:eastAsia="zh-CN"/>
              </w:rPr>
              <w:t>采用密闭容器储存</w:t>
            </w:r>
            <w:r>
              <w:rPr>
                <w:rFonts w:hint="default" w:ascii="Times New Roman" w:hAnsi="Times New Roman" w:cs="Times New Roman"/>
                <w:color w:val="auto"/>
                <w:highlight w:val="none"/>
              </w:rPr>
              <w:t>，可从源头有效控制VOCs排放，注塑产生的有机废气经收集后通过“二级活性炭吸附装置”处理达标后，由排气筒DA005高空排放，排放高度为15m；喷涂工序产生的有机废气经收集后通过“水喷淋+干式过滤器+二级活性炭吸附装置”处理达标后，由排气筒DA006高空排放，排放高度为15m</w:t>
            </w:r>
            <w:r>
              <w:rPr>
                <w:rFonts w:hint="default" w:ascii="Times New Roman" w:hAnsi="Times New Roman" w:cs="Times New Roman"/>
                <w:color w:val="auto"/>
                <w:sz w:val="24"/>
                <w:highlight w:val="none"/>
              </w:rPr>
              <w:t>。</w:t>
            </w:r>
            <w:r>
              <w:rPr>
                <w:rFonts w:hint="default" w:ascii="Times New Roman" w:hAnsi="Times New Roman" w:cs="Times New Roman"/>
                <w:color w:val="auto"/>
                <w:highlight w:val="none"/>
              </w:rPr>
              <w:t>综上，本项目与环境保护部《关于印发</w:t>
            </w:r>
            <w:r>
              <w:rPr>
                <w:rFonts w:hint="eastAsia" w:cs="Times New Roman"/>
                <w:color w:val="auto"/>
                <w:highlight w:val="none"/>
                <w:lang w:eastAsia="zh-CN"/>
              </w:rPr>
              <w:t>〈</w:t>
            </w:r>
            <w:r>
              <w:rPr>
                <w:rFonts w:hint="default" w:ascii="Times New Roman" w:hAnsi="Times New Roman" w:cs="Times New Roman"/>
                <w:color w:val="auto"/>
                <w:highlight w:val="none"/>
              </w:rPr>
              <w:t>重点行业挥发性有机物综合治理方案</w:t>
            </w:r>
            <w:r>
              <w:rPr>
                <w:rFonts w:hint="eastAsia" w:cs="Times New Roman"/>
                <w:color w:val="auto"/>
                <w:highlight w:val="none"/>
                <w:lang w:eastAsia="zh-CN"/>
              </w:rPr>
              <w:t>〉</w:t>
            </w:r>
            <w:r>
              <w:rPr>
                <w:rFonts w:hint="default" w:ascii="Times New Roman" w:hAnsi="Times New Roman" w:cs="Times New Roman"/>
                <w:color w:val="auto"/>
                <w:highlight w:val="none"/>
              </w:rPr>
              <w:t>的通知》（环大气〔2019〕53号）相符。</w:t>
            </w:r>
          </w:p>
          <w:p w14:paraId="771965D3">
            <w:pPr>
              <w:pStyle w:val="5"/>
              <w:pageBreakBefore w:val="0"/>
              <w:numPr>
                <w:ilvl w:val="3"/>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八</w:t>
            </w:r>
            <w:r>
              <w:rPr>
                <w:rFonts w:hint="default" w:ascii="Times New Roman" w:hAnsi="Times New Roman" w:cs="Times New Roman"/>
                <w:color w:val="auto"/>
                <w:highlight w:val="none"/>
              </w:rPr>
              <w:t>、与《广东省塑料制品与制造业挥发性有机物综合整治技术指南》相符性分析</w:t>
            </w:r>
          </w:p>
          <w:p w14:paraId="098ECA9B">
            <w:pPr>
              <w:keepNext w:val="0"/>
              <w:keepLines w:val="0"/>
              <w:pageBreakBefore w:val="0"/>
              <w:widowControl w:val="0"/>
              <w:kinsoku/>
              <w:wordWrap w:val="0"/>
              <w:overflowPunct/>
              <w:topLinePunct w:val="0"/>
              <w:autoSpaceDE/>
              <w:autoSpaceDN/>
              <w:bidi w:val="0"/>
              <w:adjustRightInd/>
              <w:snapToGrid/>
              <w:spacing w:line="240" w:lineRule="auto"/>
              <w:ind w:right="86" w:rightChars="36" w:firstLine="420" w:firstLineChars="20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表1-</w:t>
            </w:r>
            <w:r>
              <w:rPr>
                <w:rFonts w:hint="default" w:ascii="Times New Roman" w:hAnsi="Times New Roman" w:cs="Times New Roman"/>
                <w:b/>
                <w:bCs/>
                <w:color w:val="auto"/>
                <w:sz w:val="21"/>
                <w:szCs w:val="21"/>
                <w:highlight w:val="none"/>
                <w:lang w:val="en-US" w:eastAsia="zh-CN"/>
              </w:rPr>
              <w:t>4</w:t>
            </w:r>
            <w:r>
              <w:rPr>
                <w:rFonts w:hint="default" w:ascii="Times New Roman" w:hAnsi="Times New Roman" w:cs="Times New Roman"/>
                <w:b/>
                <w:bCs/>
                <w:color w:val="auto"/>
                <w:sz w:val="21"/>
                <w:szCs w:val="21"/>
                <w:highlight w:val="none"/>
              </w:rPr>
              <w:t>本项目与《广东省塑料制品与制造业挥发性有机物综合整治技术指南》的相关相符性分析</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34"/>
              <w:gridCol w:w="4199"/>
              <w:gridCol w:w="2618"/>
              <w:gridCol w:w="490"/>
              <w:gridCol w:w="5"/>
            </w:tblGrid>
            <w:tr w14:paraId="73E9C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gridAfter w:val="1"/>
                <w:wAfter w:w="0" w:type="auto"/>
                <w:trHeight w:val="90" w:hRule="atLeast"/>
              </w:trPr>
              <w:tc>
                <w:tcPr>
                  <w:tcW w:w="0" w:type="auto"/>
                  <w:gridSpan w:val="2"/>
                  <w:shd w:val="clear" w:color="auto" w:fill="auto"/>
                  <w:vAlign w:val="center"/>
                </w:tcPr>
                <w:p w14:paraId="4D23057D">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政策要求</w:t>
                  </w:r>
                </w:p>
              </w:tc>
              <w:tc>
                <w:tcPr>
                  <w:tcW w:w="2618" w:type="dxa"/>
                  <w:shd w:val="clear" w:color="auto" w:fill="auto"/>
                  <w:vAlign w:val="center"/>
                </w:tcPr>
                <w:p w14:paraId="3B404AA2">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项目情况</w:t>
                  </w:r>
                </w:p>
              </w:tc>
              <w:tc>
                <w:tcPr>
                  <w:tcW w:w="490" w:type="dxa"/>
                  <w:shd w:val="clear" w:color="auto" w:fill="auto"/>
                  <w:vAlign w:val="center"/>
                </w:tcPr>
                <w:p w14:paraId="3C3B7FC3">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相符性分析</w:t>
                  </w:r>
                </w:p>
              </w:tc>
            </w:tr>
            <w:tr w14:paraId="73F97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gridAfter w:val="1"/>
                <w:wAfter w:w="0" w:type="auto"/>
                <w:trHeight w:val="2400" w:hRule="atLeast"/>
              </w:trPr>
              <w:tc>
                <w:tcPr>
                  <w:tcW w:w="0" w:type="auto"/>
                  <w:vMerge w:val="restart"/>
                  <w:shd w:val="clear" w:color="auto" w:fill="auto"/>
                  <w:vAlign w:val="center"/>
                </w:tcPr>
                <w:p w14:paraId="03F4B6AB">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污染预防技术</w:t>
                  </w:r>
                </w:p>
              </w:tc>
              <w:tc>
                <w:tcPr>
                  <w:tcW w:w="0" w:type="auto"/>
                  <w:shd w:val="clear" w:color="auto" w:fill="auto"/>
                  <w:vAlign w:val="center"/>
                </w:tcPr>
                <w:p w14:paraId="22113D34">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1</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使用符合《胶粘剂挥发性有机化合物限量》</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GB33372-2020)、 《清洗剂挥发性有机化合物含量限值》</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GB38508-2020)、《油墨中可挥发性有机化合物</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VOCs</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含量的限值》</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GB38507-2020)、《玩具用涂料中有害物质限量》</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GB24613-2009)、《工业防护涂料中有害物质限量》</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GB30981-2020</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要求的胶粘剂、清洗剂、油墨和涂料等。</w:t>
                  </w:r>
                </w:p>
              </w:tc>
              <w:tc>
                <w:tcPr>
                  <w:tcW w:w="2618" w:type="dxa"/>
                  <w:vMerge w:val="restart"/>
                  <w:shd w:val="clear" w:color="auto" w:fill="auto"/>
                  <w:vAlign w:val="center"/>
                </w:tcPr>
                <w:p w14:paraId="66377325">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本项目使用的水性漆、油性漆均符合《低挥发性有机化合物含量涂料产品技术要求》（GB/T38597-2020）要求，为低VOC型涂料</w:t>
                  </w:r>
                  <w:r>
                    <w:rPr>
                      <w:rFonts w:hint="default" w:ascii="Times New Roman" w:hAnsi="Times New Roman" w:cs="Times New Roman"/>
                      <w:color w:val="auto"/>
                      <w:highlight w:val="none"/>
                      <w:lang w:eastAsia="zh-CN"/>
                    </w:rPr>
                    <w:t>。</w:t>
                  </w:r>
                </w:p>
                <w:p w14:paraId="08E008FC">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本项目使用静电喷涂技术、智能化喷涂设备。</w:t>
                  </w:r>
                </w:p>
              </w:tc>
              <w:tc>
                <w:tcPr>
                  <w:tcW w:w="490" w:type="dxa"/>
                  <w:vMerge w:val="restart"/>
                  <w:shd w:val="clear" w:color="auto" w:fill="auto"/>
                  <w:vAlign w:val="center"/>
                </w:tcPr>
                <w:p w14:paraId="661CCAEC">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相符</w:t>
                  </w:r>
                </w:p>
              </w:tc>
            </w:tr>
            <w:tr w14:paraId="1DFB7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gridAfter w:val="1"/>
                <w:wAfter w:w="0" w:type="auto"/>
                <w:trHeight w:val="720" w:hRule="atLeast"/>
              </w:trPr>
              <w:tc>
                <w:tcPr>
                  <w:tcW w:w="0" w:type="auto"/>
                  <w:vMerge w:val="continue"/>
                  <w:shd w:val="clear" w:color="auto" w:fill="auto"/>
                  <w:vAlign w:val="center"/>
                </w:tcPr>
                <w:p w14:paraId="093AA7F7">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0" w:type="auto"/>
                  <w:shd w:val="clear" w:color="auto" w:fill="auto"/>
                  <w:vAlign w:val="center"/>
                </w:tcPr>
                <w:p w14:paraId="03B42014">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2</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采用水性、高固、能量固化油墨代替溶剂型油墨；鼓励使用无溶剂胶黏剂、无溶剂涂料、辐射固化涂料。</w:t>
                  </w:r>
                </w:p>
              </w:tc>
              <w:tc>
                <w:tcPr>
                  <w:tcW w:w="2618" w:type="dxa"/>
                  <w:vMerge w:val="continue"/>
                  <w:shd w:val="clear" w:color="auto" w:fill="auto"/>
                  <w:vAlign w:val="center"/>
                </w:tcPr>
                <w:p w14:paraId="3AE759B9">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490" w:type="dxa"/>
                  <w:vMerge w:val="continue"/>
                  <w:shd w:val="clear" w:color="auto" w:fill="auto"/>
                  <w:vAlign w:val="center"/>
                </w:tcPr>
                <w:p w14:paraId="7DC12353">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r>
            <w:tr w14:paraId="7754E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auto"/>
                <w:trHeight w:val="255" w:hRule="atLeast"/>
              </w:trPr>
              <w:tc>
                <w:tcPr>
                  <w:tcW w:w="0" w:type="auto"/>
                  <w:vMerge w:val="continue"/>
                  <w:shd w:val="clear" w:color="auto" w:fill="auto"/>
                  <w:vAlign w:val="center"/>
                </w:tcPr>
                <w:p w14:paraId="188713DA">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0" w:type="auto"/>
                  <w:shd w:val="clear" w:color="auto" w:fill="auto"/>
                  <w:vAlign w:val="center"/>
                </w:tcPr>
                <w:p w14:paraId="2620C429">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3</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推广使用静电喷涂技术。</w:t>
                  </w:r>
                </w:p>
              </w:tc>
              <w:tc>
                <w:tcPr>
                  <w:tcW w:w="2618" w:type="dxa"/>
                  <w:vMerge w:val="continue"/>
                  <w:shd w:val="clear" w:color="auto" w:fill="auto"/>
                  <w:vAlign w:val="center"/>
                </w:tcPr>
                <w:p w14:paraId="268C2477">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490" w:type="dxa"/>
                  <w:vMerge w:val="continue"/>
                  <w:shd w:val="clear" w:color="auto" w:fill="auto"/>
                  <w:vAlign w:val="center"/>
                </w:tcPr>
                <w:p w14:paraId="421E8FD2">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r>
            <w:tr w14:paraId="1C6DD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gridAfter w:val="1"/>
                <w:wAfter w:w="0" w:type="auto"/>
                <w:trHeight w:val="255" w:hRule="atLeast"/>
              </w:trPr>
              <w:tc>
                <w:tcPr>
                  <w:tcW w:w="0" w:type="auto"/>
                  <w:vMerge w:val="continue"/>
                  <w:shd w:val="clear" w:color="auto" w:fill="auto"/>
                  <w:vAlign w:val="center"/>
                </w:tcPr>
                <w:p w14:paraId="5A0CE15D">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0" w:type="auto"/>
                  <w:shd w:val="clear" w:color="auto" w:fill="auto"/>
                  <w:vAlign w:val="center"/>
                </w:tcPr>
                <w:p w14:paraId="46523271">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4</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采用自动化、智能化喷涂设备替代人工喷涂</w:t>
                  </w:r>
                </w:p>
              </w:tc>
              <w:tc>
                <w:tcPr>
                  <w:tcW w:w="2618" w:type="dxa"/>
                  <w:vMerge w:val="continue"/>
                  <w:shd w:val="clear" w:color="auto" w:fill="auto"/>
                  <w:vAlign w:val="center"/>
                </w:tcPr>
                <w:p w14:paraId="488C5342">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490" w:type="dxa"/>
                  <w:vMerge w:val="continue"/>
                  <w:shd w:val="clear" w:color="auto" w:fill="auto"/>
                  <w:vAlign w:val="center"/>
                </w:tcPr>
                <w:p w14:paraId="392C8BDE">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r>
            <w:tr w14:paraId="5A03F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auto"/>
                <w:trHeight w:val="4080" w:hRule="atLeast"/>
              </w:trPr>
              <w:tc>
                <w:tcPr>
                  <w:tcW w:w="0" w:type="auto"/>
                  <w:shd w:val="clear" w:color="auto" w:fill="auto"/>
                  <w:vAlign w:val="center"/>
                </w:tcPr>
                <w:p w14:paraId="0BF3E48E">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过程控制技术</w:t>
                  </w:r>
                </w:p>
              </w:tc>
              <w:tc>
                <w:tcPr>
                  <w:tcW w:w="0" w:type="auto"/>
                  <w:shd w:val="clear" w:color="auto" w:fill="auto"/>
                  <w:vAlign w:val="center"/>
                </w:tcPr>
                <w:p w14:paraId="774DBB97">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VOCs物料密闭储存；盛装VOCs物料的容器或包装袋应存放于室内，或存放于设置有雨棚、遮阳和防渗设施的专用场地；盛装VOCs物料的容器或包装袋在非取用状态时加盖、封口，保持密闭。液态VOCs物料投加，采用密闭管道输送方式或采用高位槽</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罐</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桶泵等给料方式密闭投加。粉状、粒状VOCs物料投加，宜采用气力输送方式或采用密闭固体投料器等给料方式密闭投加。压制、压延、发泡、涂饰、印刷、清洗等涉VOCs工序应采用密闭设备或在密闭空间内操作，废气排至废气收集处理系统。塑炼/塑化/熔化、挤出、注塑、吹膜等成型工序可采取局部气体收集措施，且满足控制风速不低于0.3m/s的要求。</w:t>
                  </w:r>
                </w:p>
              </w:tc>
              <w:tc>
                <w:tcPr>
                  <w:tcW w:w="2618" w:type="dxa"/>
                  <w:shd w:val="clear" w:color="auto" w:fill="auto"/>
                  <w:vAlign w:val="center"/>
                </w:tcPr>
                <w:p w14:paraId="27203F20">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本项目原辅料均采用密闭包装袋储存，并放于室内，采用密闭的包装袋进行物料转移；项目注塑、喷涂工序均在密闭空间内操作，废气排至废气收集处理系统。</w:t>
                  </w:r>
                </w:p>
              </w:tc>
              <w:tc>
                <w:tcPr>
                  <w:tcW w:w="490" w:type="dxa"/>
                  <w:shd w:val="clear" w:color="auto" w:fill="auto"/>
                  <w:vAlign w:val="center"/>
                </w:tcPr>
                <w:p w14:paraId="637A3A54">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相符</w:t>
                  </w:r>
                </w:p>
              </w:tc>
            </w:tr>
            <w:tr w14:paraId="1E663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200" w:hRule="atLeast"/>
              </w:trPr>
              <w:tc>
                <w:tcPr>
                  <w:tcW w:w="0" w:type="auto"/>
                  <w:vMerge w:val="restart"/>
                  <w:shd w:val="clear" w:color="auto" w:fill="auto"/>
                  <w:vAlign w:val="center"/>
                </w:tcPr>
                <w:p w14:paraId="13B03B6C">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末端治理</w:t>
                  </w:r>
                </w:p>
              </w:tc>
              <w:tc>
                <w:tcPr>
                  <w:tcW w:w="0" w:type="auto"/>
                  <w:shd w:val="clear" w:color="auto" w:fill="auto"/>
                  <w:vAlign w:val="center"/>
                </w:tcPr>
                <w:p w14:paraId="544CDF3B">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1</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有机废气分类收集、分质处理，水溶性组分占比较大的有机废气宜采用含水喷淋吸收的组合技术处理；非水溶组分有机废气宜采用热氧化或其他组合技术进行处理。</w:t>
                  </w:r>
                </w:p>
              </w:tc>
              <w:tc>
                <w:tcPr>
                  <w:tcW w:w="2613" w:type="dxa"/>
                  <w:shd w:val="clear" w:color="auto" w:fill="auto"/>
                  <w:vAlign w:val="center"/>
                </w:tcPr>
                <w:p w14:paraId="310CA610">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注塑产生的有机废气经收集后通过“二级活性炭吸附装置”处理达标后排放，喷涂工序产生的有机废气经收集后通过“水喷淋+干式过滤器+二级活性炭吸附装置”处理达标后排放</w:t>
                  </w:r>
                  <w:r>
                    <w:rPr>
                      <w:rFonts w:hint="default" w:ascii="Times New Roman" w:hAnsi="Times New Roman" w:cs="Times New Roman"/>
                      <w:color w:val="auto"/>
                      <w:highlight w:val="none"/>
                      <w:lang w:eastAsia="zh-CN"/>
                    </w:rPr>
                    <w:t>。</w:t>
                  </w:r>
                </w:p>
              </w:tc>
              <w:tc>
                <w:tcPr>
                  <w:tcW w:w="495" w:type="dxa"/>
                  <w:gridSpan w:val="2"/>
                  <w:shd w:val="clear" w:color="auto" w:fill="auto"/>
                  <w:vAlign w:val="center"/>
                </w:tcPr>
                <w:p w14:paraId="0173CC1A">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相符</w:t>
                  </w:r>
                </w:p>
              </w:tc>
            </w:tr>
            <w:tr w14:paraId="58832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0" w:hRule="atLeast"/>
              </w:trPr>
              <w:tc>
                <w:tcPr>
                  <w:tcW w:w="0" w:type="auto"/>
                  <w:vMerge w:val="continue"/>
                  <w:shd w:val="clear" w:color="auto" w:fill="auto"/>
                  <w:textDirection w:val="tbRlV"/>
                  <w:vAlign w:val="center"/>
                </w:tcPr>
                <w:p w14:paraId="3F69C73E">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0" w:type="auto"/>
                  <w:shd w:val="clear" w:color="auto" w:fill="auto"/>
                  <w:vAlign w:val="center"/>
                </w:tcPr>
                <w:p w14:paraId="395604B8">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2</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含有油烟产生或温度、湿度较高的有机废气应对油烟、温度及湿度等进行预处理。</w:t>
                  </w:r>
                </w:p>
              </w:tc>
              <w:tc>
                <w:tcPr>
                  <w:tcW w:w="2613" w:type="dxa"/>
                  <w:shd w:val="clear" w:color="auto" w:fill="auto"/>
                  <w:vAlign w:val="center"/>
                </w:tcPr>
                <w:p w14:paraId="78DACE0C">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不涉及</w:t>
                  </w:r>
                </w:p>
              </w:tc>
              <w:tc>
                <w:tcPr>
                  <w:tcW w:w="495" w:type="dxa"/>
                  <w:gridSpan w:val="2"/>
                  <w:shd w:val="clear" w:color="auto" w:fill="auto"/>
                  <w:vAlign w:val="center"/>
                </w:tcPr>
                <w:p w14:paraId="4B5E1D6F">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相符</w:t>
                  </w:r>
                </w:p>
              </w:tc>
            </w:tr>
            <w:tr w14:paraId="10FF0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050" w:hRule="atLeast"/>
              </w:trPr>
              <w:tc>
                <w:tcPr>
                  <w:tcW w:w="0" w:type="auto"/>
                  <w:vMerge w:val="continue"/>
                  <w:shd w:val="clear" w:color="auto" w:fill="auto"/>
                  <w:textDirection w:val="tbRlV"/>
                  <w:vAlign w:val="center"/>
                </w:tcPr>
                <w:p w14:paraId="6870B42E">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0" w:type="auto"/>
                  <w:shd w:val="clear" w:color="auto" w:fill="auto"/>
                  <w:vAlign w:val="center"/>
                </w:tcPr>
                <w:p w14:paraId="0DD91EDC">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3</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成型工序产生的有机废气经点对点收集后可采用组合技术处理；后处理工序宜采用热力氧化技术。</w:t>
                  </w:r>
                </w:p>
              </w:tc>
              <w:tc>
                <w:tcPr>
                  <w:tcW w:w="2613" w:type="dxa"/>
                  <w:shd w:val="clear" w:color="auto" w:fill="auto"/>
                  <w:vAlign w:val="center"/>
                </w:tcPr>
                <w:p w14:paraId="2371D2F5">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注塑产生的有机废气经收集后通过“二级活性炭吸附装置”处理达标后排放</w:t>
                  </w:r>
                </w:p>
              </w:tc>
              <w:tc>
                <w:tcPr>
                  <w:tcW w:w="495" w:type="dxa"/>
                  <w:gridSpan w:val="2"/>
                  <w:shd w:val="clear" w:color="auto" w:fill="auto"/>
                  <w:vAlign w:val="center"/>
                </w:tcPr>
                <w:p w14:paraId="2E4FCC0E">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相符</w:t>
                  </w:r>
                </w:p>
              </w:tc>
            </w:tr>
            <w:tr w14:paraId="15E64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0" w:hRule="atLeast"/>
              </w:trPr>
              <w:tc>
                <w:tcPr>
                  <w:tcW w:w="0" w:type="auto"/>
                  <w:vMerge w:val="continue"/>
                  <w:shd w:val="clear" w:color="auto" w:fill="auto"/>
                  <w:textDirection w:val="tbRlV"/>
                  <w:vAlign w:val="center"/>
                </w:tcPr>
                <w:p w14:paraId="01E2C4ED">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0" w:type="auto"/>
                  <w:shd w:val="clear" w:color="auto" w:fill="auto"/>
                  <w:vAlign w:val="center"/>
                </w:tcPr>
                <w:p w14:paraId="1488BD0E">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4</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设置高效的颗粒物</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漆渣、粉尘</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去除系统，治理设施内无肉眼可见的颗粒物</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漆渣、粉尘</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w:t>
                  </w:r>
                </w:p>
              </w:tc>
              <w:tc>
                <w:tcPr>
                  <w:tcW w:w="2613" w:type="dxa"/>
                  <w:shd w:val="clear" w:color="auto" w:fill="auto"/>
                  <w:vAlign w:val="center"/>
                </w:tcPr>
                <w:p w14:paraId="7B5FDB79">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喷涂工序产生的</w:t>
                  </w:r>
                  <w:r>
                    <w:rPr>
                      <w:rFonts w:hint="default" w:ascii="Times New Roman" w:hAnsi="Times New Roman" w:cs="Times New Roman"/>
                      <w:color w:val="auto"/>
                      <w:highlight w:val="none"/>
                      <w:lang w:val="en-US" w:eastAsia="zh-CN"/>
                    </w:rPr>
                    <w:t>颗粒物</w:t>
                  </w:r>
                  <w:r>
                    <w:rPr>
                      <w:rFonts w:hint="default" w:ascii="Times New Roman" w:hAnsi="Times New Roman" w:cs="Times New Roman"/>
                      <w:color w:val="auto"/>
                      <w:highlight w:val="none"/>
                    </w:rPr>
                    <w:t>经收集后通过“水喷淋+干式过滤器+二级活性炭吸附装置”处理达标后排放</w:t>
                  </w:r>
                </w:p>
              </w:tc>
              <w:tc>
                <w:tcPr>
                  <w:tcW w:w="495" w:type="dxa"/>
                  <w:gridSpan w:val="2"/>
                  <w:shd w:val="clear" w:color="auto" w:fill="auto"/>
                  <w:vAlign w:val="center"/>
                </w:tcPr>
                <w:p w14:paraId="64637C74">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相符</w:t>
                  </w:r>
                </w:p>
              </w:tc>
            </w:tr>
            <w:tr w14:paraId="4E162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20" w:hRule="atLeast"/>
              </w:trPr>
              <w:tc>
                <w:tcPr>
                  <w:tcW w:w="0" w:type="auto"/>
                  <w:vMerge w:val="continue"/>
                  <w:shd w:val="clear" w:color="auto" w:fill="auto"/>
                  <w:textDirection w:val="tbRlV"/>
                  <w:vAlign w:val="center"/>
                </w:tcPr>
                <w:p w14:paraId="515A05A3">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0" w:type="auto"/>
                  <w:shd w:val="clear" w:color="auto" w:fill="auto"/>
                  <w:vAlign w:val="center"/>
                </w:tcPr>
                <w:p w14:paraId="190E4376">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5</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若采用活性炭吸附技术，采用颗粒活性炭作为吸附剂时，其碘值不宜低于800mg/g</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采用蜂窝活性炭作为吸附剂时，其碘值不宜低650mg/g</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采用活性炭纤维作为吸附剂时，其比表面积不低于1100m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 xml:space="preserve">/g  </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BET法</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。工作温度和湿度应符合：温度T&lt;40℃、湿度RH&lt;60%</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活性炭表面不应有积尘和积水；活性炭吸附箱是否足额装填活性炭</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1吨活性炭通常只能吸附0.1</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0.2吨VOCs</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根据VOCs产生量推算需使用的活性炭，以活性炭购买记录</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含发票、合同等</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、危废合同、转移联单和危废间暂存量佐证其活性炭更换量</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箱体内气流走向及碳床铺设应符合《吸附法工业有机废气治理工程技术规范》</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HJ2026-2013)。在确保活性炭无积尘无潮湿的情况下，可采用VOCs速测仪测处理前后浓度的方法快速判断活性炭是否饱和</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处理后浓度高于处理前浓度，即活性炭已达到饱和状态</w:t>
                  </w:r>
                  <w:r>
                    <w:rPr>
                      <w:rFonts w:hint="eastAsia" w:cs="Times New Roman"/>
                      <w:color w:val="auto"/>
                      <w:highlight w:val="none"/>
                      <w:lang w:val="en-US" w:eastAsia="zh-CN"/>
                    </w:rPr>
                    <w:t>）</w:t>
                  </w:r>
                </w:p>
              </w:tc>
              <w:tc>
                <w:tcPr>
                  <w:tcW w:w="2613" w:type="dxa"/>
                  <w:shd w:val="clear" w:color="auto" w:fill="auto"/>
                  <w:vAlign w:val="center"/>
                </w:tcPr>
                <w:p w14:paraId="4EB09237">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本项目使用蜂窝状活性炭处理有机废气，DA005、DA006填充量均为4.05t，分别为每2个月更换一次、每四个月更换一次。</w:t>
                  </w:r>
                </w:p>
              </w:tc>
              <w:tc>
                <w:tcPr>
                  <w:tcW w:w="495" w:type="dxa"/>
                  <w:gridSpan w:val="2"/>
                  <w:shd w:val="clear" w:color="auto" w:fill="auto"/>
                  <w:vAlign w:val="center"/>
                </w:tcPr>
                <w:p w14:paraId="6849FEBF">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相符</w:t>
                  </w:r>
                </w:p>
              </w:tc>
            </w:tr>
            <w:tr w14:paraId="6DD5C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00" w:hRule="atLeast"/>
              </w:trPr>
              <w:tc>
                <w:tcPr>
                  <w:tcW w:w="0" w:type="auto"/>
                  <w:vMerge w:val="continue"/>
                  <w:shd w:val="clear" w:color="auto" w:fill="auto"/>
                  <w:textDirection w:val="tbRlV"/>
                  <w:vAlign w:val="center"/>
                </w:tcPr>
                <w:p w14:paraId="1064AEE3">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p>
              </w:tc>
              <w:tc>
                <w:tcPr>
                  <w:tcW w:w="0" w:type="auto"/>
                  <w:shd w:val="clear" w:color="auto" w:fill="auto"/>
                  <w:vAlign w:val="center"/>
                </w:tcPr>
                <w:p w14:paraId="4E3BC6D3">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6</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车间或生产设施排气筒废气排放浓度不高于《合成树脂工业污染物排放标准》</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GB31572-2015</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排放限值的50%</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若环评审批或排污许可证都是核发的《大气污染物排放限值》</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DB4427-2001</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第Ⅱ时段排放限值100%</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建议取两者中最严值执行；合成革和人造革制造企业排放浓度不高于《合成革与人造革工业污染物排放标准》</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GB21902-2008</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排放限值的50%</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若国家和我省出台并实施适用于塑料制品业的大气污染物排放标准，则有机废气排气筒排放浓度不高于相应限值的50%。车间或生产设施排气中NMHC初始排放速率≥3kg/h时，建设VOCs处理设施且处理效率≥80%</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采用的原辅材料符合国家有关低VOCs含量产品规定的除外。</w:t>
                  </w:r>
                </w:p>
              </w:tc>
              <w:tc>
                <w:tcPr>
                  <w:tcW w:w="2613" w:type="dxa"/>
                  <w:shd w:val="clear" w:color="auto" w:fill="auto"/>
                  <w:vAlign w:val="center"/>
                </w:tcPr>
                <w:p w14:paraId="1C829F60">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本项目属于塑料制品制造业，NMHC排气筒排放浓度为4.8mg/m³，满足</w:t>
                  </w:r>
                  <w:r>
                    <w:rPr>
                      <w:rFonts w:hint="eastAsia" w:cs="Times New Roman"/>
                      <w:color w:val="auto"/>
                      <w:highlight w:val="none"/>
                      <w:lang w:val="en-US" w:eastAsia="zh-CN"/>
                    </w:rPr>
                    <w:t>《合成树脂工业污染物排放标准》（GB 31572-2015，含2024年修改单）</w:t>
                  </w:r>
                  <w:r>
                    <w:rPr>
                      <w:rFonts w:hint="default" w:ascii="Times New Roman" w:hAnsi="Times New Roman" w:cs="Times New Roman"/>
                      <w:color w:val="auto"/>
                      <w:highlight w:val="none"/>
                      <w:lang w:val="en-US" w:eastAsia="zh-CN"/>
                    </w:rPr>
                    <w:t>表5特别排放限值要求</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60mg/L</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；本项目排气筒中NMHC初始排放速率为0.</w:t>
                  </w:r>
                  <w:r>
                    <w:rPr>
                      <w:rFonts w:hint="eastAsia" w:cs="Times New Roman"/>
                      <w:color w:val="auto"/>
                      <w:highlight w:val="none"/>
                      <w:lang w:val="en-US" w:eastAsia="zh-CN"/>
                    </w:rPr>
                    <w:t>60</w:t>
                  </w:r>
                  <w:r>
                    <w:rPr>
                      <w:rFonts w:hint="default" w:ascii="Times New Roman" w:hAnsi="Times New Roman" w:cs="Times New Roman"/>
                      <w:color w:val="auto"/>
                      <w:highlight w:val="none"/>
                      <w:lang w:val="en-US" w:eastAsia="zh-CN"/>
                    </w:rPr>
                    <w:t>kg/h，VOCs处理设施处理效率为80%。</w:t>
                  </w:r>
                </w:p>
              </w:tc>
              <w:tc>
                <w:tcPr>
                  <w:tcW w:w="495" w:type="dxa"/>
                  <w:gridSpan w:val="2"/>
                  <w:shd w:val="clear" w:color="auto" w:fill="auto"/>
                  <w:vAlign w:val="center"/>
                </w:tcPr>
                <w:p w14:paraId="72893FF3">
                  <w:pPr>
                    <w:pStyle w:val="57"/>
                    <w:keepNext w:val="0"/>
                    <w:keepLines w:val="0"/>
                    <w:pageBreakBefore w:val="0"/>
                    <w:widowControl/>
                    <w:kinsoku/>
                    <w:wordWrap w:val="0"/>
                    <w:overflowPunct/>
                    <w:topLinePunct w:val="0"/>
                    <w:autoSpaceDE w:val="0"/>
                    <w:autoSpaceDN w:val="0"/>
                    <w:bidi w:val="0"/>
                    <w:adjustRightInd/>
                    <w:snapToGrid/>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相符</w:t>
                  </w:r>
                </w:p>
              </w:tc>
            </w:tr>
          </w:tbl>
          <w:p w14:paraId="5D429E7B">
            <w:pPr>
              <w:pStyle w:val="12"/>
              <w:pageBreakBefore w:val="0"/>
              <w:wordWrap w:val="0"/>
              <w:overflowPunct/>
              <w:bidi w:val="0"/>
              <w:ind w:firstLine="480"/>
              <w:rPr>
                <w:rFonts w:hint="default" w:ascii="Times New Roman" w:hAnsi="Times New Roman" w:cs="Times New Roman"/>
                <w:color w:val="auto"/>
                <w:highlight w:val="none"/>
              </w:rPr>
            </w:pPr>
          </w:p>
        </w:tc>
      </w:tr>
    </w:tbl>
    <w:p w14:paraId="461C96F5">
      <w:pPr>
        <w:pStyle w:val="2"/>
        <w:pageBreakBefore w:val="0"/>
        <w:numPr>
          <w:ilvl w:val="0"/>
          <w:numId w:val="0"/>
        </w:numPr>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br w:type="page"/>
      </w:r>
      <w:bookmarkStart w:id="12" w:name="_Toc21053"/>
      <w:bookmarkStart w:id="13" w:name="_Toc25936"/>
      <w:r>
        <w:rPr>
          <w:rFonts w:hint="default" w:ascii="Times New Roman" w:hAnsi="Times New Roman" w:cs="Times New Roman"/>
          <w:color w:val="auto"/>
          <w:highlight w:val="none"/>
        </w:rPr>
        <w:t>二、建设项目工程分析</w:t>
      </w:r>
      <w:bookmarkEnd w:id="12"/>
      <w:bookmarkEnd w:id="13"/>
    </w:p>
    <w:tbl>
      <w:tblPr>
        <w:tblStyle w:val="3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6"/>
        <w:gridCol w:w="8222"/>
      </w:tblGrid>
      <w:tr w14:paraId="30C1E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6" w:type="pct"/>
            <w:vAlign w:val="center"/>
          </w:tcPr>
          <w:p w14:paraId="3AD321E1">
            <w:pPr>
              <w:keepNext/>
              <w:keepLines w:val="0"/>
              <w:pageBreakBefore w:val="0"/>
              <w:widowControl/>
              <w:numPr>
                <w:ilvl w:val="1"/>
                <w:numId w:val="0"/>
              </w:numPr>
              <w:tabs>
                <w:tab w:val="left" w:pos="420"/>
              </w:tabs>
              <w:kinsoku/>
              <w:wordWrap w:val="0"/>
              <w:overflowPunct/>
              <w:topLinePunct w:val="0"/>
              <w:autoSpaceDE/>
              <w:autoSpaceDN/>
              <w:bidi w:val="0"/>
              <w:adjustRightInd/>
              <w:snapToGrid/>
              <w:textAlignment w:val="auto"/>
              <w:outlineLvl w:val="9"/>
              <w:rPr>
                <w:rFonts w:hint="default" w:ascii="Times New Roman" w:hAnsi="Times New Roman" w:cs="Times New Roman"/>
                <w:color w:val="auto"/>
                <w:highlight w:val="none"/>
              </w:rPr>
            </w:pPr>
            <w:bookmarkStart w:id="14" w:name="_Toc23802"/>
            <w:bookmarkStart w:id="15" w:name="_Toc28166"/>
            <w:bookmarkStart w:id="16" w:name="_Toc1786"/>
            <w:bookmarkStart w:id="17" w:name="_Toc28930"/>
            <w:bookmarkStart w:id="18" w:name="_Toc12660"/>
            <w:r>
              <w:rPr>
                <w:rFonts w:hint="default" w:ascii="Times New Roman" w:hAnsi="Times New Roman" w:cs="Times New Roman"/>
                <w:color w:val="auto"/>
                <w:highlight w:val="none"/>
              </w:rPr>
              <w:t>建设内容</w:t>
            </w:r>
            <w:bookmarkEnd w:id="14"/>
            <w:bookmarkEnd w:id="15"/>
            <w:bookmarkEnd w:id="16"/>
            <w:bookmarkEnd w:id="17"/>
            <w:bookmarkEnd w:id="18"/>
          </w:p>
        </w:tc>
        <w:tc>
          <w:tcPr>
            <w:tcW w:w="4733" w:type="pct"/>
          </w:tcPr>
          <w:p w14:paraId="7FF7D2FC">
            <w:pPr>
              <w:keepNext/>
              <w:keepLines/>
              <w:pageBreakBefore w:val="0"/>
              <w:tabs>
                <w:tab w:val="left" w:pos="0"/>
              </w:tabs>
              <w:wordWrap w:val="0"/>
              <w:overflowPunct/>
              <w:bidi w:val="0"/>
              <w:ind w:left="-2" w:firstLine="480" w:firstLineChars="200"/>
              <w:jc w:val="left"/>
              <w:outlineLvl w:val="2"/>
              <w:rPr>
                <w:rFonts w:hint="default" w:ascii="Times New Roman" w:hAnsi="Times New Roman" w:cs="Times New Roman"/>
                <w:b/>
                <w:color w:val="auto"/>
                <w:highlight w:val="none"/>
              </w:rPr>
            </w:pPr>
            <w:r>
              <w:rPr>
                <w:rFonts w:hint="default" w:ascii="Times New Roman" w:hAnsi="Times New Roman" w:cs="Times New Roman"/>
                <w:b/>
                <w:color w:val="auto"/>
                <w:highlight w:val="none"/>
              </w:rPr>
              <w:t>一、项目由来</w:t>
            </w:r>
          </w:p>
          <w:p w14:paraId="1E2971FE">
            <w:pPr>
              <w:pStyle w:val="20"/>
              <w:pageBreakBefore w:val="0"/>
              <w:wordWrap w:val="0"/>
              <w:overflowPunct/>
              <w:bidi w:val="0"/>
              <w:ind w:firstLine="480" w:firstLineChars="200"/>
              <w:jc w:val="both"/>
              <w:rPr>
                <w:rFonts w:hint="default" w:ascii="Times New Roman" w:hAnsi="Times New Roman" w:cs="Times New Roman"/>
                <w:bCs/>
                <w:color w:val="auto"/>
                <w:sz w:val="24"/>
              </w:rPr>
            </w:pPr>
            <w:r>
              <w:rPr>
                <w:rFonts w:hint="default" w:ascii="Times New Roman" w:hAnsi="Times New Roman" w:cs="Times New Roman"/>
                <w:bCs/>
                <w:color w:val="auto"/>
                <w:sz w:val="24"/>
              </w:rPr>
              <w:t>广东沃府实业有限公司（以下简称“公司”）原为乐昌市沃府新材料有限公司，是一家专业从事塑料制品制造的大型企业，位于乐昌市乐昌产业转移工业园金岭三路。因业务需要，于202</w:t>
            </w:r>
            <w:r>
              <w:rPr>
                <w:rFonts w:hint="default" w:ascii="Times New Roman" w:hAnsi="Times New Roman" w:cs="Times New Roman"/>
                <w:bCs/>
                <w:color w:val="auto"/>
                <w:sz w:val="24"/>
                <w:lang w:val="en-US" w:eastAsia="zh-CN"/>
              </w:rPr>
              <w:t>1</w:t>
            </w:r>
            <w:r>
              <w:rPr>
                <w:rFonts w:hint="default" w:ascii="Times New Roman" w:hAnsi="Times New Roman" w:cs="Times New Roman"/>
                <w:bCs/>
                <w:color w:val="auto"/>
                <w:sz w:val="24"/>
              </w:rPr>
              <w:t>年</w:t>
            </w:r>
            <w:r>
              <w:rPr>
                <w:rFonts w:hint="default" w:ascii="Times New Roman" w:hAnsi="Times New Roman" w:cs="Times New Roman"/>
                <w:bCs/>
                <w:color w:val="auto"/>
                <w:sz w:val="24"/>
                <w:lang w:val="en-US" w:eastAsia="zh-CN"/>
              </w:rPr>
              <w:t>7</w:t>
            </w:r>
            <w:r>
              <w:rPr>
                <w:rFonts w:hint="default" w:ascii="Times New Roman" w:hAnsi="Times New Roman" w:cs="Times New Roman"/>
                <w:bCs/>
                <w:color w:val="auto"/>
                <w:sz w:val="24"/>
              </w:rPr>
              <w:t>月</w:t>
            </w:r>
            <w:r>
              <w:rPr>
                <w:rFonts w:hint="default" w:ascii="Times New Roman" w:hAnsi="Times New Roman" w:cs="Times New Roman"/>
                <w:bCs/>
                <w:color w:val="auto"/>
                <w:sz w:val="24"/>
                <w:lang w:val="en-US" w:eastAsia="zh-CN"/>
              </w:rPr>
              <w:t>23</w:t>
            </w:r>
            <w:r>
              <w:rPr>
                <w:rFonts w:hint="default" w:ascii="Times New Roman" w:hAnsi="Times New Roman" w:cs="Times New Roman"/>
                <w:bCs/>
                <w:color w:val="auto"/>
                <w:sz w:val="24"/>
              </w:rPr>
              <w:t>日经</w:t>
            </w:r>
            <w:r>
              <w:rPr>
                <w:rFonts w:hint="default" w:ascii="Times New Roman" w:hAnsi="Times New Roman" w:cs="Times New Roman"/>
                <w:bCs/>
                <w:color w:val="auto"/>
                <w:sz w:val="24"/>
                <w:lang w:val="en-US" w:eastAsia="zh-CN"/>
              </w:rPr>
              <w:t>韶关市生态环境局乐昌分局核定环保责任主体变更</w:t>
            </w:r>
            <w:r>
              <w:rPr>
                <w:rFonts w:hint="eastAsia" w:cs="Times New Roman"/>
                <w:bCs/>
                <w:color w:val="auto"/>
                <w:sz w:val="24"/>
                <w:lang w:val="en-US" w:eastAsia="zh-CN"/>
              </w:rPr>
              <w:t>为</w:t>
            </w:r>
            <w:r>
              <w:rPr>
                <w:rFonts w:hint="default" w:ascii="Times New Roman" w:hAnsi="Times New Roman" w:cs="Times New Roman"/>
                <w:bCs/>
                <w:color w:val="auto"/>
                <w:sz w:val="24"/>
              </w:rPr>
              <w:t>广东沃府实业有限公司（附件</w:t>
            </w:r>
            <w:r>
              <w:rPr>
                <w:rFonts w:hint="default" w:ascii="Times New Roman" w:hAnsi="Times New Roman" w:cs="Times New Roman"/>
                <w:bCs/>
                <w:color w:val="auto"/>
                <w:sz w:val="24"/>
                <w:lang w:val="en-US" w:eastAsia="zh-CN"/>
              </w:rPr>
              <w:t>5</w:t>
            </w:r>
            <w:r>
              <w:rPr>
                <w:rFonts w:hint="default" w:ascii="Times New Roman" w:hAnsi="Times New Roman" w:cs="Times New Roman"/>
                <w:bCs/>
                <w:color w:val="auto"/>
                <w:sz w:val="24"/>
              </w:rPr>
              <w:t>）。</w:t>
            </w:r>
          </w:p>
          <w:p w14:paraId="2ADA6477">
            <w:pPr>
              <w:pStyle w:val="20"/>
              <w:pageBreakBefore w:val="0"/>
              <w:wordWrap w:val="0"/>
              <w:overflowPunct/>
              <w:bidi w:val="0"/>
              <w:ind w:firstLine="480" w:firstLineChars="200"/>
              <w:jc w:val="both"/>
              <w:rPr>
                <w:rFonts w:hint="default" w:ascii="Times New Roman" w:hAnsi="Times New Roman" w:cs="Times New Roman"/>
                <w:bCs/>
                <w:color w:val="auto"/>
                <w:sz w:val="24"/>
              </w:rPr>
            </w:pPr>
            <w:r>
              <w:rPr>
                <w:rFonts w:hint="default" w:ascii="Times New Roman" w:hAnsi="Times New Roman" w:cs="Times New Roman"/>
                <w:bCs/>
                <w:color w:val="auto"/>
                <w:sz w:val="24"/>
                <w:lang w:val="en-US" w:eastAsia="zh-CN"/>
              </w:rPr>
              <w:t>原</w:t>
            </w:r>
            <w:r>
              <w:rPr>
                <w:rFonts w:hint="default" w:ascii="Times New Roman" w:hAnsi="Times New Roman" w:cs="Times New Roman"/>
                <w:bCs/>
                <w:color w:val="auto"/>
                <w:sz w:val="24"/>
              </w:rPr>
              <w:t>项目于20</w:t>
            </w:r>
            <w:r>
              <w:rPr>
                <w:rFonts w:hint="default" w:ascii="Times New Roman" w:hAnsi="Times New Roman" w:cs="Times New Roman"/>
                <w:bCs/>
                <w:color w:val="auto"/>
                <w:sz w:val="24"/>
                <w:lang w:val="en-US" w:eastAsia="zh-CN"/>
              </w:rPr>
              <w:t>17</w:t>
            </w:r>
            <w:r>
              <w:rPr>
                <w:rFonts w:hint="default" w:ascii="Times New Roman" w:hAnsi="Times New Roman" w:cs="Times New Roman"/>
                <w:bCs/>
                <w:color w:val="auto"/>
                <w:sz w:val="24"/>
              </w:rPr>
              <w:t>年</w:t>
            </w:r>
            <w:r>
              <w:rPr>
                <w:rFonts w:hint="default" w:ascii="Times New Roman" w:hAnsi="Times New Roman" w:cs="Times New Roman"/>
                <w:bCs/>
                <w:color w:val="auto"/>
                <w:sz w:val="24"/>
                <w:lang w:val="en-US" w:eastAsia="zh-CN"/>
              </w:rPr>
              <w:t>9</w:t>
            </w:r>
            <w:r>
              <w:rPr>
                <w:rFonts w:hint="default" w:ascii="Times New Roman" w:hAnsi="Times New Roman" w:cs="Times New Roman"/>
                <w:bCs/>
                <w:color w:val="auto"/>
                <w:sz w:val="24"/>
              </w:rPr>
              <w:t>月</w:t>
            </w:r>
            <w:r>
              <w:rPr>
                <w:rFonts w:hint="default" w:ascii="Times New Roman" w:hAnsi="Times New Roman" w:cs="Times New Roman"/>
                <w:bCs/>
                <w:color w:val="auto"/>
                <w:sz w:val="24"/>
                <w:lang w:val="en-US" w:eastAsia="zh-CN"/>
              </w:rPr>
              <w:t>29</w:t>
            </w:r>
            <w:r>
              <w:rPr>
                <w:rFonts w:hint="default" w:ascii="Times New Roman" w:hAnsi="Times New Roman" w:cs="Times New Roman"/>
                <w:bCs/>
                <w:color w:val="auto"/>
                <w:sz w:val="24"/>
              </w:rPr>
              <w:t>日取得了《韶关市环境保护局关于乐昌市沃府新材料有限公司乐昌市沃府新材料科技项目环境影响报告书的批复》（韶环审</w:t>
            </w:r>
            <w:r>
              <w:rPr>
                <w:rFonts w:hint="eastAsia" w:cs="Times New Roman"/>
                <w:bCs/>
                <w:color w:val="auto"/>
                <w:sz w:val="24"/>
                <w:lang w:eastAsia="zh-CN"/>
              </w:rPr>
              <w:t>〔2017〕177号</w:t>
            </w:r>
            <w:r>
              <w:rPr>
                <w:rFonts w:hint="default" w:ascii="Times New Roman" w:hAnsi="Times New Roman" w:cs="Times New Roman"/>
                <w:bCs/>
                <w:color w:val="auto"/>
                <w:sz w:val="24"/>
              </w:rPr>
              <w:t>）；于201</w:t>
            </w:r>
            <w:r>
              <w:rPr>
                <w:rFonts w:hint="default" w:ascii="Times New Roman" w:hAnsi="Times New Roman" w:cs="Times New Roman"/>
                <w:bCs/>
                <w:color w:val="auto"/>
                <w:sz w:val="24"/>
                <w:lang w:val="en-US" w:eastAsia="zh-CN"/>
              </w:rPr>
              <w:t>8</w:t>
            </w:r>
            <w:r>
              <w:rPr>
                <w:rFonts w:hint="default" w:ascii="Times New Roman" w:hAnsi="Times New Roman" w:cs="Times New Roman"/>
                <w:bCs/>
                <w:color w:val="auto"/>
                <w:sz w:val="24"/>
              </w:rPr>
              <w:t>年</w:t>
            </w:r>
            <w:r>
              <w:rPr>
                <w:rFonts w:hint="default" w:ascii="Times New Roman" w:hAnsi="Times New Roman" w:cs="Times New Roman"/>
                <w:bCs/>
                <w:color w:val="auto"/>
                <w:sz w:val="24"/>
                <w:lang w:val="en-US" w:eastAsia="zh-CN"/>
              </w:rPr>
              <w:t>5</w:t>
            </w:r>
            <w:r>
              <w:rPr>
                <w:rFonts w:hint="default" w:ascii="Times New Roman" w:hAnsi="Times New Roman" w:cs="Times New Roman"/>
                <w:bCs/>
                <w:color w:val="auto"/>
                <w:sz w:val="24"/>
              </w:rPr>
              <w:t>月</w:t>
            </w:r>
            <w:r>
              <w:rPr>
                <w:rFonts w:hint="default" w:ascii="Times New Roman" w:hAnsi="Times New Roman" w:cs="Times New Roman"/>
                <w:bCs/>
                <w:color w:val="auto"/>
                <w:sz w:val="24"/>
                <w:lang w:val="en-US" w:eastAsia="zh-CN"/>
              </w:rPr>
              <w:t>27</w:t>
            </w:r>
            <w:r>
              <w:rPr>
                <w:rFonts w:hint="default" w:ascii="Times New Roman" w:hAnsi="Times New Roman" w:cs="Times New Roman"/>
                <w:bCs/>
                <w:color w:val="auto"/>
                <w:sz w:val="24"/>
              </w:rPr>
              <w:t>日</w:t>
            </w:r>
            <w:r>
              <w:rPr>
                <w:rFonts w:hint="default" w:ascii="Times New Roman" w:hAnsi="Times New Roman" w:cs="Times New Roman"/>
                <w:bCs/>
                <w:color w:val="auto"/>
                <w:sz w:val="24"/>
                <w:lang w:val="en-US" w:eastAsia="zh-CN"/>
              </w:rPr>
              <w:t>完成了乐昌市沃府新材料有限公司乐昌市沃府新材料科技项目</w:t>
            </w:r>
            <w:r>
              <w:rPr>
                <w:rFonts w:hint="eastAsia" w:cs="Times New Roman"/>
                <w:bCs/>
                <w:color w:val="auto"/>
                <w:sz w:val="24"/>
                <w:lang w:val="en-US" w:eastAsia="zh-CN"/>
              </w:rPr>
              <w:t>（</w:t>
            </w:r>
            <w:r>
              <w:rPr>
                <w:rFonts w:hint="default" w:ascii="Times New Roman" w:hAnsi="Times New Roman" w:cs="Times New Roman"/>
                <w:bCs/>
                <w:color w:val="auto"/>
                <w:sz w:val="24"/>
                <w:lang w:val="en-US" w:eastAsia="zh-CN"/>
              </w:rPr>
              <w:t>一期</w:t>
            </w:r>
            <w:r>
              <w:rPr>
                <w:rFonts w:hint="eastAsia" w:cs="Times New Roman"/>
                <w:bCs/>
                <w:color w:val="auto"/>
                <w:sz w:val="24"/>
                <w:lang w:val="en-US" w:eastAsia="zh-CN"/>
              </w:rPr>
              <w:t>）</w:t>
            </w:r>
            <w:r>
              <w:rPr>
                <w:rFonts w:hint="default" w:ascii="Times New Roman" w:hAnsi="Times New Roman" w:cs="Times New Roman"/>
                <w:bCs/>
                <w:color w:val="auto"/>
                <w:sz w:val="24"/>
                <w:lang w:val="en-US" w:eastAsia="zh-CN"/>
              </w:rPr>
              <w:t>的自主验收；</w:t>
            </w:r>
            <w:r>
              <w:rPr>
                <w:rFonts w:hint="default" w:ascii="Times New Roman" w:hAnsi="Times New Roman" w:cs="Times New Roman"/>
                <w:bCs/>
                <w:color w:val="auto"/>
                <w:sz w:val="24"/>
              </w:rPr>
              <w:t>于20</w:t>
            </w:r>
            <w:r>
              <w:rPr>
                <w:rFonts w:hint="default" w:ascii="Times New Roman" w:hAnsi="Times New Roman" w:cs="Times New Roman"/>
                <w:bCs/>
                <w:color w:val="auto"/>
                <w:sz w:val="24"/>
                <w:lang w:val="en-US" w:eastAsia="zh-CN"/>
              </w:rPr>
              <w:t>21</w:t>
            </w:r>
            <w:r>
              <w:rPr>
                <w:rFonts w:hint="default" w:ascii="Times New Roman" w:hAnsi="Times New Roman" w:cs="Times New Roman"/>
                <w:bCs/>
                <w:color w:val="auto"/>
                <w:sz w:val="24"/>
              </w:rPr>
              <w:t>年</w:t>
            </w:r>
            <w:r>
              <w:rPr>
                <w:rFonts w:hint="default" w:ascii="Times New Roman" w:hAnsi="Times New Roman" w:cs="Times New Roman"/>
                <w:bCs/>
                <w:color w:val="auto"/>
                <w:sz w:val="24"/>
                <w:lang w:val="en-US" w:eastAsia="zh-CN"/>
              </w:rPr>
              <w:t>12</w:t>
            </w:r>
            <w:r>
              <w:rPr>
                <w:rFonts w:hint="default" w:ascii="Times New Roman" w:hAnsi="Times New Roman" w:cs="Times New Roman"/>
                <w:bCs/>
                <w:color w:val="auto"/>
                <w:sz w:val="24"/>
              </w:rPr>
              <w:t>月</w:t>
            </w:r>
            <w:r>
              <w:rPr>
                <w:rFonts w:hint="default" w:ascii="Times New Roman" w:hAnsi="Times New Roman" w:cs="Times New Roman"/>
                <w:bCs/>
                <w:color w:val="auto"/>
                <w:sz w:val="24"/>
                <w:lang w:val="en-US" w:eastAsia="zh-CN"/>
              </w:rPr>
              <w:t>27</w:t>
            </w:r>
            <w:r>
              <w:rPr>
                <w:rFonts w:hint="default" w:ascii="Times New Roman" w:hAnsi="Times New Roman" w:cs="Times New Roman"/>
                <w:bCs/>
                <w:color w:val="auto"/>
                <w:sz w:val="24"/>
              </w:rPr>
              <w:t>日</w:t>
            </w:r>
            <w:r>
              <w:rPr>
                <w:rFonts w:hint="default" w:ascii="Times New Roman" w:hAnsi="Times New Roman" w:cs="Times New Roman"/>
                <w:bCs/>
                <w:color w:val="auto"/>
                <w:sz w:val="24"/>
                <w:lang w:val="en-US" w:eastAsia="zh-CN"/>
              </w:rPr>
              <w:t>完成了广东沃府实业有限公司乐昌市沃府新材料科技项目二期建设项目的自主验收</w:t>
            </w:r>
            <w:r>
              <w:rPr>
                <w:rFonts w:hint="default" w:ascii="Times New Roman" w:hAnsi="Times New Roman" w:cs="Times New Roman"/>
                <w:bCs/>
                <w:color w:val="auto"/>
                <w:sz w:val="24"/>
                <w:lang w:eastAsia="zh-CN"/>
              </w:rPr>
              <w:t>；</w:t>
            </w:r>
            <w:r>
              <w:rPr>
                <w:rFonts w:hint="default" w:ascii="Times New Roman" w:hAnsi="Times New Roman" w:cs="Times New Roman"/>
                <w:bCs/>
                <w:color w:val="auto"/>
                <w:sz w:val="24"/>
                <w:lang w:val="en-US" w:eastAsia="zh-CN"/>
              </w:rPr>
              <w:t>三期暂未进行建设</w:t>
            </w:r>
            <w:r>
              <w:rPr>
                <w:rFonts w:hint="default" w:ascii="Times New Roman" w:hAnsi="Times New Roman" w:cs="Times New Roman"/>
                <w:bCs/>
                <w:color w:val="auto"/>
                <w:sz w:val="24"/>
              </w:rPr>
              <w:t>；于2020</w:t>
            </w:r>
            <w:r>
              <w:rPr>
                <w:rFonts w:hint="eastAsia" w:cs="Times New Roman"/>
                <w:bCs/>
                <w:color w:val="auto"/>
                <w:sz w:val="24"/>
                <w:lang w:val="en-US" w:eastAsia="zh-CN"/>
              </w:rPr>
              <w:t>年</w:t>
            </w:r>
            <w:r>
              <w:rPr>
                <w:rFonts w:hint="default" w:ascii="Times New Roman" w:hAnsi="Times New Roman" w:cs="Times New Roman"/>
                <w:bCs/>
                <w:color w:val="auto"/>
                <w:sz w:val="24"/>
              </w:rPr>
              <w:t>5月6日取得了排污许可证（编号：91440281MA53JEL554001U）并于2023年12月11日重新申领，目前在有效期内。</w:t>
            </w:r>
          </w:p>
          <w:p w14:paraId="5DD9B6A1">
            <w:pPr>
              <w:pStyle w:val="20"/>
              <w:pageBreakBefore w:val="0"/>
              <w:wordWrap w:val="0"/>
              <w:overflowPunct/>
              <w:bidi w:val="0"/>
              <w:ind w:firstLine="480" w:firstLineChars="200"/>
              <w:jc w:val="both"/>
              <w:rPr>
                <w:rFonts w:hint="default" w:ascii="Times New Roman" w:hAnsi="Times New Roman" w:cs="Times New Roman"/>
                <w:bCs/>
                <w:color w:val="auto"/>
                <w:sz w:val="24"/>
              </w:rPr>
            </w:pPr>
            <w:r>
              <w:rPr>
                <w:rFonts w:hint="default" w:ascii="Times New Roman" w:hAnsi="Times New Roman" w:cs="Times New Roman"/>
                <w:bCs/>
                <w:color w:val="auto"/>
                <w:sz w:val="24"/>
              </w:rPr>
              <w:t>企业由于自身发展需要，拟在现有项目基础上</w:t>
            </w:r>
            <w:r>
              <w:rPr>
                <w:rFonts w:hint="default" w:ascii="Times New Roman" w:hAnsi="Times New Roman" w:cs="Times New Roman"/>
                <w:bCs/>
                <w:color w:val="auto"/>
                <w:sz w:val="24"/>
                <w:lang w:val="en-US" w:eastAsia="zh-CN"/>
              </w:rPr>
              <w:t>扩建家电</w:t>
            </w:r>
            <w:r>
              <w:rPr>
                <w:rFonts w:hint="default" w:ascii="Times New Roman" w:hAnsi="Times New Roman" w:cs="Times New Roman"/>
                <w:bCs/>
                <w:color w:val="auto"/>
                <w:sz w:val="24"/>
              </w:rPr>
              <w:t>塑料</w:t>
            </w:r>
            <w:r>
              <w:rPr>
                <w:rFonts w:hint="default" w:ascii="Times New Roman" w:hAnsi="Times New Roman" w:cs="Times New Roman"/>
                <w:bCs/>
                <w:color w:val="auto"/>
                <w:sz w:val="24"/>
                <w:lang w:val="en-US" w:eastAsia="zh-CN"/>
              </w:rPr>
              <w:t>配件</w:t>
            </w:r>
            <w:r>
              <w:rPr>
                <w:rFonts w:hint="default" w:ascii="Times New Roman" w:hAnsi="Times New Roman" w:cs="Times New Roman"/>
                <w:bCs/>
                <w:color w:val="auto"/>
                <w:sz w:val="24"/>
              </w:rPr>
              <w:t>，利用现有</w:t>
            </w:r>
            <w:r>
              <w:rPr>
                <w:rFonts w:hint="eastAsia" w:cs="Times New Roman"/>
                <w:bCs/>
                <w:color w:val="auto"/>
                <w:sz w:val="24"/>
                <w:lang w:val="en-US" w:eastAsia="zh-CN"/>
              </w:rPr>
              <w:t>空置</w:t>
            </w:r>
            <w:r>
              <w:rPr>
                <w:rFonts w:hint="default" w:ascii="Times New Roman" w:hAnsi="Times New Roman" w:cs="Times New Roman"/>
                <w:bCs/>
                <w:color w:val="auto"/>
                <w:sz w:val="24"/>
              </w:rPr>
              <w:t>间进行扩建生产，实施“广东沃府实业有限公司扩建项目”（以下简称“本项目”），</w:t>
            </w:r>
            <w:r>
              <w:rPr>
                <w:rFonts w:hint="default" w:ascii="Times New Roman" w:hAnsi="Times New Roman" w:cs="Times New Roman"/>
                <w:bCs/>
                <w:color w:val="auto"/>
                <w:sz w:val="24"/>
                <w:lang w:val="en-US" w:eastAsia="zh-CN"/>
              </w:rPr>
              <w:t>扩建项目</w:t>
            </w:r>
            <w:r>
              <w:rPr>
                <w:rFonts w:hint="default" w:ascii="Times New Roman" w:hAnsi="Times New Roman" w:cs="Times New Roman"/>
                <w:bCs/>
                <w:color w:val="auto"/>
                <w:sz w:val="24"/>
              </w:rPr>
              <w:t>年产</w:t>
            </w:r>
            <w:r>
              <w:rPr>
                <w:rFonts w:hint="default" w:ascii="Times New Roman" w:hAnsi="Times New Roman" w:cs="Times New Roman"/>
                <w:bCs/>
                <w:color w:val="auto"/>
                <w:sz w:val="24"/>
                <w:lang w:val="en-US" w:eastAsia="zh-CN"/>
              </w:rPr>
              <w:t>家电</w:t>
            </w:r>
            <w:r>
              <w:rPr>
                <w:rFonts w:hint="default" w:ascii="Times New Roman" w:hAnsi="Times New Roman" w:cs="Times New Roman"/>
                <w:bCs/>
                <w:color w:val="auto"/>
                <w:sz w:val="24"/>
              </w:rPr>
              <w:t>塑料</w:t>
            </w:r>
            <w:r>
              <w:rPr>
                <w:rFonts w:hint="default" w:ascii="Times New Roman" w:hAnsi="Times New Roman" w:cs="Times New Roman"/>
                <w:bCs/>
                <w:color w:val="auto"/>
                <w:sz w:val="24"/>
                <w:lang w:val="en-US" w:eastAsia="zh-CN"/>
              </w:rPr>
              <w:t>配件2000</w:t>
            </w:r>
            <w:r>
              <w:rPr>
                <w:rFonts w:hint="default" w:ascii="Times New Roman" w:hAnsi="Times New Roman" w:cs="Times New Roman"/>
                <w:bCs/>
                <w:color w:val="auto"/>
                <w:sz w:val="24"/>
              </w:rPr>
              <w:t>吨。</w:t>
            </w:r>
          </w:p>
          <w:p w14:paraId="182EE018">
            <w:pPr>
              <w:pStyle w:val="20"/>
              <w:pageBreakBefore w:val="0"/>
              <w:wordWrap w:val="0"/>
              <w:overflowPunct/>
              <w:bidi w:val="0"/>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bCs/>
                <w:color w:val="auto"/>
                <w:sz w:val="24"/>
              </w:rPr>
              <w:t>根据《中华人民共和国环境影响评价法</w:t>
            </w:r>
            <w:r>
              <w:rPr>
                <w:rFonts w:hint="eastAsia" w:cs="Times New Roman"/>
                <w:bCs/>
                <w:color w:val="auto"/>
                <w:sz w:val="24"/>
                <w:lang w:eastAsia="zh-CN"/>
              </w:rPr>
              <w:t>》《</w:t>
            </w:r>
            <w:r>
              <w:rPr>
                <w:rFonts w:hint="default" w:ascii="Times New Roman" w:hAnsi="Times New Roman" w:cs="Times New Roman"/>
                <w:bCs/>
                <w:color w:val="auto"/>
                <w:sz w:val="24"/>
              </w:rPr>
              <w:t>建设项目环境保护管理条例</w:t>
            </w:r>
            <w:r>
              <w:rPr>
                <w:rFonts w:hint="eastAsia" w:cs="Times New Roman"/>
                <w:bCs/>
                <w:color w:val="auto"/>
                <w:sz w:val="24"/>
                <w:lang w:eastAsia="zh-CN"/>
              </w:rPr>
              <w:t>》《</w:t>
            </w:r>
            <w:r>
              <w:rPr>
                <w:rFonts w:hint="default" w:ascii="Times New Roman" w:hAnsi="Times New Roman" w:cs="Times New Roman"/>
                <w:bCs/>
                <w:color w:val="auto"/>
                <w:sz w:val="24"/>
              </w:rPr>
              <w:t>建设项目环境影响评价分类管理名录》等相关规定，本项目应办理环境影响评价手续。根据《建设项目环境保护分类管理目录》（2021年版）本项目属于“二十六、橡胶和塑料制品业-53塑料制品业292—其他（年用非溶剂型低VOCs含量涂料10吨以下的除外）”。建设单位委托本单位编制该项目的环境影响报告表。本单位接受委托后，组织有关人员进行现场踏勘，在对项目开展环境现状调查、资料收集和调研的基础上，按照环境影响评价有关技术规范和要求，编制了本项目环境影响报告表，供建设单位报环保主管部门审批和作为污染防治建设的依据。</w:t>
            </w:r>
          </w:p>
          <w:p w14:paraId="0A9A6D8C">
            <w:pPr>
              <w:pStyle w:val="4"/>
              <w:pageBreakBefore w:val="0"/>
              <w:numPr>
                <w:ilvl w:val="0"/>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二、项目内容及规模</w:t>
            </w:r>
          </w:p>
          <w:p w14:paraId="5E79F571">
            <w:pPr>
              <w:pStyle w:val="5"/>
              <w:pageBreakBefore w:val="0"/>
              <w:numPr>
                <w:ilvl w:val="3"/>
                <w:numId w:val="0"/>
              </w:numPr>
              <w:wordWrap w:val="0"/>
              <w:overflowPunct/>
              <w:bidi w:val="0"/>
              <w:ind w:left="-96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1、</w:t>
            </w:r>
            <w:r>
              <w:rPr>
                <w:rFonts w:hint="default" w:ascii="Times New Roman" w:hAnsi="Times New Roman" w:cs="Times New Roman"/>
                <w:color w:val="auto"/>
                <w:highlight w:val="none"/>
              </w:rPr>
              <w:t>工程规模</w:t>
            </w:r>
          </w:p>
          <w:p w14:paraId="4C618913">
            <w:pPr>
              <w:pStyle w:val="119"/>
              <w:keepNext w:val="0"/>
              <w:keepLines w:val="0"/>
              <w:pageBreakBefore w:val="0"/>
              <w:widowControl w:val="0"/>
              <w:kinsoku/>
              <w:wordWrap w:val="0"/>
              <w:overflowPunct/>
              <w:topLinePunct w:val="0"/>
              <w:autoSpaceDE/>
              <w:autoSpaceDN/>
              <w:bidi w:val="0"/>
              <w:spacing w:before="0" w:after="0"/>
              <w:ind w:right="0" w:firstLine="480"/>
              <w:textAlignment w:val="auto"/>
              <w:rPr>
                <w:rFonts w:hint="default" w:ascii="Times New Roman" w:hAnsi="Times New Roman" w:cs="Times New Roman"/>
                <w:bCs/>
                <w:color w:val="auto"/>
              </w:rPr>
            </w:pPr>
            <w:r>
              <w:rPr>
                <w:rFonts w:hint="default" w:ascii="Times New Roman" w:hAnsi="Times New Roman" w:cs="Times New Roman"/>
                <w:bCs/>
                <w:color w:val="auto"/>
              </w:rPr>
              <w:t>项目名称：广东沃府实业有限公司扩建项目</w:t>
            </w:r>
          </w:p>
          <w:p w14:paraId="0971030E">
            <w:pPr>
              <w:pStyle w:val="119"/>
              <w:keepNext w:val="0"/>
              <w:keepLines w:val="0"/>
              <w:pageBreakBefore w:val="0"/>
              <w:widowControl w:val="0"/>
              <w:kinsoku/>
              <w:wordWrap w:val="0"/>
              <w:overflowPunct/>
              <w:topLinePunct w:val="0"/>
              <w:autoSpaceDE/>
              <w:autoSpaceDN/>
              <w:bidi w:val="0"/>
              <w:spacing w:before="0" w:after="0"/>
              <w:ind w:right="0" w:firstLine="480"/>
              <w:textAlignment w:val="auto"/>
              <w:rPr>
                <w:rFonts w:hint="default" w:ascii="Times New Roman" w:hAnsi="Times New Roman" w:eastAsia="宋体" w:cs="Times New Roman"/>
                <w:bCs/>
                <w:color w:val="auto"/>
                <w:lang w:eastAsia="zh-CN"/>
              </w:rPr>
            </w:pPr>
            <w:r>
              <w:rPr>
                <w:rFonts w:hint="default" w:ascii="Times New Roman" w:hAnsi="Times New Roman" w:cs="Times New Roman"/>
                <w:bCs/>
                <w:color w:val="auto"/>
              </w:rPr>
              <w:t>建设单位：广东沃府实业有限公司</w:t>
            </w:r>
          </w:p>
          <w:p w14:paraId="7A03F4AC">
            <w:pPr>
              <w:pStyle w:val="119"/>
              <w:keepNext w:val="0"/>
              <w:keepLines w:val="0"/>
              <w:pageBreakBefore w:val="0"/>
              <w:widowControl w:val="0"/>
              <w:kinsoku/>
              <w:wordWrap w:val="0"/>
              <w:overflowPunct/>
              <w:topLinePunct w:val="0"/>
              <w:autoSpaceDE/>
              <w:autoSpaceDN/>
              <w:bidi w:val="0"/>
              <w:spacing w:before="0" w:after="0"/>
              <w:ind w:right="0" w:firstLine="480"/>
              <w:jc w:val="both"/>
              <w:textAlignment w:val="auto"/>
              <w:rPr>
                <w:rFonts w:hint="default" w:ascii="Times New Roman" w:hAnsi="Times New Roman" w:cs="Times New Roman"/>
                <w:bCs/>
                <w:color w:val="auto"/>
              </w:rPr>
            </w:pPr>
            <w:r>
              <w:rPr>
                <w:rFonts w:hint="default" w:ascii="Times New Roman" w:hAnsi="Times New Roman" w:cs="Times New Roman"/>
                <w:bCs/>
                <w:color w:val="auto"/>
              </w:rPr>
              <w:t>建设地点：</w:t>
            </w:r>
            <w:r>
              <w:rPr>
                <w:rFonts w:hint="eastAsia" w:cs="Times New Roman"/>
                <w:bCs/>
                <w:color w:val="auto"/>
                <w:lang w:eastAsia="zh-CN"/>
              </w:rPr>
              <w:t>韶关市乐昌市廊田镇乐昌市乐昌产业转移工业园金岭四路7号（广东乐昌经济开发区）</w:t>
            </w:r>
            <w:r>
              <w:rPr>
                <w:rFonts w:hint="default" w:ascii="Times New Roman" w:hAnsi="Times New Roman" w:cs="Times New Roman"/>
                <w:color w:val="auto"/>
                <w:szCs w:val="24"/>
              </w:rPr>
              <w:t>，地理中心坐标为北纬25°7′49.776″、东经113°24′16.326″。</w:t>
            </w:r>
          </w:p>
          <w:p w14:paraId="72D29369">
            <w:pPr>
              <w:keepNext w:val="0"/>
              <w:keepLines w:val="0"/>
              <w:pageBreakBefore w:val="0"/>
              <w:widowControl w:val="0"/>
              <w:kinsoku/>
              <w:wordWrap w:val="0"/>
              <w:overflowPunct/>
              <w:topLinePunct w:val="0"/>
              <w:autoSpaceDE/>
              <w:autoSpaceDN/>
              <w:bidi w:val="0"/>
              <w:spacing w:line="360" w:lineRule="auto"/>
              <w:ind w:right="0" w:firstLine="480" w:firstLineChars="200"/>
              <w:textAlignment w:val="auto"/>
              <w:rPr>
                <w:rFonts w:hint="default" w:ascii="Times New Roman" w:hAnsi="Times New Roman" w:cs="Times New Roman"/>
                <w:color w:val="auto"/>
                <w:sz w:val="24"/>
              </w:rPr>
            </w:pPr>
            <w:r>
              <w:rPr>
                <w:rFonts w:hint="default" w:ascii="Times New Roman" w:hAnsi="Times New Roman" w:cs="Times New Roman"/>
                <w:bCs/>
                <w:color w:val="auto"/>
                <w:sz w:val="24"/>
              </w:rPr>
              <w:t>建设内容及规模：利用现有</w:t>
            </w:r>
            <w:r>
              <w:rPr>
                <w:rFonts w:hint="default" w:ascii="Times New Roman" w:hAnsi="Times New Roman" w:cs="Times New Roman"/>
                <w:bCs/>
                <w:color w:val="auto"/>
                <w:sz w:val="24"/>
                <w:lang w:val="en-US" w:eastAsia="zh-CN"/>
              </w:rPr>
              <w:t>10号</w:t>
            </w:r>
            <w:r>
              <w:rPr>
                <w:rFonts w:hint="default" w:ascii="Times New Roman" w:hAnsi="Times New Roman" w:cs="Times New Roman"/>
                <w:bCs/>
                <w:color w:val="auto"/>
                <w:sz w:val="24"/>
              </w:rPr>
              <w:t>厂房</w:t>
            </w:r>
            <w:r>
              <w:rPr>
                <w:rFonts w:hint="default" w:ascii="Times New Roman" w:hAnsi="Times New Roman" w:cs="Times New Roman"/>
                <w:bCs/>
                <w:color w:val="auto"/>
                <w:sz w:val="24"/>
                <w:lang w:val="en-US" w:eastAsia="zh-CN"/>
              </w:rPr>
              <w:t>作为</w:t>
            </w:r>
            <w:r>
              <w:rPr>
                <w:rFonts w:hint="default" w:ascii="Times New Roman" w:hAnsi="Times New Roman" w:cs="Times New Roman"/>
                <w:bCs/>
                <w:color w:val="auto"/>
                <w:sz w:val="24"/>
              </w:rPr>
              <w:t>生产车间；</w:t>
            </w:r>
            <w:r>
              <w:rPr>
                <w:rFonts w:hint="default" w:ascii="Times New Roman" w:hAnsi="Times New Roman" w:cs="Times New Roman"/>
                <w:bCs/>
                <w:color w:val="auto"/>
                <w:sz w:val="24"/>
                <w:lang w:val="en-US" w:eastAsia="zh-CN"/>
              </w:rPr>
              <w:t>总占地面积4687.2</w:t>
            </w:r>
            <w:r>
              <w:rPr>
                <w:rFonts w:hint="default" w:ascii="Times New Roman" w:hAnsi="Times New Roman" w:cs="Times New Roman"/>
                <w:bCs/>
                <w:color w:val="auto"/>
                <w:sz w:val="24"/>
              </w:rPr>
              <w:t>m</w:t>
            </w:r>
            <w:r>
              <w:rPr>
                <w:rFonts w:hint="default" w:ascii="Times New Roman" w:hAnsi="Times New Roman" w:cs="Times New Roman"/>
                <w:bCs/>
                <w:color w:val="auto"/>
                <w:sz w:val="24"/>
                <w:vertAlign w:val="superscript"/>
              </w:rPr>
              <w:t>2</w:t>
            </w:r>
            <w:r>
              <w:rPr>
                <w:rFonts w:hint="default" w:ascii="Times New Roman" w:hAnsi="Times New Roman" w:cs="Times New Roman"/>
                <w:bCs/>
                <w:color w:val="auto"/>
                <w:sz w:val="24"/>
              </w:rPr>
              <w:t>，</w:t>
            </w:r>
            <w:r>
              <w:rPr>
                <w:rFonts w:hint="default" w:ascii="Times New Roman" w:hAnsi="Times New Roman" w:cs="Times New Roman"/>
                <w:bCs/>
                <w:color w:val="auto"/>
                <w:sz w:val="24"/>
                <w:lang w:val="en-US" w:eastAsia="zh-CN"/>
              </w:rPr>
              <w:t>总</w:t>
            </w:r>
            <w:r>
              <w:rPr>
                <w:rFonts w:hint="default" w:ascii="Times New Roman" w:hAnsi="Times New Roman" w:cs="Times New Roman"/>
                <w:bCs/>
                <w:color w:val="auto"/>
                <w:sz w:val="24"/>
              </w:rPr>
              <w:t>建筑面积4687.2m</w:t>
            </w:r>
            <w:r>
              <w:rPr>
                <w:rFonts w:hint="default" w:ascii="Times New Roman" w:hAnsi="Times New Roman" w:cs="Times New Roman"/>
                <w:bCs/>
                <w:color w:val="auto"/>
                <w:sz w:val="24"/>
                <w:vertAlign w:val="superscript"/>
              </w:rPr>
              <w:t>2</w:t>
            </w:r>
            <w:r>
              <w:rPr>
                <w:rFonts w:hint="default" w:ascii="Times New Roman" w:hAnsi="Times New Roman" w:cs="Times New Roman"/>
                <w:bCs/>
                <w:color w:val="auto"/>
                <w:sz w:val="24"/>
              </w:rPr>
              <w:t>，建设规模为</w:t>
            </w:r>
            <w:r>
              <w:rPr>
                <w:rFonts w:hint="default" w:ascii="Times New Roman" w:hAnsi="Times New Roman" w:cs="Times New Roman"/>
                <w:color w:val="auto"/>
                <w:sz w:val="24"/>
              </w:rPr>
              <w:t>年产</w:t>
            </w:r>
            <w:r>
              <w:rPr>
                <w:rFonts w:hint="default" w:ascii="Times New Roman" w:hAnsi="Times New Roman" w:cs="Times New Roman"/>
                <w:color w:val="auto"/>
                <w:sz w:val="24"/>
                <w:lang w:val="en-US" w:eastAsia="zh-CN"/>
              </w:rPr>
              <w:t>家电塑料配件200</w:t>
            </w:r>
            <w:r>
              <w:rPr>
                <w:rFonts w:hint="default" w:ascii="Times New Roman" w:hAnsi="Times New Roman" w:cs="Times New Roman"/>
                <w:color w:val="auto"/>
                <w:sz w:val="24"/>
              </w:rPr>
              <w:t>0t/a。</w:t>
            </w:r>
          </w:p>
          <w:p w14:paraId="56C917BC">
            <w:pPr>
              <w:pStyle w:val="119"/>
              <w:keepNext w:val="0"/>
              <w:keepLines w:val="0"/>
              <w:pageBreakBefore w:val="0"/>
              <w:widowControl w:val="0"/>
              <w:kinsoku/>
              <w:wordWrap w:val="0"/>
              <w:overflowPunct/>
              <w:topLinePunct w:val="0"/>
              <w:autoSpaceDE/>
              <w:autoSpaceDN/>
              <w:bidi w:val="0"/>
              <w:spacing w:before="0" w:after="0"/>
              <w:ind w:right="0" w:firstLine="480"/>
              <w:jc w:val="both"/>
              <w:textAlignment w:val="auto"/>
              <w:rPr>
                <w:rFonts w:hint="default" w:ascii="Times New Roman" w:hAnsi="Times New Roman" w:cs="Times New Roman"/>
                <w:bCs/>
                <w:color w:val="auto"/>
              </w:rPr>
            </w:pPr>
            <w:r>
              <w:rPr>
                <w:rFonts w:hint="default" w:ascii="Times New Roman" w:hAnsi="Times New Roman" w:cs="Times New Roman"/>
                <w:bCs/>
                <w:color w:val="auto"/>
              </w:rPr>
              <w:t>建设性质：</w:t>
            </w:r>
            <w:r>
              <w:rPr>
                <w:rFonts w:hint="default" w:ascii="Times New Roman" w:hAnsi="Times New Roman" w:cs="Times New Roman"/>
                <w:bCs/>
                <w:color w:val="auto"/>
                <w:lang w:val="en-US" w:eastAsia="zh-CN"/>
              </w:rPr>
              <w:t>扩建</w:t>
            </w:r>
          </w:p>
          <w:p w14:paraId="748DF1F8">
            <w:pPr>
              <w:pageBreakBefore w:val="0"/>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bCs/>
                <w:color w:val="auto"/>
              </w:rPr>
              <w:t>劳动定员和工作时数：</w:t>
            </w:r>
            <w:r>
              <w:rPr>
                <w:rFonts w:hint="default" w:ascii="Times New Roman" w:hAnsi="Times New Roman" w:cs="Times New Roman"/>
                <w:bCs/>
                <w:color w:val="auto"/>
                <w:lang w:val="en-US" w:eastAsia="zh-CN"/>
              </w:rPr>
              <w:t>原项目劳动定员200人，扩建后不新增员工，从原项目调配</w:t>
            </w:r>
            <w:r>
              <w:rPr>
                <w:rFonts w:hint="default" w:ascii="Times New Roman" w:hAnsi="Times New Roman" w:cs="Times New Roman"/>
                <w:bCs/>
                <w:color w:val="auto"/>
              </w:rPr>
              <w:t>；</w:t>
            </w:r>
            <w:r>
              <w:rPr>
                <w:rFonts w:hint="default" w:ascii="Times New Roman" w:hAnsi="Times New Roman" w:cs="Times New Roman"/>
                <w:bCs/>
                <w:color w:val="auto"/>
                <w:lang w:val="en-US" w:eastAsia="zh-CN"/>
              </w:rPr>
              <w:t>扩建前后均</w:t>
            </w:r>
            <w:r>
              <w:rPr>
                <w:rFonts w:hint="default" w:ascii="Times New Roman" w:hAnsi="Times New Roman" w:cs="Times New Roman"/>
                <w:color w:val="auto"/>
              </w:rPr>
              <w:t>实行“</w:t>
            </w:r>
            <w:r>
              <w:rPr>
                <w:rFonts w:hint="default" w:ascii="Times New Roman" w:hAnsi="Times New Roman" w:cs="Times New Roman"/>
                <w:color w:val="auto"/>
                <w:lang w:val="en-US" w:eastAsia="zh-CN"/>
              </w:rPr>
              <w:t>三</w:t>
            </w:r>
            <w:r>
              <w:rPr>
                <w:rFonts w:hint="default" w:ascii="Times New Roman" w:hAnsi="Times New Roman" w:cs="Times New Roman"/>
                <w:color w:val="auto"/>
              </w:rPr>
              <w:t>班制”工作制度，每</w:t>
            </w:r>
            <w:r>
              <w:rPr>
                <w:rFonts w:hint="default" w:ascii="Times New Roman" w:hAnsi="Times New Roman" w:cs="Times New Roman"/>
                <w:color w:val="auto"/>
                <w:lang w:val="en-US" w:eastAsia="zh-CN"/>
              </w:rPr>
              <w:t>班</w:t>
            </w:r>
            <w:r>
              <w:rPr>
                <w:rFonts w:hint="default" w:ascii="Times New Roman" w:hAnsi="Times New Roman" w:cs="Times New Roman"/>
                <w:color w:val="auto"/>
              </w:rPr>
              <w:t>工作</w:t>
            </w:r>
            <w:r>
              <w:rPr>
                <w:rFonts w:hint="default" w:ascii="Times New Roman" w:hAnsi="Times New Roman" w:cs="Times New Roman"/>
                <w:color w:val="auto"/>
                <w:lang w:val="en-US" w:eastAsia="zh-CN"/>
              </w:rPr>
              <w:t>8</w:t>
            </w:r>
            <w:r>
              <w:rPr>
                <w:rFonts w:hint="default" w:ascii="Times New Roman" w:hAnsi="Times New Roman" w:cs="Times New Roman"/>
                <w:color w:val="auto"/>
              </w:rPr>
              <w:t>小时</w:t>
            </w:r>
            <w:r>
              <w:rPr>
                <w:rFonts w:hint="default" w:ascii="Times New Roman" w:hAnsi="Times New Roman" w:cs="Times New Roman"/>
                <w:color w:val="auto"/>
                <w:lang w:eastAsia="zh-CN"/>
              </w:rPr>
              <w:t>，</w:t>
            </w:r>
            <w:r>
              <w:rPr>
                <w:rFonts w:hint="default" w:ascii="Times New Roman" w:hAnsi="Times New Roman" w:cs="Times New Roman"/>
                <w:bCs/>
                <w:color w:val="auto"/>
              </w:rPr>
              <w:t>日工作时间</w:t>
            </w:r>
            <w:r>
              <w:rPr>
                <w:rFonts w:hint="default" w:ascii="Times New Roman" w:hAnsi="Times New Roman" w:cs="Times New Roman"/>
                <w:bCs/>
                <w:color w:val="auto"/>
                <w:lang w:val="en-US" w:eastAsia="zh-CN"/>
              </w:rPr>
              <w:t>24</w:t>
            </w:r>
            <w:r>
              <w:rPr>
                <w:rFonts w:hint="default" w:ascii="Times New Roman" w:hAnsi="Times New Roman" w:cs="Times New Roman"/>
                <w:bCs/>
                <w:color w:val="auto"/>
              </w:rPr>
              <w:t>小时</w:t>
            </w:r>
            <w:r>
              <w:rPr>
                <w:rFonts w:hint="default" w:ascii="Times New Roman" w:hAnsi="Times New Roman" w:cs="Times New Roman"/>
                <w:color w:val="auto"/>
                <w:lang w:eastAsia="zh-CN"/>
              </w:rPr>
              <w:t>，</w:t>
            </w:r>
            <w:r>
              <w:rPr>
                <w:rFonts w:hint="default" w:ascii="Times New Roman" w:hAnsi="Times New Roman" w:cs="Times New Roman"/>
                <w:bCs/>
                <w:color w:val="auto"/>
              </w:rPr>
              <w:t>年工作时间</w:t>
            </w:r>
            <w:r>
              <w:rPr>
                <w:rFonts w:hint="default" w:ascii="Times New Roman" w:hAnsi="Times New Roman" w:cs="Times New Roman"/>
                <w:bCs/>
                <w:color w:val="auto"/>
                <w:lang w:val="en-US" w:eastAsia="zh-CN"/>
              </w:rPr>
              <w:t>300</w:t>
            </w:r>
            <w:r>
              <w:rPr>
                <w:rFonts w:hint="default" w:ascii="Times New Roman" w:hAnsi="Times New Roman" w:cs="Times New Roman"/>
                <w:bCs/>
                <w:color w:val="auto"/>
              </w:rPr>
              <w:t>天</w:t>
            </w:r>
            <w:r>
              <w:rPr>
                <w:rFonts w:hint="default" w:ascii="Times New Roman" w:hAnsi="Times New Roman" w:cs="Times New Roman"/>
                <w:color w:val="auto"/>
                <w:highlight w:val="none"/>
                <w:lang w:val="zh-CN"/>
              </w:rPr>
              <w:t>。</w:t>
            </w:r>
          </w:p>
          <w:p w14:paraId="2373ABAD">
            <w:pPr>
              <w:pStyle w:val="19"/>
              <w:pageBreakBefore w:val="0"/>
              <w:numPr>
                <w:ilvl w:val="0"/>
                <w:numId w:val="6"/>
              </w:numPr>
              <w:wordWrap w:val="0"/>
              <w:overflowPunct/>
              <w:bidi w:val="0"/>
              <w:spacing w:line="240" w:lineRule="auto"/>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本项目组成一览表</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430"/>
              <w:gridCol w:w="433"/>
              <w:gridCol w:w="980"/>
              <w:gridCol w:w="2448"/>
              <w:gridCol w:w="2596"/>
              <w:gridCol w:w="1106"/>
            </w:tblGrid>
            <w:tr w14:paraId="070EEF12">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jc w:val="center"/>
              </w:trPr>
              <w:tc>
                <w:tcPr>
                  <w:tcW w:w="269" w:type="pct"/>
                  <w:vMerge w:val="restart"/>
                  <w:noWrap w:val="0"/>
                  <w:vAlign w:val="center"/>
                </w:tcPr>
                <w:p w14:paraId="1AEC362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项目组成</w:t>
                  </w:r>
                </w:p>
              </w:tc>
              <w:tc>
                <w:tcPr>
                  <w:tcW w:w="884" w:type="pct"/>
                  <w:gridSpan w:val="2"/>
                  <w:vMerge w:val="restart"/>
                  <w:noWrap w:val="0"/>
                  <w:vAlign w:val="center"/>
                </w:tcPr>
                <w:p w14:paraId="14C3563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工程内容</w:t>
                  </w:r>
                </w:p>
              </w:tc>
              <w:tc>
                <w:tcPr>
                  <w:tcW w:w="3154" w:type="pct"/>
                  <w:gridSpan w:val="2"/>
                  <w:noWrap w:val="0"/>
                  <w:vAlign w:val="center"/>
                </w:tcPr>
                <w:p w14:paraId="2247902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建设内容或规模</w:t>
                  </w:r>
                </w:p>
              </w:tc>
              <w:tc>
                <w:tcPr>
                  <w:tcW w:w="691" w:type="pct"/>
                  <w:vMerge w:val="restart"/>
                  <w:noWrap w:val="0"/>
                  <w:vAlign w:val="center"/>
                </w:tcPr>
                <w:p w14:paraId="6B7F641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变动情况</w:t>
                  </w:r>
                </w:p>
              </w:tc>
            </w:tr>
            <w:tr w14:paraId="4FD1C6F8">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jc w:val="center"/>
              </w:trPr>
              <w:tc>
                <w:tcPr>
                  <w:tcW w:w="269" w:type="pct"/>
                  <w:vMerge w:val="continue"/>
                  <w:noWrap w:val="0"/>
                  <w:vAlign w:val="center"/>
                </w:tcPr>
                <w:p w14:paraId="20544215">
                  <w:pPr>
                    <w:keepNext w:val="0"/>
                    <w:keepLines w:val="0"/>
                    <w:pageBreakBefore w:val="0"/>
                    <w:widowControl/>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val="0"/>
                      <w:bCs w:val="0"/>
                      <w:color w:val="auto"/>
                      <w:sz w:val="21"/>
                      <w:szCs w:val="21"/>
                    </w:rPr>
                  </w:pPr>
                </w:p>
              </w:tc>
              <w:tc>
                <w:tcPr>
                  <w:tcW w:w="884" w:type="pct"/>
                  <w:gridSpan w:val="2"/>
                  <w:vMerge w:val="continue"/>
                  <w:noWrap w:val="0"/>
                  <w:vAlign w:val="center"/>
                </w:tcPr>
                <w:p w14:paraId="17E1AE77">
                  <w:pPr>
                    <w:keepNext w:val="0"/>
                    <w:keepLines w:val="0"/>
                    <w:pageBreakBefore w:val="0"/>
                    <w:widowControl/>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val="0"/>
                      <w:bCs w:val="0"/>
                      <w:color w:val="auto"/>
                      <w:sz w:val="21"/>
                      <w:szCs w:val="21"/>
                    </w:rPr>
                  </w:pPr>
                </w:p>
              </w:tc>
              <w:tc>
                <w:tcPr>
                  <w:tcW w:w="1531" w:type="pct"/>
                  <w:noWrap w:val="0"/>
                  <w:vAlign w:val="center"/>
                </w:tcPr>
                <w:p w14:paraId="0152554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现有工程</w:t>
                  </w:r>
                </w:p>
              </w:tc>
              <w:tc>
                <w:tcPr>
                  <w:tcW w:w="1623" w:type="pct"/>
                  <w:noWrap w:val="0"/>
                  <w:vAlign w:val="center"/>
                </w:tcPr>
                <w:p w14:paraId="331A0D72">
                  <w:pPr>
                    <w:keepNext w:val="0"/>
                    <w:keepLines w:val="0"/>
                    <w:pageBreakBefore w:val="0"/>
                    <w:widowControl/>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本项目建设情况</w:t>
                  </w:r>
                </w:p>
              </w:tc>
              <w:tc>
                <w:tcPr>
                  <w:tcW w:w="691" w:type="pct"/>
                  <w:vMerge w:val="continue"/>
                  <w:noWrap w:val="0"/>
                  <w:vAlign w:val="center"/>
                </w:tcPr>
                <w:p w14:paraId="715250E4">
                  <w:pPr>
                    <w:keepNext w:val="0"/>
                    <w:keepLines w:val="0"/>
                    <w:pageBreakBefore w:val="0"/>
                    <w:widowControl/>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val="0"/>
                      <w:bCs w:val="0"/>
                      <w:color w:val="auto"/>
                      <w:sz w:val="21"/>
                      <w:szCs w:val="21"/>
                    </w:rPr>
                  </w:pPr>
                </w:p>
              </w:tc>
            </w:tr>
            <w:tr w14:paraId="51253FEC">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934" w:hRule="atLeast"/>
                <w:jc w:val="center"/>
              </w:trPr>
              <w:tc>
                <w:tcPr>
                  <w:tcW w:w="269" w:type="pct"/>
                  <w:vMerge w:val="restart"/>
                  <w:noWrap w:val="0"/>
                  <w:vAlign w:val="center"/>
                </w:tcPr>
                <w:p w14:paraId="624171E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主体工程</w:t>
                  </w:r>
                </w:p>
              </w:tc>
              <w:tc>
                <w:tcPr>
                  <w:tcW w:w="884" w:type="pct"/>
                  <w:gridSpan w:val="2"/>
                  <w:noWrap w:val="0"/>
                  <w:vAlign w:val="center"/>
                </w:tcPr>
                <w:p w14:paraId="5386252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1号厂房（一期）</w:t>
                  </w:r>
                </w:p>
              </w:tc>
              <w:tc>
                <w:tcPr>
                  <w:tcW w:w="1531" w:type="pct"/>
                  <w:noWrap w:val="0"/>
                  <w:vAlign w:val="center"/>
                </w:tcPr>
                <w:p w14:paraId="5AE152C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w:t>
                  </w:r>
                  <w:r>
                    <w:rPr>
                      <w:rFonts w:hint="default" w:ascii="Times New Roman" w:hAnsi="Times New Roman" w:cs="Times New Roman"/>
                      <w:color w:val="auto"/>
                      <w:sz w:val="21"/>
                      <w:szCs w:val="21"/>
                      <w:lang w:val="en-US" w:eastAsia="zh-CN"/>
                    </w:rPr>
                    <w:t>号厂房挤出</w:t>
                  </w:r>
                  <w:r>
                    <w:rPr>
                      <w:rFonts w:hint="default" w:ascii="Times New Roman" w:hAnsi="Times New Roman" w:eastAsia="宋体" w:cs="Times New Roman"/>
                      <w:color w:val="auto"/>
                      <w:sz w:val="21"/>
                      <w:szCs w:val="21"/>
                      <w:lang w:val="en-US" w:eastAsia="zh-CN"/>
                    </w:rPr>
                    <w:t>车间</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总</w:t>
                  </w:r>
                  <w:r>
                    <w:rPr>
                      <w:rFonts w:hint="default" w:ascii="Times New Roman" w:hAnsi="Times New Roman" w:eastAsia="宋体" w:cs="Times New Roman"/>
                      <w:color w:val="auto"/>
                      <w:sz w:val="21"/>
                      <w:szCs w:val="21"/>
                    </w:rPr>
                    <w:t>建筑面积</w:t>
                  </w:r>
                  <w:r>
                    <w:rPr>
                      <w:rFonts w:hint="default" w:ascii="Times New Roman" w:hAnsi="Times New Roman" w:cs="Times New Roman"/>
                      <w:color w:val="auto"/>
                      <w:sz w:val="21"/>
                      <w:szCs w:val="21"/>
                      <w:lang w:val="en-US" w:eastAsia="zh-CN"/>
                    </w:rPr>
                    <w:t>9016</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p>
              </w:tc>
              <w:tc>
                <w:tcPr>
                  <w:tcW w:w="1623" w:type="pct"/>
                  <w:noWrap w:val="0"/>
                  <w:vAlign w:val="center"/>
                </w:tcPr>
                <w:p w14:paraId="38874DD7">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不涉及</w:t>
                  </w:r>
                </w:p>
              </w:tc>
              <w:tc>
                <w:tcPr>
                  <w:tcW w:w="691" w:type="pct"/>
                  <w:noWrap w:val="0"/>
                  <w:vAlign w:val="center"/>
                </w:tcPr>
                <w:p w14:paraId="0588CA57">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7EE1E4B3">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934" w:hRule="atLeast"/>
                <w:jc w:val="center"/>
              </w:trPr>
              <w:tc>
                <w:tcPr>
                  <w:tcW w:w="269" w:type="pct"/>
                  <w:vMerge w:val="continue"/>
                  <w:noWrap w:val="0"/>
                  <w:vAlign w:val="center"/>
                </w:tcPr>
                <w:p w14:paraId="7BE94C4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884" w:type="pct"/>
                  <w:gridSpan w:val="2"/>
                  <w:noWrap w:val="0"/>
                  <w:vAlign w:val="center"/>
                </w:tcPr>
                <w:p w14:paraId="186B90C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2、3、4号厂房（二期）</w:t>
                  </w:r>
                </w:p>
              </w:tc>
              <w:tc>
                <w:tcPr>
                  <w:tcW w:w="1531" w:type="pct"/>
                  <w:noWrap w:val="0"/>
                  <w:vAlign w:val="center"/>
                </w:tcPr>
                <w:p w14:paraId="082F121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3号厂房挤出</w:t>
                  </w:r>
                  <w:r>
                    <w:rPr>
                      <w:rFonts w:hint="default" w:ascii="Times New Roman" w:hAnsi="Times New Roman" w:eastAsia="宋体" w:cs="Times New Roman"/>
                      <w:color w:val="auto"/>
                      <w:sz w:val="21"/>
                      <w:szCs w:val="21"/>
                      <w:lang w:val="en-US" w:eastAsia="zh-CN"/>
                    </w:rPr>
                    <w:t>车间</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4号厂房仓库，总</w:t>
                  </w:r>
                  <w:r>
                    <w:rPr>
                      <w:rFonts w:hint="default" w:ascii="Times New Roman" w:hAnsi="Times New Roman" w:eastAsia="宋体" w:cs="Times New Roman"/>
                      <w:color w:val="auto"/>
                      <w:sz w:val="21"/>
                      <w:szCs w:val="21"/>
                    </w:rPr>
                    <w:t>建筑面积</w:t>
                  </w:r>
                  <w:r>
                    <w:rPr>
                      <w:rFonts w:hint="default" w:ascii="Times New Roman" w:hAnsi="Times New Roman" w:cs="Times New Roman"/>
                      <w:color w:val="auto"/>
                      <w:sz w:val="21"/>
                      <w:szCs w:val="21"/>
                      <w:lang w:val="en-US" w:eastAsia="zh-CN"/>
                    </w:rPr>
                    <w:t>27048</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p>
              </w:tc>
              <w:tc>
                <w:tcPr>
                  <w:tcW w:w="1623" w:type="pct"/>
                  <w:noWrap w:val="0"/>
                  <w:vAlign w:val="center"/>
                </w:tcPr>
                <w:p w14:paraId="3FFA1EF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不涉及</w:t>
                  </w:r>
                </w:p>
              </w:tc>
              <w:tc>
                <w:tcPr>
                  <w:tcW w:w="691" w:type="pct"/>
                  <w:noWrap w:val="0"/>
                  <w:vAlign w:val="center"/>
                </w:tcPr>
                <w:p w14:paraId="3A0F314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596D96A0">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269" w:type="pct"/>
                  <w:vMerge w:val="continue"/>
                  <w:noWrap w:val="0"/>
                  <w:vAlign w:val="center"/>
                </w:tcPr>
                <w:p w14:paraId="67DFD28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884" w:type="pct"/>
                  <w:gridSpan w:val="2"/>
                  <w:noWrap w:val="0"/>
                  <w:vAlign w:val="center"/>
                </w:tcPr>
                <w:p w14:paraId="4B8BEF7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5、6、7、8、9、10号厂房（三期）</w:t>
                  </w:r>
                </w:p>
              </w:tc>
              <w:tc>
                <w:tcPr>
                  <w:tcW w:w="1531" w:type="pct"/>
                  <w:noWrap w:val="0"/>
                  <w:vAlign w:val="center"/>
                </w:tcPr>
                <w:p w14:paraId="62C31C2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7、8号厂房挤出</w:t>
                  </w:r>
                  <w:r>
                    <w:rPr>
                      <w:rFonts w:hint="default" w:ascii="Times New Roman" w:hAnsi="Times New Roman" w:eastAsia="宋体" w:cs="Times New Roman"/>
                      <w:color w:val="auto"/>
                      <w:sz w:val="21"/>
                      <w:szCs w:val="21"/>
                      <w:lang w:val="en-US" w:eastAsia="zh-CN"/>
                    </w:rPr>
                    <w:t>车间</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lang w:val="en-US" w:eastAsia="zh-CN"/>
                    </w:rPr>
                    <w:t>5、6、9、10</w:t>
                  </w:r>
                  <w:r>
                    <w:rPr>
                      <w:rFonts w:hint="default" w:ascii="Times New Roman" w:hAnsi="Times New Roman" w:eastAsia="宋体" w:cs="Times New Roman"/>
                      <w:color w:val="auto"/>
                      <w:sz w:val="21"/>
                      <w:szCs w:val="21"/>
                      <w:lang w:val="en-US" w:eastAsia="zh-CN"/>
                    </w:rPr>
                    <w:t>号厂房仓库，总</w:t>
                  </w:r>
                  <w:r>
                    <w:rPr>
                      <w:rFonts w:hint="default" w:ascii="Times New Roman" w:hAnsi="Times New Roman" w:eastAsia="宋体" w:cs="Times New Roman"/>
                      <w:color w:val="auto"/>
                      <w:sz w:val="21"/>
                      <w:szCs w:val="21"/>
                    </w:rPr>
                    <w:t>建筑面积</w:t>
                  </w:r>
                  <w:r>
                    <w:rPr>
                      <w:rFonts w:hint="default" w:ascii="Times New Roman" w:hAnsi="Times New Roman" w:cs="Times New Roman"/>
                      <w:color w:val="auto"/>
                      <w:sz w:val="21"/>
                      <w:szCs w:val="21"/>
                      <w:lang w:val="en-US" w:eastAsia="zh-CN"/>
                    </w:rPr>
                    <w:t>57408</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p>
              </w:tc>
              <w:tc>
                <w:tcPr>
                  <w:tcW w:w="1623" w:type="pct"/>
                  <w:vMerge w:val="restart"/>
                  <w:noWrap w:val="0"/>
                  <w:vAlign w:val="center"/>
                </w:tcPr>
                <w:p w14:paraId="1781E1B7">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本项目利用10号厂房（原项目功能为仓库）进行建设</w:t>
                  </w:r>
                </w:p>
              </w:tc>
              <w:tc>
                <w:tcPr>
                  <w:tcW w:w="691" w:type="pct"/>
                  <w:vMerge w:val="restart"/>
                  <w:noWrap w:val="0"/>
                  <w:vAlign w:val="center"/>
                </w:tcPr>
                <w:p w14:paraId="7683BA1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10号厂房</w:t>
                  </w:r>
                  <w:r>
                    <w:rPr>
                      <w:rFonts w:hint="eastAsia" w:cs="Times New Roman"/>
                      <w:color w:val="auto"/>
                      <w:kern w:val="2"/>
                      <w:sz w:val="21"/>
                      <w:szCs w:val="21"/>
                      <w:lang w:val="en-US" w:eastAsia="zh-CN" w:bidi="ar-SA"/>
                    </w:rPr>
                    <w:t>从仓库改成生产厂房用途</w:t>
                  </w:r>
                </w:p>
              </w:tc>
            </w:tr>
            <w:tr w14:paraId="097A76D7">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269" w:type="pct"/>
                  <w:vMerge w:val="continue"/>
                  <w:noWrap w:val="0"/>
                  <w:vAlign w:val="center"/>
                </w:tcPr>
                <w:p w14:paraId="651173A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884" w:type="pct"/>
                  <w:gridSpan w:val="2"/>
                  <w:noWrap w:val="0"/>
                  <w:vAlign w:val="center"/>
                </w:tcPr>
                <w:p w14:paraId="13DF0C5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10号厂房（本项目）</w:t>
                  </w:r>
                </w:p>
              </w:tc>
              <w:tc>
                <w:tcPr>
                  <w:tcW w:w="1531" w:type="pct"/>
                  <w:noWrap w:val="0"/>
                  <w:vAlign w:val="center"/>
                </w:tcPr>
                <w:p w14:paraId="4285FE7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w:t>
                  </w:r>
                </w:p>
              </w:tc>
              <w:tc>
                <w:tcPr>
                  <w:tcW w:w="1623" w:type="pct"/>
                  <w:vMerge w:val="continue"/>
                  <w:noWrap w:val="0"/>
                  <w:vAlign w:val="center"/>
                </w:tcPr>
                <w:p w14:paraId="06F6844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691" w:type="pct"/>
                  <w:vMerge w:val="continue"/>
                  <w:noWrap w:val="0"/>
                  <w:vAlign w:val="center"/>
                </w:tcPr>
                <w:p w14:paraId="0957936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p>
              </w:tc>
            </w:tr>
            <w:tr w14:paraId="4CFCCDE5">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jc w:val="center"/>
              </w:trPr>
              <w:tc>
                <w:tcPr>
                  <w:tcW w:w="269" w:type="pct"/>
                  <w:vMerge w:val="restart"/>
                  <w:noWrap w:val="0"/>
                  <w:vAlign w:val="center"/>
                </w:tcPr>
                <w:p w14:paraId="51AEFEE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辅助工程</w:t>
                  </w:r>
                </w:p>
              </w:tc>
              <w:tc>
                <w:tcPr>
                  <w:tcW w:w="884" w:type="pct"/>
                  <w:gridSpan w:val="2"/>
                  <w:noWrap w:val="0"/>
                  <w:vAlign w:val="center"/>
                </w:tcPr>
                <w:p w14:paraId="49B2691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rPr>
                    <w:t>办公</w:t>
                  </w:r>
                  <w:r>
                    <w:rPr>
                      <w:rFonts w:hint="default" w:ascii="Times New Roman" w:hAnsi="Times New Roman" w:eastAsia="宋体" w:cs="Times New Roman"/>
                      <w:color w:val="auto"/>
                      <w:sz w:val="21"/>
                      <w:szCs w:val="21"/>
                      <w:lang w:val="en-US" w:eastAsia="zh-CN"/>
                    </w:rPr>
                    <w:t>室</w:t>
                  </w:r>
                  <w:r>
                    <w:rPr>
                      <w:rFonts w:hint="default" w:ascii="Times New Roman" w:hAnsi="Times New Roman" w:cs="Times New Roman"/>
                      <w:color w:val="auto"/>
                      <w:sz w:val="21"/>
                      <w:szCs w:val="21"/>
                      <w:lang w:val="en-US" w:eastAsia="zh-CN"/>
                    </w:rPr>
                    <w:t>及研发楼</w:t>
                  </w:r>
                </w:p>
              </w:tc>
              <w:tc>
                <w:tcPr>
                  <w:tcW w:w="1531" w:type="pct"/>
                  <w:noWrap w:val="0"/>
                  <w:vAlign w:val="center"/>
                </w:tcPr>
                <w:p w14:paraId="1228119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各一栋，</w:t>
                  </w:r>
                  <w:r>
                    <w:rPr>
                      <w:rFonts w:hint="default" w:ascii="Times New Roman" w:hAnsi="Times New Roman" w:eastAsia="宋体" w:cs="Times New Roman"/>
                      <w:color w:val="auto"/>
                      <w:sz w:val="21"/>
                      <w:szCs w:val="21"/>
                      <w:lang w:val="en-US" w:eastAsia="zh-CN"/>
                    </w:rPr>
                    <w:t>总</w:t>
                  </w:r>
                  <w:r>
                    <w:rPr>
                      <w:rFonts w:hint="default" w:ascii="Times New Roman" w:hAnsi="Times New Roman" w:eastAsia="宋体" w:cs="Times New Roman"/>
                      <w:color w:val="auto"/>
                      <w:sz w:val="21"/>
                      <w:szCs w:val="21"/>
                    </w:rPr>
                    <w:t>建筑面积</w:t>
                  </w:r>
                  <w:r>
                    <w:rPr>
                      <w:rFonts w:hint="default" w:ascii="Times New Roman" w:hAnsi="Times New Roman" w:cs="Times New Roman"/>
                      <w:color w:val="auto"/>
                      <w:sz w:val="21"/>
                      <w:szCs w:val="21"/>
                      <w:lang w:val="en-US" w:eastAsia="zh-CN"/>
                    </w:rPr>
                    <w:t>7560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p>
              </w:tc>
              <w:tc>
                <w:tcPr>
                  <w:tcW w:w="2570" w:type="dxa"/>
                  <w:noWrap w:val="0"/>
                  <w:vAlign w:val="center"/>
                </w:tcPr>
                <w:p w14:paraId="1D40039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vertAlign w:val="baseline"/>
                      <w:lang w:val="en-US" w:eastAsia="zh-CN"/>
                    </w:rPr>
                    <w:t>不涉及</w:t>
                  </w:r>
                </w:p>
              </w:tc>
              <w:tc>
                <w:tcPr>
                  <w:tcW w:w="1094" w:type="dxa"/>
                  <w:noWrap w:val="0"/>
                  <w:vAlign w:val="center"/>
                </w:tcPr>
                <w:p w14:paraId="492E967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342457FF">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jc w:val="center"/>
              </w:trPr>
              <w:tc>
                <w:tcPr>
                  <w:tcW w:w="269" w:type="pct"/>
                  <w:vMerge w:val="continue"/>
                  <w:noWrap w:val="0"/>
                  <w:vAlign w:val="center"/>
                </w:tcPr>
                <w:p w14:paraId="4FB991A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884" w:type="pct"/>
                  <w:gridSpan w:val="2"/>
                  <w:noWrap w:val="0"/>
                  <w:vAlign w:val="center"/>
                </w:tcPr>
                <w:p w14:paraId="3803E53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宿舍楼</w:t>
                  </w:r>
                </w:p>
              </w:tc>
              <w:tc>
                <w:tcPr>
                  <w:tcW w:w="1531" w:type="pct"/>
                  <w:noWrap w:val="0"/>
                  <w:vAlign w:val="center"/>
                </w:tcPr>
                <w:p w14:paraId="1AF9E61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一栋，</w:t>
                  </w:r>
                  <w:r>
                    <w:rPr>
                      <w:rFonts w:hint="default" w:ascii="Times New Roman" w:hAnsi="Times New Roman" w:eastAsia="宋体" w:cs="Times New Roman"/>
                      <w:color w:val="auto"/>
                      <w:sz w:val="21"/>
                      <w:szCs w:val="21"/>
                      <w:lang w:val="en-US" w:eastAsia="zh-CN"/>
                    </w:rPr>
                    <w:t>总</w:t>
                  </w:r>
                  <w:r>
                    <w:rPr>
                      <w:rFonts w:hint="default" w:ascii="Times New Roman" w:hAnsi="Times New Roman" w:eastAsia="宋体" w:cs="Times New Roman"/>
                      <w:color w:val="auto"/>
                      <w:sz w:val="21"/>
                      <w:szCs w:val="21"/>
                    </w:rPr>
                    <w:t>建筑面积</w:t>
                  </w:r>
                  <w:r>
                    <w:rPr>
                      <w:rFonts w:hint="default" w:ascii="Times New Roman" w:hAnsi="Times New Roman" w:eastAsia="宋体" w:cs="Times New Roman"/>
                      <w:color w:val="auto"/>
                      <w:sz w:val="21"/>
                      <w:szCs w:val="21"/>
                      <w:lang w:val="en-US" w:eastAsia="zh-CN"/>
                    </w:rPr>
                    <w:t>3036</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p>
              </w:tc>
              <w:tc>
                <w:tcPr>
                  <w:tcW w:w="2570" w:type="dxa"/>
                  <w:noWrap w:val="0"/>
                  <w:vAlign w:val="center"/>
                </w:tcPr>
                <w:p w14:paraId="25C1236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vertAlign w:val="baseline"/>
                      <w:lang w:val="en-US" w:eastAsia="zh-CN"/>
                    </w:rPr>
                    <w:t>不涉及</w:t>
                  </w:r>
                </w:p>
              </w:tc>
              <w:tc>
                <w:tcPr>
                  <w:tcW w:w="1094" w:type="dxa"/>
                  <w:noWrap w:val="0"/>
                  <w:vAlign w:val="center"/>
                </w:tcPr>
                <w:p w14:paraId="4225937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64E385BE">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jc w:val="center"/>
              </w:trPr>
              <w:tc>
                <w:tcPr>
                  <w:tcW w:w="269" w:type="pct"/>
                  <w:vMerge w:val="restart"/>
                  <w:noWrap w:val="0"/>
                  <w:vAlign w:val="center"/>
                </w:tcPr>
                <w:p w14:paraId="67B2342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公用工程</w:t>
                  </w:r>
                </w:p>
              </w:tc>
              <w:tc>
                <w:tcPr>
                  <w:tcW w:w="884" w:type="pct"/>
                  <w:gridSpan w:val="2"/>
                  <w:noWrap w:val="0"/>
                  <w:vAlign w:val="center"/>
                </w:tcPr>
                <w:p w14:paraId="0F153DF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供水</w:t>
                  </w:r>
                </w:p>
              </w:tc>
              <w:tc>
                <w:tcPr>
                  <w:tcW w:w="1531" w:type="pct"/>
                  <w:noWrap w:val="0"/>
                  <w:vAlign w:val="center"/>
                </w:tcPr>
                <w:p w14:paraId="338B39C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由自来水公司供应</w:t>
                  </w:r>
                </w:p>
              </w:tc>
              <w:tc>
                <w:tcPr>
                  <w:tcW w:w="1623" w:type="pct"/>
                  <w:noWrap w:val="0"/>
                  <w:vAlign w:val="center"/>
                </w:tcPr>
                <w:p w14:paraId="68E1663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由自来水公司供应</w:t>
                  </w:r>
                </w:p>
              </w:tc>
              <w:tc>
                <w:tcPr>
                  <w:tcW w:w="691" w:type="pct"/>
                  <w:noWrap w:val="0"/>
                  <w:vAlign w:val="center"/>
                </w:tcPr>
                <w:p w14:paraId="2DE8BAD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依托现有</w:t>
                  </w:r>
                </w:p>
              </w:tc>
            </w:tr>
            <w:tr w14:paraId="19AA06F7">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jc w:val="center"/>
              </w:trPr>
              <w:tc>
                <w:tcPr>
                  <w:tcW w:w="269" w:type="pct"/>
                  <w:vMerge w:val="continue"/>
                  <w:noWrap w:val="0"/>
                  <w:vAlign w:val="center"/>
                </w:tcPr>
                <w:p w14:paraId="4016489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884" w:type="pct"/>
                  <w:gridSpan w:val="2"/>
                  <w:noWrap w:val="0"/>
                  <w:vAlign w:val="center"/>
                </w:tcPr>
                <w:p w14:paraId="0EFFD05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供电</w:t>
                  </w:r>
                </w:p>
              </w:tc>
              <w:tc>
                <w:tcPr>
                  <w:tcW w:w="1531" w:type="pct"/>
                  <w:noWrap w:val="0"/>
                  <w:vAlign w:val="center"/>
                </w:tcPr>
                <w:p w14:paraId="7262691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由电力公司提供</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不设备用发电机</w:t>
                  </w:r>
                </w:p>
              </w:tc>
              <w:tc>
                <w:tcPr>
                  <w:tcW w:w="1623" w:type="pct"/>
                  <w:noWrap w:val="0"/>
                  <w:vAlign w:val="center"/>
                </w:tcPr>
                <w:p w14:paraId="0EE5864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由电力公司提供</w:t>
                  </w:r>
                  <w:r>
                    <w:rPr>
                      <w:rFonts w:hint="default" w:ascii="Times New Roman" w:hAnsi="Times New Roman" w:eastAsia="宋体" w:cs="Times New Roman"/>
                      <w:color w:val="auto"/>
                      <w:sz w:val="21"/>
                      <w:szCs w:val="21"/>
                      <w:lang w:eastAsia="zh-CN"/>
                    </w:rPr>
                    <w:t>，不设备用发电机</w:t>
                  </w:r>
                </w:p>
              </w:tc>
              <w:tc>
                <w:tcPr>
                  <w:tcW w:w="691" w:type="pct"/>
                  <w:noWrap w:val="0"/>
                  <w:vAlign w:val="center"/>
                </w:tcPr>
                <w:p w14:paraId="42BA7FF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依托现有</w:t>
                  </w:r>
                </w:p>
              </w:tc>
            </w:tr>
            <w:tr w14:paraId="19B7895E">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jc w:val="center"/>
              </w:trPr>
              <w:tc>
                <w:tcPr>
                  <w:tcW w:w="269" w:type="pct"/>
                  <w:vMerge w:val="restart"/>
                  <w:noWrap w:val="0"/>
                  <w:vAlign w:val="center"/>
                </w:tcPr>
                <w:p w14:paraId="07EE578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环保工程</w:t>
                  </w:r>
                </w:p>
              </w:tc>
              <w:tc>
                <w:tcPr>
                  <w:tcW w:w="884" w:type="pct"/>
                  <w:gridSpan w:val="2"/>
                  <w:noWrap w:val="0"/>
                  <w:vAlign w:val="center"/>
                </w:tcPr>
                <w:p w14:paraId="6097148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排</w:t>
                  </w:r>
                  <w:r>
                    <w:rPr>
                      <w:rFonts w:hint="default" w:ascii="Times New Roman" w:hAnsi="Times New Roman" w:eastAsia="宋体" w:cs="Times New Roman"/>
                      <w:color w:val="auto"/>
                      <w:sz w:val="21"/>
                      <w:szCs w:val="21"/>
                    </w:rPr>
                    <w:t>水</w:t>
                  </w:r>
                </w:p>
              </w:tc>
              <w:tc>
                <w:tcPr>
                  <w:tcW w:w="1531" w:type="pct"/>
                  <w:noWrap w:val="0"/>
                  <w:vAlign w:val="center"/>
                </w:tcPr>
                <w:p w14:paraId="3231499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6"/>
                      <w:sz w:val="21"/>
                      <w:szCs w:val="21"/>
                      <w:lang w:val="en-US" w:eastAsia="zh-CN"/>
                    </w:rPr>
                  </w:pPr>
                  <w:r>
                    <w:rPr>
                      <w:rFonts w:hint="default" w:ascii="Times New Roman" w:hAnsi="Times New Roman" w:eastAsia="宋体" w:cs="Times New Roman"/>
                      <w:color w:val="auto"/>
                      <w:spacing w:val="-6"/>
                      <w:sz w:val="21"/>
                      <w:szCs w:val="21"/>
                      <w:lang w:val="en-US" w:eastAsia="zh-CN"/>
                    </w:rPr>
                    <w:t>按照“雨污分流”的原则划分排水系统，项目工艺过程中无废水排放，职工产生的生活废水经三级化粪池处理后</w:t>
                  </w:r>
                  <w:r>
                    <w:rPr>
                      <w:rFonts w:hint="default" w:ascii="Times New Roman" w:hAnsi="Times New Roman" w:cs="Times New Roman"/>
                      <w:color w:val="auto"/>
                      <w:spacing w:val="-6"/>
                      <w:sz w:val="21"/>
                      <w:szCs w:val="21"/>
                      <w:lang w:val="en-US" w:eastAsia="zh-CN"/>
                    </w:rPr>
                    <w:t>（DW001）</w:t>
                  </w:r>
                  <w:r>
                    <w:rPr>
                      <w:rFonts w:hint="default" w:ascii="Times New Roman" w:hAnsi="Times New Roman" w:eastAsia="宋体" w:cs="Times New Roman"/>
                      <w:color w:val="auto"/>
                      <w:spacing w:val="-6"/>
                      <w:sz w:val="21"/>
                      <w:szCs w:val="21"/>
                      <w:lang w:val="en-US" w:eastAsia="zh-CN"/>
                    </w:rPr>
                    <w:t>与车间清洗废水</w:t>
                  </w:r>
                  <w:r>
                    <w:rPr>
                      <w:rFonts w:hint="default" w:ascii="Times New Roman" w:hAnsi="Times New Roman" w:cs="Times New Roman"/>
                      <w:color w:val="auto"/>
                      <w:spacing w:val="-6"/>
                      <w:sz w:val="21"/>
                      <w:szCs w:val="21"/>
                      <w:lang w:val="en-US" w:eastAsia="zh-CN"/>
                    </w:rPr>
                    <w:t>（DW002）</w:t>
                  </w:r>
                  <w:r>
                    <w:rPr>
                      <w:rFonts w:hint="default" w:ascii="Times New Roman" w:hAnsi="Times New Roman" w:eastAsia="宋体" w:cs="Times New Roman"/>
                      <w:color w:val="auto"/>
                      <w:spacing w:val="-6"/>
                      <w:sz w:val="21"/>
                      <w:szCs w:val="21"/>
                      <w:lang w:val="en-US" w:eastAsia="zh-CN"/>
                    </w:rPr>
                    <w:t>一起经厂排污口排入东莞东坑</w:t>
                  </w:r>
                  <w:r>
                    <w:rPr>
                      <w:rFonts w:hint="eastAsia" w:cs="Times New Roman"/>
                      <w:color w:val="auto"/>
                      <w:spacing w:val="-6"/>
                      <w:sz w:val="21"/>
                      <w:szCs w:val="21"/>
                      <w:lang w:val="en-US" w:eastAsia="zh-CN"/>
                    </w:rPr>
                    <w:t>（</w:t>
                  </w:r>
                  <w:r>
                    <w:rPr>
                      <w:rFonts w:hint="default" w:ascii="Times New Roman" w:hAnsi="Times New Roman" w:eastAsia="宋体" w:cs="Times New Roman"/>
                      <w:color w:val="auto"/>
                      <w:spacing w:val="-6"/>
                      <w:sz w:val="21"/>
                      <w:szCs w:val="21"/>
                      <w:lang w:val="en-US" w:eastAsia="zh-CN"/>
                    </w:rPr>
                    <w:t>乐昌</w:t>
                  </w:r>
                  <w:r>
                    <w:rPr>
                      <w:rFonts w:hint="eastAsia" w:cs="Times New Roman"/>
                      <w:color w:val="auto"/>
                      <w:spacing w:val="-6"/>
                      <w:sz w:val="21"/>
                      <w:szCs w:val="21"/>
                      <w:lang w:val="en-US" w:eastAsia="zh-CN"/>
                    </w:rPr>
                    <w:t>）</w:t>
                  </w:r>
                  <w:r>
                    <w:rPr>
                      <w:rFonts w:hint="default" w:ascii="Times New Roman" w:hAnsi="Times New Roman" w:eastAsia="宋体" w:cs="Times New Roman"/>
                      <w:color w:val="auto"/>
                      <w:spacing w:val="-6"/>
                      <w:sz w:val="21"/>
                      <w:szCs w:val="21"/>
                      <w:lang w:val="en-US" w:eastAsia="zh-CN"/>
                    </w:rPr>
                    <w:t>产业园区污水管网，纳入东莞东坑</w:t>
                  </w:r>
                  <w:r>
                    <w:rPr>
                      <w:rFonts w:hint="eastAsia" w:cs="Times New Roman"/>
                      <w:color w:val="auto"/>
                      <w:spacing w:val="-6"/>
                      <w:sz w:val="21"/>
                      <w:szCs w:val="21"/>
                      <w:lang w:val="en-US" w:eastAsia="zh-CN"/>
                    </w:rPr>
                    <w:t>（</w:t>
                  </w:r>
                  <w:r>
                    <w:rPr>
                      <w:rFonts w:hint="default" w:ascii="Times New Roman" w:hAnsi="Times New Roman" w:eastAsia="宋体" w:cs="Times New Roman"/>
                      <w:color w:val="auto"/>
                      <w:spacing w:val="-6"/>
                      <w:sz w:val="21"/>
                      <w:szCs w:val="21"/>
                      <w:lang w:val="en-US" w:eastAsia="zh-CN"/>
                    </w:rPr>
                    <w:t>乐昌</w:t>
                  </w:r>
                  <w:r>
                    <w:rPr>
                      <w:rFonts w:hint="eastAsia" w:cs="Times New Roman"/>
                      <w:color w:val="auto"/>
                      <w:spacing w:val="-6"/>
                      <w:sz w:val="21"/>
                      <w:szCs w:val="21"/>
                      <w:lang w:val="en-US" w:eastAsia="zh-CN"/>
                    </w:rPr>
                    <w:t>）</w:t>
                  </w:r>
                  <w:r>
                    <w:rPr>
                      <w:rFonts w:hint="default" w:ascii="Times New Roman" w:hAnsi="Times New Roman" w:eastAsia="宋体" w:cs="Times New Roman"/>
                      <w:color w:val="auto"/>
                      <w:spacing w:val="-6"/>
                      <w:sz w:val="21"/>
                      <w:szCs w:val="21"/>
                      <w:lang w:val="en-US" w:eastAsia="zh-CN"/>
                    </w:rPr>
                    <w:t>产业园污水处理厂处理</w:t>
                  </w:r>
                </w:p>
              </w:tc>
              <w:tc>
                <w:tcPr>
                  <w:tcW w:w="2570" w:type="dxa"/>
                  <w:noWrap w:val="0"/>
                  <w:vAlign w:val="center"/>
                </w:tcPr>
                <w:p w14:paraId="7459287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本次扩建项目不新增员工，不新增生活用水</w:t>
                  </w:r>
                  <w:r>
                    <w:rPr>
                      <w:rFonts w:hint="default" w:ascii="Times New Roman" w:hAnsi="Times New Roman" w:cs="Times New Roman"/>
                      <w:color w:val="auto"/>
                      <w:sz w:val="21"/>
                      <w:szCs w:val="21"/>
                      <w:lang w:val="en-US" w:eastAsia="zh-CN"/>
                    </w:rPr>
                    <w:t>；调漆用水蒸发损耗；</w:t>
                  </w:r>
                </w:p>
                <w:p w14:paraId="5281121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喷枪清洗废液</w:t>
                  </w:r>
                  <w:r>
                    <w:rPr>
                      <w:rFonts w:hint="default" w:ascii="Times New Roman" w:hAnsi="Times New Roman" w:cs="Times New Roman"/>
                      <w:color w:val="auto"/>
                      <w:sz w:val="21"/>
                      <w:szCs w:val="21"/>
                      <w:lang w:val="en-US" w:eastAsia="zh-CN"/>
                    </w:rPr>
                    <w:t>作为危废，委托有资质单位处理。</w:t>
                  </w:r>
                </w:p>
                <w:p w14:paraId="680424B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喷漆废水（水帘柜、水喷淋塔喷淋废水）作为危废，委托有资质单位处理；循环冷却水经冷却塔冷却后循环使用，蒸发损耗</w:t>
                  </w:r>
                  <w:r>
                    <w:rPr>
                      <w:rFonts w:hint="eastAsia" w:ascii="Times New Roman" w:hAnsi="Times New Roman" w:cs="Times New Roman"/>
                      <w:color w:val="auto"/>
                      <w:sz w:val="21"/>
                      <w:szCs w:val="21"/>
                      <w:lang w:val="en-US" w:eastAsia="zh-CN"/>
                    </w:rPr>
                    <w:t>；</w:t>
                  </w:r>
                  <w:r>
                    <w:rPr>
                      <w:rFonts w:hint="eastAsia" w:cs="Times New Roman"/>
                      <w:color w:val="auto"/>
                      <w:sz w:val="21"/>
                      <w:szCs w:val="21"/>
                      <w:lang w:val="en-US" w:eastAsia="zh-CN"/>
                    </w:rPr>
                    <w:t>循环水每月更换一次，补充至喷淋塔作为喷淋用水，</w:t>
                  </w:r>
                  <w:r>
                    <w:rPr>
                      <w:rFonts w:hint="default" w:ascii="Times New Roman" w:hAnsi="Times New Roman" w:cs="Times New Roman"/>
                      <w:color w:val="auto"/>
                      <w:sz w:val="21"/>
                      <w:szCs w:val="21"/>
                      <w:lang w:val="en-US" w:eastAsia="zh-CN"/>
                    </w:rPr>
                    <w:t>不外排。</w:t>
                  </w:r>
                </w:p>
              </w:tc>
              <w:tc>
                <w:tcPr>
                  <w:tcW w:w="1094" w:type="dxa"/>
                  <w:noWrap w:val="0"/>
                  <w:vAlign w:val="center"/>
                </w:tcPr>
                <w:p w14:paraId="3321E87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不新增外排废水</w:t>
                  </w:r>
                </w:p>
              </w:tc>
            </w:tr>
            <w:tr w14:paraId="5A06862C">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jc w:val="center"/>
              </w:trPr>
              <w:tc>
                <w:tcPr>
                  <w:tcW w:w="269" w:type="pct"/>
                  <w:vMerge w:val="continue"/>
                  <w:noWrap w:val="0"/>
                  <w:vAlign w:val="center"/>
                </w:tcPr>
                <w:p w14:paraId="26D5F3D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71" w:type="pct"/>
                  <w:vMerge w:val="restart"/>
                  <w:noWrap w:val="0"/>
                  <w:vAlign w:val="center"/>
                </w:tcPr>
                <w:p w14:paraId="57CD52B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废气</w:t>
                  </w:r>
                </w:p>
              </w:tc>
              <w:tc>
                <w:tcPr>
                  <w:tcW w:w="613" w:type="pct"/>
                  <w:noWrap w:val="0"/>
                  <w:vAlign w:val="center"/>
                </w:tcPr>
                <w:p w14:paraId="2203242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有机废气</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粉尘</w:t>
                  </w:r>
                </w:p>
              </w:tc>
              <w:tc>
                <w:tcPr>
                  <w:tcW w:w="1531" w:type="pct"/>
                  <w:noWrap w:val="0"/>
                  <w:vAlign w:val="center"/>
                </w:tcPr>
                <w:p w14:paraId="7FBC2EC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b/>
                      <w:bCs/>
                      <w:color w:val="auto"/>
                      <w:sz w:val="21"/>
                      <w:szCs w:val="21"/>
                      <w:lang w:val="en-US" w:eastAsia="zh-CN"/>
                    </w:rPr>
                    <w:t>已建设已验收：</w:t>
                  </w:r>
                  <w:r>
                    <w:rPr>
                      <w:rFonts w:hint="default" w:ascii="Times New Roman" w:hAnsi="Times New Roman" w:eastAsia="宋体" w:cs="Times New Roman"/>
                      <w:color w:val="auto"/>
                      <w:sz w:val="21"/>
                      <w:szCs w:val="21"/>
                    </w:rPr>
                    <w:t>在1号</w:t>
                  </w:r>
                  <w:r>
                    <w:rPr>
                      <w:rFonts w:hint="default" w:ascii="Times New Roman" w:hAnsi="Times New Roman" w:cs="Times New Roman"/>
                      <w:color w:val="auto"/>
                      <w:sz w:val="21"/>
                      <w:szCs w:val="21"/>
                      <w:lang w:val="en-US" w:eastAsia="zh-CN"/>
                    </w:rPr>
                    <w:t>厂房</w:t>
                  </w:r>
                  <w:r>
                    <w:rPr>
                      <w:rFonts w:hint="default" w:ascii="Times New Roman" w:hAnsi="Times New Roman" w:eastAsia="宋体" w:cs="Times New Roman"/>
                      <w:color w:val="auto"/>
                      <w:sz w:val="21"/>
                      <w:szCs w:val="21"/>
                    </w:rPr>
                    <w:t>设置</w:t>
                  </w:r>
                  <w:r>
                    <w:rPr>
                      <w:rFonts w:hint="default" w:ascii="Times New Roman" w:hAnsi="Times New Roman" w:cs="Times New Roman"/>
                      <w:color w:val="auto"/>
                      <w:sz w:val="21"/>
                      <w:szCs w:val="21"/>
                      <w:lang w:val="en-US" w:eastAsia="zh-CN"/>
                    </w:rPr>
                    <w:t>1</w:t>
                  </w:r>
                  <w:r>
                    <w:rPr>
                      <w:rFonts w:hint="default" w:ascii="Times New Roman" w:hAnsi="Times New Roman" w:eastAsia="宋体" w:cs="Times New Roman"/>
                      <w:color w:val="auto"/>
                      <w:sz w:val="21"/>
                      <w:szCs w:val="21"/>
                    </w:rPr>
                    <w:t>套废气处理设施</w:t>
                  </w:r>
                  <w:r>
                    <w:rPr>
                      <w:rFonts w:hint="default" w:ascii="Times New Roman" w:hAnsi="Times New Roman" w:cs="Times New Roman"/>
                      <w:color w:val="auto"/>
                      <w:sz w:val="21"/>
                      <w:szCs w:val="21"/>
                      <w:lang w:eastAsia="zh-CN"/>
                    </w:rPr>
                    <w:t>（气旋喷淋塔+二级活性炭吸附+脱附+催化燃烧）</w:t>
                  </w:r>
                  <w:r>
                    <w:rPr>
                      <w:rFonts w:hint="default" w:ascii="Times New Roman" w:hAnsi="Times New Roman" w:cs="Times New Roman"/>
                      <w:color w:val="auto"/>
                      <w:sz w:val="21"/>
                      <w:szCs w:val="21"/>
                      <w:lang w:val="en-US" w:eastAsia="zh-CN"/>
                    </w:rPr>
                    <w:t>通过</w:t>
                  </w:r>
                  <w:r>
                    <w:rPr>
                      <w:rFonts w:hint="default" w:ascii="Times New Roman" w:hAnsi="Times New Roman" w:eastAsia="宋体" w:cs="Times New Roman"/>
                      <w:color w:val="auto"/>
                      <w:sz w:val="21"/>
                      <w:szCs w:val="21"/>
                    </w:rPr>
                    <w:t>15m高排气筒</w:t>
                  </w:r>
                  <w:r>
                    <w:rPr>
                      <w:rFonts w:hint="default" w:ascii="Times New Roman" w:hAnsi="Times New Roman" w:cs="Times New Roman"/>
                      <w:color w:val="auto"/>
                      <w:sz w:val="21"/>
                      <w:szCs w:val="21"/>
                      <w:lang w:val="en-US" w:eastAsia="zh-CN"/>
                    </w:rPr>
                    <w:t>排放（DA001）；</w:t>
                  </w:r>
                  <w:r>
                    <w:rPr>
                      <w:rFonts w:hint="default" w:ascii="Times New Roman" w:hAnsi="Times New Roman" w:eastAsia="宋体" w:cs="Times New Roman"/>
                      <w:color w:val="auto"/>
                      <w:sz w:val="21"/>
                      <w:szCs w:val="21"/>
                    </w:rPr>
                    <w:t>在</w:t>
                  </w: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号</w:t>
                  </w:r>
                  <w:r>
                    <w:rPr>
                      <w:rFonts w:hint="default" w:ascii="Times New Roman" w:hAnsi="Times New Roman" w:cs="Times New Roman"/>
                      <w:color w:val="auto"/>
                      <w:sz w:val="21"/>
                      <w:szCs w:val="21"/>
                      <w:lang w:val="en-US" w:eastAsia="zh-CN"/>
                    </w:rPr>
                    <w:t>厂房</w:t>
                  </w:r>
                  <w:r>
                    <w:rPr>
                      <w:rFonts w:hint="default" w:ascii="Times New Roman" w:hAnsi="Times New Roman" w:eastAsia="宋体" w:cs="Times New Roman"/>
                      <w:color w:val="auto"/>
                      <w:sz w:val="21"/>
                      <w:szCs w:val="21"/>
                    </w:rPr>
                    <w:t>设置</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套废气处理设施</w:t>
                  </w:r>
                  <w:r>
                    <w:rPr>
                      <w:rFonts w:hint="default" w:ascii="Times New Roman" w:hAnsi="Times New Roman" w:cs="Times New Roman"/>
                      <w:color w:val="auto"/>
                      <w:sz w:val="21"/>
                      <w:szCs w:val="21"/>
                      <w:lang w:eastAsia="zh-CN"/>
                    </w:rPr>
                    <w:t>（气旋喷淋塔+二级活性炭吸附+脱附+催化燃烧）</w:t>
                  </w:r>
                  <w:r>
                    <w:rPr>
                      <w:rFonts w:hint="default" w:ascii="Times New Roman" w:hAnsi="Times New Roman" w:cs="Times New Roman"/>
                      <w:color w:val="auto"/>
                      <w:sz w:val="21"/>
                      <w:szCs w:val="21"/>
                      <w:lang w:val="en-US" w:eastAsia="zh-CN"/>
                    </w:rPr>
                    <w:t>通过</w:t>
                  </w:r>
                  <w:r>
                    <w:rPr>
                      <w:rFonts w:hint="default" w:ascii="Times New Roman" w:hAnsi="Times New Roman" w:eastAsia="宋体" w:cs="Times New Roman"/>
                      <w:color w:val="auto"/>
                      <w:sz w:val="21"/>
                      <w:szCs w:val="21"/>
                    </w:rPr>
                    <w:t>15m高排气筒</w:t>
                  </w:r>
                  <w:r>
                    <w:rPr>
                      <w:rFonts w:hint="default" w:ascii="Times New Roman" w:hAnsi="Times New Roman" w:cs="Times New Roman"/>
                      <w:color w:val="auto"/>
                      <w:sz w:val="21"/>
                      <w:szCs w:val="21"/>
                      <w:lang w:val="en-US" w:eastAsia="zh-CN"/>
                    </w:rPr>
                    <w:t>排放（DA002、DA003）；</w:t>
                  </w:r>
                </w:p>
                <w:p w14:paraId="5FFAA46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rPr>
                  </w:pPr>
                  <w:r>
                    <w:rPr>
                      <w:rFonts w:hint="eastAsia" w:cs="Times New Roman"/>
                      <w:b/>
                      <w:bCs/>
                      <w:color w:val="auto"/>
                      <w:sz w:val="21"/>
                      <w:szCs w:val="21"/>
                      <w:lang w:val="en-US" w:eastAsia="zh-CN"/>
                    </w:rPr>
                    <w:t>不再建设</w:t>
                  </w:r>
                  <w:r>
                    <w:rPr>
                      <w:rFonts w:hint="default" w:ascii="Times New Roman" w:hAnsi="Times New Roman" w:cs="Times New Roman"/>
                      <w:b/>
                      <w:bCs/>
                      <w:color w:val="auto"/>
                      <w:sz w:val="21"/>
                      <w:szCs w:val="21"/>
                      <w:lang w:val="en-US" w:eastAsia="zh-CN"/>
                    </w:rPr>
                    <w:t>：</w:t>
                  </w:r>
                  <w:r>
                    <w:rPr>
                      <w:rFonts w:hint="default" w:ascii="Times New Roman" w:hAnsi="Times New Roman" w:eastAsia="宋体" w:cs="Times New Roman"/>
                      <w:color w:val="auto"/>
                      <w:sz w:val="21"/>
                      <w:szCs w:val="21"/>
                    </w:rPr>
                    <w:t>在</w:t>
                  </w:r>
                  <w:r>
                    <w:rPr>
                      <w:rFonts w:hint="default" w:ascii="Times New Roman" w:hAnsi="Times New Roman" w:eastAsia="宋体" w:cs="Times New Roman"/>
                      <w:color w:val="auto"/>
                      <w:sz w:val="21"/>
                      <w:szCs w:val="21"/>
                      <w:lang w:val="en-US" w:eastAsia="zh-CN"/>
                    </w:rPr>
                    <w:t>7、8</w:t>
                  </w:r>
                  <w:r>
                    <w:rPr>
                      <w:rFonts w:hint="default" w:ascii="Times New Roman" w:hAnsi="Times New Roman" w:eastAsia="宋体" w:cs="Times New Roman"/>
                      <w:color w:val="auto"/>
                      <w:sz w:val="21"/>
                      <w:szCs w:val="21"/>
                    </w:rPr>
                    <w:t>号</w:t>
                  </w:r>
                  <w:r>
                    <w:rPr>
                      <w:rFonts w:hint="default" w:ascii="Times New Roman" w:hAnsi="Times New Roman" w:cs="Times New Roman"/>
                      <w:color w:val="auto"/>
                      <w:sz w:val="21"/>
                      <w:szCs w:val="21"/>
                      <w:lang w:val="en-US" w:eastAsia="zh-CN"/>
                    </w:rPr>
                    <w:t>厂房分别</w:t>
                  </w:r>
                  <w:r>
                    <w:rPr>
                      <w:rFonts w:hint="default" w:ascii="Times New Roman" w:hAnsi="Times New Roman" w:eastAsia="宋体" w:cs="Times New Roman"/>
                      <w:color w:val="auto"/>
                      <w:sz w:val="21"/>
                      <w:szCs w:val="21"/>
                    </w:rPr>
                    <w:t>设置</w:t>
                  </w: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套废气处理设施</w:t>
                  </w:r>
                  <w:r>
                    <w:rPr>
                      <w:rFonts w:hint="default" w:ascii="Times New Roman" w:hAnsi="Times New Roman" w:cs="Times New Roman"/>
                      <w:color w:val="auto"/>
                      <w:sz w:val="21"/>
                      <w:szCs w:val="21"/>
                      <w:lang w:eastAsia="zh-CN"/>
                    </w:rPr>
                    <w:t>（气旋喷淋塔+二级活性炭吸附+脱附+催化燃烧）</w:t>
                  </w:r>
                  <w:r>
                    <w:rPr>
                      <w:rFonts w:hint="default" w:ascii="Times New Roman" w:hAnsi="Times New Roman" w:cs="Times New Roman"/>
                      <w:color w:val="auto"/>
                      <w:sz w:val="21"/>
                      <w:szCs w:val="21"/>
                      <w:lang w:val="en-US" w:eastAsia="zh-CN"/>
                    </w:rPr>
                    <w:t>通过</w:t>
                  </w:r>
                  <w:r>
                    <w:rPr>
                      <w:rFonts w:hint="default" w:ascii="Times New Roman" w:hAnsi="Times New Roman" w:eastAsia="宋体" w:cs="Times New Roman"/>
                      <w:color w:val="auto"/>
                      <w:sz w:val="21"/>
                      <w:szCs w:val="21"/>
                    </w:rPr>
                    <w:t>15m高排气筒</w:t>
                  </w:r>
                  <w:r>
                    <w:rPr>
                      <w:rFonts w:hint="default" w:ascii="Times New Roman" w:hAnsi="Times New Roman" w:cs="Times New Roman"/>
                      <w:color w:val="auto"/>
                      <w:sz w:val="21"/>
                      <w:szCs w:val="21"/>
                      <w:lang w:val="en-US" w:eastAsia="zh-CN"/>
                    </w:rPr>
                    <w:t>排放。</w:t>
                  </w:r>
                </w:p>
              </w:tc>
              <w:tc>
                <w:tcPr>
                  <w:tcW w:w="1623" w:type="pct"/>
                  <w:noWrap w:val="0"/>
                  <w:vAlign w:val="center"/>
                </w:tcPr>
                <w:p w14:paraId="29D2719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本项目新增在10号厂房设置1套</w:t>
                  </w:r>
                  <w:r>
                    <w:rPr>
                      <w:rFonts w:hint="eastAsia" w:cs="Times New Roman"/>
                      <w:color w:val="auto"/>
                      <w:sz w:val="21"/>
                      <w:szCs w:val="21"/>
                      <w:lang w:val="en-US" w:eastAsia="zh-CN"/>
                    </w:rPr>
                    <w:t>注塑</w:t>
                  </w:r>
                  <w:r>
                    <w:rPr>
                      <w:rFonts w:hint="default" w:ascii="Times New Roman" w:hAnsi="Times New Roman" w:cs="Times New Roman"/>
                      <w:color w:val="auto"/>
                      <w:sz w:val="21"/>
                      <w:szCs w:val="21"/>
                      <w:lang w:val="en-US" w:eastAsia="zh-CN"/>
                    </w:rPr>
                    <w:t>废气处理设施（二级活性炭吸）通过15m高排气筒排放（DA005）；设置1套</w:t>
                  </w:r>
                  <w:r>
                    <w:rPr>
                      <w:rFonts w:hint="eastAsia" w:cs="Times New Roman"/>
                      <w:color w:val="auto"/>
                      <w:sz w:val="21"/>
                      <w:szCs w:val="21"/>
                      <w:lang w:val="en-US" w:eastAsia="zh-CN"/>
                    </w:rPr>
                    <w:t>喷漆</w:t>
                  </w:r>
                  <w:r>
                    <w:rPr>
                      <w:rFonts w:hint="default" w:ascii="Times New Roman" w:hAnsi="Times New Roman" w:cs="Times New Roman"/>
                      <w:color w:val="auto"/>
                      <w:sz w:val="21"/>
                      <w:szCs w:val="21"/>
                      <w:lang w:val="en-US" w:eastAsia="zh-CN"/>
                    </w:rPr>
                    <w:t>废气处理设施（水喷淋+干式过滤器+二级活性炭）通过15m高排气筒排放（DA006）</w:t>
                  </w:r>
                </w:p>
              </w:tc>
              <w:tc>
                <w:tcPr>
                  <w:tcW w:w="691" w:type="pct"/>
                  <w:noWrap w:val="0"/>
                  <w:vAlign w:val="center"/>
                </w:tcPr>
                <w:p w14:paraId="56E9A24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仅在10号厂房增设两套处理设施和排气筒</w:t>
                  </w:r>
                </w:p>
              </w:tc>
            </w:tr>
            <w:tr w14:paraId="756CAAC1">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jc w:val="center"/>
              </w:trPr>
              <w:tc>
                <w:tcPr>
                  <w:tcW w:w="269" w:type="pct"/>
                  <w:vMerge w:val="continue"/>
                  <w:noWrap w:val="0"/>
                  <w:vAlign w:val="center"/>
                </w:tcPr>
                <w:p w14:paraId="489895E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71" w:type="pct"/>
                  <w:vMerge w:val="continue"/>
                  <w:noWrap w:val="0"/>
                  <w:vAlign w:val="center"/>
                </w:tcPr>
                <w:p w14:paraId="532F9BE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613" w:type="pct"/>
                  <w:noWrap w:val="0"/>
                  <w:vAlign w:val="center"/>
                </w:tcPr>
                <w:p w14:paraId="5972CBE7">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油烟</w:t>
                  </w:r>
                </w:p>
              </w:tc>
              <w:tc>
                <w:tcPr>
                  <w:tcW w:w="1531" w:type="pct"/>
                  <w:noWrap w:val="0"/>
                  <w:vAlign w:val="center"/>
                </w:tcPr>
                <w:p w14:paraId="25DEC547">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通过高效静电净化装置处理后通过15m高排气筒排放DA004。</w:t>
                  </w:r>
                </w:p>
              </w:tc>
              <w:tc>
                <w:tcPr>
                  <w:tcW w:w="2570" w:type="dxa"/>
                  <w:noWrap w:val="0"/>
                  <w:vAlign w:val="center"/>
                </w:tcPr>
                <w:p w14:paraId="024DD9B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rPr>
                  </w:pPr>
                  <w:r>
                    <w:rPr>
                      <w:rFonts w:hint="default" w:ascii="Times New Roman" w:hAnsi="Times New Roman" w:cs="Times New Roman"/>
                      <w:color w:val="auto"/>
                      <w:sz w:val="21"/>
                      <w:szCs w:val="21"/>
                      <w:vertAlign w:val="baseline"/>
                      <w:lang w:val="en-US" w:eastAsia="zh-CN"/>
                    </w:rPr>
                    <w:t>不涉及</w:t>
                  </w:r>
                </w:p>
              </w:tc>
              <w:tc>
                <w:tcPr>
                  <w:tcW w:w="1094" w:type="dxa"/>
                  <w:noWrap w:val="0"/>
                  <w:vAlign w:val="center"/>
                </w:tcPr>
                <w:p w14:paraId="3FB617F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r>
            <w:tr w14:paraId="76B25E3B">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jc w:val="center"/>
              </w:trPr>
              <w:tc>
                <w:tcPr>
                  <w:tcW w:w="269" w:type="pct"/>
                  <w:vMerge w:val="continue"/>
                  <w:noWrap w:val="0"/>
                  <w:vAlign w:val="center"/>
                </w:tcPr>
                <w:p w14:paraId="6DF0410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884" w:type="pct"/>
                  <w:gridSpan w:val="2"/>
                  <w:noWrap w:val="0"/>
                  <w:vAlign w:val="center"/>
                </w:tcPr>
                <w:p w14:paraId="19E6D01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噪声处理</w:t>
                  </w:r>
                </w:p>
              </w:tc>
              <w:tc>
                <w:tcPr>
                  <w:tcW w:w="1531" w:type="pct"/>
                  <w:noWrap w:val="0"/>
                  <w:vAlign w:val="center"/>
                </w:tcPr>
                <w:p w14:paraId="1AA4E28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6"/>
                      <w:sz w:val="21"/>
                      <w:szCs w:val="21"/>
                      <w:lang w:val="en-US" w:eastAsia="zh-CN"/>
                    </w:rPr>
                  </w:pPr>
                  <w:r>
                    <w:rPr>
                      <w:rFonts w:hint="default" w:ascii="Times New Roman" w:hAnsi="Times New Roman" w:eastAsia="宋体" w:cs="Times New Roman"/>
                      <w:color w:val="auto"/>
                      <w:spacing w:val="-6"/>
                      <w:sz w:val="21"/>
                      <w:szCs w:val="21"/>
                      <w:lang w:val="en-US" w:eastAsia="zh-CN"/>
                    </w:rPr>
                    <w:t>选用低噪声设备，并设置减振基础、安装消声装置等隔音降噪措施。</w:t>
                  </w:r>
                </w:p>
              </w:tc>
              <w:tc>
                <w:tcPr>
                  <w:tcW w:w="1623" w:type="pct"/>
                  <w:noWrap w:val="0"/>
                  <w:vAlign w:val="center"/>
                </w:tcPr>
                <w:p w14:paraId="32B0B15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6"/>
                      <w:sz w:val="21"/>
                      <w:szCs w:val="21"/>
                      <w:lang w:val="en-US" w:eastAsia="zh-CN"/>
                    </w:rPr>
                  </w:pPr>
                  <w:r>
                    <w:rPr>
                      <w:rFonts w:hint="default" w:ascii="Times New Roman" w:hAnsi="Times New Roman" w:eastAsia="宋体" w:cs="Times New Roman"/>
                      <w:color w:val="auto"/>
                      <w:spacing w:val="-6"/>
                      <w:sz w:val="21"/>
                      <w:szCs w:val="21"/>
                      <w:lang w:val="en-US" w:eastAsia="zh-CN"/>
                    </w:rPr>
                    <w:t>选用低噪声设备，并设置减振基础、安装消声装置等隔音降噪措施。</w:t>
                  </w:r>
                </w:p>
              </w:tc>
              <w:tc>
                <w:tcPr>
                  <w:tcW w:w="691" w:type="pct"/>
                  <w:noWrap w:val="0"/>
                  <w:vAlign w:val="center"/>
                </w:tcPr>
                <w:p w14:paraId="4D3B262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6"/>
                      <w:sz w:val="21"/>
                      <w:szCs w:val="21"/>
                      <w:lang w:val="en-US" w:eastAsia="zh-CN"/>
                    </w:rPr>
                  </w:pPr>
                  <w:r>
                    <w:rPr>
                      <w:rFonts w:hint="default" w:ascii="Times New Roman" w:hAnsi="Times New Roman" w:eastAsia="宋体" w:cs="Times New Roman"/>
                      <w:color w:val="auto"/>
                      <w:spacing w:val="-6"/>
                      <w:sz w:val="21"/>
                      <w:szCs w:val="21"/>
                      <w:lang w:val="en-US" w:eastAsia="zh-CN"/>
                    </w:rPr>
                    <w:t>/</w:t>
                  </w:r>
                </w:p>
              </w:tc>
            </w:tr>
            <w:tr w14:paraId="5A3EF5D5">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713" w:hRule="atLeast"/>
                <w:jc w:val="center"/>
              </w:trPr>
              <w:tc>
                <w:tcPr>
                  <w:tcW w:w="269" w:type="pct"/>
                  <w:vMerge w:val="continue"/>
                  <w:noWrap w:val="0"/>
                  <w:vAlign w:val="center"/>
                </w:tcPr>
                <w:p w14:paraId="0FE2B71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884" w:type="pct"/>
                  <w:gridSpan w:val="2"/>
                  <w:noWrap w:val="0"/>
                  <w:vAlign w:val="center"/>
                </w:tcPr>
                <w:p w14:paraId="6182480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w:t>
                  </w:r>
                </w:p>
              </w:tc>
              <w:tc>
                <w:tcPr>
                  <w:tcW w:w="1531" w:type="pct"/>
                  <w:noWrap w:val="0"/>
                  <w:vAlign w:val="center"/>
                </w:tcPr>
                <w:p w14:paraId="279FD826">
                  <w:pPr>
                    <w:keepNext w:val="0"/>
                    <w:keepLines w:val="0"/>
                    <w:pageBreakBefore w:val="0"/>
                    <w:widowControl/>
                    <w:suppressLineNumbers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危险废物暂存间建筑面积50m</w:t>
                  </w:r>
                  <w:r>
                    <w:rPr>
                      <w:rFonts w:hint="default" w:ascii="Times New Roman" w:hAnsi="Times New Roman" w:cs="Times New Roman"/>
                      <w:color w:val="auto"/>
                      <w:sz w:val="21"/>
                      <w:szCs w:val="21"/>
                      <w:vertAlign w:val="superscript"/>
                      <w:lang w:val="en-US" w:eastAsia="zh-CN"/>
                    </w:rPr>
                    <w:t>2</w:t>
                  </w:r>
                  <w:r>
                    <w:rPr>
                      <w:rFonts w:hint="default" w:ascii="Times New Roman" w:hAnsi="Times New Roman" w:cs="Times New Roman"/>
                      <w:color w:val="auto"/>
                      <w:sz w:val="21"/>
                      <w:szCs w:val="21"/>
                      <w:lang w:val="en-US" w:eastAsia="zh-CN"/>
                    </w:rPr>
                    <w:t>，设置于1号厂房东南侧，用于危险废物存放；一般固体废物暂存间占地面积100m</w:t>
                  </w:r>
                  <w:r>
                    <w:rPr>
                      <w:rFonts w:hint="default" w:ascii="Times New Roman" w:hAnsi="Times New Roman" w:cs="Times New Roman"/>
                      <w:color w:val="auto"/>
                      <w:sz w:val="21"/>
                      <w:szCs w:val="21"/>
                      <w:vertAlign w:val="superscript"/>
                      <w:lang w:val="en-US" w:eastAsia="zh-CN"/>
                    </w:rPr>
                    <w:t>2</w:t>
                  </w:r>
                  <w:r>
                    <w:rPr>
                      <w:rFonts w:hint="default" w:ascii="Times New Roman" w:hAnsi="Times New Roman" w:cs="Times New Roman"/>
                      <w:color w:val="auto"/>
                      <w:sz w:val="21"/>
                      <w:szCs w:val="21"/>
                      <w:lang w:val="en-US" w:eastAsia="zh-CN"/>
                    </w:rPr>
                    <w:t>，设置于宿舍楼东侧，用于一般固废暂存</w:t>
                  </w:r>
                  <w:r>
                    <w:rPr>
                      <w:rFonts w:hint="default" w:ascii="Times New Roman" w:hAnsi="Times New Roman" w:cs="Times New Roman"/>
                      <w:color w:val="auto"/>
                      <w:sz w:val="21"/>
                      <w:szCs w:val="21"/>
                      <w:lang w:eastAsia="zh-CN"/>
                    </w:rPr>
                    <w:t>。</w:t>
                  </w:r>
                </w:p>
              </w:tc>
              <w:tc>
                <w:tcPr>
                  <w:tcW w:w="1623" w:type="pct"/>
                  <w:noWrap w:val="0"/>
                  <w:vAlign w:val="center"/>
                </w:tcPr>
                <w:p w14:paraId="0E649CC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w:t>
                  </w:r>
                  <w:r>
                    <w:rPr>
                      <w:rFonts w:hint="default" w:ascii="Times New Roman" w:hAnsi="Times New Roman" w:cs="Times New Roman"/>
                      <w:color w:val="auto"/>
                      <w:sz w:val="21"/>
                      <w:szCs w:val="21"/>
                      <w:lang w:val="en-US" w:eastAsia="zh-CN"/>
                    </w:rPr>
                    <w:t>针对</w:t>
                  </w:r>
                  <w:r>
                    <w:rPr>
                      <w:rFonts w:hint="default" w:ascii="Times New Roman" w:hAnsi="Times New Roman" w:eastAsia="宋体" w:cs="Times New Roman"/>
                      <w:color w:val="auto"/>
                      <w:sz w:val="21"/>
                      <w:szCs w:val="21"/>
                      <w:lang w:val="en-US" w:eastAsia="zh-CN"/>
                    </w:rPr>
                    <w:t>新增危险废物</w:t>
                  </w:r>
                  <w:r>
                    <w:rPr>
                      <w:rFonts w:hint="default" w:ascii="Times New Roman" w:hAnsi="Times New Roman" w:cs="Times New Roman"/>
                      <w:color w:val="auto"/>
                      <w:sz w:val="21"/>
                      <w:szCs w:val="21"/>
                      <w:lang w:val="en-US" w:eastAsia="zh-CN"/>
                    </w:rPr>
                    <w:t>在厂房10设置一个危废暂存间，面积为25m</w:t>
                  </w:r>
                  <w:r>
                    <w:rPr>
                      <w:rFonts w:hint="default" w:ascii="Times New Roman" w:hAnsi="Times New Roman" w:cs="Times New Roman"/>
                      <w:color w:val="auto"/>
                      <w:sz w:val="21"/>
                      <w:szCs w:val="21"/>
                      <w:vertAlign w:val="superscript"/>
                      <w:lang w:val="en-US" w:eastAsia="zh-CN"/>
                    </w:rPr>
                    <w:t>2</w:t>
                  </w:r>
                  <w:r>
                    <w:rPr>
                      <w:rFonts w:hint="default" w:ascii="Times New Roman" w:hAnsi="Times New Roman"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 xml:space="preserve"> 一般体废物依托原项目暂存间。</w:t>
                  </w:r>
                </w:p>
              </w:tc>
              <w:tc>
                <w:tcPr>
                  <w:tcW w:w="691" w:type="pct"/>
                  <w:noWrap w:val="0"/>
                  <w:vAlign w:val="center"/>
                </w:tcPr>
                <w:p w14:paraId="6A1BA65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厂房10新增一个危废暂存间，面积为25m</w:t>
                  </w:r>
                  <w:r>
                    <w:rPr>
                      <w:rFonts w:hint="default" w:ascii="Times New Roman" w:hAnsi="Times New Roman" w:cs="Times New Roman"/>
                      <w:color w:val="auto"/>
                      <w:sz w:val="21"/>
                      <w:szCs w:val="21"/>
                      <w:vertAlign w:val="superscript"/>
                      <w:lang w:val="en-US" w:eastAsia="zh-CN"/>
                    </w:rPr>
                    <w:t>2</w:t>
                  </w:r>
                </w:p>
              </w:tc>
            </w:tr>
          </w:tbl>
          <w:p w14:paraId="1467CAC7">
            <w:pPr>
              <w:pStyle w:val="5"/>
              <w:pageBreakBefore w:val="0"/>
              <w:numPr>
                <w:ilvl w:val="3"/>
                <w:numId w:val="0"/>
              </w:numPr>
              <w:wordWrap w:val="0"/>
              <w:overflowPunct/>
              <w:bidi w:val="0"/>
              <w:ind w:left="-96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2、</w:t>
            </w:r>
            <w:r>
              <w:rPr>
                <w:rFonts w:hint="default" w:ascii="Times New Roman" w:hAnsi="Times New Roman" w:cs="Times New Roman"/>
                <w:color w:val="auto"/>
                <w:highlight w:val="none"/>
              </w:rPr>
              <w:t>产品方案</w:t>
            </w:r>
          </w:p>
          <w:p w14:paraId="47A92511">
            <w:pPr>
              <w:pageBreakBefore w:val="0"/>
              <w:tabs>
                <w:tab w:val="left" w:pos="6960"/>
              </w:tabs>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扩建后</w:t>
            </w:r>
            <w:r>
              <w:rPr>
                <w:rFonts w:hint="default" w:ascii="Times New Roman" w:hAnsi="Times New Roman" w:cs="Times New Roman"/>
                <w:color w:val="auto"/>
                <w:highlight w:val="none"/>
              </w:rPr>
              <w:t>生产产品见下表。</w:t>
            </w:r>
          </w:p>
          <w:p w14:paraId="7DCBCC0E">
            <w:pPr>
              <w:pStyle w:val="19"/>
              <w:pageBreakBefore w:val="0"/>
              <w:numPr>
                <w:ilvl w:val="0"/>
                <w:numId w:val="6"/>
              </w:numPr>
              <w:wordWrap w:val="0"/>
              <w:overflowPunct/>
              <w:bidi w:val="0"/>
              <w:spacing w:line="240" w:lineRule="auto"/>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产品产量一览表</w:t>
            </w:r>
          </w:p>
          <w:tbl>
            <w:tblPr>
              <w:tblStyle w:val="3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69"/>
              <w:gridCol w:w="1018"/>
              <w:gridCol w:w="845"/>
              <w:gridCol w:w="845"/>
              <w:gridCol w:w="964"/>
              <w:gridCol w:w="1417"/>
              <w:gridCol w:w="801"/>
              <w:gridCol w:w="805"/>
            </w:tblGrid>
            <w:tr w14:paraId="2D984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6" w:type="pct"/>
                  <w:noWrap w:val="0"/>
                  <w:vAlign w:val="center"/>
                </w:tcPr>
                <w:p w14:paraId="7F91958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序号</w:t>
                  </w:r>
                </w:p>
              </w:tc>
              <w:tc>
                <w:tcPr>
                  <w:tcW w:w="544" w:type="pct"/>
                  <w:noWrap w:val="0"/>
                  <w:vAlign w:val="center"/>
                </w:tcPr>
                <w:p w14:paraId="5888ECD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类型</w:t>
                  </w:r>
                </w:p>
              </w:tc>
              <w:tc>
                <w:tcPr>
                  <w:tcW w:w="637" w:type="pct"/>
                  <w:noWrap w:val="0"/>
                  <w:vAlign w:val="center"/>
                </w:tcPr>
                <w:p w14:paraId="5EDBB65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扩建前</w:t>
                  </w:r>
                </w:p>
              </w:tc>
              <w:tc>
                <w:tcPr>
                  <w:tcW w:w="529" w:type="pct"/>
                  <w:noWrap w:val="0"/>
                  <w:vAlign w:val="center"/>
                </w:tcPr>
                <w:p w14:paraId="4764D8F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本项目扩建</w:t>
                  </w:r>
                </w:p>
              </w:tc>
              <w:tc>
                <w:tcPr>
                  <w:tcW w:w="529" w:type="pct"/>
                  <w:noWrap w:val="0"/>
                  <w:vAlign w:val="center"/>
                </w:tcPr>
                <w:p w14:paraId="2F699B0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全厂</w:t>
                  </w:r>
                </w:p>
              </w:tc>
              <w:tc>
                <w:tcPr>
                  <w:tcW w:w="603" w:type="pct"/>
                  <w:noWrap w:val="0"/>
                  <w:vAlign w:val="center"/>
                </w:tcPr>
                <w:p w14:paraId="4C9C69B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增减量</w:t>
                  </w:r>
                </w:p>
              </w:tc>
              <w:tc>
                <w:tcPr>
                  <w:tcW w:w="887" w:type="pct"/>
                  <w:noWrap w:val="0"/>
                  <w:vAlign w:val="center"/>
                </w:tcPr>
                <w:p w14:paraId="0E7C0F1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产品规格</w:t>
                  </w:r>
                </w:p>
              </w:tc>
              <w:tc>
                <w:tcPr>
                  <w:tcW w:w="501" w:type="pct"/>
                  <w:noWrap w:val="0"/>
                  <w:vAlign w:val="center"/>
                </w:tcPr>
                <w:p w14:paraId="032BD65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数量（万个/a）</w:t>
                  </w:r>
                </w:p>
              </w:tc>
              <w:tc>
                <w:tcPr>
                  <w:tcW w:w="500" w:type="pct"/>
                  <w:noWrap w:val="0"/>
                  <w:vAlign w:val="center"/>
                </w:tcPr>
                <w:p w14:paraId="2857BEB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生产工艺</w:t>
                  </w:r>
                </w:p>
              </w:tc>
            </w:tr>
            <w:tr w14:paraId="2925F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6" w:type="pct"/>
                  <w:noWrap w:val="0"/>
                  <w:vAlign w:val="center"/>
                </w:tcPr>
                <w:p w14:paraId="1418318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544" w:type="pct"/>
                  <w:noWrap w:val="0"/>
                  <w:vAlign w:val="center"/>
                </w:tcPr>
                <w:p w14:paraId="7B1BBE9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改性塑料</w:t>
                  </w:r>
                </w:p>
              </w:tc>
              <w:tc>
                <w:tcPr>
                  <w:tcW w:w="637" w:type="pct"/>
                  <w:noWrap w:val="0"/>
                  <w:vAlign w:val="center"/>
                </w:tcPr>
                <w:p w14:paraId="2B1C817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10万t/a</w:t>
                  </w:r>
                </w:p>
              </w:tc>
              <w:tc>
                <w:tcPr>
                  <w:tcW w:w="529" w:type="pct"/>
                  <w:noWrap w:val="0"/>
                  <w:vAlign w:val="center"/>
                </w:tcPr>
                <w:p w14:paraId="41E469E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529" w:type="pct"/>
                  <w:noWrap w:val="0"/>
                  <w:vAlign w:val="center"/>
                </w:tcPr>
                <w:p w14:paraId="45C75BF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10万t/a</w:t>
                  </w:r>
                </w:p>
              </w:tc>
              <w:tc>
                <w:tcPr>
                  <w:tcW w:w="603" w:type="pct"/>
                  <w:noWrap w:val="0"/>
                  <w:vAlign w:val="center"/>
                </w:tcPr>
                <w:p w14:paraId="37668B4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0</w:t>
                  </w:r>
                </w:p>
              </w:tc>
              <w:tc>
                <w:tcPr>
                  <w:tcW w:w="887" w:type="pct"/>
                  <w:noWrap w:val="0"/>
                  <w:vAlign w:val="center"/>
                </w:tcPr>
                <w:p w14:paraId="638A537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01" w:type="pct"/>
                  <w:noWrap w:val="0"/>
                  <w:vAlign w:val="center"/>
                </w:tcPr>
                <w:p w14:paraId="1B74BA8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00" w:type="pct"/>
                  <w:noWrap w:val="0"/>
                  <w:vAlign w:val="center"/>
                </w:tcPr>
                <w:p w14:paraId="7F7C754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 挤出成型</w:t>
                  </w:r>
                </w:p>
              </w:tc>
            </w:tr>
            <w:tr w14:paraId="0D325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6" w:type="pct"/>
                  <w:noWrap w:val="0"/>
                  <w:vAlign w:val="center"/>
                </w:tcPr>
                <w:p w14:paraId="10AB5A6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544" w:type="pct"/>
                  <w:noWrap w:val="0"/>
                  <w:vAlign w:val="center"/>
                </w:tcPr>
                <w:p w14:paraId="645D8CE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家电塑料配件</w:t>
                  </w:r>
                </w:p>
              </w:tc>
              <w:tc>
                <w:tcPr>
                  <w:tcW w:w="637" w:type="pct"/>
                  <w:shd w:val="clear" w:color="auto" w:fill="auto"/>
                  <w:noWrap w:val="0"/>
                  <w:vAlign w:val="center"/>
                </w:tcPr>
                <w:p w14:paraId="4A59FA8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p>
              </w:tc>
              <w:tc>
                <w:tcPr>
                  <w:tcW w:w="529" w:type="pct"/>
                  <w:noWrap w:val="0"/>
                  <w:vAlign w:val="center"/>
                </w:tcPr>
                <w:p w14:paraId="6294531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2000</w:t>
                  </w:r>
                  <w:r>
                    <w:rPr>
                      <w:rFonts w:hint="default" w:ascii="Times New Roman" w:hAnsi="Times New Roman" w:eastAsia="宋体" w:cs="Times New Roman"/>
                      <w:color w:val="auto"/>
                      <w:sz w:val="21"/>
                      <w:szCs w:val="21"/>
                      <w:lang w:eastAsia="zh-CN"/>
                    </w:rPr>
                    <w:t>t/a</w:t>
                  </w:r>
                </w:p>
              </w:tc>
              <w:tc>
                <w:tcPr>
                  <w:tcW w:w="529" w:type="pct"/>
                  <w:noWrap w:val="0"/>
                  <w:vAlign w:val="center"/>
                </w:tcPr>
                <w:p w14:paraId="1024E48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2000</w:t>
                  </w:r>
                  <w:r>
                    <w:rPr>
                      <w:rFonts w:hint="default" w:ascii="Times New Roman" w:hAnsi="Times New Roman" w:eastAsia="宋体" w:cs="Times New Roman"/>
                      <w:color w:val="auto"/>
                      <w:sz w:val="21"/>
                      <w:szCs w:val="21"/>
                      <w:lang w:eastAsia="zh-CN"/>
                    </w:rPr>
                    <w:t>t/a</w:t>
                  </w:r>
                </w:p>
              </w:tc>
              <w:tc>
                <w:tcPr>
                  <w:tcW w:w="603" w:type="pct"/>
                  <w:noWrap w:val="0"/>
                  <w:vAlign w:val="center"/>
                </w:tcPr>
                <w:p w14:paraId="216E3A4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+2000</w:t>
                  </w:r>
                  <w:r>
                    <w:rPr>
                      <w:rFonts w:hint="default" w:ascii="Times New Roman" w:hAnsi="Times New Roman" w:eastAsia="宋体" w:cs="Times New Roman"/>
                      <w:color w:val="auto"/>
                      <w:sz w:val="21"/>
                      <w:szCs w:val="21"/>
                      <w:lang w:eastAsia="zh-CN"/>
                    </w:rPr>
                    <w:t>t/a</w:t>
                  </w:r>
                </w:p>
              </w:tc>
              <w:tc>
                <w:tcPr>
                  <w:tcW w:w="887" w:type="pct"/>
                  <w:noWrap w:val="0"/>
                  <w:vAlign w:val="center"/>
                </w:tcPr>
                <w:p w14:paraId="7080BD4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*平均值：180×100mm</w:t>
                  </w:r>
                </w:p>
              </w:tc>
              <w:tc>
                <w:tcPr>
                  <w:tcW w:w="501" w:type="pct"/>
                  <w:noWrap w:val="0"/>
                  <w:vAlign w:val="center"/>
                </w:tcPr>
                <w:p w14:paraId="76106D0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w:t>
                  </w:r>
                  <w:r>
                    <w:rPr>
                      <w:rFonts w:hint="default" w:ascii="Times New Roman" w:hAnsi="Times New Roman" w:eastAsia="宋体" w:cs="Times New Roman"/>
                      <w:color w:val="auto"/>
                      <w:sz w:val="21"/>
                      <w:szCs w:val="21"/>
                      <w:lang w:val="en-US" w:eastAsia="zh-CN"/>
                    </w:rPr>
                    <w:t>000</w:t>
                  </w:r>
                </w:p>
              </w:tc>
              <w:tc>
                <w:tcPr>
                  <w:tcW w:w="500" w:type="pct"/>
                  <w:noWrap w:val="0"/>
                  <w:vAlign w:val="center"/>
                </w:tcPr>
                <w:p w14:paraId="3550953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注塑、喷涂</w:t>
                  </w:r>
                </w:p>
              </w:tc>
            </w:tr>
            <w:tr w14:paraId="70E53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9"/>
                  <w:noWrap w:val="0"/>
                  <w:vAlign w:val="center"/>
                </w:tcPr>
                <w:p w14:paraId="67ED199F">
                  <w:pPr>
                    <w:keepNext w:val="0"/>
                    <w:keepLines w:val="0"/>
                    <w:pageBreakBefore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*本项目注塑、喷涂产品为小型家电塑料配件，按照其平均尺寸进行核算，按照正反两面估算，工件存在少量弧面，扩大1.1倍，则单位喷涂表面积约为0.0396m</w:t>
                  </w:r>
                  <w:r>
                    <w:rPr>
                      <w:rFonts w:hint="default" w:ascii="Times New Roman" w:hAnsi="Times New Roman" w:eastAsia="宋体" w:cs="Times New Roman"/>
                      <w:b/>
                      <w:bCs/>
                      <w:color w:val="auto"/>
                      <w:sz w:val="21"/>
                      <w:szCs w:val="21"/>
                      <w:vertAlign w:val="superscript"/>
                      <w:lang w:val="en-US" w:eastAsia="zh-CN"/>
                    </w:rPr>
                    <w:t>2</w:t>
                  </w:r>
                  <w:r>
                    <w:rPr>
                      <w:rFonts w:hint="eastAsia" w:ascii="Times New Roman" w:hAnsi="Times New Roman" w:eastAsia="宋体" w:cs="Times New Roman"/>
                      <w:b/>
                      <w:bCs/>
                      <w:color w:val="auto"/>
                      <w:sz w:val="21"/>
                      <w:szCs w:val="21"/>
                      <w:lang w:val="en-US" w:eastAsia="zh-CN"/>
                    </w:rPr>
                    <w:t>/个</w:t>
                  </w:r>
                  <w:r>
                    <w:rPr>
                      <w:rFonts w:hint="default" w:ascii="Times New Roman" w:hAnsi="Times New Roman" w:eastAsia="宋体" w:cs="Times New Roman"/>
                      <w:b/>
                      <w:bCs/>
                      <w:color w:val="auto"/>
                      <w:sz w:val="21"/>
                      <w:szCs w:val="21"/>
                      <w:vertAlign w:val="baseline"/>
                      <w:lang w:val="en-US" w:eastAsia="zh-CN"/>
                    </w:rPr>
                    <w:t>；其中约</w:t>
                  </w:r>
                  <w:r>
                    <w:rPr>
                      <w:rFonts w:hint="eastAsia" w:cs="Times New Roman"/>
                      <w:b/>
                      <w:bCs/>
                      <w:color w:val="auto"/>
                      <w:sz w:val="21"/>
                      <w:szCs w:val="21"/>
                      <w:vertAlign w:val="baseline"/>
                      <w:lang w:val="en-US" w:eastAsia="zh-CN"/>
                    </w:rPr>
                    <w:t>2</w:t>
                  </w:r>
                  <w:r>
                    <w:rPr>
                      <w:rFonts w:hint="default" w:ascii="Times New Roman" w:hAnsi="Times New Roman" w:eastAsia="宋体" w:cs="Times New Roman"/>
                      <w:b/>
                      <w:bCs/>
                      <w:color w:val="auto"/>
                      <w:sz w:val="21"/>
                      <w:szCs w:val="21"/>
                      <w:vertAlign w:val="baseline"/>
                      <w:lang w:val="en-US" w:eastAsia="zh-CN"/>
                    </w:rPr>
                    <w:t>0%的</w:t>
                  </w:r>
                  <w:r>
                    <w:rPr>
                      <w:rFonts w:hint="default" w:ascii="Times New Roman" w:hAnsi="Times New Roman" w:eastAsia="宋体" w:cs="Times New Roman"/>
                      <w:b/>
                      <w:bCs/>
                      <w:color w:val="auto"/>
                      <w:sz w:val="21"/>
                      <w:szCs w:val="21"/>
                      <w:lang w:val="en-US" w:eastAsia="zh-CN"/>
                    </w:rPr>
                    <w:t>家电塑料配件需根据客户要求进行表面喷涂。</w:t>
                  </w:r>
                </w:p>
                <w:p w14:paraId="452EF6EF">
                  <w:pPr>
                    <w:keepNext w:val="0"/>
                    <w:keepLines w:val="0"/>
                    <w:pageBreakBefore w:val="0"/>
                    <w:kinsoku/>
                    <w:wordWrap w:val="0"/>
                    <w:overflowPunct/>
                    <w:topLinePunct w:val="0"/>
                    <w:autoSpaceDE/>
                    <w:autoSpaceDN/>
                    <w:bidi w:val="0"/>
                    <w:adjustRightInd w:val="0"/>
                    <w:snapToGrid w:val="0"/>
                    <w:spacing w:line="240" w:lineRule="auto"/>
                    <w:jc w:val="left"/>
                    <w:textAlignment w:val="auto"/>
                    <w:rPr>
                      <w:rFonts w:hint="default"/>
                      <w:color w:val="auto"/>
                      <w:lang w:val="en-US" w:eastAsia="zh-CN"/>
                    </w:rPr>
                  </w:pPr>
                  <w:r>
                    <w:rPr>
                      <w:rFonts w:hint="eastAsia" w:ascii="Times New Roman" w:hAnsi="Times New Roman" w:eastAsia="宋体" w:cs="Times New Roman"/>
                      <w:b/>
                      <w:bCs/>
                      <w:color w:val="auto"/>
                      <w:sz w:val="21"/>
                      <w:szCs w:val="21"/>
                      <w:lang w:val="en-US" w:eastAsia="zh-CN"/>
                    </w:rPr>
                    <w:t>*单个产品平均质量为40g。</w:t>
                  </w:r>
                </w:p>
              </w:tc>
            </w:tr>
          </w:tbl>
          <w:p w14:paraId="516F6298">
            <w:pPr>
              <w:pStyle w:val="5"/>
              <w:pageBreakBefore w:val="0"/>
              <w:numPr>
                <w:ilvl w:val="3"/>
                <w:numId w:val="0"/>
              </w:numPr>
              <w:wordWrap w:val="0"/>
              <w:overflowPunct/>
              <w:bidi w:val="0"/>
              <w:ind w:left="-96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3、</w:t>
            </w:r>
            <w:r>
              <w:rPr>
                <w:rFonts w:hint="default" w:ascii="Times New Roman" w:hAnsi="Times New Roman" w:cs="Times New Roman"/>
                <w:color w:val="auto"/>
                <w:highlight w:val="none"/>
              </w:rPr>
              <w:t>原辅材料及用量</w:t>
            </w:r>
          </w:p>
          <w:p w14:paraId="60517414">
            <w:pPr>
              <w:pStyle w:val="6"/>
              <w:pageBreakBefore w:val="0"/>
              <w:numPr>
                <w:ilvl w:val="4"/>
                <w:numId w:val="0"/>
              </w:numPr>
              <w:wordWrap w:val="0"/>
              <w:overflowPunct/>
              <w:bidi w:val="0"/>
              <w:ind w:left="-960" w:firstLine="1440"/>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（1）原辅材料用量</w:t>
            </w:r>
          </w:p>
          <w:p w14:paraId="3FB37423">
            <w:pPr>
              <w:pStyle w:val="12"/>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本次扩建</w:t>
            </w:r>
            <w:r>
              <w:rPr>
                <w:rFonts w:hint="default" w:ascii="Times New Roman" w:hAnsi="Times New Roman" w:cs="Times New Roman"/>
                <w:color w:val="auto"/>
                <w:highlight w:val="none"/>
              </w:rPr>
              <w:t>项目塑料原料皆为</w:t>
            </w:r>
            <w:r>
              <w:rPr>
                <w:rFonts w:hint="default" w:ascii="Times New Roman" w:hAnsi="Times New Roman" w:cs="Times New Roman"/>
                <w:color w:val="auto"/>
                <w:highlight w:val="none"/>
                <w:lang w:val="en-US" w:eastAsia="zh-CN"/>
              </w:rPr>
              <w:t>外购</w:t>
            </w:r>
            <w:r>
              <w:rPr>
                <w:rFonts w:hint="default" w:ascii="Times New Roman" w:hAnsi="Times New Roman" w:cs="Times New Roman"/>
                <w:color w:val="auto"/>
                <w:highlight w:val="none"/>
              </w:rPr>
              <w:t>新料，不使用废旧塑料作为原料</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主要</w:t>
            </w:r>
            <w:r>
              <w:rPr>
                <w:rFonts w:hint="default" w:ascii="Times New Roman" w:hAnsi="Times New Roman" w:cs="Times New Roman"/>
                <w:color w:val="auto"/>
                <w:highlight w:val="none"/>
              </w:rPr>
              <w:t>原辅材料种类及年用量见下表。</w:t>
            </w:r>
          </w:p>
          <w:p w14:paraId="09E19F38">
            <w:pPr>
              <w:pStyle w:val="19"/>
              <w:pageBreakBefore w:val="0"/>
              <w:numPr>
                <w:ilvl w:val="0"/>
                <w:numId w:val="6"/>
              </w:numPr>
              <w:wordWrap w:val="0"/>
              <w:overflowPunct/>
              <w:bidi w:val="0"/>
              <w:spacing w:line="240" w:lineRule="auto"/>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主要</w:t>
            </w:r>
            <w:r>
              <w:rPr>
                <w:rFonts w:hint="default" w:ascii="Times New Roman" w:hAnsi="Times New Roman" w:eastAsia="宋体" w:cs="Times New Roman"/>
                <w:color w:val="auto"/>
                <w:highlight w:val="none"/>
              </w:rPr>
              <w:t>原辅材料一览表</w:t>
            </w:r>
          </w:p>
          <w:tbl>
            <w:tblPr>
              <w:tblStyle w:val="37"/>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
              <w:gridCol w:w="933"/>
              <w:gridCol w:w="741"/>
              <w:gridCol w:w="794"/>
              <w:gridCol w:w="794"/>
              <w:gridCol w:w="912"/>
              <w:gridCol w:w="841"/>
              <w:gridCol w:w="706"/>
              <w:gridCol w:w="991"/>
              <w:gridCol w:w="650"/>
            </w:tblGrid>
            <w:tr w14:paraId="50DCF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634" w:type="dxa"/>
                  <w:vMerge w:val="restart"/>
                  <w:noWrap w:val="0"/>
                  <w:vAlign w:val="center"/>
                </w:tcPr>
                <w:p w14:paraId="50F1CC5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933" w:type="dxa"/>
                  <w:vMerge w:val="restart"/>
                  <w:noWrap w:val="0"/>
                  <w:vAlign w:val="center"/>
                </w:tcPr>
                <w:p w14:paraId="41EE1BD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原料</w:t>
                  </w:r>
                </w:p>
              </w:tc>
              <w:tc>
                <w:tcPr>
                  <w:tcW w:w="3241" w:type="dxa"/>
                  <w:gridSpan w:val="4"/>
                  <w:noWrap w:val="0"/>
                  <w:vAlign w:val="center"/>
                </w:tcPr>
                <w:p w14:paraId="0B9F9F6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年用量（t/a）</w:t>
                  </w:r>
                </w:p>
              </w:tc>
              <w:tc>
                <w:tcPr>
                  <w:tcW w:w="841" w:type="dxa"/>
                  <w:vMerge w:val="restart"/>
                  <w:noWrap w:val="0"/>
                  <w:vAlign w:val="center"/>
                </w:tcPr>
                <w:p w14:paraId="6566591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包装规格及方式</w:t>
                  </w:r>
                </w:p>
              </w:tc>
              <w:tc>
                <w:tcPr>
                  <w:tcW w:w="706" w:type="dxa"/>
                  <w:vMerge w:val="restart"/>
                  <w:noWrap w:val="0"/>
                  <w:vAlign w:val="center"/>
                </w:tcPr>
                <w:p w14:paraId="313AE75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来源及运输方式</w:t>
                  </w:r>
                </w:p>
              </w:tc>
              <w:tc>
                <w:tcPr>
                  <w:tcW w:w="991" w:type="dxa"/>
                  <w:vMerge w:val="restart"/>
                  <w:noWrap w:val="0"/>
                  <w:vAlign w:val="center"/>
                </w:tcPr>
                <w:p w14:paraId="1118F74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最大贮存量（t/a）</w:t>
                  </w:r>
                </w:p>
              </w:tc>
              <w:tc>
                <w:tcPr>
                  <w:tcW w:w="650" w:type="dxa"/>
                  <w:vMerge w:val="restart"/>
                  <w:noWrap w:val="0"/>
                  <w:vAlign w:val="center"/>
                </w:tcPr>
                <w:p w14:paraId="4162E27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储存方式</w:t>
                  </w:r>
                </w:p>
              </w:tc>
            </w:tr>
            <w:tr w14:paraId="1A5D5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634" w:type="dxa"/>
                  <w:vMerge w:val="continue"/>
                  <w:noWrap w:val="0"/>
                  <w:vAlign w:val="center"/>
                </w:tcPr>
                <w:p w14:paraId="1C05C2A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33" w:type="dxa"/>
                  <w:vMerge w:val="continue"/>
                  <w:noWrap w:val="0"/>
                  <w:vAlign w:val="center"/>
                </w:tcPr>
                <w:p w14:paraId="68CD499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741" w:type="dxa"/>
                  <w:noWrap w:val="0"/>
                  <w:vAlign w:val="center"/>
                </w:tcPr>
                <w:p w14:paraId="1296466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现有</w:t>
                  </w:r>
                </w:p>
              </w:tc>
              <w:tc>
                <w:tcPr>
                  <w:tcW w:w="794" w:type="dxa"/>
                  <w:noWrap w:val="0"/>
                  <w:vAlign w:val="center"/>
                </w:tcPr>
                <w:p w14:paraId="411DA56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w:t>
                  </w:r>
                  <w:r>
                    <w:rPr>
                      <w:rFonts w:hint="eastAsia" w:cs="Times New Roman"/>
                      <w:color w:val="auto"/>
                      <w:sz w:val="21"/>
                      <w:szCs w:val="21"/>
                      <w:lang w:val="en-US" w:eastAsia="zh-CN"/>
                    </w:rPr>
                    <w:t>扩建</w:t>
                  </w:r>
                </w:p>
              </w:tc>
              <w:tc>
                <w:tcPr>
                  <w:tcW w:w="794" w:type="dxa"/>
                  <w:noWrap w:val="0"/>
                  <w:vAlign w:val="center"/>
                </w:tcPr>
                <w:p w14:paraId="681F752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全厂</w:t>
                  </w:r>
                </w:p>
              </w:tc>
              <w:tc>
                <w:tcPr>
                  <w:tcW w:w="912" w:type="dxa"/>
                  <w:noWrap w:val="0"/>
                  <w:vAlign w:val="center"/>
                </w:tcPr>
                <w:p w14:paraId="6286DC7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增减量</w:t>
                  </w:r>
                </w:p>
              </w:tc>
              <w:tc>
                <w:tcPr>
                  <w:tcW w:w="841" w:type="dxa"/>
                  <w:vMerge w:val="continue"/>
                  <w:noWrap w:val="0"/>
                  <w:vAlign w:val="center"/>
                </w:tcPr>
                <w:p w14:paraId="531EE7A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706" w:type="dxa"/>
                  <w:vMerge w:val="continue"/>
                  <w:noWrap w:val="0"/>
                  <w:vAlign w:val="center"/>
                </w:tcPr>
                <w:p w14:paraId="48CF058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91" w:type="dxa"/>
                  <w:vMerge w:val="continue"/>
                  <w:noWrap w:val="0"/>
                  <w:vAlign w:val="center"/>
                </w:tcPr>
                <w:p w14:paraId="70BE063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650" w:type="dxa"/>
                  <w:vMerge w:val="continue"/>
                  <w:noWrap w:val="0"/>
                  <w:vAlign w:val="center"/>
                </w:tcPr>
                <w:p w14:paraId="0E53013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26CDB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4" w:type="dxa"/>
                  <w:noWrap w:val="0"/>
                  <w:vAlign w:val="center"/>
                </w:tcPr>
                <w:p w14:paraId="04B66D7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933" w:type="dxa"/>
                  <w:noWrap w:val="0"/>
                  <w:vAlign w:val="center"/>
                </w:tcPr>
                <w:p w14:paraId="38F6C16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PA6塑胶料（旧料）</w:t>
                  </w:r>
                </w:p>
              </w:tc>
              <w:tc>
                <w:tcPr>
                  <w:tcW w:w="741" w:type="dxa"/>
                  <w:noWrap w:val="0"/>
                  <w:vAlign w:val="center"/>
                </w:tcPr>
                <w:p w14:paraId="1CFE8623">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28000</w:t>
                  </w:r>
                </w:p>
              </w:tc>
              <w:tc>
                <w:tcPr>
                  <w:tcW w:w="794" w:type="dxa"/>
                  <w:noWrap w:val="0"/>
                  <w:vAlign w:val="center"/>
                </w:tcPr>
                <w:p w14:paraId="27EA4AB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94" w:type="dxa"/>
                  <w:noWrap w:val="0"/>
                  <w:vAlign w:val="center"/>
                </w:tcPr>
                <w:p w14:paraId="33141D52">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28000</w:t>
                  </w:r>
                </w:p>
              </w:tc>
              <w:tc>
                <w:tcPr>
                  <w:tcW w:w="912" w:type="dxa"/>
                  <w:noWrap w:val="0"/>
                  <w:vAlign w:val="center"/>
                </w:tcPr>
                <w:p w14:paraId="2712A94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841" w:type="dxa"/>
                  <w:noWrap w:val="0"/>
                  <w:vAlign w:val="center"/>
                </w:tcPr>
                <w:p w14:paraId="6AA19DF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25kg/袋</w:t>
                  </w:r>
                </w:p>
              </w:tc>
              <w:tc>
                <w:tcPr>
                  <w:tcW w:w="706" w:type="dxa"/>
                  <w:vMerge w:val="restart"/>
                  <w:noWrap w:val="0"/>
                  <w:vAlign w:val="center"/>
                </w:tcPr>
                <w:p w14:paraId="537F423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外购/密闭车辆运输</w:t>
                  </w:r>
                </w:p>
              </w:tc>
              <w:tc>
                <w:tcPr>
                  <w:tcW w:w="991" w:type="dxa"/>
                  <w:noWrap w:val="0"/>
                  <w:vAlign w:val="center"/>
                </w:tcPr>
                <w:p w14:paraId="6C85BEB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280</w:t>
                  </w:r>
                </w:p>
              </w:tc>
              <w:tc>
                <w:tcPr>
                  <w:tcW w:w="650" w:type="dxa"/>
                  <w:vMerge w:val="restart"/>
                  <w:noWrap w:val="0"/>
                  <w:vAlign w:val="center"/>
                </w:tcPr>
                <w:p w14:paraId="2CF16CC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2、4号厂房</w:t>
                  </w:r>
                </w:p>
              </w:tc>
            </w:tr>
            <w:tr w14:paraId="3EEBC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4" w:type="dxa"/>
                  <w:noWrap w:val="0"/>
                  <w:vAlign w:val="center"/>
                </w:tcPr>
                <w:p w14:paraId="2D2D84D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933" w:type="dxa"/>
                  <w:noWrap w:val="0"/>
                  <w:vAlign w:val="center"/>
                </w:tcPr>
                <w:p w14:paraId="33F729C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PA66塑胶料（旧料）</w:t>
                  </w:r>
                </w:p>
              </w:tc>
              <w:tc>
                <w:tcPr>
                  <w:tcW w:w="741" w:type="dxa"/>
                  <w:noWrap w:val="0"/>
                  <w:vAlign w:val="center"/>
                </w:tcPr>
                <w:p w14:paraId="26FC4BC3">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22000</w:t>
                  </w:r>
                </w:p>
              </w:tc>
              <w:tc>
                <w:tcPr>
                  <w:tcW w:w="794" w:type="dxa"/>
                  <w:noWrap w:val="0"/>
                  <w:vAlign w:val="center"/>
                </w:tcPr>
                <w:p w14:paraId="3D2DBDA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94" w:type="dxa"/>
                  <w:noWrap w:val="0"/>
                  <w:vAlign w:val="center"/>
                </w:tcPr>
                <w:p w14:paraId="69E412B4">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22000</w:t>
                  </w:r>
                </w:p>
              </w:tc>
              <w:tc>
                <w:tcPr>
                  <w:tcW w:w="912" w:type="dxa"/>
                  <w:noWrap w:val="0"/>
                  <w:vAlign w:val="center"/>
                </w:tcPr>
                <w:p w14:paraId="2B00AA9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841" w:type="dxa"/>
                  <w:noWrap w:val="0"/>
                  <w:vAlign w:val="center"/>
                </w:tcPr>
                <w:p w14:paraId="3A6D692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25kg/袋</w:t>
                  </w:r>
                </w:p>
              </w:tc>
              <w:tc>
                <w:tcPr>
                  <w:tcW w:w="706" w:type="dxa"/>
                  <w:vMerge w:val="continue"/>
                  <w:noWrap w:val="0"/>
                  <w:vAlign w:val="center"/>
                </w:tcPr>
                <w:p w14:paraId="16DC999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91" w:type="dxa"/>
                  <w:noWrap w:val="0"/>
                  <w:vAlign w:val="center"/>
                </w:tcPr>
                <w:p w14:paraId="7606394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220</w:t>
                  </w:r>
                </w:p>
              </w:tc>
              <w:tc>
                <w:tcPr>
                  <w:tcW w:w="650" w:type="dxa"/>
                  <w:vMerge w:val="continue"/>
                  <w:noWrap w:val="0"/>
                  <w:vAlign w:val="center"/>
                </w:tcPr>
                <w:p w14:paraId="48D8C07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59E19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4" w:type="dxa"/>
                  <w:noWrap w:val="0"/>
                  <w:vAlign w:val="center"/>
                </w:tcPr>
                <w:p w14:paraId="33DEB27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933" w:type="dxa"/>
                  <w:noWrap w:val="0"/>
                  <w:vAlign w:val="center"/>
                </w:tcPr>
                <w:p w14:paraId="3C144A5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PP塑胶料（旧料）</w:t>
                  </w:r>
                </w:p>
              </w:tc>
              <w:tc>
                <w:tcPr>
                  <w:tcW w:w="741" w:type="dxa"/>
                  <w:noWrap w:val="0"/>
                  <w:vAlign w:val="center"/>
                </w:tcPr>
                <w:p w14:paraId="6C3B8666">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20000</w:t>
                  </w:r>
                </w:p>
              </w:tc>
              <w:tc>
                <w:tcPr>
                  <w:tcW w:w="794" w:type="dxa"/>
                  <w:noWrap w:val="0"/>
                  <w:vAlign w:val="center"/>
                </w:tcPr>
                <w:p w14:paraId="5AAC031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94" w:type="dxa"/>
                  <w:noWrap w:val="0"/>
                  <w:vAlign w:val="center"/>
                </w:tcPr>
                <w:p w14:paraId="6BDEC0B3">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20000</w:t>
                  </w:r>
                </w:p>
              </w:tc>
              <w:tc>
                <w:tcPr>
                  <w:tcW w:w="912" w:type="dxa"/>
                  <w:noWrap w:val="0"/>
                  <w:vAlign w:val="center"/>
                </w:tcPr>
                <w:p w14:paraId="0FE05AF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841" w:type="dxa"/>
                  <w:noWrap w:val="0"/>
                  <w:vAlign w:val="center"/>
                </w:tcPr>
                <w:p w14:paraId="7B100A6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25kg/袋</w:t>
                  </w:r>
                </w:p>
              </w:tc>
              <w:tc>
                <w:tcPr>
                  <w:tcW w:w="706" w:type="dxa"/>
                  <w:vMerge w:val="continue"/>
                  <w:noWrap w:val="0"/>
                  <w:vAlign w:val="center"/>
                </w:tcPr>
                <w:p w14:paraId="6E2F828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91" w:type="dxa"/>
                  <w:noWrap w:val="0"/>
                  <w:vAlign w:val="center"/>
                </w:tcPr>
                <w:p w14:paraId="51F7EF6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200</w:t>
                  </w:r>
                </w:p>
              </w:tc>
              <w:tc>
                <w:tcPr>
                  <w:tcW w:w="650" w:type="dxa"/>
                  <w:vMerge w:val="continue"/>
                  <w:noWrap w:val="0"/>
                  <w:vAlign w:val="center"/>
                </w:tcPr>
                <w:p w14:paraId="15DFB64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43B30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4" w:type="dxa"/>
                  <w:noWrap w:val="0"/>
                  <w:vAlign w:val="center"/>
                </w:tcPr>
                <w:p w14:paraId="5E8D499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933" w:type="dxa"/>
                  <w:noWrap w:val="0"/>
                  <w:vAlign w:val="center"/>
                </w:tcPr>
                <w:p w14:paraId="3A2CC30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PC塑胶料（旧料）</w:t>
                  </w:r>
                </w:p>
              </w:tc>
              <w:tc>
                <w:tcPr>
                  <w:tcW w:w="741" w:type="dxa"/>
                  <w:noWrap w:val="0"/>
                  <w:vAlign w:val="center"/>
                </w:tcPr>
                <w:p w14:paraId="1F56D50F">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7000</w:t>
                  </w:r>
                </w:p>
              </w:tc>
              <w:tc>
                <w:tcPr>
                  <w:tcW w:w="794" w:type="dxa"/>
                  <w:noWrap w:val="0"/>
                  <w:vAlign w:val="center"/>
                </w:tcPr>
                <w:p w14:paraId="6F3122F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94" w:type="dxa"/>
                  <w:noWrap w:val="0"/>
                  <w:vAlign w:val="center"/>
                </w:tcPr>
                <w:p w14:paraId="4301959D">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7000</w:t>
                  </w:r>
                </w:p>
              </w:tc>
              <w:tc>
                <w:tcPr>
                  <w:tcW w:w="912" w:type="dxa"/>
                  <w:noWrap w:val="0"/>
                  <w:vAlign w:val="center"/>
                </w:tcPr>
                <w:p w14:paraId="1B564B9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841" w:type="dxa"/>
                  <w:noWrap w:val="0"/>
                  <w:vAlign w:val="center"/>
                </w:tcPr>
                <w:p w14:paraId="5FE9384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25kg/袋</w:t>
                  </w:r>
                </w:p>
              </w:tc>
              <w:tc>
                <w:tcPr>
                  <w:tcW w:w="706" w:type="dxa"/>
                  <w:vMerge w:val="continue"/>
                  <w:noWrap w:val="0"/>
                  <w:vAlign w:val="center"/>
                </w:tcPr>
                <w:p w14:paraId="46FF1E2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91" w:type="dxa"/>
                  <w:noWrap w:val="0"/>
                  <w:vAlign w:val="center"/>
                </w:tcPr>
                <w:p w14:paraId="78D37AC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70</w:t>
                  </w:r>
                </w:p>
              </w:tc>
              <w:tc>
                <w:tcPr>
                  <w:tcW w:w="650" w:type="dxa"/>
                  <w:vMerge w:val="continue"/>
                  <w:noWrap w:val="0"/>
                  <w:vAlign w:val="center"/>
                </w:tcPr>
                <w:p w14:paraId="4E3FBC4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349A3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4" w:type="dxa"/>
                  <w:noWrap w:val="0"/>
                  <w:vAlign w:val="center"/>
                </w:tcPr>
                <w:p w14:paraId="7A1E8D0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933" w:type="dxa"/>
                  <w:noWrap w:val="0"/>
                  <w:vAlign w:val="center"/>
                </w:tcPr>
                <w:p w14:paraId="2AF4BEC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ABS塑胶料（旧料）</w:t>
                  </w:r>
                </w:p>
              </w:tc>
              <w:tc>
                <w:tcPr>
                  <w:tcW w:w="741" w:type="dxa"/>
                  <w:noWrap w:val="0"/>
                  <w:vAlign w:val="center"/>
                </w:tcPr>
                <w:p w14:paraId="38B50D15">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7000</w:t>
                  </w:r>
                </w:p>
              </w:tc>
              <w:tc>
                <w:tcPr>
                  <w:tcW w:w="794" w:type="dxa"/>
                  <w:noWrap w:val="0"/>
                  <w:vAlign w:val="center"/>
                </w:tcPr>
                <w:p w14:paraId="2245998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94" w:type="dxa"/>
                  <w:noWrap w:val="0"/>
                  <w:vAlign w:val="center"/>
                </w:tcPr>
                <w:p w14:paraId="586AE639">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7000</w:t>
                  </w:r>
                </w:p>
              </w:tc>
              <w:tc>
                <w:tcPr>
                  <w:tcW w:w="912" w:type="dxa"/>
                  <w:noWrap w:val="0"/>
                  <w:vAlign w:val="center"/>
                </w:tcPr>
                <w:p w14:paraId="4848084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841" w:type="dxa"/>
                  <w:noWrap w:val="0"/>
                  <w:vAlign w:val="center"/>
                </w:tcPr>
                <w:p w14:paraId="05779A7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25kg/袋</w:t>
                  </w:r>
                </w:p>
              </w:tc>
              <w:tc>
                <w:tcPr>
                  <w:tcW w:w="706" w:type="dxa"/>
                  <w:vMerge w:val="continue"/>
                  <w:noWrap w:val="0"/>
                  <w:vAlign w:val="center"/>
                </w:tcPr>
                <w:p w14:paraId="2C5CF4F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91" w:type="dxa"/>
                  <w:noWrap w:val="0"/>
                  <w:vAlign w:val="center"/>
                </w:tcPr>
                <w:p w14:paraId="7BADB48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70</w:t>
                  </w:r>
                </w:p>
              </w:tc>
              <w:tc>
                <w:tcPr>
                  <w:tcW w:w="650" w:type="dxa"/>
                  <w:vMerge w:val="continue"/>
                  <w:noWrap w:val="0"/>
                  <w:vAlign w:val="center"/>
                </w:tcPr>
                <w:p w14:paraId="017D772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16D4F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4" w:type="dxa"/>
                  <w:noWrap w:val="0"/>
                  <w:vAlign w:val="center"/>
                </w:tcPr>
                <w:p w14:paraId="263BA74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c>
                <w:tcPr>
                  <w:tcW w:w="933" w:type="dxa"/>
                  <w:noWrap w:val="0"/>
                  <w:vAlign w:val="center"/>
                </w:tcPr>
                <w:p w14:paraId="0155BDA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玻纤</w:t>
                  </w:r>
                </w:p>
              </w:tc>
              <w:tc>
                <w:tcPr>
                  <w:tcW w:w="741" w:type="dxa"/>
                  <w:noWrap w:val="0"/>
                  <w:vAlign w:val="center"/>
                </w:tcPr>
                <w:p w14:paraId="69D10749">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10000</w:t>
                  </w:r>
                </w:p>
              </w:tc>
              <w:tc>
                <w:tcPr>
                  <w:tcW w:w="794" w:type="dxa"/>
                  <w:noWrap w:val="0"/>
                  <w:vAlign w:val="center"/>
                </w:tcPr>
                <w:p w14:paraId="733FAA6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94" w:type="dxa"/>
                  <w:noWrap w:val="0"/>
                  <w:vAlign w:val="center"/>
                </w:tcPr>
                <w:p w14:paraId="7A42B9ED">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10000</w:t>
                  </w:r>
                </w:p>
              </w:tc>
              <w:tc>
                <w:tcPr>
                  <w:tcW w:w="912" w:type="dxa"/>
                  <w:noWrap w:val="0"/>
                  <w:vAlign w:val="center"/>
                </w:tcPr>
                <w:p w14:paraId="1456992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841" w:type="dxa"/>
                  <w:noWrap w:val="0"/>
                  <w:vAlign w:val="center"/>
                </w:tcPr>
                <w:p w14:paraId="19DC628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25kg/袋</w:t>
                  </w:r>
                </w:p>
              </w:tc>
              <w:tc>
                <w:tcPr>
                  <w:tcW w:w="706" w:type="dxa"/>
                  <w:vMerge w:val="continue"/>
                  <w:noWrap w:val="0"/>
                  <w:vAlign w:val="center"/>
                </w:tcPr>
                <w:p w14:paraId="00CDC09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91" w:type="dxa"/>
                  <w:noWrap w:val="0"/>
                  <w:vAlign w:val="center"/>
                </w:tcPr>
                <w:p w14:paraId="644D0F8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w:t>
                  </w:r>
                </w:p>
              </w:tc>
              <w:tc>
                <w:tcPr>
                  <w:tcW w:w="650" w:type="dxa"/>
                  <w:vMerge w:val="continue"/>
                  <w:noWrap w:val="0"/>
                  <w:vAlign w:val="center"/>
                </w:tcPr>
                <w:p w14:paraId="74F0BCE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71916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4" w:type="dxa"/>
                  <w:noWrap w:val="0"/>
                  <w:vAlign w:val="center"/>
                </w:tcPr>
                <w:p w14:paraId="40FE7CC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p>
              </w:tc>
              <w:tc>
                <w:tcPr>
                  <w:tcW w:w="933" w:type="dxa"/>
                  <w:noWrap w:val="0"/>
                  <w:vAlign w:val="center"/>
                </w:tcPr>
                <w:p w14:paraId="52E49A2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防火剂</w:t>
                  </w:r>
                </w:p>
              </w:tc>
              <w:tc>
                <w:tcPr>
                  <w:tcW w:w="741" w:type="dxa"/>
                  <w:noWrap w:val="0"/>
                  <w:vAlign w:val="center"/>
                </w:tcPr>
                <w:p w14:paraId="2CA0925A">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2000</w:t>
                  </w:r>
                </w:p>
              </w:tc>
              <w:tc>
                <w:tcPr>
                  <w:tcW w:w="794" w:type="dxa"/>
                  <w:noWrap w:val="0"/>
                  <w:vAlign w:val="center"/>
                </w:tcPr>
                <w:p w14:paraId="4063134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94" w:type="dxa"/>
                  <w:noWrap w:val="0"/>
                  <w:vAlign w:val="center"/>
                </w:tcPr>
                <w:p w14:paraId="0C576CF7">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2000</w:t>
                  </w:r>
                </w:p>
              </w:tc>
              <w:tc>
                <w:tcPr>
                  <w:tcW w:w="912" w:type="dxa"/>
                  <w:noWrap w:val="0"/>
                  <w:vAlign w:val="center"/>
                </w:tcPr>
                <w:p w14:paraId="1B38AA0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841" w:type="dxa"/>
                  <w:noWrap w:val="0"/>
                  <w:vAlign w:val="center"/>
                </w:tcPr>
                <w:p w14:paraId="0EE0ABC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25kg/桶</w:t>
                  </w:r>
                </w:p>
              </w:tc>
              <w:tc>
                <w:tcPr>
                  <w:tcW w:w="706" w:type="dxa"/>
                  <w:vMerge w:val="continue"/>
                  <w:noWrap w:val="0"/>
                  <w:vAlign w:val="center"/>
                </w:tcPr>
                <w:p w14:paraId="278D73A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91" w:type="dxa"/>
                  <w:noWrap w:val="0"/>
                  <w:vAlign w:val="center"/>
                </w:tcPr>
                <w:p w14:paraId="248C4CE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p>
              </w:tc>
              <w:tc>
                <w:tcPr>
                  <w:tcW w:w="650" w:type="dxa"/>
                  <w:vMerge w:val="continue"/>
                  <w:noWrap w:val="0"/>
                  <w:vAlign w:val="center"/>
                </w:tcPr>
                <w:p w14:paraId="6D2F8D3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723DE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4" w:type="dxa"/>
                  <w:noWrap w:val="0"/>
                  <w:vAlign w:val="center"/>
                </w:tcPr>
                <w:p w14:paraId="0A91CF4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w:t>
                  </w:r>
                </w:p>
              </w:tc>
              <w:tc>
                <w:tcPr>
                  <w:tcW w:w="933" w:type="dxa"/>
                  <w:noWrap w:val="0"/>
                  <w:vAlign w:val="center"/>
                </w:tcPr>
                <w:p w14:paraId="1747CDA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增韧剂</w:t>
                  </w:r>
                </w:p>
              </w:tc>
              <w:tc>
                <w:tcPr>
                  <w:tcW w:w="741" w:type="dxa"/>
                  <w:noWrap w:val="0"/>
                  <w:vAlign w:val="center"/>
                </w:tcPr>
                <w:p w14:paraId="4D30C2AA">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2000</w:t>
                  </w:r>
                </w:p>
              </w:tc>
              <w:tc>
                <w:tcPr>
                  <w:tcW w:w="794" w:type="dxa"/>
                  <w:noWrap w:val="0"/>
                  <w:vAlign w:val="center"/>
                </w:tcPr>
                <w:p w14:paraId="4149477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94" w:type="dxa"/>
                  <w:noWrap w:val="0"/>
                  <w:vAlign w:val="center"/>
                </w:tcPr>
                <w:p w14:paraId="40CB830D">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2000</w:t>
                  </w:r>
                </w:p>
              </w:tc>
              <w:tc>
                <w:tcPr>
                  <w:tcW w:w="912" w:type="dxa"/>
                  <w:noWrap w:val="0"/>
                  <w:vAlign w:val="center"/>
                </w:tcPr>
                <w:p w14:paraId="0447E23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841" w:type="dxa"/>
                  <w:noWrap w:val="0"/>
                  <w:vAlign w:val="center"/>
                </w:tcPr>
                <w:p w14:paraId="5E2A878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25kg/桶</w:t>
                  </w:r>
                </w:p>
              </w:tc>
              <w:tc>
                <w:tcPr>
                  <w:tcW w:w="706" w:type="dxa"/>
                  <w:vMerge w:val="continue"/>
                  <w:noWrap w:val="0"/>
                  <w:vAlign w:val="center"/>
                </w:tcPr>
                <w:p w14:paraId="53082C6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91" w:type="dxa"/>
                  <w:noWrap w:val="0"/>
                  <w:vAlign w:val="center"/>
                </w:tcPr>
                <w:p w14:paraId="04A876F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p>
              </w:tc>
              <w:tc>
                <w:tcPr>
                  <w:tcW w:w="650" w:type="dxa"/>
                  <w:vMerge w:val="continue"/>
                  <w:noWrap w:val="0"/>
                  <w:vAlign w:val="center"/>
                </w:tcPr>
                <w:p w14:paraId="6313517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4BB37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4" w:type="dxa"/>
                  <w:noWrap w:val="0"/>
                  <w:vAlign w:val="center"/>
                </w:tcPr>
                <w:p w14:paraId="69FE78A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w:t>
                  </w:r>
                </w:p>
              </w:tc>
              <w:tc>
                <w:tcPr>
                  <w:tcW w:w="933" w:type="dxa"/>
                  <w:noWrap w:val="0"/>
                  <w:vAlign w:val="center"/>
                </w:tcPr>
                <w:p w14:paraId="741FB6C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润滑剂</w:t>
                  </w:r>
                </w:p>
              </w:tc>
              <w:tc>
                <w:tcPr>
                  <w:tcW w:w="741" w:type="dxa"/>
                  <w:noWrap w:val="0"/>
                  <w:vAlign w:val="center"/>
                </w:tcPr>
                <w:p w14:paraId="0628BF39">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1000</w:t>
                  </w:r>
                </w:p>
              </w:tc>
              <w:tc>
                <w:tcPr>
                  <w:tcW w:w="794" w:type="dxa"/>
                  <w:noWrap w:val="0"/>
                  <w:vAlign w:val="center"/>
                </w:tcPr>
                <w:p w14:paraId="408C79C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94" w:type="dxa"/>
                  <w:noWrap w:val="0"/>
                  <w:vAlign w:val="center"/>
                </w:tcPr>
                <w:p w14:paraId="420B3CF6">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1000</w:t>
                  </w:r>
                </w:p>
              </w:tc>
              <w:tc>
                <w:tcPr>
                  <w:tcW w:w="912" w:type="dxa"/>
                  <w:noWrap w:val="0"/>
                  <w:vAlign w:val="center"/>
                </w:tcPr>
                <w:p w14:paraId="19CB563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841" w:type="dxa"/>
                  <w:noWrap w:val="0"/>
                  <w:vAlign w:val="center"/>
                </w:tcPr>
                <w:p w14:paraId="28170E0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25kg/桶</w:t>
                  </w:r>
                </w:p>
              </w:tc>
              <w:tc>
                <w:tcPr>
                  <w:tcW w:w="706" w:type="dxa"/>
                  <w:vMerge w:val="continue"/>
                  <w:noWrap w:val="0"/>
                  <w:vAlign w:val="center"/>
                </w:tcPr>
                <w:p w14:paraId="750C6E3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91" w:type="dxa"/>
                  <w:noWrap w:val="0"/>
                  <w:vAlign w:val="center"/>
                </w:tcPr>
                <w:p w14:paraId="13AB1C6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650" w:type="dxa"/>
                  <w:vMerge w:val="continue"/>
                  <w:noWrap w:val="0"/>
                  <w:vAlign w:val="center"/>
                </w:tcPr>
                <w:p w14:paraId="64D2E3D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6E4DB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4" w:type="dxa"/>
                  <w:noWrap w:val="0"/>
                  <w:vAlign w:val="center"/>
                </w:tcPr>
                <w:p w14:paraId="3B69D6D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933" w:type="dxa"/>
                  <w:noWrap w:val="0"/>
                  <w:vAlign w:val="center"/>
                </w:tcPr>
                <w:p w14:paraId="0E74120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其他辅料</w:t>
                  </w:r>
                </w:p>
              </w:tc>
              <w:tc>
                <w:tcPr>
                  <w:tcW w:w="741" w:type="dxa"/>
                  <w:noWrap w:val="0"/>
                  <w:vAlign w:val="center"/>
                </w:tcPr>
                <w:p w14:paraId="58004D5E">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1000</w:t>
                  </w:r>
                </w:p>
              </w:tc>
              <w:tc>
                <w:tcPr>
                  <w:tcW w:w="794" w:type="dxa"/>
                  <w:noWrap w:val="0"/>
                  <w:vAlign w:val="center"/>
                </w:tcPr>
                <w:p w14:paraId="6BC5449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94" w:type="dxa"/>
                  <w:noWrap w:val="0"/>
                  <w:vAlign w:val="center"/>
                </w:tcPr>
                <w:p w14:paraId="4FC5334E">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1000</w:t>
                  </w:r>
                </w:p>
              </w:tc>
              <w:tc>
                <w:tcPr>
                  <w:tcW w:w="912" w:type="dxa"/>
                  <w:noWrap w:val="0"/>
                  <w:vAlign w:val="center"/>
                </w:tcPr>
                <w:p w14:paraId="5B6C404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841" w:type="dxa"/>
                  <w:noWrap w:val="0"/>
                  <w:vAlign w:val="center"/>
                </w:tcPr>
                <w:p w14:paraId="1AA35C5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25kg/袋</w:t>
                  </w:r>
                </w:p>
              </w:tc>
              <w:tc>
                <w:tcPr>
                  <w:tcW w:w="706" w:type="dxa"/>
                  <w:vMerge w:val="continue"/>
                  <w:noWrap w:val="0"/>
                  <w:vAlign w:val="center"/>
                </w:tcPr>
                <w:p w14:paraId="7A5B0E6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91" w:type="dxa"/>
                  <w:noWrap w:val="0"/>
                  <w:vAlign w:val="center"/>
                </w:tcPr>
                <w:p w14:paraId="3A2C33B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650" w:type="dxa"/>
                  <w:vMerge w:val="continue"/>
                  <w:noWrap w:val="0"/>
                  <w:vAlign w:val="center"/>
                </w:tcPr>
                <w:p w14:paraId="52E555B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0146E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4" w:type="dxa"/>
                  <w:noWrap w:val="0"/>
                  <w:vAlign w:val="center"/>
                </w:tcPr>
                <w:p w14:paraId="4E8D745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w:t>
                  </w:r>
                </w:p>
              </w:tc>
              <w:tc>
                <w:tcPr>
                  <w:tcW w:w="933" w:type="dxa"/>
                  <w:noWrap w:val="0"/>
                  <w:vAlign w:val="center"/>
                </w:tcPr>
                <w:p w14:paraId="518D5B6F">
                  <w:pPr>
                    <w:pageBreakBefore w:val="0"/>
                    <w:wordWrap w:val="0"/>
                    <w:overflowPunct/>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PP塑料粒（新料）</w:t>
                  </w:r>
                </w:p>
              </w:tc>
              <w:tc>
                <w:tcPr>
                  <w:tcW w:w="741" w:type="dxa"/>
                  <w:noWrap w:val="0"/>
                  <w:vAlign w:val="center"/>
                </w:tcPr>
                <w:p w14:paraId="2B09017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94" w:type="dxa"/>
                  <w:noWrap w:val="0"/>
                  <w:vAlign w:val="center"/>
                </w:tcPr>
                <w:p w14:paraId="18EF3CF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2005.4</w:t>
                  </w:r>
                </w:p>
              </w:tc>
              <w:tc>
                <w:tcPr>
                  <w:tcW w:w="794" w:type="dxa"/>
                  <w:shd w:val="clear" w:color="auto" w:fill="auto"/>
                  <w:noWrap w:val="0"/>
                  <w:vAlign w:val="center"/>
                </w:tcPr>
                <w:p w14:paraId="7DD7BFF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2005.4</w:t>
                  </w:r>
                </w:p>
              </w:tc>
              <w:tc>
                <w:tcPr>
                  <w:tcW w:w="912" w:type="dxa"/>
                  <w:shd w:val="clear" w:color="auto" w:fill="auto"/>
                  <w:noWrap w:val="0"/>
                  <w:vAlign w:val="center"/>
                </w:tcPr>
                <w:p w14:paraId="4E7764AD">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+2005.4</w:t>
                  </w:r>
                </w:p>
              </w:tc>
              <w:tc>
                <w:tcPr>
                  <w:tcW w:w="841" w:type="dxa"/>
                  <w:noWrap w:val="0"/>
                  <w:vAlign w:val="center"/>
                </w:tcPr>
                <w:p w14:paraId="4B96FAD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25kg/袋</w:t>
                  </w:r>
                </w:p>
              </w:tc>
              <w:tc>
                <w:tcPr>
                  <w:tcW w:w="706" w:type="dxa"/>
                  <w:vMerge w:val="continue"/>
                  <w:noWrap w:val="0"/>
                  <w:vAlign w:val="center"/>
                </w:tcPr>
                <w:p w14:paraId="5E48393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91" w:type="dxa"/>
                  <w:noWrap w:val="0"/>
                  <w:vAlign w:val="center"/>
                </w:tcPr>
                <w:p w14:paraId="1B8A169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r>
                    <w:rPr>
                      <w:rFonts w:hint="default" w:ascii="Times New Roman" w:hAnsi="Times New Roman" w:cs="Times New Roman"/>
                      <w:color w:val="auto"/>
                      <w:sz w:val="21"/>
                      <w:szCs w:val="21"/>
                      <w:highlight w:val="none"/>
                      <w:lang w:val="en-US" w:eastAsia="zh-CN"/>
                    </w:rPr>
                    <w:t>0</w:t>
                  </w:r>
                </w:p>
              </w:tc>
              <w:tc>
                <w:tcPr>
                  <w:tcW w:w="650" w:type="dxa"/>
                  <w:vMerge w:val="restart"/>
                  <w:noWrap w:val="0"/>
                  <w:vAlign w:val="center"/>
                </w:tcPr>
                <w:p w14:paraId="07A2E2B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10号厂房原料区</w:t>
                  </w:r>
                </w:p>
              </w:tc>
            </w:tr>
            <w:tr w14:paraId="543AB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4" w:type="dxa"/>
                  <w:noWrap w:val="0"/>
                  <w:vAlign w:val="center"/>
                </w:tcPr>
                <w:p w14:paraId="5456F20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w:t>
                  </w:r>
                </w:p>
              </w:tc>
              <w:tc>
                <w:tcPr>
                  <w:tcW w:w="933" w:type="dxa"/>
                  <w:noWrap w:val="0"/>
                  <w:vAlign w:val="center"/>
                </w:tcPr>
                <w:p w14:paraId="273B1DA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机油</w:t>
                  </w:r>
                </w:p>
              </w:tc>
              <w:tc>
                <w:tcPr>
                  <w:tcW w:w="741" w:type="dxa"/>
                  <w:noWrap w:val="0"/>
                  <w:vAlign w:val="center"/>
                </w:tcPr>
                <w:p w14:paraId="65E7CF5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94" w:type="dxa"/>
                  <w:noWrap w:val="0"/>
                  <w:vAlign w:val="center"/>
                </w:tcPr>
                <w:p w14:paraId="22B3F40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0.5</w:t>
                  </w:r>
                </w:p>
              </w:tc>
              <w:tc>
                <w:tcPr>
                  <w:tcW w:w="794" w:type="dxa"/>
                  <w:noWrap w:val="0"/>
                  <w:vAlign w:val="center"/>
                </w:tcPr>
                <w:p w14:paraId="776ADCB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0.5</w:t>
                  </w:r>
                </w:p>
              </w:tc>
              <w:tc>
                <w:tcPr>
                  <w:tcW w:w="912" w:type="dxa"/>
                  <w:noWrap w:val="0"/>
                  <w:vAlign w:val="center"/>
                </w:tcPr>
                <w:p w14:paraId="6738DA7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+0.5</w:t>
                  </w:r>
                </w:p>
              </w:tc>
              <w:tc>
                <w:tcPr>
                  <w:tcW w:w="841" w:type="dxa"/>
                  <w:noWrap w:val="0"/>
                  <w:vAlign w:val="center"/>
                </w:tcPr>
                <w:p w14:paraId="283003B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kg/桶</w:t>
                  </w:r>
                </w:p>
              </w:tc>
              <w:tc>
                <w:tcPr>
                  <w:tcW w:w="706" w:type="dxa"/>
                  <w:vMerge w:val="continue"/>
                  <w:noWrap w:val="0"/>
                  <w:vAlign w:val="center"/>
                </w:tcPr>
                <w:p w14:paraId="4512FD4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91" w:type="dxa"/>
                  <w:noWrap w:val="0"/>
                  <w:vAlign w:val="center"/>
                </w:tcPr>
                <w:p w14:paraId="7410F6B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0.5</w:t>
                  </w:r>
                </w:p>
              </w:tc>
              <w:tc>
                <w:tcPr>
                  <w:tcW w:w="650" w:type="dxa"/>
                  <w:vMerge w:val="continue"/>
                  <w:noWrap w:val="0"/>
                  <w:vAlign w:val="center"/>
                </w:tcPr>
                <w:p w14:paraId="704D7F0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2CD12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4" w:type="dxa"/>
                  <w:noWrap w:val="0"/>
                  <w:vAlign w:val="center"/>
                </w:tcPr>
                <w:p w14:paraId="2C08E47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13</w:t>
                  </w:r>
                </w:p>
              </w:tc>
              <w:tc>
                <w:tcPr>
                  <w:tcW w:w="933" w:type="dxa"/>
                  <w:noWrap w:val="0"/>
                  <w:vAlign w:val="center"/>
                </w:tcPr>
                <w:p w14:paraId="4EECED4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模具</w:t>
                  </w:r>
                </w:p>
              </w:tc>
              <w:tc>
                <w:tcPr>
                  <w:tcW w:w="741" w:type="dxa"/>
                  <w:noWrap w:val="0"/>
                  <w:vAlign w:val="center"/>
                </w:tcPr>
                <w:p w14:paraId="1887FC6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94" w:type="dxa"/>
                  <w:noWrap w:val="0"/>
                  <w:vAlign w:val="center"/>
                </w:tcPr>
                <w:p w14:paraId="256129F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794" w:type="dxa"/>
                  <w:noWrap w:val="0"/>
                  <w:vAlign w:val="center"/>
                </w:tcPr>
                <w:p w14:paraId="732C857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912" w:type="dxa"/>
                  <w:noWrap w:val="0"/>
                  <w:vAlign w:val="center"/>
                </w:tcPr>
                <w:p w14:paraId="13A5260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841" w:type="dxa"/>
                  <w:noWrap w:val="0"/>
                  <w:vAlign w:val="center"/>
                </w:tcPr>
                <w:p w14:paraId="55D11A4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06" w:type="dxa"/>
                  <w:vMerge w:val="continue"/>
                  <w:noWrap w:val="0"/>
                  <w:vAlign w:val="center"/>
                </w:tcPr>
                <w:p w14:paraId="351B89F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91" w:type="dxa"/>
                  <w:noWrap w:val="0"/>
                  <w:vAlign w:val="center"/>
                </w:tcPr>
                <w:p w14:paraId="4E0BBD9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650" w:type="dxa"/>
                  <w:vMerge w:val="continue"/>
                  <w:noWrap w:val="0"/>
                  <w:vAlign w:val="center"/>
                </w:tcPr>
                <w:p w14:paraId="7C3D927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16F19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4" w:type="dxa"/>
                  <w:noWrap w:val="0"/>
                  <w:vAlign w:val="center"/>
                </w:tcPr>
                <w:p w14:paraId="7ACEC7C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w:t>
                  </w:r>
                </w:p>
              </w:tc>
              <w:tc>
                <w:tcPr>
                  <w:tcW w:w="933" w:type="dxa"/>
                  <w:noWrap w:val="0"/>
                  <w:vAlign w:val="center"/>
                </w:tcPr>
                <w:p w14:paraId="3D3C3DB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包装材料</w:t>
                  </w:r>
                </w:p>
              </w:tc>
              <w:tc>
                <w:tcPr>
                  <w:tcW w:w="741" w:type="dxa"/>
                  <w:noWrap w:val="0"/>
                  <w:vAlign w:val="center"/>
                </w:tcPr>
                <w:p w14:paraId="555F8CF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94" w:type="dxa"/>
                  <w:noWrap w:val="0"/>
                  <w:vAlign w:val="center"/>
                </w:tcPr>
                <w:p w14:paraId="125A429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794" w:type="dxa"/>
                  <w:noWrap w:val="0"/>
                  <w:vAlign w:val="center"/>
                </w:tcPr>
                <w:p w14:paraId="7100DEE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912" w:type="dxa"/>
                  <w:noWrap w:val="0"/>
                  <w:vAlign w:val="center"/>
                </w:tcPr>
                <w:p w14:paraId="17846A4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841" w:type="dxa"/>
                  <w:noWrap w:val="0"/>
                  <w:vAlign w:val="center"/>
                </w:tcPr>
                <w:p w14:paraId="33FD5AA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06" w:type="dxa"/>
                  <w:vMerge w:val="continue"/>
                  <w:noWrap w:val="0"/>
                  <w:vAlign w:val="center"/>
                </w:tcPr>
                <w:p w14:paraId="5C34DA6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91" w:type="dxa"/>
                  <w:noWrap w:val="0"/>
                  <w:vAlign w:val="center"/>
                </w:tcPr>
                <w:p w14:paraId="4B70B2F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650" w:type="dxa"/>
                  <w:vMerge w:val="continue"/>
                  <w:noWrap w:val="0"/>
                  <w:vAlign w:val="center"/>
                </w:tcPr>
                <w:p w14:paraId="72BF6A7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5D515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4" w:type="dxa"/>
                  <w:noWrap w:val="0"/>
                  <w:vAlign w:val="center"/>
                </w:tcPr>
                <w:p w14:paraId="0BCAF0F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933" w:type="dxa"/>
                  <w:noWrap w:val="0"/>
                  <w:vAlign w:val="center"/>
                </w:tcPr>
                <w:p w14:paraId="4D5B775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水性漆</w:t>
                  </w:r>
                </w:p>
              </w:tc>
              <w:tc>
                <w:tcPr>
                  <w:tcW w:w="741" w:type="dxa"/>
                  <w:noWrap w:val="0"/>
                  <w:vAlign w:val="center"/>
                </w:tcPr>
                <w:p w14:paraId="595A239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94" w:type="dxa"/>
                  <w:noWrap w:val="0"/>
                  <w:vAlign w:val="center"/>
                </w:tcPr>
                <w:p w14:paraId="29466EA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9.437</w:t>
                  </w:r>
                </w:p>
              </w:tc>
              <w:tc>
                <w:tcPr>
                  <w:tcW w:w="794" w:type="dxa"/>
                  <w:noWrap w:val="0"/>
                  <w:vAlign w:val="center"/>
                </w:tcPr>
                <w:p w14:paraId="364470C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9.437</w:t>
                  </w:r>
                </w:p>
              </w:tc>
              <w:tc>
                <w:tcPr>
                  <w:tcW w:w="912" w:type="dxa"/>
                  <w:noWrap w:val="0"/>
                  <w:vAlign w:val="center"/>
                </w:tcPr>
                <w:p w14:paraId="634E0C9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9.437</w:t>
                  </w:r>
                </w:p>
              </w:tc>
              <w:tc>
                <w:tcPr>
                  <w:tcW w:w="841" w:type="dxa"/>
                  <w:noWrap w:val="0"/>
                  <w:vAlign w:val="center"/>
                </w:tcPr>
                <w:p w14:paraId="7E9D7B6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25kg/桶</w:t>
                  </w:r>
                </w:p>
              </w:tc>
              <w:tc>
                <w:tcPr>
                  <w:tcW w:w="706" w:type="dxa"/>
                  <w:vMerge w:val="continue"/>
                  <w:noWrap w:val="0"/>
                  <w:vAlign w:val="center"/>
                </w:tcPr>
                <w:p w14:paraId="330DEB5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91" w:type="dxa"/>
                  <w:noWrap w:val="0"/>
                  <w:vAlign w:val="center"/>
                </w:tcPr>
                <w:p w14:paraId="4B3AE83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650" w:type="dxa"/>
                  <w:vMerge w:val="restart"/>
                  <w:noWrap w:val="0"/>
                  <w:vAlign w:val="center"/>
                </w:tcPr>
                <w:p w14:paraId="0DE9937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10号厂房化学品区</w:t>
                  </w:r>
                </w:p>
              </w:tc>
            </w:tr>
            <w:tr w14:paraId="66A8C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4" w:type="dxa"/>
                  <w:noWrap w:val="0"/>
                  <w:vAlign w:val="center"/>
                </w:tcPr>
                <w:p w14:paraId="16CA5B5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w:t>
                  </w:r>
                </w:p>
              </w:tc>
              <w:tc>
                <w:tcPr>
                  <w:tcW w:w="933" w:type="dxa"/>
                  <w:noWrap w:val="0"/>
                  <w:vAlign w:val="center"/>
                </w:tcPr>
                <w:p w14:paraId="16E67B1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油性漆</w:t>
                  </w:r>
                </w:p>
              </w:tc>
              <w:tc>
                <w:tcPr>
                  <w:tcW w:w="741" w:type="dxa"/>
                  <w:noWrap w:val="0"/>
                  <w:vAlign w:val="center"/>
                </w:tcPr>
                <w:p w14:paraId="31ABF93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94" w:type="dxa"/>
                  <w:noWrap w:val="0"/>
                  <w:vAlign w:val="center"/>
                </w:tcPr>
                <w:p w14:paraId="6131832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1.887</w:t>
                  </w:r>
                </w:p>
              </w:tc>
              <w:tc>
                <w:tcPr>
                  <w:tcW w:w="794" w:type="dxa"/>
                  <w:noWrap w:val="0"/>
                  <w:vAlign w:val="center"/>
                </w:tcPr>
                <w:p w14:paraId="6DF7C086">
                  <w:pPr>
                    <w:pageBreakBefore w:val="0"/>
                    <w:wordWrap w:val="0"/>
                    <w:overflowPunct/>
                    <w:bidi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1.887</w:t>
                  </w:r>
                </w:p>
              </w:tc>
              <w:tc>
                <w:tcPr>
                  <w:tcW w:w="912" w:type="dxa"/>
                  <w:noWrap w:val="0"/>
                  <w:vAlign w:val="center"/>
                </w:tcPr>
                <w:p w14:paraId="546B8DF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1.887</w:t>
                  </w:r>
                </w:p>
              </w:tc>
              <w:tc>
                <w:tcPr>
                  <w:tcW w:w="841" w:type="dxa"/>
                  <w:noWrap w:val="0"/>
                  <w:vAlign w:val="center"/>
                </w:tcPr>
                <w:p w14:paraId="6733E1C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25kg/桶</w:t>
                  </w:r>
                </w:p>
              </w:tc>
              <w:tc>
                <w:tcPr>
                  <w:tcW w:w="706" w:type="dxa"/>
                  <w:vMerge w:val="continue"/>
                  <w:noWrap w:val="0"/>
                  <w:vAlign w:val="center"/>
                </w:tcPr>
                <w:p w14:paraId="0F230A5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91" w:type="dxa"/>
                  <w:noWrap w:val="0"/>
                  <w:vAlign w:val="center"/>
                </w:tcPr>
                <w:p w14:paraId="50004E8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w:t>
                  </w:r>
                </w:p>
              </w:tc>
              <w:tc>
                <w:tcPr>
                  <w:tcW w:w="650" w:type="dxa"/>
                  <w:vMerge w:val="continue"/>
                  <w:noWrap w:val="0"/>
                  <w:vAlign w:val="center"/>
                </w:tcPr>
                <w:p w14:paraId="12E5481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26AEB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4" w:type="dxa"/>
                  <w:noWrap w:val="0"/>
                  <w:vAlign w:val="center"/>
                </w:tcPr>
                <w:p w14:paraId="6DC3B70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w:t>
                  </w:r>
                </w:p>
              </w:tc>
              <w:tc>
                <w:tcPr>
                  <w:tcW w:w="933" w:type="dxa"/>
                  <w:noWrap w:val="0"/>
                  <w:vAlign w:val="center"/>
                </w:tcPr>
                <w:p w14:paraId="7DD192E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稀释剂</w:t>
                  </w:r>
                  <w:r>
                    <w:rPr>
                      <w:rFonts w:hint="eastAsia" w:cs="Times New Roman"/>
                      <w:color w:val="auto"/>
                      <w:sz w:val="21"/>
                      <w:szCs w:val="21"/>
                      <w:highlight w:val="none"/>
                      <w:lang w:val="en-US" w:eastAsia="zh-CN"/>
                    </w:rPr>
                    <w:t>*</w:t>
                  </w:r>
                </w:p>
              </w:tc>
              <w:tc>
                <w:tcPr>
                  <w:tcW w:w="741" w:type="dxa"/>
                  <w:noWrap w:val="0"/>
                  <w:vAlign w:val="center"/>
                </w:tcPr>
                <w:p w14:paraId="157A840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94" w:type="dxa"/>
                  <w:noWrap w:val="0"/>
                  <w:vAlign w:val="center"/>
                </w:tcPr>
                <w:p w14:paraId="3773DB5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0.393</w:t>
                  </w:r>
                </w:p>
              </w:tc>
              <w:tc>
                <w:tcPr>
                  <w:tcW w:w="794" w:type="dxa"/>
                  <w:noWrap w:val="0"/>
                  <w:vAlign w:val="center"/>
                </w:tcPr>
                <w:p w14:paraId="38097023">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0.393</w:t>
                  </w:r>
                </w:p>
              </w:tc>
              <w:tc>
                <w:tcPr>
                  <w:tcW w:w="912" w:type="dxa"/>
                  <w:noWrap w:val="0"/>
                  <w:vAlign w:val="center"/>
                </w:tcPr>
                <w:p w14:paraId="73AFC60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0.393</w:t>
                  </w:r>
                </w:p>
              </w:tc>
              <w:tc>
                <w:tcPr>
                  <w:tcW w:w="841" w:type="dxa"/>
                  <w:noWrap w:val="0"/>
                  <w:vAlign w:val="center"/>
                </w:tcPr>
                <w:p w14:paraId="4282C64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25kg/桶</w:t>
                  </w:r>
                </w:p>
              </w:tc>
              <w:tc>
                <w:tcPr>
                  <w:tcW w:w="706" w:type="dxa"/>
                  <w:vMerge w:val="continue"/>
                  <w:noWrap w:val="0"/>
                  <w:vAlign w:val="center"/>
                </w:tcPr>
                <w:p w14:paraId="2021B3C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91" w:type="dxa"/>
                  <w:noWrap w:val="0"/>
                  <w:vAlign w:val="center"/>
                </w:tcPr>
                <w:p w14:paraId="2C09995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val="en-US" w:eastAsia="zh-CN"/>
                    </w:rPr>
                    <w:t>1</w:t>
                  </w:r>
                </w:p>
              </w:tc>
              <w:tc>
                <w:tcPr>
                  <w:tcW w:w="650" w:type="dxa"/>
                  <w:vMerge w:val="continue"/>
                  <w:noWrap w:val="0"/>
                  <w:vAlign w:val="center"/>
                </w:tcPr>
                <w:p w14:paraId="4553DD0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17680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7996" w:type="dxa"/>
                  <w:gridSpan w:val="10"/>
                  <w:noWrap w:val="0"/>
                  <w:vAlign w:val="center"/>
                </w:tcPr>
                <w:p w14:paraId="1920609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油性油漆的喷枪需要每天进行清洁1次，清洁采用稀释剂进行清洁，防止油漆堵塞喷孔，根据业主介绍，每把喷枪每次清洁稀释剂用量为</w:t>
                  </w: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0mL，本项目油性油漆喷枪一把，故清洁稀释剂用量为</w:t>
                  </w:r>
                  <w:r>
                    <w:rPr>
                      <w:rFonts w:hint="eastAsia" w:cs="Times New Roman"/>
                      <w:color w:val="auto"/>
                      <w:sz w:val="21"/>
                      <w:szCs w:val="21"/>
                      <w:highlight w:val="none"/>
                      <w:lang w:val="en-US" w:eastAsia="zh-CN"/>
                    </w:rPr>
                    <w:t>50*300*10</w:t>
                  </w:r>
                  <w:r>
                    <w:rPr>
                      <w:rFonts w:hint="eastAsia" w:cs="Times New Roman"/>
                      <w:color w:val="auto"/>
                      <w:sz w:val="21"/>
                      <w:szCs w:val="21"/>
                      <w:highlight w:val="none"/>
                      <w:vertAlign w:val="superscript"/>
                      <w:lang w:val="en-US" w:eastAsia="zh-CN"/>
                    </w:rPr>
                    <w:t>-6</w:t>
                  </w:r>
                  <w:r>
                    <w:rPr>
                      <w:rFonts w:hint="eastAsia" w:cs="Times New Roman"/>
                      <w:color w:val="auto"/>
                      <w:sz w:val="21"/>
                      <w:szCs w:val="21"/>
                      <w:highlight w:val="none"/>
                      <w:lang w:val="en-US" w:eastAsia="zh-CN"/>
                    </w:rPr>
                    <w:t>≈0.015</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/a</w:t>
                  </w:r>
                  <w:r>
                    <w:rPr>
                      <w:rFonts w:hint="eastAsia" w:cs="Times New Roman"/>
                      <w:color w:val="auto"/>
                      <w:sz w:val="21"/>
                      <w:szCs w:val="21"/>
                      <w:highlight w:val="none"/>
                      <w:lang w:val="en-US" w:eastAsia="zh-CN"/>
                    </w:rPr>
                    <w:t>*1.02≈0.015t/a</w:t>
                  </w:r>
                </w:p>
              </w:tc>
            </w:tr>
          </w:tbl>
          <w:p w14:paraId="540E8B56">
            <w:pPr>
              <w:pStyle w:val="12"/>
              <w:pageBreakBefore w:val="0"/>
              <w:wordWrap w:val="0"/>
              <w:overflowPunct/>
              <w:bidi w:val="0"/>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（2）油漆用量计算</w:t>
            </w:r>
          </w:p>
          <w:p w14:paraId="66C6BCC0">
            <w:pPr>
              <w:pStyle w:val="12"/>
              <w:pageBreakBefore w:val="0"/>
              <w:wordWrap w:val="0"/>
              <w:overflowPunct/>
              <w:bidi w:val="0"/>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①漆量计算公式如下所示：</w:t>
            </w:r>
          </w:p>
          <w:p w14:paraId="057D405D">
            <w:pPr>
              <w:pageBreakBefore w:val="0"/>
              <w:widowControl/>
              <w:wordWrap w:val="0"/>
              <w:overflowPunct/>
              <w:bidi w:val="0"/>
              <w:spacing w:line="360" w:lineRule="auto"/>
              <w:ind w:firstLine="480" w:firstLineChars="200"/>
              <w:jc w:val="center"/>
              <w:rPr>
                <w:rFonts w:hint="default" w:ascii="Times New Roman" w:hAnsi="Times New Roman" w:cs="Times New Roman"/>
                <w:color w:val="auto"/>
                <w:szCs w:val="21"/>
              </w:rPr>
            </w:pPr>
            <w:r>
              <w:rPr>
                <w:rFonts w:hint="default" w:ascii="Times New Roman" w:hAnsi="Times New Roman" w:cs="Times New Roman"/>
                <w:color w:val="auto"/>
                <w:position w:val="-24"/>
                <w:szCs w:val="21"/>
              </w:rPr>
              <w:drawing>
                <wp:inline distT="0" distB="0" distL="0" distR="0">
                  <wp:extent cx="717550" cy="393700"/>
                  <wp:effectExtent l="0" t="0" r="0" b="5715"/>
                  <wp:docPr id="16557279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727966" name="图片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717550" cy="393700"/>
                          </a:xfrm>
                          <a:prstGeom prst="rect">
                            <a:avLst/>
                          </a:prstGeom>
                          <a:noFill/>
                          <a:ln>
                            <a:noFill/>
                          </a:ln>
                        </pic:spPr>
                      </pic:pic>
                    </a:graphicData>
                  </a:graphic>
                </wp:inline>
              </w:drawing>
            </w:r>
          </w:p>
          <w:p w14:paraId="0D51D80E">
            <w:pPr>
              <w:pageBreakBefore w:val="0"/>
              <w:widowControl/>
              <w:wordWrap w:val="0"/>
              <w:overflowPunct/>
              <w:bidi w:val="0"/>
              <w:spacing w:line="360" w:lineRule="auto"/>
              <w:ind w:firstLine="480" w:firstLineChars="200"/>
              <w:jc w:val="left"/>
              <w:rPr>
                <w:rFonts w:hint="default" w:ascii="Times New Roman" w:hAnsi="Times New Roman" w:cs="Times New Roman"/>
                <w:color w:val="auto"/>
                <w:szCs w:val="21"/>
              </w:rPr>
            </w:pPr>
            <w:r>
              <w:rPr>
                <w:rFonts w:hint="default" w:ascii="Times New Roman" w:hAnsi="Times New Roman" w:cs="Times New Roman"/>
                <w:color w:val="auto"/>
                <w:szCs w:val="21"/>
              </w:rPr>
              <w:t>式中：Q—用漆量，t/a；</w:t>
            </w:r>
          </w:p>
          <w:p w14:paraId="2C3426C8">
            <w:pPr>
              <w:pageBreakBefore w:val="0"/>
              <w:widowControl/>
              <w:wordWrap w:val="0"/>
              <w:overflowPunct/>
              <w:bidi w:val="0"/>
              <w:spacing w:line="360" w:lineRule="auto"/>
              <w:ind w:firstLine="1200" w:firstLineChars="500"/>
              <w:jc w:val="left"/>
              <w:rPr>
                <w:rFonts w:hint="default" w:ascii="Times New Roman" w:hAnsi="Times New Roman" w:cs="Times New Roman"/>
                <w:color w:val="auto"/>
                <w:szCs w:val="21"/>
              </w:rPr>
            </w:pPr>
            <w:r>
              <w:rPr>
                <w:rFonts w:hint="default" w:ascii="Times New Roman" w:hAnsi="Times New Roman" w:cs="Times New Roman"/>
                <w:color w:val="auto"/>
                <w:szCs w:val="21"/>
              </w:rPr>
              <w:t>A—工件喷漆面积，m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w:t>
            </w:r>
          </w:p>
          <w:p w14:paraId="724120A8">
            <w:pPr>
              <w:pageBreakBefore w:val="0"/>
              <w:widowControl/>
              <w:wordWrap w:val="0"/>
              <w:overflowPunct/>
              <w:bidi w:val="0"/>
              <w:spacing w:line="360" w:lineRule="auto"/>
              <w:ind w:firstLine="1200" w:firstLineChars="500"/>
              <w:jc w:val="left"/>
              <w:rPr>
                <w:rFonts w:hint="default" w:ascii="Times New Roman" w:hAnsi="Times New Roman" w:cs="Times New Roman"/>
                <w:color w:val="auto"/>
                <w:szCs w:val="21"/>
              </w:rPr>
            </w:pPr>
            <w:r>
              <w:rPr>
                <w:rFonts w:hint="default" w:ascii="Times New Roman" w:hAnsi="Times New Roman" w:cs="Times New Roman"/>
                <w:color w:val="auto"/>
                <w:szCs w:val="21"/>
              </w:rPr>
              <w:t>D—漆的厚度，m；</w:t>
            </w:r>
          </w:p>
          <w:p w14:paraId="6F5A723C">
            <w:pPr>
              <w:pageBreakBefore w:val="0"/>
              <w:widowControl/>
              <w:wordWrap w:val="0"/>
              <w:overflowPunct/>
              <w:bidi w:val="0"/>
              <w:spacing w:line="360" w:lineRule="auto"/>
              <w:ind w:firstLine="1200" w:firstLineChars="500"/>
              <w:jc w:val="left"/>
              <w:rPr>
                <w:rFonts w:hint="default" w:ascii="Times New Roman" w:hAnsi="Times New Roman" w:cs="Times New Roman"/>
                <w:color w:val="auto"/>
                <w:szCs w:val="21"/>
              </w:rPr>
            </w:pPr>
            <w:r>
              <w:rPr>
                <w:rFonts w:hint="default" w:ascii="Times New Roman" w:hAnsi="Times New Roman" w:cs="Times New Roman"/>
                <w:color w:val="auto"/>
                <w:szCs w:val="21"/>
              </w:rPr>
              <w:t>ρ—漆的密度，t/m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w:t>
            </w:r>
          </w:p>
          <w:p w14:paraId="0874B455">
            <w:pPr>
              <w:pageBreakBefore w:val="0"/>
              <w:widowControl/>
              <w:wordWrap w:val="0"/>
              <w:overflowPunct/>
              <w:bidi w:val="0"/>
              <w:spacing w:line="360" w:lineRule="auto"/>
              <w:ind w:firstLine="1200" w:firstLineChars="500"/>
              <w:jc w:val="left"/>
              <w:rPr>
                <w:rFonts w:hint="default" w:ascii="Times New Roman" w:hAnsi="Times New Roman" w:cs="Times New Roman"/>
                <w:color w:val="auto"/>
                <w:szCs w:val="21"/>
              </w:rPr>
            </w:pPr>
            <w:r>
              <w:rPr>
                <w:rFonts w:hint="default" w:ascii="Times New Roman" w:hAnsi="Times New Roman" w:cs="Times New Roman"/>
                <w:color w:val="auto"/>
                <w:szCs w:val="21"/>
              </w:rPr>
              <w:t>B—漆（已配好）的固含量，%；</w:t>
            </w:r>
          </w:p>
          <w:p w14:paraId="21165BEE">
            <w:pPr>
              <w:pageBreakBefore w:val="0"/>
              <w:widowControl/>
              <w:wordWrap w:val="0"/>
              <w:overflowPunct/>
              <w:bidi w:val="0"/>
              <w:spacing w:line="360" w:lineRule="auto"/>
              <w:ind w:firstLine="1200" w:firstLineChars="500"/>
              <w:jc w:val="left"/>
              <w:rPr>
                <w:rFonts w:hint="default" w:ascii="Times New Roman" w:hAnsi="Times New Roman" w:cs="Times New Roman"/>
                <w:color w:val="auto"/>
                <w:szCs w:val="21"/>
              </w:rPr>
            </w:pPr>
            <w:r>
              <w:rPr>
                <w:rFonts w:hint="default" w:ascii="Times New Roman" w:hAnsi="Times New Roman" w:cs="Times New Roman"/>
                <w:color w:val="auto"/>
                <w:szCs w:val="21"/>
              </w:rPr>
              <w:drawing>
                <wp:inline distT="0" distB="0" distL="0" distR="0">
                  <wp:extent cx="120650" cy="133350"/>
                  <wp:effectExtent l="0" t="0" r="12700" b="0"/>
                  <wp:docPr id="78429685" name="图片 7842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29685" name="图片 7842968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120650" cy="133350"/>
                          </a:xfrm>
                          <a:prstGeom prst="rect">
                            <a:avLst/>
                          </a:prstGeom>
                          <a:noFill/>
                          <a:ln>
                            <a:noFill/>
                          </a:ln>
                        </pic:spPr>
                      </pic:pic>
                    </a:graphicData>
                  </a:graphic>
                </wp:inline>
              </w:drawing>
            </w:r>
            <w:r>
              <w:rPr>
                <w:rFonts w:hint="default" w:ascii="Times New Roman" w:hAnsi="Times New Roman" w:cs="Times New Roman"/>
                <w:color w:val="auto"/>
                <w:szCs w:val="21"/>
              </w:rPr>
              <w:t>—漆的附着率，%</w:t>
            </w:r>
          </w:p>
          <w:p w14:paraId="1E5DFBF7">
            <w:pPr>
              <w:pStyle w:val="12"/>
              <w:pageBreakBefore w:val="0"/>
              <w:wordWrap w:val="0"/>
              <w:overflowPunct/>
              <w:bidi w:val="0"/>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②本次扩建项目约</w:t>
            </w:r>
            <w:r>
              <w:rPr>
                <w:rFonts w:hint="eastAsia" w:cs="Times New Roman"/>
                <w:color w:val="auto"/>
                <w:highlight w:val="none"/>
                <w:lang w:val="en-US" w:eastAsia="zh-CN"/>
              </w:rPr>
              <w:t>2</w:t>
            </w:r>
            <w:r>
              <w:rPr>
                <w:rFonts w:hint="default" w:ascii="Times New Roman" w:hAnsi="Times New Roman" w:eastAsia="宋体" w:cs="Times New Roman"/>
                <w:color w:val="auto"/>
                <w:highlight w:val="none"/>
                <w:lang w:val="en-US" w:eastAsia="zh-CN"/>
              </w:rPr>
              <w:t>0%的家电塑料配件需根据客户要求进行表面喷涂，均只喷一遍油漆，其中</w:t>
            </w:r>
            <w:r>
              <w:rPr>
                <w:rFonts w:hint="eastAsia" w:cs="Times New Roman"/>
                <w:color w:val="auto"/>
                <w:highlight w:val="none"/>
                <w:lang w:val="en-US" w:eastAsia="zh-CN"/>
              </w:rPr>
              <w:t>8</w:t>
            </w:r>
            <w:r>
              <w:rPr>
                <w:rFonts w:hint="default" w:ascii="Times New Roman" w:hAnsi="Times New Roman" w:eastAsia="宋体" w:cs="Times New Roman"/>
                <w:color w:val="auto"/>
                <w:highlight w:val="none"/>
                <w:lang w:val="en-US" w:eastAsia="zh-CN"/>
              </w:rPr>
              <w:t>0%喷水性漆，</w:t>
            </w:r>
            <w:r>
              <w:rPr>
                <w:rFonts w:hint="eastAsia" w:cs="Times New Roman"/>
                <w:color w:val="auto"/>
                <w:highlight w:val="none"/>
                <w:lang w:val="en-US" w:eastAsia="zh-CN"/>
              </w:rPr>
              <w:t>2</w:t>
            </w:r>
            <w:r>
              <w:rPr>
                <w:rFonts w:hint="default" w:ascii="Times New Roman" w:hAnsi="Times New Roman" w:eastAsia="宋体" w:cs="Times New Roman"/>
                <w:color w:val="auto"/>
                <w:highlight w:val="none"/>
                <w:lang w:val="en-US" w:eastAsia="zh-CN"/>
              </w:rPr>
              <w:t>0%喷油性漆。项目使用油性漆的原因主要是部分高档客户在对漆面细腻度抱有相当高的要求</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故部分产品必须使用油性漆才能满足客户要求，使用油性漆的产品在喷漆细腻度会优于水性漆。</w:t>
            </w:r>
          </w:p>
          <w:p w14:paraId="28814546">
            <w:pPr>
              <w:pStyle w:val="12"/>
              <w:pageBreakBefore w:val="0"/>
              <w:wordWrap w:val="0"/>
              <w:overflowPunct/>
              <w:bidi w:val="0"/>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③根据建设单位喷涂技术要求：漆喷涂厚度为10μm。</w:t>
            </w:r>
          </w:p>
          <w:p w14:paraId="3FC83F8C">
            <w:pPr>
              <w:pStyle w:val="12"/>
              <w:pageBreakBefore w:val="0"/>
              <w:wordWrap w:val="0"/>
              <w:overflowPunct/>
              <w:bidi w:val="0"/>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④根据《谈喷涂涂着效率》（王锡春，现代涂料与涂装，2006年10期）中，低压空气喷涂涂着率为50%</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65%。本项目喷漆附着率取55%。</w:t>
            </w:r>
          </w:p>
          <w:p w14:paraId="5B0033DF">
            <w:pPr>
              <w:pStyle w:val="12"/>
              <w:pageBreakBefore w:val="0"/>
              <w:wordWrap w:val="0"/>
              <w:overflowPunct/>
              <w:bidi w:val="0"/>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⑤喷漆量计算</w:t>
            </w:r>
          </w:p>
          <w:p w14:paraId="281A6312">
            <w:pPr>
              <w:pStyle w:val="19"/>
              <w:pageBreakBefore w:val="0"/>
              <w:numPr>
                <w:ilvl w:val="0"/>
                <w:numId w:val="6"/>
              </w:numPr>
              <w:wordWrap w:val="0"/>
              <w:overflowPunct/>
              <w:bidi w:val="0"/>
              <w:spacing w:line="240" w:lineRule="auto"/>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水性漆使用量计算一览表</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917"/>
              <w:gridCol w:w="426"/>
              <w:gridCol w:w="839"/>
              <w:gridCol w:w="613"/>
              <w:gridCol w:w="835"/>
              <w:gridCol w:w="584"/>
              <w:gridCol w:w="1083"/>
              <w:gridCol w:w="768"/>
              <w:gridCol w:w="768"/>
              <w:gridCol w:w="668"/>
            </w:tblGrid>
            <w:tr w14:paraId="6E406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16" w:type="dxa"/>
                  <w:vMerge w:val="restart"/>
                  <w:vAlign w:val="center"/>
                </w:tcPr>
                <w:p w14:paraId="3E03AD6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产品</w:t>
                  </w:r>
                </w:p>
              </w:tc>
              <w:tc>
                <w:tcPr>
                  <w:tcW w:w="917" w:type="dxa"/>
                  <w:vMerge w:val="restart"/>
                  <w:vAlign w:val="center"/>
                </w:tcPr>
                <w:p w14:paraId="4F5350F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产能（件/年）</w:t>
                  </w:r>
                </w:p>
              </w:tc>
              <w:tc>
                <w:tcPr>
                  <w:tcW w:w="417" w:type="dxa"/>
                  <w:vMerge w:val="restart"/>
                  <w:vAlign w:val="center"/>
                </w:tcPr>
                <w:p w14:paraId="398D48C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油漆类型</w:t>
                  </w:r>
                </w:p>
              </w:tc>
              <w:tc>
                <w:tcPr>
                  <w:tcW w:w="839" w:type="dxa"/>
                  <w:vMerge w:val="restart"/>
                  <w:vAlign w:val="center"/>
                </w:tcPr>
                <w:p w14:paraId="6569BF9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喷涂面积（m</w:t>
                  </w:r>
                  <w:r>
                    <w:rPr>
                      <w:rFonts w:hint="default" w:ascii="Times New Roman" w:hAnsi="Times New Roman" w:eastAsia="宋体" w:cs="Times New Roman"/>
                      <w:color w:val="auto"/>
                      <w:sz w:val="21"/>
                      <w:szCs w:val="21"/>
                      <w:vertAlign w:val="superscript"/>
                      <w:lang w:val="en-US" w:eastAsia="zh-CN"/>
                    </w:rPr>
                    <w:t>2</w:t>
                  </w:r>
                  <w:r>
                    <w:rPr>
                      <w:rFonts w:hint="default" w:ascii="Times New Roman" w:hAnsi="Times New Roman" w:eastAsia="宋体" w:cs="Times New Roman"/>
                      <w:color w:val="auto"/>
                      <w:sz w:val="21"/>
                      <w:szCs w:val="21"/>
                      <w:lang w:val="en-US" w:eastAsia="zh-CN"/>
                    </w:rPr>
                    <w:t>）</w:t>
                  </w:r>
                </w:p>
              </w:tc>
              <w:tc>
                <w:tcPr>
                  <w:tcW w:w="613" w:type="dxa"/>
                  <w:vMerge w:val="restart"/>
                  <w:vAlign w:val="center"/>
                </w:tcPr>
                <w:p w14:paraId="62469B5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干膜厚度</w:t>
                  </w:r>
                  <w:r>
                    <w:rPr>
                      <w:rFonts w:hint="eastAsia"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μm</w:t>
                  </w:r>
                  <w:r>
                    <w:rPr>
                      <w:rFonts w:hint="eastAsia" w:cs="Times New Roman"/>
                      <w:color w:val="auto"/>
                      <w:sz w:val="21"/>
                      <w:szCs w:val="21"/>
                      <w:lang w:val="en-US" w:eastAsia="zh-CN"/>
                    </w:rPr>
                    <w:t>）</w:t>
                  </w:r>
                </w:p>
              </w:tc>
              <w:tc>
                <w:tcPr>
                  <w:tcW w:w="835" w:type="dxa"/>
                  <w:vMerge w:val="restart"/>
                  <w:vAlign w:val="center"/>
                </w:tcPr>
                <w:p w14:paraId="1664915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固含量</w:t>
                  </w:r>
                </w:p>
              </w:tc>
              <w:tc>
                <w:tcPr>
                  <w:tcW w:w="584" w:type="dxa"/>
                  <w:vMerge w:val="restart"/>
                  <w:vAlign w:val="center"/>
                </w:tcPr>
                <w:p w14:paraId="677C47F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上漆率</w:t>
                  </w:r>
                </w:p>
              </w:tc>
              <w:tc>
                <w:tcPr>
                  <w:tcW w:w="1083" w:type="dxa"/>
                  <w:vMerge w:val="restart"/>
                  <w:vAlign w:val="center"/>
                </w:tcPr>
                <w:p w14:paraId="721EA79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油漆干膜密度（g/cm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w:t>
                  </w:r>
                </w:p>
              </w:tc>
              <w:tc>
                <w:tcPr>
                  <w:tcW w:w="2204" w:type="dxa"/>
                  <w:gridSpan w:val="3"/>
                  <w:vAlign w:val="center"/>
                </w:tcPr>
                <w:p w14:paraId="72F6645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用量（t/a）</w:t>
                  </w:r>
                </w:p>
              </w:tc>
            </w:tr>
            <w:tr w14:paraId="22114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16" w:type="dxa"/>
                  <w:vMerge w:val="continue"/>
                  <w:vAlign w:val="center"/>
                </w:tcPr>
                <w:p w14:paraId="6D9C424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917" w:type="dxa"/>
                  <w:vMerge w:val="continue"/>
                  <w:vAlign w:val="center"/>
                </w:tcPr>
                <w:p w14:paraId="3275E3D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417" w:type="dxa"/>
                  <w:vMerge w:val="continue"/>
                  <w:vAlign w:val="center"/>
                </w:tcPr>
                <w:p w14:paraId="4922545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839" w:type="dxa"/>
                  <w:vMerge w:val="continue"/>
                  <w:vAlign w:val="center"/>
                </w:tcPr>
                <w:p w14:paraId="1D0CC1E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613" w:type="dxa"/>
                  <w:vMerge w:val="continue"/>
                  <w:vAlign w:val="center"/>
                </w:tcPr>
                <w:p w14:paraId="7D81BF1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835" w:type="dxa"/>
                  <w:vMerge w:val="continue"/>
                  <w:vAlign w:val="center"/>
                </w:tcPr>
                <w:p w14:paraId="52BA270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584" w:type="dxa"/>
                  <w:vMerge w:val="continue"/>
                  <w:vAlign w:val="center"/>
                </w:tcPr>
                <w:p w14:paraId="464D5CA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1083" w:type="dxa"/>
                  <w:vMerge w:val="continue"/>
                  <w:vAlign w:val="center"/>
                </w:tcPr>
                <w:p w14:paraId="3E0D4AA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768" w:type="dxa"/>
                  <w:vAlign w:val="center"/>
                </w:tcPr>
                <w:p w14:paraId="5BB06DA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总用量</w:t>
                  </w:r>
                </w:p>
              </w:tc>
              <w:tc>
                <w:tcPr>
                  <w:tcW w:w="768" w:type="dxa"/>
                  <w:vAlign w:val="center"/>
                </w:tcPr>
                <w:p w14:paraId="148167E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水性漆</w:t>
                  </w:r>
                </w:p>
              </w:tc>
              <w:tc>
                <w:tcPr>
                  <w:tcW w:w="668" w:type="dxa"/>
                  <w:vAlign w:val="center"/>
                </w:tcPr>
                <w:p w14:paraId="43221D5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水</w:t>
                  </w:r>
                </w:p>
              </w:tc>
            </w:tr>
            <w:tr w14:paraId="5A44B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16" w:type="dxa"/>
                  <w:vAlign w:val="center"/>
                </w:tcPr>
                <w:p w14:paraId="4ACB9C0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家电塑料配件</w:t>
                  </w:r>
                </w:p>
              </w:tc>
              <w:tc>
                <w:tcPr>
                  <w:tcW w:w="917" w:type="dxa"/>
                  <w:vAlign w:val="center"/>
                </w:tcPr>
                <w:p w14:paraId="3BF7C6E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8000000</w:t>
                  </w:r>
                </w:p>
              </w:tc>
              <w:tc>
                <w:tcPr>
                  <w:tcW w:w="417" w:type="dxa"/>
                  <w:vAlign w:val="center"/>
                </w:tcPr>
                <w:p w14:paraId="5A38276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水性漆</w:t>
                  </w:r>
                </w:p>
              </w:tc>
              <w:tc>
                <w:tcPr>
                  <w:tcW w:w="839" w:type="dxa"/>
                  <w:tcBorders>
                    <w:top w:val="single" w:color="auto" w:sz="4" w:space="0"/>
                    <w:left w:val="single" w:color="auto" w:sz="4" w:space="0"/>
                    <w:bottom w:val="single" w:color="auto" w:sz="4" w:space="0"/>
                    <w:right w:val="single" w:color="auto" w:sz="4" w:space="0"/>
                  </w:tcBorders>
                  <w:shd w:val="clear" w:color="auto" w:fill="auto"/>
                  <w:vAlign w:val="center"/>
                </w:tcPr>
                <w:p w14:paraId="0249080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0.0396</w:t>
                  </w:r>
                </w:p>
              </w:tc>
              <w:tc>
                <w:tcPr>
                  <w:tcW w:w="613" w:type="dxa"/>
                  <w:tcBorders>
                    <w:top w:val="single" w:color="auto" w:sz="4" w:space="0"/>
                    <w:left w:val="nil"/>
                    <w:bottom w:val="single" w:color="auto" w:sz="4" w:space="0"/>
                    <w:right w:val="single" w:color="auto" w:sz="4" w:space="0"/>
                  </w:tcBorders>
                  <w:shd w:val="clear" w:color="auto" w:fill="auto"/>
                  <w:vAlign w:val="center"/>
                </w:tcPr>
                <w:p w14:paraId="6F23E51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835" w:type="dxa"/>
                  <w:tcBorders>
                    <w:top w:val="single" w:color="auto" w:sz="4" w:space="0"/>
                    <w:left w:val="nil"/>
                    <w:bottom w:val="single" w:color="auto" w:sz="4" w:space="0"/>
                    <w:right w:val="single" w:color="auto" w:sz="4" w:space="0"/>
                  </w:tcBorders>
                  <w:shd w:val="clear" w:color="auto" w:fill="auto"/>
                  <w:vAlign w:val="center"/>
                </w:tcPr>
                <w:p w14:paraId="258C99B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51.88%</w:t>
                  </w:r>
                </w:p>
              </w:tc>
              <w:tc>
                <w:tcPr>
                  <w:tcW w:w="584" w:type="dxa"/>
                  <w:tcBorders>
                    <w:top w:val="single" w:color="auto" w:sz="4" w:space="0"/>
                    <w:left w:val="nil"/>
                    <w:bottom w:val="single" w:color="auto" w:sz="4" w:space="0"/>
                    <w:right w:val="single" w:color="auto" w:sz="4" w:space="0"/>
                  </w:tcBorders>
                  <w:shd w:val="clear" w:color="auto" w:fill="auto"/>
                  <w:vAlign w:val="center"/>
                </w:tcPr>
                <w:p w14:paraId="28859DA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w:t>
                  </w:r>
                </w:p>
              </w:tc>
              <w:tc>
                <w:tcPr>
                  <w:tcW w:w="1083" w:type="dxa"/>
                  <w:tcBorders>
                    <w:top w:val="single" w:color="auto" w:sz="4" w:space="0"/>
                    <w:left w:val="nil"/>
                    <w:bottom w:val="single" w:color="auto" w:sz="4" w:space="0"/>
                    <w:right w:val="single" w:color="auto" w:sz="4" w:space="0"/>
                  </w:tcBorders>
                  <w:shd w:val="clear" w:color="auto" w:fill="auto"/>
                  <w:vAlign w:val="center"/>
                </w:tcPr>
                <w:p w14:paraId="05014A6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1.02</w:t>
                  </w:r>
                </w:p>
              </w:tc>
              <w:tc>
                <w:tcPr>
                  <w:tcW w:w="768" w:type="dxa"/>
                  <w:tcBorders>
                    <w:top w:val="single" w:color="auto" w:sz="4" w:space="0"/>
                    <w:left w:val="nil"/>
                    <w:bottom w:val="single" w:color="auto" w:sz="4" w:space="0"/>
                    <w:right w:val="single" w:color="auto" w:sz="4" w:space="0"/>
                  </w:tcBorders>
                  <w:shd w:val="clear" w:color="auto" w:fill="auto"/>
                  <w:vAlign w:val="center"/>
                </w:tcPr>
                <w:p w14:paraId="5C514B6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11.325</w:t>
                  </w:r>
                </w:p>
              </w:tc>
              <w:tc>
                <w:tcPr>
                  <w:tcW w:w="768" w:type="dxa"/>
                  <w:tcBorders>
                    <w:top w:val="single" w:color="auto" w:sz="4" w:space="0"/>
                    <w:left w:val="nil"/>
                    <w:bottom w:val="single" w:color="auto" w:sz="4" w:space="0"/>
                    <w:right w:val="single" w:color="auto" w:sz="4" w:space="0"/>
                  </w:tcBorders>
                  <w:shd w:val="clear" w:color="auto" w:fill="auto"/>
                  <w:vAlign w:val="center"/>
                </w:tcPr>
                <w:p w14:paraId="5A13EF3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9.437</w:t>
                  </w:r>
                </w:p>
              </w:tc>
              <w:tc>
                <w:tcPr>
                  <w:tcW w:w="668" w:type="dxa"/>
                  <w:tcBorders>
                    <w:top w:val="single" w:color="auto" w:sz="4" w:space="0"/>
                    <w:left w:val="nil"/>
                    <w:bottom w:val="single" w:color="auto" w:sz="4" w:space="0"/>
                    <w:right w:val="single" w:color="auto" w:sz="4" w:space="0"/>
                  </w:tcBorders>
                  <w:shd w:val="clear" w:color="auto" w:fill="auto"/>
                  <w:vAlign w:val="center"/>
                </w:tcPr>
                <w:p w14:paraId="1F3AF4B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1.887</w:t>
                  </w:r>
                </w:p>
              </w:tc>
            </w:tr>
            <w:tr w14:paraId="5F3F6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7908" w:type="dxa"/>
                  <w:gridSpan w:val="11"/>
                  <w:vAlign w:val="center"/>
                </w:tcPr>
                <w:p w14:paraId="3CEC8690">
                  <w:pPr>
                    <w:keepNext w:val="0"/>
                    <w:keepLines w:val="0"/>
                    <w:pageBreakBefore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注：水性漆固含量取值62.25%（丙烯酸57.5%、炭黑3.5%、二氧化硅1.25%），水性漆：水=5:1，混合后固含量51.88%。</w:t>
                  </w:r>
                </w:p>
                <w:p w14:paraId="70A6BEAD">
                  <w:pPr>
                    <w:keepNext w:val="0"/>
                    <w:keepLines w:val="0"/>
                    <w:pageBreakBefore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调配后</w:t>
                  </w:r>
                  <w:r>
                    <w:rPr>
                      <w:rFonts w:hint="eastAsia" w:cs="Times New Roman"/>
                      <w:b/>
                      <w:bCs/>
                      <w:color w:val="auto"/>
                      <w:sz w:val="21"/>
                      <w:szCs w:val="21"/>
                      <w:lang w:val="en-US" w:eastAsia="zh-CN"/>
                    </w:rPr>
                    <w:t>水性漆</w:t>
                  </w:r>
                  <w:r>
                    <w:rPr>
                      <w:rFonts w:hint="default" w:ascii="Times New Roman" w:hAnsi="Times New Roman" w:eastAsia="宋体" w:cs="Times New Roman"/>
                      <w:b/>
                      <w:bCs/>
                      <w:color w:val="auto"/>
                      <w:sz w:val="21"/>
                      <w:szCs w:val="21"/>
                      <w:lang w:val="en-US" w:eastAsia="zh-CN"/>
                    </w:rPr>
                    <w:t>密度计算过程：设</w:t>
                  </w:r>
                  <w:r>
                    <w:rPr>
                      <w:rFonts w:hint="eastAsia" w:cs="Times New Roman"/>
                      <w:b/>
                      <w:bCs/>
                      <w:color w:val="auto"/>
                      <w:sz w:val="21"/>
                      <w:szCs w:val="21"/>
                      <w:lang w:val="en-US" w:eastAsia="zh-CN"/>
                    </w:rPr>
                    <w:t>水性漆</w:t>
                  </w:r>
                  <w:r>
                    <w:rPr>
                      <w:rFonts w:hint="default" w:ascii="Times New Roman" w:hAnsi="Times New Roman" w:eastAsia="宋体" w:cs="Times New Roman"/>
                      <w:b/>
                      <w:bCs/>
                      <w:color w:val="auto"/>
                      <w:sz w:val="21"/>
                      <w:szCs w:val="21"/>
                      <w:lang w:val="en-US" w:eastAsia="zh-CN"/>
                    </w:rPr>
                    <w:t>的年用量约为1X克，则</w:t>
                  </w:r>
                  <w:r>
                    <w:rPr>
                      <w:rFonts w:hint="eastAsia" w:cs="Times New Roman"/>
                      <w:b/>
                      <w:bCs/>
                      <w:color w:val="auto"/>
                      <w:sz w:val="21"/>
                      <w:szCs w:val="21"/>
                      <w:lang w:val="en-US" w:eastAsia="zh-CN"/>
                    </w:rPr>
                    <w:t>水</w:t>
                  </w:r>
                  <w:r>
                    <w:rPr>
                      <w:rFonts w:hint="default" w:ascii="Times New Roman" w:hAnsi="Times New Roman" w:eastAsia="宋体" w:cs="Times New Roman"/>
                      <w:b/>
                      <w:bCs/>
                      <w:color w:val="auto"/>
                      <w:sz w:val="21"/>
                      <w:szCs w:val="21"/>
                      <w:lang w:val="en-US" w:eastAsia="zh-CN"/>
                    </w:rPr>
                    <w:t>年用量为1X克；调配后的</w:t>
                  </w:r>
                  <w:r>
                    <w:rPr>
                      <w:rFonts w:hint="eastAsia" w:cs="Times New Roman"/>
                      <w:b/>
                      <w:bCs/>
                      <w:color w:val="auto"/>
                      <w:sz w:val="21"/>
                      <w:szCs w:val="21"/>
                      <w:lang w:val="en-US" w:eastAsia="zh-CN"/>
                    </w:rPr>
                    <w:t>水性漆</w:t>
                  </w:r>
                  <w:r>
                    <w:rPr>
                      <w:rFonts w:hint="default" w:ascii="Times New Roman" w:hAnsi="Times New Roman" w:eastAsia="宋体" w:cs="Times New Roman"/>
                      <w:b/>
                      <w:bCs/>
                      <w:color w:val="auto"/>
                      <w:sz w:val="21"/>
                      <w:szCs w:val="21"/>
                      <w:lang w:val="en-US" w:eastAsia="zh-CN"/>
                    </w:rPr>
                    <w:t>总年用量为：1X+0.2X=1.2Xg，总体积为：1X/1.02g/cm</w:t>
                  </w:r>
                  <w:r>
                    <w:rPr>
                      <w:rFonts w:hint="default" w:ascii="Times New Roman" w:hAnsi="Times New Roman" w:eastAsia="宋体"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lang w:val="en-US" w:eastAsia="zh-CN"/>
                    </w:rPr>
                    <w:t>+0.2X/1g/cm</w:t>
                  </w:r>
                  <w:r>
                    <w:rPr>
                      <w:rFonts w:hint="default" w:ascii="Times New Roman" w:hAnsi="Times New Roman" w:eastAsia="宋体"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lang w:val="en-US" w:eastAsia="zh-CN"/>
                    </w:rPr>
                    <w:t>=1.18Xcm</w:t>
                  </w:r>
                  <w:r>
                    <w:rPr>
                      <w:rFonts w:hint="default" w:ascii="Times New Roman" w:hAnsi="Times New Roman" w:eastAsia="宋体"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lang w:val="en-US" w:eastAsia="zh-CN"/>
                    </w:rPr>
                    <w:t>。调配后的</w:t>
                  </w:r>
                  <w:r>
                    <w:rPr>
                      <w:rFonts w:hint="eastAsia" w:cs="Times New Roman"/>
                      <w:b/>
                      <w:bCs/>
                      <w:color w:val="auto"/>
                      <w:sz w:val="21"/>
                      <w:szCs w:val="21"/>
                      <w:lang w:val="en-US" w:eastAsia="zh-CN"/>
                    </w:rPr>
                    <w:t>水性漆（干膜）</w:t>
                  </w:r>
                  <w:r>
                    <w:rPr>
                      <w:rFonts w:hint="default" w:ascii="Times New Roman" w:hAnsi="Times New Roman" w:eastAsia="宋体" w:cs="Times New Roman"/>
                      <w:b/>
                      <w:bCs/>
                      <w:color w:val="auto"/>
                      <w:sz w:val="21"/>
                      <w:szCs w:val="21"/>
                      <w:lang w:val="en-US" w:eastAsia="zh-CN"/>
                    </w:rPr>
                    <w:t>相对密度为：</w:t>
                  </w:r>
                  <w:r>
                    <w:rPr>
                      <w:rFonts w:hint="eastAsia" w:cs="Times New Roman"/>
                      <w:b/>
                      <w:bCs/>
                      <w:color w:val="auto"/>
                      <w:sz w:val="21"/>
                      <w:szCs w:val="21"/>
                      <w:lang w:val="en-US" w:eastAsia="zh-CN"/>
                    </w:rPr>
                    <w:t>1.2</w:t>
                  </w:r>
                  <w:r>
                    <w:rPr>
                      <w:rFonts w:hint="default" w:ascii="Times New Roman" w:hAnsi="Times New Roman" w:eastAsia="宋体" w:cs="Times New Roman"/>
                      <w:b/>
                      <w:bCs/>
                      <w:color w:val="auto"/>
                      <w:sz w:val="21"/>
                      <w:szCs w:val="21"/>
                      <w:lang w:val="en-US" w:eastAsia="zh-CN"/>
                    </w:rPr>
                    <w:t>Xg/</w:t>
                  </w:r>
                  <w:r>
                    <w:rPr>
                      <w:rFonts w:hint="eastAsia" w:cs="Times New Roman"/>
                      <w:b/>
                      <w:bCs/>
                      <w:color w:val="auto"/>
                      <w:sz w:val="21"/>
                      <w:szCs w:val="21"/>
                      <w:lang w:val="en-US" w:eastAsia="zh-CN"/>
                    </w:rPr>
                    <w:t>1.18</w:t>
                  </w:r>
                  <w:r>
                    <w:rPr>
                      <w:rFonts w:hint="default" w:ascii="Times New Roman" w:hAnsi="Times New Roman" w:eastAsia="宋体" w:cs="Times New Roman"/>
                      <w:b/>
                      <w:bCs/>
                      <w:color w:val="auto"/>
                      <w:sz w:val="21"/>
                      <w:szCs w:val="21"/>
                      <w:lang w:val="en-US" w:eastAsia="zh-CN"/>
                    </w:rPr>
                    <w:t>Xcm</w:t>
                  </w:r>
                  <w:r>
                    <w:rPr>
                      <w:rFonts w:hint="default" w:ascii="Times New Roman" w:hAnsi="Times New Roman" w:eastAsia="宋体" w:cs="Times New Roman"/>
                      <w:b/>
                      <w:bCs/>
                      <w:color w:val="auto"/>
                      <w:sz w:val="21"/>
                      <w:szCs w:val="21"/>
                      <w:vertAlign w:val="superscript"/>
                      <w:lang w:val="en-US" w:eastAsia="zh-CN"/>
                    </w:rPr>
                    <w:t>3</w:t>
                  </w:r>
                  <w:r>
                    <w:rPr>
                      <w:rFonts w:hint="eastAsia" w:cs="Times New Roman"/>
                      <w:b/>
                      <w:bCs/>
                      <w:color w:val="auto"/>
                      <w:sz w:val="21"/>
                      <w:szCs w:val="21"/>
                      <w:lang w:val="en-US" w:eastAsia="zh-CN"/>
                    </w:rPr>
                    <w:t>≈1.02</w:t>
                  </w:r>
                  <w:r>
                    <w:rPr>
                      <w:rFonts w:hint="default" w:ascii="Times New Roman" w:hAnsi="Times New Roman" w:eastAsia="宋体" w:cs="Times New Roman"/>
                      <w:b/>
                      <w:bCs/>
                      <w:color w:val="auto"/>
                      <w:sz w:val="21"/>
                      <w:szCs w:val="21"/>
                      <w:lang w:val="en-US" w:eastAsia="zh-CN"/>
                    </w:rPr>
                    <w:t>g/cm</w:t>
                  </w:r>
                  <w:r>
                    <w:rPr>
                      <w:rFonts w:hint="default" w:ascii="Times New Roman" w:hAnsi="Times New Roman" w:eastAsia="宋体" w:cs="Times New Roman"/>
                      <w:b/>
                      <w:bCs/>
                      <w:color w:val="auto"/>
                      <w:sz w:val="21"/>
                      <w:szCs w:val="21"/>
                      <w:vertAlign w:val="superscript"/>
                      <w:lang w:val="en-US" w:eastAsia="zh-CN"/>
                    </w:rPr>
                    <w:t>3</w:t>
                  </w:r>
                </w:p>
              </w:tc>
            </w:tr>
          </w:tbl>
          <w:p w14:paraId="2180E0D2">
            <w:pPr>
              <w:pStyle w:val="19"/>
              <w:pageBreakBefore w:val="0"/>
              <w:numPr>
                <w:ilvl w:val="0"/>
                <w:numId w:val="6"/>
              </w:numPr>
              <w:wordWrap w:val="0"/>
              <w:overflowPunct/>
              <w:bidi w:val="0"/>
              <w:spacing w:line="240" w:lineRule="auto"/>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油性漆使用量计算一览表</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936"/>
              <w:gridCol w:w="539"/>
              <w:gridCol w:w="864"/>
              <w:gridCol w:w="884"/>
              <w:gridCol w:w="787"/>
              <w:gridCol w:w="669"/>
              <w:gridCol w:w="932"/>
              <w:gridCol w:w="653"/>
              <w:gridCol w:w="653"/>
              <w:gridCol w:w="653"/>
            </w:tblGrid>
            <w:tr w14:paraId="2FE35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vAlign w:val="center"/>
                </w:tcPr>
                <w:p w14:paraId="6F9AB46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产品</w:t>
                  </w:r>
                </w:p>
              </w:tc>
              <w:tc>
                <w:tcPr>
                  <w:tcW w:w="0" w:type="auto"/>
                  <w:vMerge w:val="restart"/>
                  <w:vAlign w:val="center"/>
                </w:tcPr>
                <w:p w14:paraId="02FCDFE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产能（套/年）</w:t>
                  </w:r>
                </w:p>
              </w:tc>
              <w:tc>
                <w:tcPr>
                  <w:tcW w:w="0" w:type="auto"/>
                  <w:vMerge w:val="restart"/>
                  <w:vAlign w:val="center"/>
                </w:tcPr>
                <w:p w14:paraId="36BA193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油漆类型</w:t>
                  </w:r>
                </w:p>
              </w:tc>
              <w:tc>
                <w:tcPr>
                  <w:tcW w:w="0" w:type="auto"/>
                  <w:vMerge w:val="restart"/>
                  <w:vAlign w:val="center"/>
                </w:tcPr>
                <w:p w14:paraId="17F7778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喷涂面积（m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p>
              </w:tc>
              <w:tc>
                <w:tcPr>
                  <w:tcW w:w="0" w:type="auto"/>
                  <w:vMerge w:val="restart"/>
                  <w:vAlign w:val="center"/>
                </w:tcPr>
                <w:p w14:paraId="69776D7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干膜厚度</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μm</w:t>
                  </w:r>
                  <w:r>
                    <w:rPr>
                      <w:rFonts w:hint="eastAsia" w:cs="Times New Roman"/>
                      <w:color w:val="auto"/>
                      <w:sz w:val="21"/>
                      <w:szCs w:val="21"/>
                      <w:highlight w:val="none"/>
                      <w:lang w:val="en-US" w:eastAsia="zh-CN"/>
                    </w:rPr>
                    <w:t>）</w:t>
                  </w:r>
                </w:p>
              </w:tc>
              <w:tc>
                <w:tcPr>
                  <w:tcW w:w="0" w:type="auto"/>
                  <w:vMerge w:val="restart"/>
                  <w:vAlign w:val="center"/>
                </w:tcPr>
                <w:p w14:paraId="7847A5E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固含量</w:t>
                  </w:r>
                </w:p>
              </w:tc>
              <w:tc>
                <w:tcPr>
                  <w:tcW w:w="0" w:type="auto"/>
                  <w:vMerge w:val="restart"/>
                  <w:vAlign w:val="center"/>
                </w:tcPr>
                <w:p w14:paraId="046C30E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上漆率</w:t>
                  </w:r>
                </w:p>
              </w:tc>
              <w:tc>
                <w:tcPr>
                  <w:tcW w:w="0" w:type="auto"/>
                  <w:vMerge w:val="restart"/>
                  <w:vAlign w:val="center"/>
                </w:tcPr>
                <w:p w14:paraId="67C5FFB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油漆干膜密度（g/cm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w:t>
                  </w:r>
                </w:p>
              </w:tc>
              <w:tc>
                <w:tcPr>
                  <w:tcW w:w="0" w:type="auto"/>
                  <w:gridSpan w:val="3"/>
                  <w:vAlign w:val="center"/>
                </w:tcPr>
                <w:p w14:paraId="01AB965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用量（t/a）</w:t>
                  </w:r>
                </w:p>
              </w:tc>
            </w:tr>
            <w:tr w14:paraId="151B5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0224DC5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Merge w:val="continue"/>
                  <w:vAlign w:val="center"/>
                </w:tcPr>
                <w:p w14:paraId="4182659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Merge w:val="continue"/>
                  <w:vAlign w:val="center"/>
                </w:tcPr>
                <w:p w14:paraId="5D38B76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Merge w:val="continue"/>
                  <w:vAlign w:val="center"/>
                </w:tcPr>
                <w:p w14:paraId="00FA28B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Merge w:val="continue"/>
                  <w:vAlign w:val="center"/>
                </w:tcPr>
                <w:p w14:paraId="3F82AB5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Merge w:val="continue"/>
                  <w:vAlign w:val="center"/>
                </w:tcPr>
                <w:p w14:paraId="00C1779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Merge w:val="continue"/>
                  <w:vAlign w:val="center"/>
                </w:tcPr>
                <w:p w14:paraId="6BEE8AB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Merge w:val="continue"/>
                  <w:vAlign w:val="center"/>
                </w:tcPr>
                <w:p w14:paraId="33AD290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53AD359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总用量</w:t>
                  </w:r>
                </w:p>
              </w:tc>
              <w:tc>
                <w:tcPr>
                  <w:tcW w:w="0" w:type="auto"/>
                  <w:vAlign w:val="center"/>
                </w:tcPr>
                <w:p w14:paraId="01397FC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油性漆</w:t>
                  </w:r>
                </w:p>
              </w:tc>
              <w:tc>
                <w:tcPr>
                  <w:tcW w:w="0" w:type="auto"/>
                  <w:vAlign w:val="center"/>
                </w:tcPr>
                <w:p w14:paraId="52222E3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稀释剂</w:t>
                  </w:r>
                </w:p>
              </w:tc>
            </w:tr>
            <w:tr w14:paraId="3C471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14:paraId="39CC0F4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家电塑料配件</w:t>
                  </w:r>
                </w:p>
              </w:tc>
              <w:tc>
                <w:tcPr>
                  <w:tcW w:w="920" w:type="dxa"/>
                  <w:vAlign w:val="center"/>
                </w:tcPr>
                <w:p w14:paraId="342ADD8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2000000</w:t>
                  </w:r>
                </w:p>
              </w:tc>
              <w:tc>
                <w:tcPr>
                  <w:tcW w:w="417" w:type="dxa"/>
                  <w:vAlign w:val="center"/>
                </w:tcPr>
                <w:p w14:paraId="4E0340A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油性漆</w:t>
                  </w:r>
                </w:p>
              </w:tc>
              <w:tc>
                <w:tcPr>
                  <w:tcW w:w="841" w:type="dxa"/>
                  <w:tcBorders>
                    <w:top w:val="single" w:color="auto" w:sz="4" w:space="0"/>
                    <w:left w:val="single" w:color="auto" w:sz="4" w:space="0"/>
                    <w:bottom w:val="single" w:color="auto" w:sz="4" w:space="0"/>
                    <w:right w:val="single" w:color="auto" w:sz="4" w:space="0"/>
                  </w:tcBorders>
                  <w:shd w:val="clear" w:color="auto" w:fill="auto"/>
                  <w:vAlign w:val="center"/>
                </w:tcPr>
                <w:p w14:paraId="480D0EA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0.0396</w:t>
                  </w:r>
                </w:p>
              </w:tc>
              <w:tc>
                <w:tcPr>
                  <w:tcW w:w="883" w:type="dxa"/>
                  <w:tcBorders>
                    <w:top w:val="single" w:color="auto" w:sz="4" w:space="0"/>
                    <w:left w:val="nil"/>
                    <w:bottom w:val="single" w:color="auto" w:sz="4" w:space="0"/>
                    <w:right w:val="single" w:color="auto" w:sz="4" w:space="0"/>
                  </w:tcBorders>
                  <w:shd w:val="clear" w:color="auto" w:fill="auto"/>
                  <w:vAlign w:val="center"/>
                </w:tcPr>
                <w:p w14:paraId="6F2CB99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837" w:type="dxa"/>
                  <w:tcBorders>
                    <w:top w:val="single" w:color="auto" w:sz="4" w:space="0"/>
                    <w:left w:val="nil"/>
                    <w:bottom w:val="single" w:color="auto" w:sz="4" w:space="0"/>
                    <w:right w:val="single" w:color="auto" w:sz="4" w:space="0"/>
                  </w:tcBorders>
                  <w:shd w:val="clear" w:color="auto" w:fill="auto"/>
                  <w:vAlign w:val="center"/>
                </w:tcPr>
                <w:p w14:paraId="3D64ED2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64.87%</w:t>
                  </w:r>
                </w:p>
              </w:tc>
              <w:tc>
                <w:tcPr>
                  <w:tcW w:w="585" w:type="dxa"/>
                  <w:tcBorders>
                    <w:top w:val="single" w:color="auto" w:sz="4" w:space="0"/>
                    <w:left w:val="nil"/>
                    <w:bottom w:val="single" w:color="auto" w:sz="4" w:space="0"/>
                    <w:right w:val="single" w:color="auto" w:sz="4" w:space="0"/>
                  </w:tcBorders>
                  <w:shd w:val="clear" w:color="auto" w:fill="auto"/>
                  <w:vAlign w:val="center"/>
                </w:tcPr>
                <w:p w14:paraId="0A6E6BC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w:t>
                  </w:r>
                </w:p>
              </w:tc>
              <w:tc>
                <w:tcPr>
                  <w:tcW w:w="1086" w:type="dxa"/>
                  <w:tcBorders>
                    <w:top w:val="single" w:color="auto" w:sz="4" w:space="0"/>
                    <w:left w:val="nil"/>
                    <w:bottom w:val="single" w:color="auto" w:sz="4" w:space="0"/>
                    <w:right w:val="single" w:color="auto" w:sz="4" w:space="0"/>
                  </w:tcBorders>
                  <w:shd w:val="clear" w:color="auto" w:fill="auto"/>
                  <w:vAlign w:val="center"/>
                </w:tcPr>
                <w:p w14:paraId="66D9B64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1.02</w:t>
                  </w:r>
                </w:p>
              </w:tc>
              <w:tc>
                <w:tcPr>
                  <w:tcW w:w="669" w:type="dxa"/>
                  <w:tcBorders>
                    <w:top w:val="single" w:color="auto" w:sz="4" w:space="0"/>
                    <w:left w:val="nil"/>
                    <w:bottom w:val="single" w:color="auto" w:sz="4" w:space="0"/>
                    <w:right w:val="single" w:color="auto" w:sz="4" w:space="0"/>
                  </w:tcBorders>
                  <w:shd w:val="clear" w:color="auto" w:fill="auto"/>
                  <w:vAlign w:val="center"/>
                </w:tcPr>
                <w:p w14:paraId="3F594DE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2.264 </w:t>
                  </w:r>
                </w:p>
              </w:tc>
              <w:tc>
                <w:tcPr>
                  <w:tcW w:w="669" w:type="dxa"/>
                  <w:tcBorders>
                    <w:top w:val="single" w:color="auto" w:sz="4" w:space="0"/>
                    <w:left w:val="nil"/>
                    <w:bottom w:val="single" w:color="auto" w:sz="4" w:space="0"/>
                    <w:right w:val="single" w:color="auto" w:sz="4" w:space="0"/>
                  </w:tcBorders>
                  <w:shd w:val="clear" w:color="auto" w:fill="auto"/>
                  <w:vAlign w:val="center"/>
                </w:tcPr>
                <w:p w14:paraId="032ECBE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1.887 </w:t>
                  </w:r>
                </w:p>
              </w:tc>
              <w:tc>
                <w:tcPr>
                  <w:tcW w:w="669" w:type="dxa"/>
                  <w:tcBorders>
                    <w:top w:val="single" w:color="auto" w:sz="4" w:space="0"/>
                    <w:left w:val="nil"/>
                    <w:bottom w:val="single" w:color="auto" w:sz="4" w:space="0"/>
                    <w:right w:val="single" w:color="auto" w:sz="4" w:space="0"/>
                  </w:tcBorders>
                  <w:shd w:val="clear" w:color="auto" w:fill="auto"/>
                  <w:vAlign w:val="center"/>
                </w:tcPr>
                <w:p w14:paraId="7E67735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0.377 </w:t>
                  </w:r>
                </w:p>
              </w:tc>
            </w:tr>
            <w:tr w14:paraId="7CA3D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gridSpan w:val="11"/>
                  <w:tcBorders>
                    <w:right w:val="single" w:color="auto" w:sz="4" w:space="0"/>
                  </w:tcBorders>
                  <w:vAlign w:val="center"/>
                </w:tcPr>
                <w:p w14:paraId="56F5F77F">
                  <w:pPr>
                    <w:keepNext w:val="0"/>
                    <w:keepLines w:val="0"/>
                    <w:pageBreakBefore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注：油性漆密度1.02g/cm</w:t>
                  </w:r>
                  <w:r>
                    <w:rPr>
                      <w:rFonts w:hint="default" w:ascii="Times New Roman" w:hAnsi="Times New Roman" w:eastAsia="宋体"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lang w:val="en-US" w:eastAsia="zh-CN"/>
                    </w:rPr>
                    <w:t>，原液VOC含量226g/L，则固含量7</w:t>
                  </w:r>
                  <w:r>
                    <w:rPr>
                      <w:rFonts w:hint="eastAsia" w:cs="Times New Roman"/>
                      <w:b/>
                      <w:bCs/>
                      <w:color w:val="auto"/>
                      <w:sz w:val="21"/>
                      <w:szCs w:val="21"/>
                      <w:lang w:val="en-US" w:eastAsia="zh-CN"/>
                    </w:rPr>
                    <w:t>9</w:t>
                  </w:r>
                  <w:r>
                    <w:rPr>
                      <w:rFonts w:hint="default" w:ascii="Times New Roman" w:hAnsi="Times New Roman" w:eastAsia="宋体" w:cs="Times New Roman"/>
                      <w:b/>
                      <w:bCs/>
                      <w:color w:val="auto"/>
                      <w:sz w:val="21"/>
                      <w:szCs w:val="21"/>
                      <w:lang w:val="en-US" w:eastAsia="zh-CN"/>
                    </w:rPr>
                    <w:t>4 g/L，换算质量占比</w:t>
                  </w:r>
                  <w:r>
                    <w:rPr>
                      <w:rFonts w:hint="eastAsia" w:cs="Times New Roman"/>
                      <w:b/>
                      <w:bCs/>
                      <w:color w:val="auto"/>
                      <w:sz w:val="21"/>
                      <w:szCs w:val="21"/>
                      <w:lang w:val="en-US" w:eastAsia="zh-CN"/>
                    </w:rPr>
                    <w:t>77.84</w:t>
                  </w:r>
                  <w:r>
                    <w:rPr>
                      <w:rFonts w:hint="default" w:ascii="Times New Roman" w:hAnsi="Times New Roman" w:eastAsia="宋体" w:cs="Times New Roman"/>
                      <w:b/>
                      <w:bCs/>
                      <w:color w:val="auto"/>
                      <w:sz w:val="21"/>
                      <w:szCs w:val="21"/>
                      <w:lang w:val="en-US" w:eastAsia="zh-CN"/>
                    </w:rPr>
                    <w:t>%，油性漆本身已含各种溶剂（稀释剂成分）故本项目需加入的稀释剂比例较低</w:t>
                  </w:r>
                  <w:r>
                    <w:rPr>
                      <w:rFonts w:hint="eastAsia" w:cs="Times New Roman"/>
                      <w:b/>
                      <w:bCs/>
                      <w:color w:val="auto"/>
                      <w:sz w:val="21"/>
                      <w:szCs w:val="21"/>
                      <w:lang w:val="en-US" w:eastAsia="zh-CN"/>
                    </w:rPr>
                    <w:t>，</w:t>
                  </w:r>
                  <w:r>
                    <w:rPr>
                      <w:rFonts w:hint="default" w:ascii="Times New Roman" w:hAnsi="Times New Roman" w:eastAsia="宋体" w:cs="Times New Roman"/>
                      <w:b/>
                      <w:bCs/>
                      <w:color w:val="auto"/>
                      <w:sz w:val="21"/>
                      <w:szCs w:val="21"/>
                      <w:lang w:val="en-US" w:eastAsia="zh-CN"/>
                    </w:rPr>
                    <w:t>油性漆：稀释剂=1:0.2，混合后固含量</w:t>
                  </w:r>
                  <w:r>
                    <w:rPr>
                      <w:rFonts w:hint="eastAsia" w:cs="Times New Roman"/>
                      <w:b/>
                      <w:bCs/>
                      <w:color w:val="auto"/>
                      <w:sz w:val="21"/>
                      <w:szCs w:val="21"/>
                      <w:lang w:val="en-US" w:eastAsia="zh-CN"/>
                    </w:rPr>
                    <w:t>64.87</w:t>
                  </w:r>
                  <w:r>
                    <w:rPr>
                      <w:rFonts w:hint="default" w:ascii="Times New Roman" w:hAnsi="Times New Roman" w:eastAsia="宋体" w:cs="Times New Roman"/>
                      <w:b/>
                      <w:bCs/>
                      <w:color w:val="auto"/>
                      <w:sz w:val="21"/>
                      <w:szCs w:val="21"/>
                      <w:lang w:val="en-US" w:eastAsia="zh-CN"/>
                    </w:rPr>
                    <w:t>%。</w:t>
                  </w:r>
                </w:p>
                <w:p w14:paraId="7EA1EA77">
                  <w:pPr>
                    <w:keepNext w:val="0"/>
                    <w:keepLines w:val="0"/>
                    <w:pageBreakBefore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油性漆、稀释剂密度均为</w:t>
                  </w:r>
                  <w:r>
                    <w:rPr>
                      <w:rFonts w:hint="default" w:ascii="Times New Roman" w:hAnsi="Times New Roman" w:eastAsia="宋体" w:cs="Times New Roman"/>
                      <w:b/>
                      <w:bCs/>
                      <w:color w:val="auto"/>
                      <w:sz w:val="21"/>
                      <w:szCs w:val="21"/>
                      <w:lang w:val="en-US" w:eastAsia="zh-CN"/>
                    </w:rPr>
                    <w:t>1.02g/cm</w:t>
                  </w:r>
                  <w:r>
                    <w:rPr>
                      <w:rFonts w:hint="default" w:ascii="Times New Roman" w:hAnsi="Times New Roman" w:eastAsia="宋体" w:cs="Times New Roman"/>
                      <w:b/>
                      <w:bCs/>
                      <w:color w:val="auto"/>
                      <w:sz w:val="21"/>
                      <w:szCs w:val="21"/>
                      <w:vertAlign w:val="superscript"/>
                      <w:lang w:val="en-US" w:eastAsia="zh-CN"/>
                    </w:rPr>
                    <w:t>3</w:t>
                  </w:r>
                  <w:r>
                    <w:rPr>
                      <w:rFonts w:hint="eastAsia" w:ascii="Times New Roman" w:hAnsi="Times New Roman" w:eastAsia="宋体" w:cs="Times New Roman"/>
                      <w:b/>
                      <w:bCs/>
                      <w:color w:val="auto"/>
                      <w:sz w:val="21"/>
                      <w:szCs w:val="21"/>
                      <w:vertAlign w:val="baseline"/>
                      <w:lang w:val="en-US" w:eastAsia="zh-CN"/>
                    </w:rPr>
                    <w:t>，故调配后干膜密度仍为1.02</w:t>
                  </w:r>
                  <w:r>
                    <w:rPr>
                      <w:rFonts w:hint="default" w:ascii="Times New Roman" w:hAnsi="Times New Roman" w:eastAsia="宋体" w:cs="Times New Roman"/>
                      <w:b/>
                      <w:bCs/>
                      <w:color w:val="auto"/>
                      <w:sz w:val="21"/>
                      <w:szCs w:val="21"/>
                      <w:lang w:val="en-US" w:eastAsia="zh-CN"/>
                    </w:rPr>
                    <w:t>g/cm</w:t>
                  </w:r>
                  <w:r>
                    <w:rPr>
                      <w:rFonts w:hint="default" w:ascii="Times New Roman" w:hAnsi="Times New Roman" w:eastAsia="宋体" w:cs="Times New Roman"/>
                      <w:b/>
                      <w:bCs/>
                      <w:color w:val="auto"/>
                      <w:sz w:val="21"/>
                      <w:szCs w:val="21"/>
                      <w:vertAlign w:val="superscript"/>
                      <w:lang w:val="en-US" w:eastAsia="zh-CN"/>
                    </w:rPr>
                    <w:t>3</w:t>
                  </w:r>
                </w:p>
              </w:tc>
            </w:tr>
          </w:tbl>
          <w:p w14:paraId="175C22CD">
            <w:pPr>
              <w:pageBreakBefore w:val="0"/>
              <w:tabs>
                <w:tab w:val="left" w:pos="10435"/>
              </w:tabs>
              <w:wordWrap w:val="0"/>
              <w:overflowPunct/>
              <w:bidi w:val="0"/>
              <w:adjustRightInd w:val="0"/>
              <w:spacing w:line="360" w:lineRule="auto"/>
              <w:ind w:firstLine="480" w:firstLineChars="200"/>
              <w:rPr>
                <w:rFonts w:hint="default" w:ascii="Times New Roman" w:hAnsi="Times New Roman" w:cs="Times New Roman"/>
                <w:color w:val="auto"/>
                <w:szCs w:val="21"/>
              </w:rPr>
            </w:pPr>
            <w:r>
              <w:rPr>
                <w:rFonts w:hint="default" w:ascii="Times New Roman" w:hAnsi="Times New Roman" w:cs="Times New Roman"/>
                <w:color w:val="auto"/>
                <w:szCs w:val="21"/>
              </w:rPr>
              <w:t>（3）低挥发性物料判别</w:t>
            </w:r>
            <w:r>
              <w:rPr>
                <w:rFonts w:hint="default" w:ascii="Times New Roman" w:hAnsi="Times New Roman" w:cs="Times New Roman"/>
                <w:color w:val="auto"/>
                <w:szCs w:val="21"/>
              </w:rPr>
              <w:tab/>
            </w:r>
          </w:p>
          <w:p w14:paraId="62FF7DDA">
            <w:pPr>
              <w:pageBreakBefore w:val="0"/>
              <w:wordWrap w:val="0"/>
              <w:overflowPunct/>
              <w:bidi w:val="0"/>
              <w:adjustRightInd w:val="0"/>
              <w:spacing w:line="360" w:lineRule="auto"/>
              <w:ind w:firstLine="480" w:firstLineChars="200"/>
              <w:rPr>
                <w:rFonts w:hint="default" w:ascii="Times New Roman" w:hAnsi="Times New Roman" w:cs="Times New Roman"/>
                <w:color w:val="auto"/>
                <w:szCs w:val="21"/>
              </w:rPr>
            </w:pPr>
            <w:r>
              <w:rPr>
                <w:rFonts w:hint="default" w:ascii="Times New Roman" w:hAnsi="Times New Roman" w:cs="Times New Roman"/>
                <w:color w:val="auto"/>
                <w:szCs w:val="21"/>
              </w:rPr>
              <w:t>根据油漆VOC测试报告，项目使用油漆是否属于低挥发性物料判定如下：</w:t>
            </w:r>
          </w:p>
          <w:p w14:paraId="4567143E">
            <w:pPr>
              <w:pStyle w:val="19"/>
              <w:pageBreakBefore w:val="0"/>
              <w:numPr>
                <w:ilvl w:val="0"/>
                <w:numId w:val="6"/>
              </w:numPr>
              <w:wordWrap w:val="0"/>
              <w:overflowPunct/>
              <w:bidi w:val="0"/>
              <w:spacing w:line="240" w:lineRule="auto"/>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油漆挥发性有机物含量及是否属于低挥发物料判定一览表</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1"/>
              <w:gridCol w:w="1005"/>
              <w:gridCol w:w="647"/>
              <w:gridCol w:w="641"/>
              <w:gridCol w:w="851"/>
              <w:gridCol w:w="1073"/>
              <w:gridCol w:w="688"/>
              <w:gridCol w:w="1151"/>
              <w:gridCol w:w="789"/>
              <w:gridCol w:w="650"/>
            </w:tblGrid>
            <w:tr w14:paraId="2DC34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32" w:type="dxa"/>
                  <w:vAlign w:val="center"/>
                </w:tcPr>
                <w:p w14:paraId="7054A3B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1651" w:type="dxa"/>
                  <w:vAlign w:val="center"/>
                </w:tcPr>
                <w:p w14:paraId="1917DFF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油漆名称</w:t>
                  </w:r>
                </w:p>
              </w:tc>
              <w:tc>
                <w:tcPr>
                  <w:tcW w:w="1034" w:type="dxa"/>
                  <w:vAlign w:val="center"/>
                </w:tcPr>
                <w:p w14:paraId="7C0E7CA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用量t/a</w:t>
                  </w:r>
                </w:p>
              </w:tc>
              <w:tc>
                <w:tcPr>
                  <w:tcW w:w="1018" w:type="dxa"/>
                  <w:vAlign w:val="center"/>
                </w:tcPr>
                <w:p w14:paraId="51A09BD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VOCs含量</w:t>
                  </w:r>
                </w:p>
              </w:tc>
              <w:tc>
                <w:tcPr>
                  <w:tcW w:w="1227" w:type="dxa"/>
                  <w:vAlign w:val="center"/>
                </w:tcPr>
                <w:p w14:paraId="5B5B657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VOCs含量来源</w:t>
                  </w:r>
                </w:p>
              </w:tc>
              <w:tc>
                <w:tcPr>
                  <w:tcW w:w="1470" w:type="dxa"/>
                  <w:vAlign w:val="center"/>
                </w:tcPr>
                <w:p w14:paraId="58A6108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GB 30981-2020限值要求</w:t>
                  </w:r>
                </w:p>
              </w:tc>
              <w:tc>
                <w:tcPr>
                  <w:tcW w:w="1146" w:type="dxa"/>
                  <w:vAlign w:val="center"/>
                </w:tcPr>
                <w:p w14:paraId="20946EB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是否符合GB 18581-2020要求</w:t>
                  </w:r>
                </w:p>
              </w:tc>
              <w:tc>
                <w:tcPr>
                  <w:tcW w:w="1684" w:type="dxa"/>
                  <w:vAlign w:val="center"/>
                </w:tcPr>
                <w:p w14:paraId="5CB4EDF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GB/T38597-2020限值要求</w:t>
                  </w:r>
                </w:p>
              </w:tc>
              <w:tc>
                <w:tcPr>
                  <w:tcW w:w="1425" w:type="dxa"/>
                  <w:vAlign w:val="center"/>
                </w:tcPr>
                <w:p w14:paraId="4A1DA2F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是否符合GB/T38597-2020要求</w:t>
                  </w:r>
                </w:p>
              </w:tc>
              <w:tc>
                <w:tcPr>
                  <w:tcW w:w="1040" w:type="dxa"/>
                  <w:vAlign w:val="center"/>
                </w:tcPr>
                <w:p w14:paraId="0F7A2BF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是否属于低挥发性涂料</w:t>
                  </w:r>
                </w:p>
              </w:tc>
            </w:tr>
            <w:tr w14:paraId="72F0C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vAlign w:val="center"/>
                </w:tcPr>
                <w:p w14:paraId="21B2390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651" w:type="dxa"/>
                  <w:vAlign w:val="center"/>
                </w:tcPr>
                <w:p w14:paraId="0FF9227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水性漆（调配后）</w:t>
                  </w:r>
                </w:p>
              </w:tc>
              <w:tc>
                <w:tcPr>
                  <w:tcW w:w="1034" w:type="dxa"/>
                  <w:shd w:val="clear" w:color="auto" w:fill="auto"/>
                  <w:vAlign w:val="center"/>
                </w:tcPr>
                <w:p w14:paraId="45FAB00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11.325</w:t>
                  </w:r>
                </w:p>
              </w:tc>
              <w:tc>
                <w:tcPr>
                  <w:tcW w:w="1018" w:type="dxa"/>
                  <w:vAlign w:val="center"/>
                </w:tcPr>
                <w:p w14:paraId="7D5F949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68g/L</w:t>
                  </w:r>
                </w:p>
              </w:tc>
              <w:tc>
                <w:tcPr>
                  <w:tcW w:w="1227" w:type="dxa"/>
                  <w:vAlign w:val="center"/>
                </w:tcPr>
                <w:p w14:paraId="1D0E801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VOC测试报告（施工状态）</w:t>
                  </w:r>
                </w:p>
              </w:tc>
              <w:tc>
                <w:tcPr>
                  <w:tcW w:w="1470" w:type="dxa"/>
                  <w:vAlign w:val="center"/>
                </w:tcPr>
                <w:p w14:paraId="2470013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水性涂料-型材涂料（其他）：≤300 g/L</w:t>
                  </w:r>
                </w:p>
              </w:tc>
              <w:tc>
                <w:tcPr>
                  <w:tcW w:w="1146" w:type="dxa"/>
                  <w:vAlign w:val="center"/>
                </w:tcPr>
                <w:p w14:paraId="42DBACE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是</w:t>
                  </w:r>
                </w:p>
              </w:tc>
              <w:tc>
                <w:tcPr>
                  <w:tcW w:w="1684" w:type="dxa"/>
                  <w:vAlign w:val="center"/>
                </w:tcPr>
                <w:p w14:paraId="45AAD99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水性涂料-工业防护涂料（型材涂料-其他）：≤250 g/L</w:t>
                  </w:r>
                </w:p>
              </w:tc>
              <w:tc>
                <w:tcPr>
                  <w:tcW w:w="1425" w:type="dxa"/>
                  <w:vAlign w:val="center"/>
                </w:tcPr>
                <w:p w14:paraId="06FC6CD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是</w:t>
                  </w:r>
                </w:p>
              </w:tc>
              <w:tc>
                <w:tcPr>
                  <w:tcW w:w="1040" w:type="dxa"/>
                  <w:vAlign w:val="center"/>
                </w:tcPr>
                <w:p w14:paraId="17407B5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是</w:t>
                  </w:r>
                </w:p>
              </w:tc>
            </w:tr>
            <w:tr w14:paraId="349C4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2" w:type="dxa"/>
                  <w:vAlign w:val="center"/>
                </w:tcPr>
                <w:p w14:paraId="143115F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1651" w:type="dxa"/>
                  <w:vAlign w:val="center"/>
                </w:tcPr>
                <w:p w14:paraId="1913B9D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油性漆（含稀释剂）</w:t>
                  </w:r>
                </w:p>
              </w:tc>
              <w:tc>
                <w:tcPr>
                  <w:tcW w:w="1034" w:type="dxa"/>
                  <w:shd w:val="clear" w:color="auto" w:fill="auto"/>
                  <w:vAlign w:val="center"/>
                </w:tcPr>
                <w:p w14:paraId="39732FD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2.264</w:t>
                  </w:r>
                </w:p>
              </w:tc>
              <w:tc>
                <w:tcPr>
                  <w:tcW w:w="1018" w:type="dxa"/>
                  <w:vAlign w:val="center"/>
                </w:tcPr>
                <w:p w14:paraId="7B86598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358.3g/L</w:t>
                  </w:r>
                </w:p>
              </w:tc>
              <w:tc>
                <w:tcPr>
                  <w:tcW w:w="1227" w:type="dxa"/>
                  <w:vAlign w:val="center"/>
                </w:tcPr>
                <w:p w14:paraId="0CE054B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VOC测试报告+施工状态换算</w:t>
                  </w:r>
                </w:p>
              </w:tc>
              <w:tc>
                <w:tcPr>
                  <w:tcW w:w="1470" w:type="dxa"/>
                  <w:vAlign w:val="center"/>
                </w:tcPr>
                <w:p w14:paraId="240394E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溶剂型涂料-型材涂料（其他-底漆）：≤520 g/L</w:t>
                  </w:r>
                </w:p>
              </w:tc>
              <w:tc>
                <w:tcPr>
                  <w:tcW w:w="1146" w:type="dxa"/>
                  <w:vAlign w:val="center"/>
                </w:tcPr>
                <w:p w14:paraId="7AA3CCD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是</w:t>
                  </w:r>
                </w:p>
              </w:tc>
              <w:tc>
                <w:tcPr>
                  <w:tcW w:w="1684" w:type="dxa"/>
                  <w:vAlign w:val="center"/>
                </w:tcPr>
                <w:p w14:paraId="42F3BCB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溶剂型涂料-工业防护涂料（最小值）：≤420 g/L</w:t>
                  </w:r>
                </w:p>
              </w:tc>
              <w:tc>
                <w:tcPr>
                  <w:tcW w:w="1425" w:type="dxa"/>
                  <w:vAlign w:val="center"/>
                </w:tcPr>
                <w:p w14:paraId="763C91A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是</w:t>
                  </w:r>
                </w:p>
              </w:tc>
              <w:tc>
                <w:tcPr>
                  <w:tcW w:w="1040" w:type="dxa"/>
                  <w:vAlign w:val="center"/>
                </w:tcPr>
                <w:p w14:paraId="4AD1748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是</w:t>
                  </w:r>
                </w:p>
              </w:tc>
            </w:tr>
            <w:tr w14:paraId="575B5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27" w:type="dxa"/>
                  <w:gridSpan w:val="10"/>
                  <w:vAlign w:val="center"/>
                </w:tcPr>
                <w:p w14:paraId="669F36FC">
                  <w:pPr>
                    <w:keepNext w:val="0"/>
                    <w:keepLines w:val="0"/>
                    <w:pageBreakBefore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注：（1）GB 30981-2020为《工业防护涂料中有害物质限量》，GB/T38597-2020为《低挥发性有机化合物含量涂料产品技术要求》；</w:t>
                  </w:r>
                </w:p>
                <w:p w14:paraId="5F284037">
                  <w:pPr>
                    <w:keepNext w:val="0"/>
                    <w:keepLines w:val="0"/>
                    <w:pageBreakBefore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（2）油性漆原液VOC含量226g/L（密度1.02g/cm</w:t>
                  </w:r>
                  <w:r>
                    <w:rPr>
                      <w:rFonts w:hint="default" w:ascii="Times New Roman" w:hAnsi="Times New Roman" w:eastAsia="宋体"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lang w:val="en-US" w:eastAsia="zh-CN"/>
                    </w:rPr>
                    <w:t>），稀释剂VOC含量100%（密度1.02g/cm</w:t>
                  </w:r>
                  <w:r>
                    <w:rPr>
                      <w:rFonts w:hint="default" w:ascii="Times New Roman" w:hAnsi="Times New Roman" w:eastAsia="宋体"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lang w:val="en-US" w:eastAsia="zh-CN"/>
                    </w:rPr>
                    <w:t>），</w:t>
                  </w:r>
                  <w:r>
                    <w:rPr>
                      <w:rFonts w:hint="eastAsia" w:cs="Times New Roman"/>
                      <w:b/>
                      <w:bCs/>
                      <w:color w:val="auto"/>
                      <w:sz w:val="21"/>
                      <w:szCs w:val="21"/>
                      <w:lang w:val="en-US" w:eastAsia="zh-CN"/>
                    </w:rPr>
                    <w:t>油性漆本身已含各种溶剂（稀释剂成分）故本项目需加入的稀释剂比例较低，</w:t>
                  </w:r>
                  <w:r>
                    <w:rPr>
                      <w:rFonts w:hint="default" w:ascii="Times New Roman" w:hAnsi="Times New Roman" w:eastAsia="宋体" w:cs="Times New Roman"/>
                      <w:b/>
                      <w:bCs/>
                      <w:color w:val="auto"/>
                      <w:sz w:val="21"/>
                      <w:szCs w:val="21"/>
                      <w:lang w:val="en-US" w:eastAsia="zh-CN"/>
                    </w:rPr>
                    <w:t>油性漆：稀释剂=1:0.2，则VOC含量计算为358.3g/L；</w:t>
                  </w:r>
                </w:p>
                <w:p w14:paraId="44EC6752">
                  <w:pPr>
                    <w:keepNext w:val="0"/>
                    <w:keepLines w:val="0"/>
                    <w:pageBreakBefore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cs="Times New Roman"/>
                      <w:color w:val="auto"/>
                      <w:sz w:val="18"/>
                      <w:szCs w:val="18"/>
                    </w:rPr>
                  </w:pPr>
                  <w:r>
                    <w:rPr>
                      <w:rFonts w:hint="default" w:ascii="Times New Roman" w:hAnsi="Times New Roman" w:eastAsia="宋体" w:cs="Times New Roman"/>
                      <w:b/>
                      <w:bCs/>
                      <w:color w:val="auto"/>
                      <w:sz w:val="21"/>
                      <w:szCs w:val="21"/>
                      <w:lang w:val="en-US" w:eastAsia="zh-CN"/>
                    </w:rPr>
                    <w:t>（3）本项目油漆均满足《低挥发性有机化合物含量涂料产品技术要求》（GB/T38597-2020），均属于低挥发性物料。</w:t>
                  </w:r>
                </w:p>
              </w:tc>
            </w:tr>
          </w:tbl>
          <w:p w14:paraId="668CD057">
            <w:pPr>
              <w:pStyle w:val="6"/>
              <w:pageBreakBefore w:val="0"/>
              <w:numPr>
                <w:ilvl w:val="4"/>
                <w:numId w:val="0"/>
              </w:numPr>
              <w:wordWrap w:val="0"/>
              <w:overflowPunct/>
              <w:bidi w:val="0"/>
              <w:ind w:firstLine="480" w:firstLineChars="200"/>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w:t>
            </w:r>
            <w:r>
              <w:rPr>
                <w:rFonts w:hint="default" w:ascii="Times New Roman" w:hAnsi="Times New Roman" w:cs="Times New Roman"/>
                <w:b w:val="0"/>
                <w:bCs w:val="0"/>
                <w:color w:val="auto"/>
                <w:highlight w:val="none"/>
                <w:lang w:val="en-US" w:eastAsia="zh-CN"/>
              </w:rPr>
              <w:t>4</w:t>
            </w:r>
            <w:r>
              <w:rPr>
                <w:rFonts w:hint="default" w:ascii="Times New Roman" w:hAnsi="Times New Roman" w:cs="Times New Roman"/>
                <w:b w:val="0"/>
                <w:bCs w:val="0"/>
                <w:color w:val="auto"/>
                <w:highlight w:val="none"/>
              </w:rPr>
              <w:t>）原辅材料理化性质</w:t>
            </w:r>
          </w:p>
          <w:p w14:paraId="67B0140F">
            <w:pPr>
              <w:pStyle w:val="19"/>
              <w:pageBreakBefore w:val="0"/>
              <w:numPr>
                <w:ilvl w:val="0"/>
                <w:numId w:val="6"/>
              </w:numPr>
              <w:wordWrap w:val="0"/>
              <w:overflowPunct/>
              <w:bidi w:val="0"/>
              <w:spacing w:line="240" w:lineRule="auto"/>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原辅材料性质一览表</w:t>
            </w:r>
          </w:p>
          <w:tbl>
            <w:tblPr>
              <w:tblStyle w:val="38"/>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23"/>
              <w:gridCol w:w="1985"/>
              <w:gridCol w:w="5488"/>
            </w:tblGrid>
            <w:tr w14:paraId="23F658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0" w:type="auto"/>
                  <w:vAlign w:val="center"/>
                </w:tcPr>
                <w:p w14:paraId="26CF1C5C">
                  <w:pPr>
                    <w:pStyle w:val="57"/>
                    <w:pageBreakBefore w:val="0"/>
                    <w:wordWrap w:val="0"/>
                    <w:overflowPunct/>
                    <w:bidi w:val="0"/>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名称</w:t>
                  </w:r>
                </w:p>
              </w:tc>
              <w:tc>
                <w:tcPr>
                  <w:tcW w:w="0" w:type="auto"/>
                  <w:vAlign w:val="center"/>
                </w:tcPr>
                <w:p w14:paraId="27A0A00E">
                  <w:pPr>
                    <w:pStyle w:val="57"/>
                    <w:pageBreakBefore w:val="0"/>
                    <w:wordWrap w:val="0"/>
                    <w:overflowPunct/>
                    <w:bidi w:val="0"/>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成分</w:t>
                  </w:r>
                </w:p>
              </w:tc>
              <w:tc>
                <w:tcPr>
                  <w:tcW w:w="0" w:type="auto"/>
                  <w:vAlign w:val="center"/>
                </w:tcPr>
                <w:p w14:paraId="3F06C4D0">
                  <w:pPr>
                    <w:pStyle w:val="57"/>
                    <w:pageBreakBefore w:val="0"/>
                    <w:wordWrap w:val="0"/>
                    <w:overflowPunct/>
                    <w:bidi w:val="0"/>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理化性质/简介</w:t>
                  </w:r>
                </w:p>
              </w:tc>
            </w:tr>
            <w:tr w14:paraId="29D2B5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0" w:type="auto"/>
                  <w:vAlign w:val="center"/>
                </w:tcPr>
                <w:p w14:paraId="21FA025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水性漆</w:t>
                  </w:r>
                </w:p>
              </w:tc>
              <w:tc>
                <w:tcPr>
                  <w:tcW w:w="0" w:type="auto"/>
                  <w:vAlign w:val="center"/>
                </w:tcPr>
                <w:p w14:paraId="73356DD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丙烯酸55</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60%、炭黑3</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4%、二氧化硅0.5</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2%、助剂3</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5%、去离子水29</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38.5%</w:t>
                  </w:r>
                </w:p>
              </w:tc>
              <w:tc>
                <w:tcPr>
                  <w:tcW w:w="0" w:type="auto"/>
                  <w:vAlign w:val="center"/>
                </w:tcPr>
                <w:p w14:paraId="4EE4043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黑色，无刺激性气味，pH8.5~8.7，沸点范围191~462℃，结冰点-15℃，密度1.02g/cm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，可溶于水。此原材料与强氧化性物、强无机酸、碱金属和卤素不兼容。性能稳定</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 xml:space="preserve"> 不会发生有害的分解。这种产品对眼睛不会有很强的刺激性</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 xml:space="preserve"> 不会引起多方面的角膜伤害。这种产品不会刺激皮肤</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 xml:space="preserve"> 不造成皮肤干燥、脱脂或龟裂</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 xml:space="preserve"> 长期反复置身于此产品环境中</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 xml:space="preserve"> 可能会引起皮肤炎。</w:t>
                  </w:r>
                </w:p>
              </w:tc>
            </w:tr>
            <w:tr w14:paraId="40737D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3" w:hRule="atLeast"/>
              </w:trPr>
              <w:tc>
                <w:tcPr>
                  <w:tcW w:w="0" w:type="auto"/>
                  <w:vAlign w:val="center"/>
                </w:tcPr>
                <w:p w14:paraId="276149D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油性油漆</w:t>
                  </w:r>
                </w:p>
              </w:tc>
              <w:tc>
                <w:tcPr>
                  <w:tcW w:w="0" w:type="auto"/>
                  <w:vAlign w:val="center"/>
                </w:tcPr>
                <w:p w14:paraId="602956B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丙烯酸树脂55</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65%、固化剂20</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35%、脂类溶剂（醋酸丁酯）10</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15%</w:t>
                  </w:r>
                </w:p>
              </w:tc>
              <w:tc>
                <w:tcPr>
                  <w:tcW w:w="0" w:type="auto"/>
                  <w:vAlign w:val="center"/>
                </w:tcPr>
                <w:p w14:paraId="2552EE8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无色或浅黄色透明液体，有特征性的气味，沸点小于60℃，密度0.95</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1.02kg/dm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蒸气压2kPa，不溶于水，闪点＜60℃，自燃点大于500℃。高度易燃，经常或者不断的皮肤接触会引起红肿和导致皮炎，挥发气体刺激眼睛、皮肤和呼吸道。吸入溶剂后会导致咳嗽、头痛、眩晕、不适、呕吐和瞌睡。暴露会对神经系统有影响。经常或者不断的皮肤接触会引起红肿和导致皮炎。</w:t>
                  </w:r>
                </w:p>
              </w:tc>
            </w:tr>
            <w:tr w14:paraId="75D061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3" w:hRule="atLeast"/>
              </w:trPr>
              <w:tc>
                <w:tcPr>
                  <w:tcW w:w="0" w:type="auto"/>
                  <w:vAlign w:val="center"/>
                </w:tcPr>
                <w:p w14:paraId="1BB6E19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稀释剂</w:t>
                  </w:r>
                </w:p>
              </w:tc>
              <w:tc>
                <w:tcPr>
                  <w:tcW w:w="0" w:type="auto"/>
                  <w:vAlign w:val="center"/>
                </w:tcPr>
                <w:p w14:paraId="658D9AC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醋酸乙酯50</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65%、醚类溶剂（乙二醇单丁醚）15</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25%、丁醇20</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w:t>
                  </w:r>
                </w:p>
              </w:tc>
              <w:tc>
                <w:tcPr>
                  <w:tcW w:w="0" w:type="auto"/>
                  <w:vAlign w:val="center"/>
                </w:tcPr>
                <w:p w14:paraId="73EE935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无色或浅黄色透明液体，有特征性的气味，沸点小于60℃，密度0.95</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1.02kg/dm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蒸气压2kPa，不溶于水，闪点＜60℃，自燃点大于500℃。高度易燃，经常或者不断的皮肤接触会引起红肿和导致皮炎，挥发气体刺激眼睛、皮肤和呼吸道。吸入溶剂后会导致咳嗽、头痛、眩晕、不适、呕吐和瞌睡。暴露会对神经系统有影响。经常或者不断的皮肤接触会引起红肿和导致皮炎。</w:t>
                  </w:r>
                </w:p>
              </w:tc>
            </w:tr>
          </w:tbl>
          <w:p w14:paraId="2C9F4483">
            <w:pPr>
              <w:pStyle w:val="12"/>
              <w:pageBreakBefore w:val="0"/>
              <w:wordWrap w:val="0"/>
              <w:overflowPunct/>
              <w:bidi w:val="0"/>
              <w:ind w:firstLine="48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（5）</w:t>
            </w:r>
            <w:r>
              <w:rPr>
                <w:rFonts w:hint="default" w:ascii="Times New Roman" w:hAnsi="Times New Roman" w:eastAsia="宋体" w:cs="Times New Roman"/>
                <w:b/>
                <w:bCs/>
                <w:color w:val="auto"/>
                <w:highlight w:val="none"/>
                <w:lang w:val="en-US" w:eastAsia="zh-CN"/>
              </w:rPr>
              <w:t>项目</w:t>
            </w:r>
            <w:r>
              <w:rPr>
                <w:rFonts w:hint="default" w:ascii="Times New Roman" w:hAnsi="Times New Roman" w:cs="Times New Roman"/>
                <w:b/>
                <w:bCs/>
                <w:color w:val="auto"/>
                <w:highlight w:val="none"/>
                <w:lang w:val="en-US" w:eastAsia="zh-CN"/>
              </w:rPr>
              <w:t>VOCs</w:t>
            </w:r>
            <w:r>
              <w:rPr>
                <w:rFonts w:hint="default" w:ascii="Times New Roman" w:hAnsi="Times New Roman" w:eastAsia="宋体" w:cs="Times New Roman"/>
                <w:b/>
                <w:bCs/>
                <w:color w:val="auto"/>
                <w:highlight w:val="none"/>
                <w:lang w:val="en-US" w:eastAsia="zh-CN"/>
              </w:rPr>
              <w:t>平衡</w:t>
            </w:r>
          </w:p>
          <w:p w14:paraId="0D6E3E61">
            <w:pPr>
              <w:pStyle w:val="12"/>
              <w:pageBreakBefore w:val="0"/>
              <w:wordWrap w:val="0"/>
              <w:overflowPunct/>
              <w:bidi w:val="0"/>
              <w:ind w:firstLine="480"/>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根据</w:t>
            </w:r>
            <w:r>
              <w:rPr>
                <w:rFonts w:hint="default" w:ascii="Times New Roman" w:hAnsi="Times New Roman" w:cs="Times New Roman"/>
                <w:b w:val="0"/>
                <w:bCs w:val="0"/>
                <w:color w:val="auto"/>
                <w:highlight w:val="none"/>
                <w:lang w:val="en-US" w:eastAsia="zh-CN"/>
              </w:rPr>
              <w:t>下文核算</w:t>
            </w:r>
            <w:r>
              <w:rPr>
                <w:rFonts w:hint="default" w:ascii="Times New Roman" w:hAnsi="Times New Roman" w:eastAsia="宋体" w:cs="Times New Roman"/>
                <w:b w:val="0"/>
                <w:bCs w:val="0"/>
                <w:color w:val="auto"/>
                <w:highlight w:val="none"/>
                <w:lang w:val="en-US" w:eastAsia="zh-CN"/>
              </w:rPr>
              <w:t>，本项目生产过程</w:t>
            </w:r>
            <w:r>
              <w:rPr>
                <w:rFonts w:hint="default" w:ascii="Times New Roman" w:hAnsi="Times New Roman" w:cs="Times New Roman"/>
                <w:b w:val="0"/>
                <w:bCs w:val="0"/>
                <w:color w:val="auto"/>
                <w:highlight w:val="none"/>
                <w:lang w:val="en-US" w:eastAsia="zh-CN"/>
              </w:rPr>
              <w:t>VOCs</w:t>
            </w:r>
            <w:r>
              <w:rPr>
                <w:rFonts w:hint="default" w:ascii="Times New Roman" w:hAnsi="Times New Roman" w:eastAsia="宋体" w:cs="Times New Roman"/>
                <w:b w:val="0"/>
                <w:bCs w:val="0"/>
                <w:color w:val="auto"/>
                <w:highlight w:val="none"/>
                <w:lang w:val="en-US" w:eastAsia="zh-CN"/>
              </w:rPr>
              <w:t>平衡分析</w:t>
            </w:r>
            <w:r>
              <w:rPr>
                <w:rFonts w:hint="default" w:ascii="Times New Roman" w:hAnsi="Times New Roman" w:cs="Times New Roman"/>
                <w:b w:val="0"/>
                <w:bCs w:val="0"/>
                <w:color w:val="auto"/>
                <w:highlight w:val="none"/>
                <w:lang w:val="en-US" w:eastAsia="zh-CN"/>
              </w:rPr>
              <w:t>如</w:t>
            </w:r>
            <w:r>
              <w:rPr>
                <w:rFonts w:hint="default" w:ascii="Times New Roman" w:hAnsi="Times New Roman" w:eastAsia="宋体" w:cs="Times New Roman"/>
                <w:b w:val="0"/>
                <w:bCs w:val="0"/>
                <w:color w:val="auto"/>
                <w:highlight w:val="none"/>
                <w:lang w:val="en-US" w:eastAsia="zh-CN"/>
              </w:rPr>
              <w:t>下：</w:t>
            </w:r>
          </w:p>
          <w:p w14:paraId="6C439F18">
            <w:pPr>
              <w:pStyle w:val="19"/>
              <w:pageBreakBefore w:val="0"/>
              <w:numPr>
                <w:ilvl w:val="0"/>
                <w:numId w:val="6"/>
              </w:numPr>
              <w:wordWrap w:val="0"/>
              <w:overflowPunct/>
              <w:bidi w:val="0"/>
              <w:spacing w:line="240" w:lineRule="auto"/>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本项目有机废气物料平衡表</w:t>
            </w:r>
          </w:p>
          <w:tbl>
            <w:tblPr>
              <w:tblStyle w:val="37"/>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71"/>
              <w:gridCol w:w="2137"/>
              <w:gridCol w:w="2351"/>
              <w:gridCol w:w="1537"/>
            </w:tblGrid>
            <w:tr w14:paraId="0D200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noWrap w:val="0"/>
                  <w:vAlign w:val="center"/>
                </w:tcPr>
                <w:p w14:paraId="39A963D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注塑废气</w:t>
                  </w:r>
                </w:p>
              </w:tc>
            </w:tr>
            <w:tr w14:paraId="4DF04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9" w:type="pct"/>
                  <w:gridSpan w:val="2"/>
                  <w:noWrap w:val="0"/>
                  <w:vAlign w:val="center"/>
                </w:tcPr>
                <w:p w14:paraId="50DC7C7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输入</w:t>
                  </w:r>
                </w:p>
              </w:tc>
              <w:tc>
                <w:tcPr>
                  <w:tcW w:w="2430" w:type="pct"/>
                  <w:gridSpan w:val="2"/>
                  <w:noWrap w:val="0"/>
                  <w:vAlign w:val="center"/>
                </w:tcPr>
                <w:p w14:paraId="0E383E6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输出</w:t>
                  </w:r>
                </w:p>
              </w:tc>
            </w:tr>
            <w:tr w14:paraId="610E4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3" w:type="pct"/>
                  <w:noWrap w:val="0"/>
                  <w:vAlign w:val="center"/>
                </w:tcPr>
                <w:p w14:paraId="3FDB23E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生产环节</w:t>
                  </w:r>
                </w:p>
              </w:tc>
              <w:tc>
                <w:tcPr>
                  <w:tcW w:w="1336" w:type="pct"/>
                  <w:noWrap w:val="0"/>
                  <w:vAlign w:val="center"/>
                </w:tcPr>
                <w:p w14:paraId="7BDEF04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数量（t/a）</w:t>
                  </w:r>
                </w:p>
              </w:tc>
              <w:tc>
                <w:tcPr>
                  <w:tcW w:w="1470" w:type="pct"/>
                  <w:noWrap w:val="0"/>
                  <w:vAlign w:val="center"/>
                </w:tcPr>
                <w:p w14:paraId="7A83867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w:t>
                  </w:r>
                </w:p>
              </w:tc>
              <w:tc>
                <w:tcPr>
                  <w:tcW w:w="959" w:type="pct"/>
                  <w:noWrap w:val="0"/>
                  <w:vAlign w:val="center"/>
                </w:tcPr>
                <w:p w14:paraId="0E2DCE9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数量（t/a）</w:t>
                  </w:r>
                </w:p>
              </w:tc>
            </w:tr>
            <w:tr w14:paraId="0C672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3" w:type="pct"/>
                  <w:vMerge w:val="restart"/>
                  <w:noWrap w:val="0"/>
                  <w:vAlign w:val="center"/>
                </w:tcPr>
                <w:p w14:paraId="6D90B27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注塑</w:t>
                  </w:r>
                </w:p>
              </w:tc>
              <w:tc>
                <w:tcPr>
                  <w:tcW w:w="1336" w:type="pct"/>
                  <w:vMerge w:val="restart"/>
                  <w:noWrap w:val="0"/>
                  <w:vAlign w:val="center"/>
                </w:tcPr>
                <w:p w14:paraId="2AF011B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5.4</w:t>
                  </w:r>
                </w:p>
              </w:tc>
              <w:tc>
                <w:tcPr>
                  <w:tcW w:w="1470" w:type="pct"/>
                  <w:noWrap w:val="0"/>
                  <w:vAlign w:val="center"/>
                </w:tcPr>
                <w:p w14:paraId="209166D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有组织排放</w:t>
                  </w:r>
                </w:p>
              </w:tc>
              <w:tc>
                <w:tcPr>
                  <w:tcW w:w="959" w:type="pct"/>
                  <w:noWrap w:val="0"/>
                  <w:vAlign w:val="center"/>
                </w:tcPr>
                <w:p w14:paraId="22B038B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0.86</w:t>
                  </w:r>
                </w:p>
              </w:tc>
            </w:tr>
            <w:tr w14:paraId="485B9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3" w:type="pct"/>
                  <w:vMerge w:val="continue"/>
                  <w:noWrap w:val="0"/>
                  <w:vAlign w:val="center"/>
                </w:tcPr>
                <w:p w14:paraId="5CF730C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336" w:type="pct"/>
                  <w:vMerge w:val="continue"/>
                  <w:noWrap w:val="0"/>
                  <w:vAlign w:val="center"/>
                </w:tcPr>
                <w:p w14:paraId="3D6A04C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470" w:type="pct"/>
                  <w:noWrap w:val="0"/>
                  <w:vAlign w:val="center"/>
                </w:tcPr>
                <w:p w14:paraId="3866A25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无组织排放</w:t>
                  </w:r>
                </w:p>
              </w:tc>
              <w:tc>
                <w:tcPr>
                  <w:tcW w:w="959" w:type="pct"/>
                  <w:noWrap w:val="0"/>
                  <w:vAlign w:val="center"/>
                </w:tcPr>
                <w:p w14:paraId="78687C1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1.08</w:t>
                  </w:r>
                </w:p>
              </w:tc>
            </w:tr>
            <w:tr w14:paraId="51C3E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3" w:type="pct"/>
                  <w:vMerge w:val="continue"/>
                  <w:noWrap w:val="0"/>
                  <w:vAlign w:val="center"/>
                </w:tcPr>
                <w:p w14:paraId="2E415EB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336" w:type="pct"/>
                  <w:vMerge w:val="continue"/>
                  <w:noWrap w:val="0"/>
                  <w:vAlign w:val="center"/>
                </w:tcPr>
                <w:p w14:paraId="49E116A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470" w:type="pct"/>
                  <w:noWrap w:val="0"/>
                  <w:vAlign w:val="center"/>
                </w:tcPr>
                <w:p w14:paraId="5B379A2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治理设施去除</w:t>
                  </w:r>
                </w:p>
              </w:tc>
              <w:tc>
                <w:tcPr>
                  <w:tcW w:w="959" w:type="pct"/>
                  <w:noWrap w:val="0"/>
                  <w:vAlign w:val="center"/>
                </w:tcPr>
                <w:p w14:paraId="70B52D2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3.46</w:t>
                  </w:r>
                </w:p>
              </w:tc>
            </w:tr>
            <w:tr w14:paraId="089F3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3" w:type="pct"/>
                  <w:noWrap w:val="0"/>
                  <w:vAlign w:val="center"/>
                </w:tcPr>
                <w:p w14:paraId="519E64C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1336" w:type="pct"/>
                  <w:noWrap w:val="0"/>
                  <w:vAlign w:val="center"/>
                </w:tcPr>
                <w:p w14:paraId="171E047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5.4</w:t>
                  </w:r>
                </w:p>
              </w:tc>
              <w:tc>
                <w:tcPr>
                  <w:tcW w:w="1470" w:type="pct"/>
                  <w:noWrap w:val="0"/>
                  <w:vAlign w:val="center"/>
                </w:tcPr>
                <w:p w14:paraId="7580C82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959" w:type="pct"/>
                  <w:noWrap w:val="0"/>
                  <w:vAlign w:val="center"/>
                </w:tcPr>
                <w:p w14:paraId="10CF023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5.4</w:t>
                  </w:r>
                </w:p>
              </w:tc>
            </w:tr>
            <w:tr w14:paraId="600B3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noWrap w:val="0"/>
                  <w:vAlign w:val="center"/>
                </w:tcPr>
                <w:p w14:paraId="6DAEA8E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喷漆废气</w:t>
                  </w:r>
                </w:p>
              </w:tc>
            </w:tr>
            <w:tr w14:paraId="11CEB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69" w:type="pct"/>
                  <w:gridSpan w:val="2"/>
                  <w:noWrap w:val="0"/>
                  <w:vAlign w:val="center"/>
                </w:tcPr>
                <w:p w14:paraId="46A3457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输入</w:t>
                  </w:r>
                </w:p>
              </w:tc>
              <w:tc>
                <w:tcPr>
                  <w:tcW w:w="2430" w:type="pct"/>
                  <w:gridSpan w:val="2"/>
                  <w:noWrap w:val="0"/>
                  <w:vAlign w:val="center"/>
                </w:tcPr>
                <w:p w14:paraId="2AB682C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输出</w:t>
                  </w:r>
                </w:p>
              </w:tc>
            </w:tr>
            <w:tr w14:paraId="2AF15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3" w:type="pct"/>
                  <w:noWrap w:val="0"/>
                  <w:vAlign w:val="center"/>
                </w:tcPr>
                <w:p w14:paraId="7F9597B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生产环节</w:t>
                  </w:r>
                </w:p>
              </w:tc>
              <w:tc>
                <w:tcPr>
                  <w:tcW w:w="1336" w:type="pct"/>
                  <w:noWrap w:val="0"/>
                  <w:vAlign w:val="center"/>
                </w:tcPr>
                <w:p w14:paraId="757E8F0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数量（t/a）</w:t>
                  </w:r>
                </w:p>
              </w:tc>
              <w:tc>
                <w:tcPr>
                  <w:tcW w:w="1470" w:type="pct"/>
                  <w:noWrap w:val="0"/>
                  <w:vAlign w:val="center"/>
                </w:tcPr>
                <w:p w14:paraId="6056FA2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w:t>
                  </w:r>
                </w:p>
              </w:tc>
              <w:tc>
                <w:tcPr>
                  <w:tcW w:w="959" w:type="pct"/>
                  <w:noWrap w:val="0"/>
                  <w:vAlign w:val="center"/>
                </w:tcPr>
                <w:p w14:paraId="25B6CB6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数量（t/a）</w:t>
                  </w:r>
                </w:p>
              </w:tc>
            </w:tr>
            <w:tr w14:paraId="67B81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3" w:type="pct"/>
                  <w:vMerge w:val="restart"/>
                  <w:noWrap w:val="0"/>
                  <w:vAlign w:val="center"/>
                </w:tcPr>
                <w:p w14:paraId="5C218C0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喷漆</w:t>
                  </w:r>
                </w:p>
              </w:tc>
              <w:tc>
                <w:tcPr>
                  <w:tcW w:w="1336" w:type="pct"/>
                  <w:vMerge w:val="restart"/>
                  <w:noWrap w:val="0"/>
                  <w:vAlign w:val="center"/>
                </w:tcPr>
                <w:p w14:paraId="2A6E9BC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1.556</w:t>
                  </w:r>
                </w:p>
              </w:tc>
              <w:tc>
                <w:tcPr>
                  <w:tcW w:w="1470" w:type="pct"/>
                  <w:noWrap w:val="0"/>
                  <w:vAlign w:val="center"/>
                </w:tcPr>
                <w:p w14:paraId="3EC421C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有组织排放</w:t>
                  </w:r>
                </w:p>
              </w:tc>
              <w:tc>
                <w:tcPr>
                  <w:tcW w:w="1536" w:type="dxa"/>
                  <w:noWrap w:val="0"/>
                  <w:vAlign w:val="center"/>
                </w:tcPr>
                <w:p w14:paraId="3051290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0.280 </w:t>
                  </w:r>
                </w:p>
              </w:tc>
            </w:tr>
            <w:tr w14:paraId="57578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3" w:type="pct"/>
                  <w:vMerge w:val="continue"/>
                  <w:noWrap w:val="0"/>
                  <w:vAlign w:val="center"/>
                </w:tcPr>
                <w:p w14:paraId="326FA1C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336" w:type="pct"/>
                  <w:vMerge w:val="continue"/>
                  <w:noWrap w:val="0"/>
                  <w:vAlign w:val="center"/>
                </w:tcPr>
                <w:p w14:paraId="2A42209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470" w:type="pct"/>
                  <w:noWrap w:val="0"/>
                  <w:vAlign w:val="center"/>
                </w:tcPr>
                <w:p w14:paraId="34CD6DF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无组织排放</w:t>
                  </w:r>
                </w:p>
              </w:tc>
              <w:tc>
                <w:tcPr>
                  <w:tcW w:w="1536" w:type="dxa"/>
                  <w:noWrap w:val="0"/>
                  <w:vAlign w:val="center"/>
                </w:tcPr>
                <w:p w14:paraId="581BE76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0.156 </w:t>
                  </w:r>
                </w:p>
              </w:tc>
            </w:tr>
            <w:tr w14:paraId="08B4B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3" w:type="pct"/>
                  <w:vMerge w:val="continue"/>
                  <w:noWrap w:val="0"/>
                  <w:vAlign w:val="center"/>
                </w:tcPr>
                <w:p w14:paraId="69B40AB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336" w:type="pct"/>
                  <w:vMerge w:val="continue"/>
                  <w:noWrap w:val="0"/>
                  <w:vAlign w:val="center"/>
                </w:tcPr>
                <w:p w14:paraId="0E2D85E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470" w:type="pct"/>
                  <w:noWrap w:val="0"/>
                  <w:vAlign w:val="center"/>
                </w:tcPr>
                <w:p w14:paraId="401AAAA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治理设施去除</w:t>
                  </w:r>
                </w:p>
              </w:tc>
              <w:tc>
                <w:tcPr>
                  <w:tcW w:w="1536" w:type="dxa"/>
                  <w:noWrap w:val="0"/>
                  <w:vAlign w:val="center"/>
                </w:tcPr>
                <w:p w14:paraId="028B6CD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1.120 </w:t>
                  </w:r>
                </w:p>
              </w:tc>
            </w:tr>
            <w:tr w14:paraId="68525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3" w:type="pct"/>
                  <w:noWrap w:val="0"/>
                  <w:vAlign w:val="center"/>
                </w:tcPr>
                <w:p w14:paraId="0C2ECDE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1336" w:type="pct"/>
                  <w:noWrap w:val="0"/>
                  <w:vAlign w:val="center"/>
                </w:tcPr>
                <w:p w14:paraId="0F0BA093">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1.556</w:t>
                  </w:r>
                </w:p>
              </w:tc>
              <w:tc>
                <w:tcPr>
                  <w:tcW w:w="1470" w:type="pct"/>
                  <w:noWrap w:val="0"/>
                  <w:vAlign w:val="center"/>
                </w:tcPr>
                <w:p w14:paraId="4DFDA339">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合计</w:t>
                  </w:r>
                </w:p>
              </w:tc>
              <w:tc>
                <w:tcPr>
                  <w:tcW w:w="1536" w:type="dxa"/>
                  <w:noWrap w:val="0"/>
                  <w:vAlign w:val="center"/>
                </w:tcPr>
                <w:p w14:paraId="561BB61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1.556 </w:t>
                  </w:r>
                </w:p>
              </w:tc>
            </w:tr>
          </w:tbl>
          <w:p w14:paraId="050131C3">
            <w:pPr>
              <w:pStyle w:val="5"/>
              <w:pageBreakBefore w:val="0"/>
              <w:numPr>
                <w:ilvl w:val="3"/>
                <w:numId w:val="0"/>
              </w:numPr>
              <w:wordWrap w:val="0"/>
              <w:overflowPunct/>
              <w:bidi w:val="0"/>
              <w:jc w:val="center"/>
              <w:rPr>
                <w:rFonts w:hint="default" w:ascii="Times New Roman" w:hAnsi="Times New Roman" w:cs="Times New Roman"/>
                <w:b/>
                <w:bCs/>
                <w:color w:val="auto"/>
                <w:sz w:val="24"/>
              </w:rPr>
            </w:pPr>
            <w:r>
              <w:rPr>
                <w:color w:val="auto"/>
              </w:rPr>
              <w:drawing>
                <wp:inline distT="0" distB="0" distL="114300" distR="114300">
                  <wp:extent cx="4765675" cy="4448175"/>
                  <wp:effectExtent l="0" t="0" r="15875" b="9525"/>
                  <wp:docPr id="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
                          <pic:cNvPicPr>
                            <a:picLocks noChangeAspect="1"/>
                          </pic:cNvPicPr>
                        </pic:nvPicPr>
                        <pic:blipFill>
                          <a:blip r:embed="rId22"/>
                          <a:stretch>
                            <a:fillRect/>
                          </a:stretch>
                        </pic:blipFill>
                        <pic:spPr>
                          <a:xfrm>
                            <a:off x="0" y="0"/>
                            <a:ext cx="4765675" cy="4448175"/>
                          </a:xfrm>
                          <a:prstGeom prst="rect">
                            <a:avLst/>
                          </a:prstGeom>
                          <a:noFill/>
                          <a:ln>
                            <a:noFill/>
                          </a:ln>
                        </pic:spPr>
                      </pic:pic>
                    </a:graphicData>
                  </a:graphic>
                </wp:inline>
              </w:drawing>
            </w:r>
          </w:p>
          <w:p w14:paraId="5F9728DF">
            <w:pPr>
              <w:pStyle w:val="19"/>
              <w:pageBreakBefore w:val="0"/>
              <w:numPr>
                <w:ilvl w:val="0"/>
                <w:numId w:val="7"/>
              </w:numPr>
              <w:wordWrap w:val="0"/>
              <w:overflowPunct/>
              <w:bidi w:val="0"/>
              <w:spacing w:line="240" w:lineRule="auto"/>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本项目有机废气物料平衡图（t/a）</w:t>
            </w:r>
          </w:p>
          <w:p w14:paraId="490C0EFE">
            <w:pPr>
              <w:pStyle w:val="5"/>
              <w:pageBreakBefore w:val="0"/>
              <w:numPr>
                <w:ilvl w:val="3"/>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4、</w:t>
            </w:r>
            <w:r>
              <w:rPr>
                <w:rFonts w:hint="default" w:ascii="Times New Roman" w:hAnsi="Times New Roman" w:cs="Times New Roman"/>
                <w:color w:val="auto"/>
                <w:highlight w:val="none"/>
              </w:rPr>
              <w:t>生产设备</w:t>
            </w:r>
          </w:p>
          <w:p w14:paraId="35D51EBE">
            <w:pPr>
              <w:pStyle w:val="12"/>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本项目生产设备见下表。</w:t>
            </w:r>
          </w:p>
          <w:p w14:paraId="523EFD61">
            <w:pPr>
              <w:pStyle w:val="19"/>
              <w:pageBreakBefore w:val="0"/>
              <w:numPr>
                <w:ilvl w:val="0"/>
                <w:numId w:val="6"/>
              </w:numPr>
              <w:wordWrap w:val="0"/>
              <w:overflowPunct/>
              <w:bidi w:val="0"/>
              <w:spacing w:line="240" w:lineRule="auto"/>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 生产设备一览表</w:t>
            </w:r>
          </w:p>
          <w:tbl>
            <w:tblPr>
              <w:tblStyle w:val="37"/>
              <w:tblW w:w="5000"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0" w:type="dxa"/>
                <w:bottom w:w="0" w:type="dxa"/>
                <w:right w:w="0" w:type="dxa"/>
              </w:tblCellMar>
            </w:tblPr>
            <w:tblGrid>
              <w:gridCol w:w="366"/>
              <w:gridCol w:w="571"/>
              <w:gridCol w:w="1453"/>
              <w:gridCol w:w="1314"/>
              <w:gridCol w:w="1256"/>
              <w:gridCol w:w="366"/>
              <w:gridCol w:w="637"/>
              <w:gridCol w:w="504"/>
              <w:gridCol w:w="506"/>
              <w:gridCol w:w="502"/>
              <w:gridCol w:w="304"/>
              <w:gridCol w:w="217"/>
            </w:tblGrid>
            <w:tr w14:paraId="3E2DC32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1" w:type="pct"/>
                  <w:vMerge w:val="restart"/>
                  <w:noWrap/>
                  <w:tcMar>
                    <w:top w:w="15" w:type="dxa"/>
                    <w:left w:w="15" w:type="dxa"/>
                    <w:right w:w="15" w:type="dxa"/>
                  </w:tcMar>
                  <w:vAlign w:val="center"/>
                </w:tcPr>
                <w:p w14:paraId="6883C91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1266" w:type="pct"/>
                  <w:gridSpan w:val="2"/>
                  <w:vMerge w:val="restart"/>
                  <w:noWrap/>
                  <w:tcMar>
                    <w:top w:w="15" w:type="dxa"/>
                    <w:left w:w="15" w:type="dxa"/>
                    <w:right w:w="15" w:type="dxa"/>
                  </w:tcMar>
                  <w:vAlign w:val="center"/>
                </w:tcPr>
                <w:p w14:paraId="1A1BA68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类型</w:t>
                  </w:r>
                </w:p>
              </w:tc>
              <w:tc>
                <w:tcPr>
                  <w:tcW w:w="825" w:type="pct"/>
                  <w:vMerge w:val="restart"/>
                  <w:noWrap/>
                  <w:tcMar>
                    <w:top w:w="15" w:type="dxa"/>
                    <w:left w:w="15" w:type="dxa"/>
                    <w:right w:w="15" w:type="dxa"/>
                  </w:tcMar>
                  <w:vAlign w:val="center"/>
                </w:tcPr>
                <w:p w14:paraId="5FD582E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788" w:type="pct"/>
                  <w:vMerge w:val="restart"/>
                  <w:tcBorders>
                    <w:right w:val="single" w:color="auto" w:sz="4" w:space="0"/>
                  </w:tcBorders>
                  <w:noWrap/>
                  <w:tcMar>
                    <w:top w:w="15" w:type="dxa"/>
                    <w:left w:w="15" w:type="dxa"/>
                    <w:right w:w="15" w:type="dxa"/>
                  </w:tcMar>
                  <w:vAlign w:val="center"/>
                </w:tcPr>
                <w:p w14:paraId="2F9AE43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规格</w:t>
                  </w:r>
                </w:p>
              </w:tc>
              <w:tc>
                <w:tcPr>
                  <w:tcW w:w="221" w:type="pct"/>
                  <w:vMerge w:val="restart"/>
                  <w:tcBorders>
                    <w:right w:val="single" w:color="auto" w:sz="4" w:space="0"/>
                  </w:tcBorders>
                  <w:noWrap/>
                  <w:tcMar>
                    <w:top w:w="15" w:type="dxa"/>
                    <w:left w:w="15" w:type="dxa"/>
                    <w:right w:w="15" w:type="dxa"/>
                  </w:tcMar>
                  <w:vAlign w:val="center"/>
                </w:tcPr>
                <w:p w14:paraId="3D7812C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单位</w:t>
                  </w:r>
                </w:p>
              </w:tc>
              <w:tc>
                <w:tcPr>
                  <w:tcW w:w="1013" w:type="pct"/>
                  <w:gridSpan w:val="3"/>
                  <w:noWrap/>
                  <w:tcMar>
                    <w:top w:w="15" w:type="dxa"/>
                    <w:left w:w="15" w:type="dxa"/>
                    <w:right w:w="15" w:type="dxa"/>
                  </w:tcMar>
                  <w:vAlign w:val="center"/>
                </w:tcPr>
                <w:p w14:paraId="5814619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数量</w:t>
                  </w:r>
                </w:p>
              </w:tc>
              <w:tc>
                <w:tcPr>
                  <w:tcW w:w="308" w:type="pct"/>
                  <w:vMerge w:val="restart"/>
                  <w:tcBorders>
                    <w:left w:val="single" w:color="auto" w:sz="4" w:space="0"/>
                  </w:tcBorders>
                  <w:noWrap/>
                  <w:tcMar>
                    <w:top w:w="15" w:type="dxa"/>
                    <w:left w:w="15" w:type="dxa"/>
                    <w:right w:w="15" w:type="dxa"/>
                  </w:tcMar>
                  <w:vAlign w:val="center"/>
                </w:tcPr>
                <w:p w14:paraId="0F6DDC2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增减量</w:t>
                  </w:r>
                </w:p>
              </w:tc>
              <w:tc>
                <w:tcPr>
                  <w:tcW w:w="353" w:type="pct"/>
                  <w:gridSpan w:val="2"/>
                  <w:vMerge w:val="restart"/>
                  <w:tcBorders>
                    <w:left w:val="single" w:color="auto" w:sz="4" w:space="0"/>
                  </w:tcBorders>
                  <w:noWrap/>
                  <w:tcMar>
                    <w:top w:w="15" w:type="dxa"/>
                    <w:left w:w="15" w:type="dxa"/>
                    <w:right w:w="15" w:type="dxa"/>
                  </w:tcMar>
                  <w:vAlign w:val="center"/>
                </w:tcPr>
                <w:p w14:paraId="50E3FB3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设备位置</w:t>
                  </w:r>
                </w:p>
              </w:tc>
            </w:tr>
            <w:tr w14:paraId="7A9A309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1" w:type="pct"/>
                  <w:vMerge w:val="continue"/>
                  <w:noWrap/>
                  <w:tcMar>
                    <w:top w:w="15" w:type="dxa"/>
                    <w:left w:w="15" w:type="dxa"/>
                    <w:right w:w="15" w:type="dxa"/>
                  </w:tcMar>
                  <w:vAlign w:val="center"/>
                </w:tcPr>
                <w:p w14:paraId="2C598C8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266" w:type="pct"/>
                  <w:gridSpan w:val="2"/>
                  <w:vMerge w:val="continue"/>
                  <w:noWrap/>
                  <w:tcMar>
                    <w:top w:w="15" w:type="dxa"/>
                    <w:left w:w="15" w:type="dxa"/>
                    <w:right w:w="15" w:type="dxa"/>
                  </w:tcMar>
                  <w:vAlign w:val="center"/>
                </w:tcPr>
                <w:p w14:paraId="1CCE938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25" w:type="pct"/>
                  <w:vMerge w:val="continue"/>
                  <w:noWrap/>
                  <w:tcMar>
                    <w:top w:w="15" w:type="dxa"/>
                    <w:left w:w="15" w:type="dxa"/>
                    <w:right w:w="15" w:type="dxa"/>
                  </w:tcMar>
                  <w:vAlign w:val="center"/>
                </w:tcPr>
                <w:p w14:paraId="3133967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788" w:type="pct"/>
                  <w:vMerge w:val="continue"/>
                  <w:tcBorders>
                    <w:right w:val="single" w:color="auto" w:sz="4" w:space="0"/>
                  </w:tcBorders>
                  <w:noWrap/>
                  <w:tcMar>
                    <w:top w:w="15" w:type="dxa"/>
                    <w:left w:w="15" w:type="dxa"/>
                    <w:right w:w="15" w:type="dxa"/>
                  </w:tcMar>
                  <w:vAlign w:val="center"/>
                </w:tcPr>
                <w:p w14:paraId="5A8D1D1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221" w:type="pct"/>
                  <w:vMerge w:val="continue"/>
                  <w:tcBorders>
                    <w:right w:val="single" w:color="auto" w:sz="4" w:space="0"/>
                  </w:tcBorders>
                  <w:noWrap/>
                  <w:tcMar>
                    <w:top w:w="15" w:type="dxa"/>
                    <w:left w:w="15" w:type="dxa"/>
                    <w:right w:w="15" w:type="dxa"/>
                  </w:tcMar>
                  <w:vAlign w:val="center"/>
                </w:tcPr>
                <w:p w14:paraId="554CD38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394" w:type="pct"/>
                  <w:noWrap/>
                  <w:tcMar>
                    <w:top w:w="15" w:type="dxa"/>
                    <w:left w:w="15" w:type="dxa"/>
                    <w:right w:w="15" w:type="dxa"/>
                  </w:tcMar>
                  <w:vAlign w:val="center"/>
                </w:tcPr>
                <w:p w14:paraId="50052E9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扩建前</w:t>
                  </w:r>
                </w:p>
              </w:tc>
              <w:tc>
                <w:tcPr>
                  <w:tcW w:w="309" w:type="pct"/>
                  <w:tcBorders>
                    <w:left w:val="single" w:color="auto" w:sz="4" w:space="0"/>
                    <w:right w:val="single" w:color="auto" w:sz="4" w:space="0"/>
                  </w:tcBorders>
                  <w:noWrap/>
                  <w:tcMar>
                    <w:top w:w="15" w:type="dxa"/>
                    <w:left w:w="15" w:type="dxa"/>
                    <w:right w:w="15" w:type="dxa"/>
                  </w:tcMar>
                  <w:vAlign w:val="center"/>
                </w:tcPr>
                <w:p w14:paraId="5554EC7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w:t>
                  </w:r>
                  <w:r>
                    <w:rPr>
                      <w:rFonts w:hint="eastAsia" w:cs="Times New Roman"/>
                      <w:color w:val="auto"/>
                      <w:sz w:val="21"/>
                      <w:szCs w:val="21"/>
                      <w:highlight w:val="none"/>
                      <w:lang w:val="en-US" w:eastAsia="zh-CN"/>
                    </w:rPr>
                    <w:t>扩建</w:t>
                  </w:r>
                </w:p>
              </w:tc>
              <w:tc>
                <w:tcPr>
                  <w:tcW w:w="308" w:type="pct"/>
                  <w:tcBorders>
                    <w:left w:val="single" w:color="auto" w:sz="4" w:space="0"/>
                  </w:tcBorders>
                  <w:noWrap/>
                  <w:tcMar>
                    <w:top w:w="15" w:type="dxa"/>
                    <w:left w:w="15" w:type="dxa"/>
                    <w:right w:w="15" w:type="dxa"/>
                  </w:tcMar>
                  <w:vAlign w:val="center"/>
                </w:tcPr>
                <w:p w14:paraId="70411B1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全厂</w:t>
                  </w:r>
                </w:p>
              </w:tc>
              <w:tc>
                <w:tcPr>
                  <w:tcW w:w="308" w:type="pct"/>
                  <w:vMerge w:val="continue"/>
                  <w:tcBorders>
                    <w:left w:val="single" w:color="auto" w:sz="4" w:space="0"/>
                  </w:tcBorders>
                  <w:noWrap/>
                  <w:tcMar>
                    <w:top w:w="15" w:type="dxa"/>
                    <w:left w:w="15" w:type="dxa"/>
                    <w:right w:w="15" w:type="dxa"/>
                  </w:tcMar>
                  <w:vAlign w:val="center"/>
                </w:tcPr>
                <w:p w14:paraId="5CF73D2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353" w:type="pct"/>
                  <w:gridSpan w:val="2"/>
                  <w:vMerge w:val="continue"/>
                  <w:tcBorders>
                    <w:left w:val="single" w:color="auto" w:sz="4" w:space="0"/>
                  </w:tcBorders>
                  <w:noWrap/>
                  <w:tcMar>
                    <w:top w:w="15" w:type="dxa"/>
                    <w:left w:w="15" w:type="dxa"/>
                    <w:right w:w="15" w:type="dxa"/>
                  </w:tcMar>
                  <w:vAlign w:val="center"/>
                </w:tcPr>
                <w:p w14:paraId="37F1790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26C59FB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1" w:type="pct"/>
                  <w:noWrap/>
                  <w:tcMar>
                    <w:top w:w="15" w:type="dxa"/>
                    <w:left w:w="15" w:type="dxa"/>
                    <w:right w:w="15" w:type="dxa"/>
                  </w:tcMar>
                  <w:vAlign w:val="center"/>
                </w:tcPr>
                <w:p w14:paraId="7AE07D3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352" w:type="pct"/>
                  <w:vMerge w:val="restart"/>
                  <w:noWrap/>
                  <w:tcMar>
                    <w:top w:w="15" w:type="dxa"/>
                    <w:left w:w="15" w:type="dxa"/>
                    <w:right w:w="15" w:type="dxa"/>
                  </w:tcMar>
                  <w:vAlign w:val="center"/>
                </w:tcPr>
                <w:p w14:paraId="44DAFAF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*原项目</w:t>
                  </w:r>
                </w:p>
              </w:tc>
              <w:tc>
                <w:tcPr>
                  <w:tcW w:w="914" w:type="pct"/>
                  <w:noWrap/>
                  <w:tcMar>
                    <w:top w:w="15" w:type="dxa"/>
                    <w:left w:w="15" w:type="dxa"/>
                    <w:right w:w="15" w:type="dxa"/>
                  </w:tcMar>
                  <w:vAlign w:val="center"/>
                </w:tcPr>
                <w:p w14:paraId="70BDEC3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一期（已建设已验收）</w:t>
                  </w:r>
                </w:p>
              </w:tc>
              <w:tc>
                <w:tcPr>
                  <w:tcW w:w="825" w:type="pct"/>
                  <w:noWrap/>
                  <w:tcMar>
                    <w:top w:w="15" w:type="dxa"/>
                    <w:left w:w="15" w:type="dxa"/>
                    <w:right w:w="15" w:type="dxa"/>
                  </w:tcMar>
                  <w:vAlign w:val="center"/>
                </w:tcPr>
                <w:p w14:paraId="7AADCBA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挤出生产线</w:t>
                  </w:r>
                </w:p>
              </w:tc>
              <w:tc>
                <w:tcPr>
                  <w:tcW w:w="788" w:type="pct"/>
                  <w:noWrap/>
                  <w:tcMar>
                    <w:top w:w="15" w:type="dxa"/>
                    <w:left w:w="15" w:type="dxa"/>
                    <w:right w:w="15" w:type="dxa"/>
                  </w:tcMar>
                  <w:vAlign w:val="center"/>
                </w:tcPr>
                <w:p w14:paraId="47C82ED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1" w:type="pct"/>
                  <w:noWrap/>
                  <w:tcMar>
                    <w:top w:w="15" w:type="dxa"/>
                    <w:left w:w="15" w:type="dxa"/>
                    <w:right w:w="15" w:type="dxa"/>
                  </w:tcMar>
                  <w:vAlign w:val="center"/>
                </w:tcPr>
                <w:p w14:paraId="3C9D851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条</w:t>
                  </w:r>
                </w:p>
              </w:tc>
              <w:tc>
                <w:tcPr>
                  <w:tcW w:w="394" w:type="pct"/>
                  <w:noWrap/>
                  <w:tcMar>
                    <w:top w:w="15" w:type="dxa"/>
                    <w:left w:w="15" w:type="dxa"/>
                    <w:right w:w="15" w:type="dxa"/>
                  </w:tcMar>
                  <w:vAlign w:val="center"/>
                </w:tcPr>
                <w:p w14:paraId="46901A0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309" w:type="pct"/>
                  <w:tcBorders>
                    <w:left w:val="single" w:color="auto" w:sz="4" w:space="0"/>
                    <w:right w:val="single" w:color="auto" w:sz="4" w:space="0"/>
                  </w:tcBorders>
                  <w:noWrap/>
                  <w:tcMar>
                    <w:top w:w="15" w:type="dxa"/>
                    <w:left w:w="15" w:type="dxa"/>
                    <w:right w:w="15" w:type="dxa"/>
                  </w:tcMar>
                  <w:vAlign w:val="center"/>
                </w:tcPr>
                <w:p w14:paraId="5B6E36D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505" w:type="dxa"/>
                  <w:tcBorders>
                    <w:left w:val="single" w:color="auto" w:sz="4" w:space="0"/>
                  </w:tcBorders>
                  <w:noWrap/>
                  <w:tcMar>
                    <w:top w:w="15" w:type="dxa"/>
                    <w:left w:w="15" w:type="dxa"/>
                    <w:right w:w="15" w:type="dxa"/>
                  </w:tcMar>
                  <w:vAlign w:val="center"/>
                </w:tcPr>
                <w:p w14:paraId="4EBD78E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308" w:type="pct"/>
                  <w:tcBorders>
                    <w:left w:val="single" w:color="auto" w:sz="4" w:space="0"/>
                  </w:tcBorders>
                  <w:noWrap/>
                  <w:tcMar>
                    <w:top w:w="15" w:type="dxa"/>
                    <w:left w:w="15" w:type="dxa"/>
                    <w:right w:w="15" w:type="dxa"/>
                  </w:tcMar>
                  <w:vAlign w:val="center"/>
                </w:tcPr>
                <w:p w14:paraId="37B8294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353" w:type="pct"/>
                  <w:gridSpan w:val="2"/>
                  <w:tcBorders>
                    <w:left w:val="single" w:color="auto" w:sz="4" w:space="0"/>
                  </w:tcBorders>
                  <w:noWrap/>
                  <w:tcMar>
                    <w:top w:w="15" w:type="dxa"/>
                    <w:left w:w="15" w:type="dxa"/>
                    <w:right w:w="15" w:type="dxa"/>
                  </w:tcMar>
                  <w:vAlign w:val="center"/>
                </w:tcPr>
                <w:p w14:paraId="32D6B0D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1</w:t>
                  </w:r>
                  <w:r>
                    <w:rPr>
                      <w:rFonts w:hint="default" w:ascii="Times New Roman" w:hAnsi="Times New Roman" w:cs="Times New Roman"/>
                      <w:color w:val="auto"/>
                      <w:sz w:val="21"/>
                      <w:szCs w:val="21"/>
                      <w:lang w:val="en-US" w:eastAsia="zh-CN"/>
                    </w:rPr>
                    <w:t>号厂房</w:t>
                  </w:r>
                </w:p>
              </w:tc>
            </w:tr>
            <w:tr w14:paraId="6B3FAED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1" w:type="pct"/>
                  <w:noWrap/>
                  <w:tcMar>
                    <w:top w:w="15" w:type="dxa"/>
                    <w:left w:w="15" w:type="dxa"/>
                    <w:right w:w="15" w:type="dxa"/>
                  </w:tcMar>
                  <w:vAlign w:val="center"/>
                </w:tcPr>
                <w:p w14:paraId="03ECBE7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352" w:type="pct"/>
                  <w:vMerge w:val="continue"/>
                  <w:noWrap/>
                  <w:tcMar>
                    <w:top w:w="15" w:type="dxa"/>
                    <w:left w:w="15" w:type="dxa"/>
                    <w:right w:w="15" w:type="dxa"/>
                  </w:tcMar>
                  <w:vAlign w:val="center"/>
                </w:tcPr>
                <w:p w14:paraId="5BA2223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14" w:type="pct"/>
                  <w:noWrap/>
                  <w:tcMar>
                    <w:top w:w="15" w:type="dxa"/>
                    <w:left w:w="15" w:type="dxa"/>
                    <w:right w:w="15" w:type="dxa"/>
                  </w:tcMar>
                  <w:vAlign w:val="center"/>
                </w:tcPr>
                <w:p w14:paraId="0F38896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二期（已建设已验收）</w:t>
                  </w:r>
                </w:p>
              </w:tc>
              <w:tc>
                <w:tcPr>
                  <w:tcW w:w="825" w:type="pct"/>
                  <w:noWrap/>
                  <w:tcMar>
                    <w:top w:w="15" w:type="dxa"/>
                    <w:left w:w="15" w:type="dxa"/>
                    <w:right w:w="15" w:type="dxa"/>
                  </w:tcMar>
                  <w:vAlign w:val="center"/>
                </w:tcPr>
                <w:p w14:paraId="26DBCE4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挤出生产线</w:t>
                  </w:r>
                </w:p>
              </w:tc>
              <w:tc>
                <w:tcPr>
                  <w:tcW w:w="788" w:type="pct"/>
                  <w:noWrap/>
                  <w:tcMar>
                    <w:top w:w="15" w:type="dxa"/>
                    <w:left w:w="15" w:type="dxa"/>
                    <w:right w:w="15" w:type="dxa"/>
                  </w:tcMar>
                  <w:vAlign w:val="center"/>
                </w:tcPr>
                <w:p w14:paraId="247EEC4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1" w:type="pct"/>
                  <w:noWrap/>
                  <w:tcMar>
                    <w:top w:w="15" w:type="dxa"/>
                    <w:left w:w="15" w:type="dxa"/>
                    <w:right w:w="15" w:type="dxa"/>
                  </w:tcMar>
                  <w:vAlign w:val="center"/>
                </w:tcPr>
                <w:p w14:paraId="2F7EF34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条</w:t>
                  </w:r>
                </w:p>
              </w:tc>
              <w:tc>
                <w:tcPr>
                  <w:tcW w:w="394" w:type="pct"/>
                  <w:noWrap/>
                  <w:tcMar>
                    <w:top w:w="15" w:type="dxa"/>
                    <w:left w:w="15" w:type="dxa"/>
                    <w:right w:w="15" w:type="dxa"/>
                  </w:tcMar>
                  <w:vAlign w:val="center"/>
                </w:tcPr>
                <w:p w14:paraId="63E02F3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309" w:type="pct"/>
                  <w:tcBorders>
                    <w:left w:val="single" w:color="auto" w:sz="4" w:space="0"/>
                    <w:right w:val="single" w:color="auto" w:sz="4" w:space="0"/>
                  </w:tcBorders>
                  <w:noWrap/>
                  <w:tcMar>
                    <w:top w:w="15" w:type="dxa"/>
                    <w:left w:w="15" w:type="dxa"/>
                    <w:right w:w="15" w:type="dxa"/>
                  </w:tcMar>
                  <w:vAlign w:val="center"/>
                </w:tcPr>
                <w:p w14:paraId="3B9C95F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505" w:type="dxa"/>
                  <w:tcBorders>
                    <w:left w:val="single" w:color="auto" w:sz="4" w:space="0"/>
                  </w:tcBorders>
                  <w:noWrap/>
                  <w:tcMar>
                    <w:top w:w="15" w:type="dxa"/>
                    <w:left w:w="15" w:type="dxa"/>
                    <w:right w:w="15" w:type="dxa"/>
                  </w:tcMar>
                  <w:vAlign w:val="center"/>
                </w:tcPr>
                <w:p w14:paraId="6DCB740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308" w:type="pct"/>
                  <w:tcBorders>
                    <w:left w:val="single" w:color="auto" w:sz="4" w:space="0"/>
                  </w:tcBorders>
                  <w:noWrap/>
                  <w:tcMar>
                    <w:top w:w="15" w:type="dxa"/>
                    <w:left w:w="15" w:type="dxa"/>
                    <w:right w:w="15" w:type="dxa"/>
                  </w:tcMar>
                  <w:vAlign w:val="center"/>
                </w:tcPr>
                <w:p w14:paraId="0A8ED87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353" w:type="pct"/>
                  <w:gridSpan w:val="2"/>
                  <w:tcBorders>
                    <w:left w:val="single" w:color="auto" w:sz="4" w:space="0"/>
                  </w:tcBorders>
                  <w:noWrap/>
                  <w:tcMar>
                    <w:top w:w="15" w:type="dxa"/>
                    <w:left w:w="15" w:type="dxa"/>
                    <w:right w:w="15" w:type="dxa"/>
                  </w:tcMar>
                  <w:vAlign w:val="center"/>
                </w:tcPr>
                <w:p w14:paraId="54446A2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lang w:val="en-US" w:eastAsia="zh-CN"/>
                    </w:rPr>
                    <w:t>3号厂房</w:t>
                  </w:r>
                </w:p>
              </w:tc>
            </w:tr>
            <w:tr w14:paraId="27600C2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83" w:hRule="atLeast"/>
                <w:jc w:val="center"/>
              </w:trPr>
              <w:tc>
                <w:tcPr>
                  <w:tcW w:w="221" w:type="pct"/>
                  <w:noWrap/>
                  <w:tcMar>
                    <w:top w:w="15" w:type="dxa"/>
                    <w:left w:w="15" w:type="dxa"/>
                    <w:right w:w="15" w:type="dxa"/>
                  </w:tcMar>
                  <w:vAlign w:val="center"/>
                </w:tcPr>
                <w:p w14:paraId="179CE88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352" w:type="pct"/>
                  <w:vMerge w:val="continue"/>
                  <w:noWrap/>
                  <w:tcMar>
                    <w:top w:w="15" w:type="dxa"/>
                    <w:left w:w="15" w:type="dxa"/>
                    <w:right w:w="15" w:type="dxa"/>
                  </w:tcMar>
                  <w:vAlign w:val="center"/>
                </w:tcPr>
                <w:p w14:paraId="64F5E57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14" w:type="pct"/>
                  <w:noWrap/>
                  <w:tcMar>
                    <w:top w:w="15" w:type="dxa"/>
                    <w:left w:w="15" w:type="dxa"/>
                    <w:right w:w="15" w:type="dxa"/>
                  </w:tcMar>
                  <w:vAlign w:val="center"/>
                </w:tcPr>
                <w:p w14:paraId="5425EC0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三期（</w:t>
                  </w:r>
                  <w:r>
                    <w:rPr>
                      <w:rFonts w:hint="eastAsia" w:cs="Times New Roman"/>
                      <w:color w:val="auto"/>
                      <w:sz w:val="21"/>
                      <w:szCs w:val="21"/>
                      <w:highlight w:val="none"/>
                      <w:lang w:val="en-US" w:eastAsia="zh-CN"/>
                    </w:rPr>
                    <w:t>不</w:t>
                  </w:r>
                  <w:r>
                    <w:rPr>
                      <w:rFonts w:hint="default" w:ascii="Times New Roman" w:hAnsi="Times New Roman" w:eastAsia="宋体" w:cs="Times New Roman"/>
                      <w:color w:val="auto"/>
                      <w:sz w:val="21"/>
                      <w:szCs w:val="21"/>
                      <w:highlight w:val="none"/>
                      <w:lang w:val="en-US" w:eastAsia="zh-CN"/>
                    </w:rPr>
                    <w:t>建设）</w:t>
                  </w:r>
                </w:p>
              </w:tc>
              <w:tc>
                <w:tcPr>
                  <w:tcW w:w="825" w:type="pct"/>
                  <w:noWrap/>
                  <w:tcMar>
                    <w:top w:w="15" w:type="dxa"/>
                    <w:left w:w="15" w:type="dxa"/>
                    <w:right w:w="15" w:type="dxa"/>
                  </w:tcMar>
                  <w:vAlign w:val="center"/>
                </w:tcPr>
                <w:p w14:paraId="385A7F0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挤出生产线</w:t>
                  </w:r>
                </w:p>
              </w:tc>
              <w:tc>
                <w:tcPr>
                  <w:tcW w:w="788" w:type="pct"/>
                  <w:noWrap/>
                  <w:tcMar>
                    <w:top w:w="15" w:type="dxa"/>
                    <w:left w:w="15" w:type="dxa"/>
                    <w:right w:w="15" w:type="dxa"/>
                  </w:tcMar>
                  <w:vAlign w:val="center"/>
                </w:tcPr>
                <w:p w14:paraId="467BDCD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1" w:type="pct"/>
                  <w:noWrap/>
                  <w:tcMar>
                    <w:top w:w="15" w:type="dxa"/>
                    <w:left w:w="15" w:type="dxa"/>
                    <w:right w:w="15" w:type="dxa"/>
                  </w:tcMar>
                  <w:vAlign w:val="center"/>
                </w:tcPr>
                <w:p w14:paraId="7DCC47D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条</w:t>
                  </w:r>
                </w:p>
              </w:tc>
              <w:tc>
                <w:tcPr>
                  <w:tcW w:w="394" w:type="pct"/>
                  <w:noWrap/>
                  <w:tcMar>
                    <w:top w:w="15" w:type="dxa"/>
                    <w:left w:w="15" w:type="dxa"/>
                    <w:right w:w="15" w:type="dxa"/>
                  </w:tcMar>
                  <w:vAlign w:val="center"/>
                </w:tcPr>
                <w:p w14:paraId="3F67236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309" w:type="pct"/>
                  <w:tcBorders>
                    <w:left w:val="single" w:color="auto" w:sz="4" w:space="0"/>
                    <w:right w:val="single" w:color="auto" w:sz="4" w:space="0"/>
                  </w:tcBorders>
                  <w:noWrap/>
                  <w:tcMar>
                    <w:top w:w="15" w:type="dxa"/>
                    <w:left w:w="15" w:type="dxa"/>
                    <w:right w:w="15" w:type="dxa"/>
                  </w:tcMar>
                  <w:vAlign w:val="center"/>
                </w:tcPr>
                <w:p w14:paraId="276B2F4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505" w:type="dxa"/>
                  <w:tcBorders>
                    <w:left w:val="single" w:color="auto" w:sz="4" w:space="0"/>
                  </w:tcBorders>
                  <w:noWrap/>
                  <w:tcMar>
                    <w:top w:w="15" w:type="dxa"/>
                    <w:left w:w="15" w:type="dxa"/>
                    <w:right w:w="15" w:type="dxa"/>
                  </w:tcMar>
                  <w:vAlign w:val="center"/>
                </w:tcPr>
                <w:p w14:paraId="426846B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308" w:type="pct"/>
                  <w:tcBorders>
                    <w:left w:val="single" w:color="auto" w:sz="4" w:space="0"/>
                  </w:tcBorders>
                  <w:noWrap/>
                  <w:tcMar>
                    <w:top w:w="15" w:type="dxa"/>
                    <w:left w:w="15" w:type="dxa"/>
                    <w:right w:w="15" w:type="dxa"/>
                  </w:tcMar>
                  <w:vAlign w:val="center"/>
                </w:tcPr>
                <w:p w14:paraId="601D5FF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353" w:type="pct"/>
                  <w:gridSpan w:val="2"/>
                  <w:tcBorders>
                    <w:left w:val="single" w:color="auto" w:sz="4" w:space="0"/>
                  </w:tcBorders>
                  <w:noWrap/>
                  <w:tcMar>
                    <w:top w:w="15" w:type="dxa"/>
                    <w:left w:w="15" w:type="dxa"/>
                    <w:right w:w="15" w:type="dxa"/>
                  </w:tcMar>
                  <w:vAlign w:val="center"/>
                </w:tcPr>
                <w:p w14:paraId="152ED2D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lang w:val="en-US" w:eastAsia="zh-CN"/>
                    </w:rPr>
                    <w:t>7、8号厂房</w:t>
                  </w:r>
                </w:p>
              </w:tc>
            </w:tr>
            <w:tr w14:paraId="46CB415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83" w:hRule="atLeast"/>
                <w:jc w:val="center"/>
              </w:trPr>
              <w:tc>
                <w:tcPr>
                  <w:tcW w:w="221" w:type="pct"/>
                  <w:noWrap/>
                  <w:tcMar>
                    <w:top w:w="15" w:type="dxa"/>
                    <w:left w:w="15" w:type="dxa"/>
                    <w:right w:w="15" w:type="dxa"/>
                  </w:tcMar>
                  <w:vAlign w:val="center"/>
                </w:tcPr>
                <w:p w14:paraId="51CB1A8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1266" w:type="pct"/>
                  <w:gridSpan w:val="2"/>
                  <w:vMerge w:val="restart"/>
                  <w:noWrap/>
                  <w:tcMar>
                    <w:top w:w="15" w:type="dxa"/>
                    <w:left w:w="15" w:type="dxa"/>
                    <w:right w:w="15" w:type="dxa"/>
                  </w:tcMar>
                  <w:vAlign w:val="center"/>
                </w:tcPr>
                <w:p w14:paraId="71EE4EC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本次扩建项目</w:t>
                  </w:r>
                </w:p>
              </w:tc>
              <w:tc>
                <w:tcPr>
                  <w:tcW w:w="825" w:type="pct"/>
                  <w:noWrap/>
                  <w:tcMar>
                    <w:top w:w="15" w:type="dxa"/>
                    <w:left w:w="15" w:type="dxa"/>
                    <w:right w:w="15" w:type="dxa"/>
                  </w:tcMar>
                  <w:vAlign w:val="center"/>
                </w:tcPr>
                <w:p w14:paraId="4D0E58B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注塑机</w:t>
                  </w:r>
                </w:p>
              </w:tc>
              <w:tc>
                <w:tcPr>
                  <w:tcW w:w="788" w:type="pct"/>
                  <w:noWrap/>
                  <w:tcMar>
                    <w:top w:w="15" w:type="dxa"/>
                    <w:left w:w="15" w:type="dxa"/>
                    <w:right w:w="15" w:type="dxa"/>
                  </w:tcMar>
                  <w:vAlign w:val="center"/>
                </w:tcPr>
                <w:p w14:paraId="44D3EA4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180T</w:t>
                  </w:r>
                </w:p>
              </w:tc>
              <w:tc>
                <w:tcPr>
                  <w:tcW w:w="221" w:type="pct"/>
                  <w:noWrap/>
                  <w:tcMar>
                    <w:top w:w="15" w:type="dxa"/>
                    <w:left w:w="15" w:type="dxa"/>
                    <w:right w:w="15" w:type="dxa"/>
                  </w:tcMar>
                  <w:vAlign w:val="center"/>
                </w:tcPr>
                <w:p w14:paraId="52171FC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台</w:t>
                  </w:r>
                </w:p>
              </w:tc>
              <w:tc>
                <w:tcPr>
                  <w:tcW w:w="394" w:type="pct"/>
                  <w:noWrap/>
                  <w:tcMar>
                    <w:top w:w="15" w:type="dxa"/>
                    <w:left w:w="15" w:type="dxa"/>
                    <w:right w:w="15" w:type="dxa"/>
                  </w:tcMar>
                  <w:vAlign w:val="center"/>
                </w:tcPr>
                <w:p w14:paraId="26C99CD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309" w:type="pct"/>
                  <w:tcBorders>
                    <w:left w:val="single" w:color="auto" w:sz="4" w:space="0"/>
                    <w:right w:val="single" w:color="auto" w:sz="4" w:space="0"/>
                  </w:tcBorders>
                  <w:noWrap/>
                  <w:tcMar>
                    <w:top w:w="15" w:type="dxa"/>
                    <w:left w:w="15" w:type="dxa"/>
                    <w:right w:w="15" w:type="dxa"/>
                  </w:tcMar>
                  <w:vAlign w:val="center"/>
                </w:tcPr>
                <w:p w14:paraId="6D142D2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w:t>
                  </w:r>
                </w:p>
              </w:tc>
              <w:tc>
                <w:tcPr>
                  <w:tcW w:w="505" w:type="dxa"/>
                  <w:tcBorders>
                    <w:left w:val="single" w:color="auto" w:sz="4" w:space="0"/>
                  </w:tcBorders>
                  <w:noWrap/>
                  <w:tcMar>
                    <w:top w:w="15" w:type="dxa"/>
                    <w:left w:w="15" w:type="dxa"/>
                    <w:right w:w="15" w:type="dxa"/>
                  </w:tcMar>
                  <w:vAlign w:val="center"/>
                </w:tcPr>
                <w:p w14:paraId="4CD140C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w:t>
                  </w:r>
                </w:p>
              </w:tc>
              <w:tc>
                <w:tcPr>
                  <w:tcW w:w="308" w:type="pct"/>
                  <w:tcBorders>
                    <w:left w:val="single" w:color="auto" w:sz="4" w:space="0"/>
                  </w:tcBorders>
                  <w:noWrap/>
                  <w:tcMar>
                    <w:top w:w="15" w:type="dxa"/>
                    <w:left w:w="15" w:type="dxa"/>
                    <w:right w:w="15" w:type="dxa"/>
                  </w:tcMar>
                  <w:vAlign w:val="center"/>
                </w:tcPr>
                <w:p w14:paraId="550E687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w:t>
                  </w:r>
                </w:p>
              </w:tc>
              <w:tc>
                <w:tcPr>
                  <w:tcW w:w="353" w:type="pct"/>
                  <w:gridSpan w:val="2"/>
                  <w:vMerge w:val="restart"/>
                  <w:tcBorders>
                    <w:left w:val="single" w:color="auto" w:sz="4" w:space="0"/>
                  </w:tcBorders>
                  <w:noWrap/>
                  <w:tcMar>
                    <w:top w:w="15" w:type="dxa"/>
                    <w:left w:w="15" w:type="dxa"/>
                    <w:right w:w="15" w:type="dxa"/>
                  </w:tcMar>
                  <w:vAlign w:val="center"/>
                </w:tcPr>
                <w:p w14:paraId="7E22103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lang w:val="en-US" w:eastAsia="zh-CN"/>
                    </w:rPr>
                    <w:t>10号厂房</w:t>
                  </w:r>
                </w:p>
              </w:tc>
            </w:tr>
            <w:tr w14:paraId="2D8DA62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83" w:hRule="atLeast"/>
                <w:jc w:val="center"/>
              </w:trPr>
              <w:tc>
                <w:tcPr>
                  <w:tcW w:w="221" w:type="pct"/>
                  <w:noWrap/>
                  <w:tcMar>
                    <w:top w:w="15" w:type="dxa"/>
                    <w:left w:w="15" w:type="dxa"/>
                    <w:right w:w="15" w:type="dxa"/>
                  </w:tcMar>
                  <w:vAlign w:val="center"/>
                </w:tcPr>
                <w:p w14:paraId="0A6521C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1266" w:type="pct"/>
                  <w:gridSpan w:val="2"/>
                  <w:vMerge w:val="continue"/>
                  <w:noWrap/>
                  <w:tcMar>
                    <w:top w:w="15" w:type="dxa"/>
                    <w:left w:w="15" w:type="dxa"/>
                    <w:right w:w="15" w:type="dxa"/>
                  </w:tcMar>
                  <w:vAlign w:val="center"/>
                </w:tcPr>
                <w:p w14:paraId="710CB03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25" w:type="pct"/>
                  <w:noWrap/>
                  <w:tcMar>
                    <w:top w:w="15" w:type="dxa"/>
                    <w:left w:w="15" w:type="dxa"/>
                    <w:right w:w="15" w:type="dxa"/>
                  </w:tcMar>
                  <w:vAlign w:val="center"/>
                </w:tcPr>
                <w:p w14:paraId="1C3BF5C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搅拌机</w:t>
                  </w:r>
                </w:p>
              </w:tc>
              <w:tc>
                <w:tcPr>
                  <w:tcW w:w="788" w:type="pct"/>
                  <w:noWrap/>
                  <w:tcMar>
                    <w:top w:w="15" w:type="dxa"/>
                    <w:left w:w="15" w:type="dxa"/>
                    <w:right w:w="15" w:type="dxa"/>
                  </w:tcMar>
                  <w:vAlign w:val="center"/>
                </w:tcPr>
                <w:p w14:paraId="69D1B93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1" w:type="pct"/>
                  <w:noWrap/>
                  <w:tcMar>
                    <w:top w:w="15" w:type="dxa"/>
                    <w:left w:w="15" w:type="dxa"/>
                    <w:right w:w="15" w:type="dxa"/>
                  </w:tcMar>
                  <w:vAlign w:val="center"/>
                </w:tcPr>
                <w:p w14:paraId="1899356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台</w:t>
                  </w:r>
                </w:p>
              </w:tc>
              <w:tc>
                <w:tcPr>
                  <w:tcW w:w="394" w:type="pct"/>
                  <w:noWrap/>
                  <w:tcMar>
                    <w:top w:w="15" w:type="dxa"/>
                    <w:left w:w="15" w:type="dxa"/>
                    <w:right w:w="15" w:type="dxa"/>
                  </w:tcMar>
                  <w:vAlign w:val="center"/>
                </w:tcPr>
                <w:p w14:paraId="62B9B0A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309" w:type="pct"/>
                  <w:tcBorders>
                    <w:left w:val="single" w:color="auto" w:sz="4" w:space="0"/>
                    <w:right w:val="single" w:color="auto" w:sz="4" w:space="0"/>
                  </w:tcBorders>
                  <w:noWrap/>
                  <w:tcMar>
                    <w:top w:w="15" w:type="dxa"/>
                    <w:left w:w="15" w:type="dxa"/>
                    <w:right w:w="15" w:type="dxa"/>
                  </w:tcMar>
                  <w:vAlign w:val="center"/>
                </w:tcPr>
                <w:p w14:paraId="4718069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505" w:type="dxa"/>
                  <w:tcBorders>
                    <w:left w:val="single" w:color="auto" w:sz="4" w:space="0"/>
                  </w:tcBorders>
                  <w:noWrap/>
                  <w:tcMar>
                    <w:top w:w="15" w:type="dxa"/>
                    <w:left w:w="15" w:type="dxa"/>
                    <w:right w:w="15" w:type="dxa"/>
                  </w:tcMar>
                  <w:vAlign w:val="center"/>
                </w:tcPr>
                <w:p w14:paraId="105A26D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308" w:type="pct"/>
                  <w:tcBorders>
                    <w:left w:val="single" w:color="auto" w:sz="4" w:space="0"/>
                  </w:tcBorders>
                  <w:noWrap/>
                  <w:tcMar>
                    <w:top w:w="15" w:type="dxa"/>
                    <w:left w:w="15" w:type="dxa"/>
                    <w:right w:w="15" w:type="dxa"/>
                  </w:tcMar>
                  <w:vAlign w:val="center"/>
                </w:tcPr>
                <w:p w14:paraId="2E0AA37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353" w:type="pct"/>
                  <w:gridSpan w:val="2"/>
                  <w:vMerge w:val="continue"/>
                  <w:tcBorders>
                    <w:left w:val="single" w:color="auto" w:sz="4" w:space="0"/>
                  </w:tcBorders>
                  <w:noWrap/>
                  <w:tcMar>
                    <w:top w:w="15" w:type="dxa"/>
                    <w:left w:w="15" w:type="dxa"/>
                    <w:right w:w="15" w:type="dxa"/>
                  </w:tcMar>
                  <w:vAlign w:val="center"/>
                </w:tcPr>
                <w:p w14:paraId="1892E44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6C58800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83" w:hRule="atLeast"/>
                <w:jc w:val="center"/>
              </w:trPr>
              <w:tc>
                <w:tcPr>
                  <w:tcW w:w="221" w:type="pct"/>
                  <w:noWrap/>
                  <w:tcMar>
                    <w:top w:w="15" w:type="dxa"/>
                    <w:left w:w="15" w:type="dxa"/>
                    <w:right w:w="15" w:type="dxa"/>
                  </w:tcMar>
                  <w:vAlign w:val="center"/>
                </w:tcPr>
                <w:p w14:paraId="5E6F018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c>
                <w:tcPr>
                  <w:tcW w:w="1266" w:type="pct"/>
                  <w:gridSpan w:val="2"/>
                  <w:vMerge w:val="continue"/>
                  <w:noWrap/>
                  <w:tcMar>
                    <w:top w:w="15" w:type="dxa"/>
                    <w:left w:w="15" w:type="dxa"/>
                    <w:right w:w="15" w:type="dxa"/>
                  </w:tcMar>
                  <w:vAlign w:val="center"/>
                </w:tcPr>
                <w:p w14:paraId="0E3BB2D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25" w:type="pct"/>
                  <w:noWrap/>
                  <w:tcMar>
                    <w:top w:w="15" w:type="dxa"/>
                    <w:left w:w="15" w:type="dxa"/>
                    <w:right w:w="15" w:type="dxa"/>
                  </w:tcMar>
                  <w:vAlign w:val="center"/>
                </w:tcPr>
                <w:p w14:paraId="7CB026E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碎料机</w:t>
                  </w:r>
                </w:p>
              </w:tc>
              <w:tc>
                <w:tcPr>
                  <w:tcW w:w="788" w:type="pct"/>
                  <w:noWrap/>
                  <w:tcMar>
                    <w:top w:w="15" w:type="dxa"/>
                    <w:left w:w="15" w:type="dxa"/>
                    <w:right w:w="15" w:type="dxa"/>
                  </w:tcMar>
                  <w:vAlign w:val="center"/>
                </w:tcPr>
                <w:p w14:paraId="5C4FB55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1" w:type="pct"/>
                  <w:noWrap/>
                  <w:tcMar>
                    <w:top w:w="15" w:type="dxa"/>
                    <w:left w:w="15" w:type="dxa"/>
                    <w:right w:w="15" w:type="dxa"/>
                  </w:tcMar>
                  <w:vAlign w:val="center"/>
                </w:tcPr>
                <w:p w14:paraId="317B585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台</w:t>
                  </w:r>
                </w:p>
              </w:tc>
              <w:tc>
                <w:tcPr>
                  <w:tcW w:w="394" w:type="pct"/>
                  <w:noWrap/>
                  <w:tcMar>
                    <w:top w:w="15" w:type="dxa"/>
                    <w:left w:w="15" w:type="dxa"/>
                    <w:right w:w="15" w:type="dxa"/>
                  </w:tcMar>
                  <w:vAlign w:val="center"/>
                </w:tcPr>
                <w:p w14:paraId="2E070A0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309" w:type="pct"/>
                  <w:tcBorders>
                    <w:left w:val="single" w:color="auto" w:sz="4" w:space="0"/>
                    <w:right w:val="single" w:color="auto" w:sz="4" w:space="0"/>
                  </w:tcBorders>
                  <w:noWrap/>
                  <w:tcMar>
                    <w:top w:w="15" w:type="dxa"/>
                    <w:left w:w="15" w:type="dxa"/>
                    <w:right w:w="15" w:type="dxa"/>
                  </w:tcMar>
                  <w:vAlign w:val="center"/>
                </w:tcPr>
                <w:p w14:paraId="5231C53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505" w:type="dxa"/>
                  <w:tcBorders>
                    <w:left w:val="single" w:color="auto" w:sz="4" w:space="0"/>
                  </w:tcBorders>
                  <w:noWrap/>
                  <w:tcMar>
                    <w:top w:w="15" w:type="dxa"/>
                    <w:left w:w="15" w:type="dxa"/>
                    <w:right w:w="15" w:type="dxa"/>
                  </w:tcMar>
                  <w:vAlign w:val="center"/>
                </w:tcPr>
                <w:p w14:paraId="18C0DD9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308" w:type="pct"/>
                  <w:tcBorders>
                    <w:left w:val="single" w:color="auto" w:sz="4" w:space="0"/>
                  </w:tcBorders>
                  <w:noWrap/>
                  <w:tcMar>
                    <w:top w:w="15" w:type="dxa"/>
                    <w:left w:w="15" w:type="dxa"/>
                    <w:right w:w="15" w:type="dxa"/>
                  </w:tcMar>
                  <w:vAlign w:val="center"/>
                </w:tcPr>
                <w:p w14:paraId="788A52F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353" w:type="pct"/>
                  <w:gridSpan w:val="2"/>
                  <w:vMerge w:val="continue"/>
                  <w:tcBorders>
                    <w:left w:val="single" w:color="auto" w:sz="4" w:space="0"/>
                  </w:tcBorders>
                  <w:noWrap/>
                  <w:tcMar>
                    <w:top w:w="15" w:type="dxa"/>
                    <w:left w:w="15" w:type="dxa"/>
                    <w:right w:w="15" w:type="dxa"/>
                  </w:tcMar>
                  <w:vAlign w:val="center"/>
                </w:tcPr>
                <w:p w14:paraId="1C24F1A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65B3E94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83" w:hRule="atLeast"/>
                <w:jc w:val="center"/>
              </w:trPr>
              <w:tc>
                <w:tcPr>
                  <w:tcW w:w="221" w:type="pct"/>
                  <w:noWrap/>
                  <w:tcMar>
                    <w:top w:w="15" w:type="dxa"/>
                    <w:left w:w="15" w:type="dxa"/>
                    <w:right w:w="15" w:type="dxa"/>
                  </w:tcMar>
                  <w:vAlign w:val="center"/>
                </w:tcPr>
                <w:p w14:paraId="4BFA66B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p>
              </w:tc>
              <w:tc>
                <w:tcPr>
                  <w:tcW w:w="1266" w:type="pct"/>
                  <w:gridSpan w:val="2"/>
                  <w:vMerge w:val="continue"/>
                  <w:noWrap/>
                  <w:tcMar>
                    <w:top w:w="15" w:type="dxa"/>
                    <w:left w:w="15" w:type="dxa"/>
                    <w:right w:w="15" w:type="dxa"/>
                  </w:tcMar>
                  <w:vAlign w:val="center"/>
                </w:tcPr>
                <w:p w14:paraId="6929BF1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25" w:type="pct"/>
                  <w:noWrap/>
                  <w:tcMar>
                    <w:top w:w="15" w:type="dxa"/>
                    <w:left w:w="15" w:type="dxa"/>
                    <w:right w:w="15" w:type="dxa"/>
                  </w:tcMar>
                  <w:vAlign w:val="center"/>
                </w:tcPr>
                <w:p w14:paraId="61BC531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手动喷漆柜（水性）</w:t>
                  </w:r>
                </w:p>
              </w:tc>
              <w:tc>
                <w:tcPr>
                  <w:tcW w:w="788" w:type="pct"/>
                  <w:noWrap/>
                  <w:tcMar>
                    <w:top w:w="15" w:type="dxa"/>
                    <w:left w:w="15" w:type="dxa"/>
                    <w:right w:w="15" w:type="dxa"/>
                  </w:tcMar>
                  <w:vAlign w:val="center"/>
                </w:tcPr>
                <w:p w14:paraId="5EC0AD4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2500*3200*2400mm</w:t>
                  </w:r>
                </w:p>
              </w:tc>
              <w:tc>
                <w:tcPr>
                  <w:tcW w:w="221" w:type="pct"/>
                  <w:noWrap/>
                  <w:tcMar>
                    <w:top w:w="15" w:type="dxa"/>
                    <w:left w:w="15" w:type="dxa"/>
                    <w:right w:w="15" w:type="dxa"/>
                  </w:tcMar>
                  <w:vAlign w:val="center"/>
                </w:tcPr>
                <w:p w14:paraId="639AF8D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台</w:t>
                  </w:r>
                </w:p>
              </w:tc>
              <w:tc>
                <w:tcPr>
                  <w:tcW w:w="394" w:type="pct"/>
                  <w:noWrap/>
                  <w:tcMar>
                    <w:top w:w="15" w:type="dxa"/>
                    <w:left w:w="15" w:type="dxa"/>
                    <w:right w:w="15" w:type="dxa"/>
                  </w:tcMar>
                  <w:vAlign w:val="center"/>
                </w:tcPr>
                <w:p w14:paraId="541F562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309" w:type="pct"/>
                  <w:tcBorders>
                    <w:left w:val="single" w:color="auto" w:sz="4" w:space="0"/>
                    <w:right w:val="single" w:color="auto" w:sz="4" w:space="0"/>
                  </w:tcBorders>
                  <w:noWrap/>
                  <w:tcMar>
                    <w:top w:w="15" w:type="dxa"/>
                    <w:left w:w="15" w:type="dxa"/>
                    <w:right w:w="15" w:type="dxa"/>
                  </w:tcMar>
                  <w:vAlign w:val="center"/>
                </w:tcPr>
                <w:p w14:paraId="3A7EE94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505" w:type="dxa"/>
                  <w:tcBorders>
                    <w:left w:val="single" w:color="auto" w:sz="4" w:space="0"/>
                  </w:tcBorders>
                  <w:noWrap/>
                  <w:tcMar>
                    <w:top w:w="15" w:type="dxa"/>
                    <w:left w:w="15" w:type="dxa"/>
                    <w:right w:w="15" w:type="dxa"/>
                  </w:tcMar>
                  <w:vAlign w:val="center"/>
                </w:tcPr>
                <w:p w14:paraId="711AAD9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308" w:type="pct"/>
                  <w:tcBorders>
                    <w:left w:val="single" w:color="auto" w:sz="4" w:space="0"/>
                  </w:tcBorders>
                  <w:noWrap/>
                  <w:tcMar>
                    <w:top w:w="15" w:type="dxa"/>
                    <w:left w:w="15" w:type="dxa"/>
                    <w:right w:w="15" w:type="dxa"/>
                  </w:tcMar>
                  <w:vAlign w:val="center"/>
                </w:tcPr>
                <w:p w14:paraId="20D13D2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353" w:type="pct"/>
                  <w:gridSpan w:val="2"/>
                  <w:vMerge w:val="continue"/>
                  <w:tcBorders>
                    <w:left w:val="single" w:color="auto" w:sz="4" w:space="0"/>
                  </w:tcBorders>
                  <w:noWrap/>
                  <w:tcMar>
                    <w:top w:w="15" w:type="dxa"/>
                    <w:left w:w="15" w:type="dxa"/>
                    <w:right w:w="15" w:type="dxa"/>
                  </w:tcMar>
                  <w:vAlign w:val="center"/>
                </w:tcPr>
                <w:p w14:paraId="0819D90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3C9204E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1" w:type="pct"/>
                  <w:noWrap/>
                  <w:tcMar>
                    <w:top w:w="15" w:type="dxa"/>
                    <w:left w:w="15" w:type="dxa"/>
                    <w:right w:w="15" w:type="dxa"/>
                  </w:tcMar>
                  <w:vAlign w:val="center"/>
                </w:tcPr>
                <w:p w14:paraId="4D6E4EA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w:t>
                  </w:r>
                </w:p>
              </w:tc>
              <w:tc>
                <w:tcPr>
                  <w:tcW w:w="1266" w:type="pct"/>
                  <w:gridSpan w:val="2"/>
                  <w:vMerge w:val="continue"/>
                  <w:noWrap/>
                  <w:tcMar>
                    <w:top w:w="15" w:type="dxa"/>
                    <w:left w:w="15" w:type="dxa"/>
                    <w:right w:w="15" w:type="dxa"/>
                  </w:tcMar>
                  <w:vAlign w:val="center"/>
                </w:tcPr>
                <w:p w14:paraId="18D053A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25" w:type="pct"/>
                  <w:noWrap/>
                  <w:tcMar>
                    <w:top w:w="15" w:type="dxa"/>
                    <w:left w:w="15" w:type="dxa"/>
                    <w:right w:w="15" w:type="dxa"/>
                  </w:tcMar>
                  <w:vAlign w:val="center"/>
                </w:tcPr>
                <w:p w14:paraId="68AF924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手动喷漆柜（油性）</w:t>
                  </w:r>
                </w:p>
              </w:tc>
              <w:tc>
                <w:tcPr>
                  <w:tcW w:w="788" w:type="pct"/>
                  <w:noWrap/>
                  <w:tcMar>
                    <w:top w:w="15" w:type="dxa"/>
                    <w:left w:w="15" w:type="dxa"/>
                    <w:right w:w="15" w:type="dxa"/>
                  </w:tcMar>
                  <w:vAlign w:val="center"/>
                </w:tcPr>
                <w:p w14:paraId="76BE28F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3000*3200*2400mm</w:t>
                  </w:r>
                </w:p>
              </w:tc>
              <w:tc>
                <w:tcPr>
                  <w:tcW w:w="221" w:type="pct"/>
                  <w:noWrap/>
                  <w:tcMar>
                    <w:top w:w="15" w:type="dxa"/>
                    <w:left w:w="15" w:type="dxa"/>
                    <w:right w:w="15" w:type="dxa"/>
                  </w:tcMar>
                  <w:vAlign w:val="center"/>
                </w:tcPr>
                <w:p w14:paraId="12E088E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台</w:t>
                  </w:r>
                </w:p>
              </w:tc>
              <w:tc>
                <w:tcPr>
                  <w:tcW w:w="394" w:type="pct"/>
                  <w:noWrap/>
                  <w:tcMar>
                    <w:top w:w="15" w:type="dxa"/>
                    <w:left w:w="15" w:type="dxa"/>
                    <w:right w:w="15" w:type="dxa"/>
                  </w:tcMar>
                  <w:vAlign w:val="center"/>
                </w:tcPr>
                <w:p w14:paraId="4627C79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309" w:type="pct"/>
                  <w:tcBorders>
                    <w:left w:val="single" w:color="auto" w:sz="4" w:space="0"/>
                    <w:right w:val="single" w:color="auto" w:sz="4" w:space="0"/>
                  </w:tcBorders>
                  <w:noWrap/>
                  <w:tcMar>
                    <w:top w:w="15" w:type="dxa"/>
                    <w:left w:w="15" w:type="dxa"/>
                    <w:right w:w="15" w:type="dxa"/>
                  </w:tcMar>
                  <w:vAlign w:val="center"/>
                </w:tcPr>
                <w:p w14:paraId="5CB84F2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505" w:type="dxa"/>
                  <w:tcBorders>
                    <w:left w:val="single" w:color="auto" w:sz="4" w:space="0"/>
                  </w:tcBorders>
                  <w:noWrap/>
                  <w:tcMar>
                    <w:top w:w="15" w:type="dxa"/>
                    <w:left w:w="15" w:type="dxa"/>
                    <w:right w:w="15" w:type="dxa"/>
                  </w:tcMar>
                  <w:vAlign w:val="center"/>
                </w:tcPr>
                <w:p w14:paraId="23E06D9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308" w:type="pct"/>
                  <w:tcBorders>
                    <w:left w:val="single" w:color="auto" w:sz="4" w:space="0"/>
                  </w:tcBorders>
                  <w:noWrap/>
                  <w:tcMar>
                    <w:top w:w="15" w:type="dxa"/>
                    <w:left w:w="15" w:type="dxa"/>
                    <w:right w:w="15" w:type="dxa"/>
                  </w:tcMar>
                  <w:vAlign w:val="center"/>
                </w:tcPr>
                <w:p w14:paraId="3C3F989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353" w:type="pct"/>
                  <w:gridSpan w:val="2"/>
                  <w:vMerge w:val="continue"/>
                  <w:tcBorders>
                    <w:left w:val="single" w:color="auto" w:sz="4" w:space="0"/>
                  </w:tcBorders>
                  <w:noWrap/>
                  <w:tcMar>
                    <w:top w:w="15" w:type="dxa"/>
                    <w:left w:w="15" w:type="dxa"/>
                    <w:right w:w="15" w:type="dxa"/>
                  </w:tcMar>
                  <w:vAlign w:val="center"/>
                </w:tcPr>
                <w:p w14:paraId="4274DD7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5D7A79A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1" w:type="pct"/>
                  <w:noWrap/>
                  <w:tcMar>
                    <w:top w:w="15" w:type="dxa"/>
                    <w:left w:w="15" w:type="dxa"/>
                    <w:right w:w="15" w:type="dxa"/>
                  </w:tcMar>
                  <w:vAlign w:val="center"/>
                </w:tcPr>
                <w:p w14:paraId="594FCCC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266" w:type="pct"/>
                  <w:gridSpan w:val="2"/>
                  <w:vMerge w:val="continue"/>
                  <w:noWrap/>
                  <w:tcMar>
                    <w:top w:w="15" w:type="dxa"/>
                    <w:left w:w="15" w:type="dxa"/>
                    <w:right w:w="15" w:type="dxa"/>
                  </w:tcMar>
                  <w:vAlign w:val="center"/>
                </w:tcPr>
                <w:p w14:paraId="588F00C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25" w:type="pct"/>
                  <w:noWrap/>
                  <w:tcMar>
                    <w:top w:w="15" w:type="dxa"/>
                    <w:left w:w="15" w:type="dxa"/>
                    <w:right w:w="15" w:type="dxa"/>
                  </w:tcMar>
                  <w:vAlign w:val="center"/>
                </w:tcPr>
                <w:p w14:paraId="1E9FE27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电烤箱</w:t>
                  </w:r>
                </w:p>
              </w:tc>
              <w:tc>
                <w:tcPr>
                  <w:tcW w:w="788" w:type="pct"/>
                  <w:noWrap/>
                  <w:tcMar>
                    <w:top w:w="15" w:type="dxa"/>
                    <w:left w:w="15" w:type="dxa"/>
                    <w:right w:w="15" w:type="dxa"/>
                  </w:tcMar>
                  <w:vAlign w:val="center"/>
                </w:tcPr>
                <w:p w14:paraId="7376F3C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1" w:type="pct"/>
                  <w:noWrap/>
                  <w:tcMar>
                    <w:top w:w="15" w:type="dxa"/>
                    <w:left w:w="15" w:type="dxa"/>
                    <w:right w:w="15" w:type="dxa"/>
                  </w:tcMar>
                  <w:vAlign w:val="center"/>
                </w:tcPr>
                <w:p w14:paraId="2F9B4D9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台</w:t>
                  </w:r>
                </w:p>
              </w:tc>
              <w:tc>
                <w:tcPr>
                  <w:tcW w:w="394" w:type="pct"/>
                  <w:noWrap/>
                  <w:tcMar>
                    <w:top w:w="15" w:type="dxa"/>
                    <w:left w:w="15" w:type="dxa"/>
                    <w:right w:w="15" w:type="dxa"/>
                  </w:tcMar>
                  <w:vAlign w:val="center"/>
                </w:tcPr>
                <w:p w14:paraId="172C199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309" w:type="pct"/>
                  <w:tcBorders>
                    <w:left w:val="single" w:color="auto" w:sz="4" w:space="0"/>
                    <w:right w:val="single" w:color="auto" w:sz="4" w:space="0"/>
                  </w:tcBorders>
                  <w:noWrap/>
                  <w:tcMar>
                    <w:top w:w="15" w:type="dxa"/>
                    <w:left w:w="15" w:type="dxa"/>
                    <w:right w:w="15" w:type="dxa"/>
                  </w:tcMar>
                  <w:vAlign w:val="center"/>
                </w:tcPr>
                <w:p w14:paraId="44CBFDC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505" w:type="dxa"/>
                  <w:tcBorders>
                    <w:left w:val="single" w:color="auto" w:sz="4" w:space="0"/>
                  </w:tcBorders>
                  <w:noWrap/>
                  <w:tcMar>
                    <w:top w:w="15" w:type="dxa"/>
                    <w:left w:w="15" w:type="dxa"/>
                    <w:right w:w="15" w:type="dxa"/>
                  </w:tcMar>
                  <w:vAlign w:val="center"/>
                </w:tcPr>
                <w:p w14:paraId="18079342">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308" w:type="pct"/>
                  <w:tcBorders>
                    <w:left w:val="single" w:color="auto" w:sz="4" w:space="0"/>
                  </w:tcBorders>
                  <w:noWrap/>
                  <w:tcMar>
                    <w:top w:w="15" w:type="dxa"/>
                    <w:left w:w="15" w:type="dxa"/>
                    <w:right w:w="15" w:type="dxa"/>
                  </w:tcMar>
                  <w:vAlign w:val="center"/>
                </w:tcPr>
                <w:p w14:paraId="436C2DC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2</w:t>
                  </w:r>
                </w:p>
              </w:tc>
              <w:tc>
                <w:tcPr>
                  <w:tcW w:w="353" w:type="pct"/>
                  <w:gridSpan w:val="2"/>
                  <w:vMerge w:val="continue"/>
                  <w:tcBorders>
                    <w:left w:val="single" w:color="auto" w:sz="4" w:space="0"/>
                  </w:tcBorders>
                  <w:noWrap/>
                  <w:tcMar>
                    <w:top w:w="15" w:type="dxa"/>
                    <w:left w:w="15" w:type="dxa"/>
                    <w:right w:w="15" w:type="dxa"/>
                  </w:tcMar>
                  <w:vAlign w:val="center"/>
                </w:tcPr>
                <w:p w14:paraId="725BD8A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5422914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1" w:type="pct"/>
                  <w:noWrap/>
                  <w:tcMar>
                    <w:top w:w="15" w:type="dxa"/>
                    <w:left w:w="15" w:type="dxa"/>
                    <w:right w:w="15" w:type="dxa"/>
                  </w:tcMar>
                  <w:vAlign w:val="center"/>
                </w:tcPr>
                <w:p w14:paraId="1DC6AA2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w:t>
                  </w:r>
                </w:p>
              </w:tc>
              <w:tc>
                <w:tcPr>
                  <w:tcW w:w="1266" w:type="pct"/>
                  <w:gridSpan w:val="2"/>
                  <w:vMerge w:val="continue"/>
                  <w:noWrap/>
                  <w:tcMar>
                    <w:top w:w="15" w:type="dxa"/>
                    <w:left w:w="15" w:type="dxa"/>
                    <w:right w:w="15" w:type="dxa"/>
                  </w:tcMar>
                  <w:vAlign w:val="center"/>
                </w:tcPr>
                <w:p w14:paraId="6DCF049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25" w:type="pct"/>
                  <w:noWrap/>
                  <w:tcMar>
                    <w:top w:w="15" w:type="dxa"/>
                    <w:left w:w="15" w:type="dxa"/>
                    <w:right w:w="15" w:type="dxa"/>
                  </w:tcMar>
                  <w:vAlign w:val="center"/>
                </w:tcPr>
                <w:p w14:paraId="1974300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空压机</w:t>
                  </w:r>
                </w:p>
              </w:tc>
              <w:tc>
                <w:tcPr>
                  <w:tcW w:w="788" w:type="pct"/>
                  <w:noWrap/>
                  <w:tcMar>
                    <w:top w:w="15" w:type="dxa"/>
                    <w:left w:w="15" w:type="dxa"/>
                    <w:right w:w="15" w:type="dxa"/>
                  </w:tcMar>
                  <w:vAlign w:val="center"/>
                </w:tcPr>
                <w:p w14:paraId="11BB707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1" w:type="pct"/>
                  <w:noWrap/>
                  <w:tcMar>
                    <w:top w:w="15" w:type="dxa"/>
                    <w:left w:w="15" w:type="dxa"/>
                    <w:right w:w="15" w:type="dxa"/>
                  </w:tcMar>
                  <w:vAlign w:val="center"/>
                </w:tcPr>
                <w:p w14:paraId="54B22AC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台</w:t>
                  </w:r>
                </w:p>
              </w:tc>
              <w:tc>
                <w:tcPr>
                  <w:tcW w:w="394" w:type="pct"/>
                  <w:noWrap/>
                  <w:tcMar>
                    <w:top w:w="15" w:type="dxa"/>
                    <w:left w:w="15" w:type="dxa"/>
                    <w:right w:w="15" w:type="dxa"/>
                  </w:tcMar>
                  <w:vAlign w:val="center"/>
                </w:tcPr>
                <w:p w14:paraId="20ACEF9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309" w:type="pct"/>
                  <w:tcBorders>
                    <w:left w:val="single" w:color="auto" w:sz="4" w:space="0"/>
                    <w:right w:val="single" w:color="auto" w:sz="4" w:space="0"/>
                  </w:tcBorders>
                  <w:noWrap/>
                  <w:tcMar>
                    <w:top w:w="15" w:type="dxa"/>
                    <w:left w:w="15" w:type="dxa"/>
                    <w:right w:w="15" w:type="dxa"/>
                  </w:tcMar>
                  <w:vAlign w:val="center"/>
                </w:tcPr>
                <w:p w14:paraId="31ECBAA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505" w:type="dxa"/>
                  <w:tcBorders>
                    <w:left w:val="single" w:color="auto" w:sz="4" w:space="0"/>
                  </w:tcBorders>
                  <w:noWrap/>
                  <w:tcMar>
                    <w:top w:w="15" w:type="dxa"/>
                    <w:left w:w="15" w:type="dxa"/>
                    <w:right w:w="15" w:type="dxa"/>
                  </w:tcMar>
                  <w:vAlign w:val="center"/>
                </w:tcPr>
                <w:p w14:paraId="4AEAC81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308" w:type="pct"/>
                  <w:tcBorders>
                    <w:left w:val="single" w:color="auto" w:sz="4" w:space="0"/>
                  </w:tcBorders>
                  <w:noWrap/>
                  <w:tcMar>
                    <w:top w:w="15" w:type="dxa"/>
                    <w:left w:w="15" w:type="dxa"/>
                    <w:right w:w="15" w:type="dxa"/>
                  </w:tcMar>
                  <w:vAlign w:val="center"/>
                </w:tcPr>
                <w:p w14:paraId="6EA0580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353" w:type="pct"/>
                  <w:gridSpan w:val="2"/>
                  <w:vMerge w:val="continue"/>
                  <w:tcBorders>
                    <w:left w:val="single" w:color="auto" w:sz="4" w:space="0"/>
                  </w:tcBorders>
                  <w:noWrap/>
                  <w:tcMar>
                    <w:top w:w="15" w:type="dxa"/>
                    <w:left w:w="15" w:type="dxa"/>
                    <w:right w:w="15" w:type="dxa"/>
                  </w:tcMar>
                  <w:vAlign w:val="center"/>
                </w:tcPr>
                <w:p w14:paraId="1244694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41EC154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1" w:type="pct"/>
                  <w:noWrap/>
                  <w:tcMar>
                    <w:top w:w="15" w:type="dxa"/>
                    <w:left w:w="15" w:type="dxa"/>
                    <w:right w:w="15" w:type="dxa"/>
                  </w:tcMar>
                  <w:vAlign w:val="center"/>
                </w:tcPr>
                <w:p w14:paraId="5E7BFE8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1266" w:type="pct"/>
                  <w:gridSpan w:val="2"/>
                  <w:vMerge w:val="continue"/>
                  <w:noWrap/>
                  <w:tcMar>
                    <w:top w:w="15" w:type="dxa"/>
                    <w:left w:w="15" w:type="dxa"/>
                    <w:right w:w="15" w:type="dxa"/>
                  </w:tcMar>
                  <w:vAlign w:val="center"/>
                </w:tcPr>
                <w:p w14:paraId="6B7F0CC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25" w:type="pct"/>
                  <w:noWrap/>
                  <w:tcMar>
                    <w:top w:w="15" w:type="dxa"/>
                    <w:left w:w="15" w:type="dxa"/>
                    <w:right w:w="15" w:type="dxa"/>
                  </w:tcMar>
                  <w:vAlign w:val="center"/>
                </w:tcPr>
                <w:p w14:paraId="41367C5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冷却塔</w:t>
                  </w:r>
                </w:p>
              </w:tc>
              <w:tc>
                <w:tcPr>
                  <w:tcW w:w="788" w:type="pct"/>
                  <w:noWrap/>
                  <w:tcMar>
                    <w:top w:w="15" w:type="dxa"/>
                    <w:left w:w="15" w:type="dxa"/>
                    <w:right w:w="15" w:type="dxa"/>
                  </w:tcMar>
                  <w:vAlign w:val="center"/>
                </w:tcPr>
                <w:p w14:paraId="424EF08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p>
              </w:tc>
              <w:tc>
                <w:tcPr>
                  <w:tcW w:w="221" w:type="pct"/>
                  <w:noWrap/>
                  <w:tcMar>
                    <w:top w:w="15" w:type="dxa"/>
                    <w:left w:w="15" w:type="dxa"/>
                    <w:right w:w="15" w:type="dxa"/>
                  </w:tcMar>
                  <w:vAlign w:val="center"/>
                </w:tcPr>
                <w:p w14:paraId="1772212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台</w:t>
                  </w:r>
                </w:p>
              </w:tc>
              <w:tc>
                <w:tcPr>
                  <w:tcW w:w="394" w:type="pct"/>
                  <w:noWrap/>
                  <w:tcMar>
                    <w:top w:w="15" w:type="dxa"/>
                    <w:left w:w="15" w:type="dxa"/>
                    <w:right w:w="15" w:type="dxa"/>
                  </w:tcMar>
                  <w:vAlign w:val="center"/>
                </w:tcPr>
                <w:p w14:paraId="2585B4C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309" w:type="pct"/>
                  <w:tcBorders>
                    <w:left w:val="single" w:color="auto" w:sz="4" w:space="0"/>
                    <w:right w:val="single" w:color="auto" w:sz="4" w:space="0"/>
                  </w:tcBorders>
                  <w:noWrap/>
                  <w:tcMar>
                    <w:top w:w="15" w:type="dxa"/>
                    <w:left w:w="15" w:type="dxa"/>
                    <w:right w:w="15" w:type="dxa"/>
                  </w:tcMar>
                  <w:vAlign w:val="center"/>
                </w:tcPr>
                <w:p w14:paraId="2BAD758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505" w:type="dxa"/>
                  <w:tcBorders>
                    <w:left w:val="single" w:color="auto" w:sz="4" w:space="0"/>
                  </w:tcBorders>
                  <w:noWrap/>
                  <w:tcMar>
                    <w:top w:w="15" w:type="dxa"/>
                    <w:left w:w="15" w:type="dxa"/>
                    <w:right w:w="15" w:type="dxa"/>
                  </w:tcMar>
                  <w:vAlign w:val="center"/>
                </w:tcPr>
                <w:p w14:paraId="036272DA">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308" w:type="pct"/>
                  <w:tcBorders>
                    <w:left w:val="single" w:color="auto" w:sz="4" w:space="0"/>
                  </w:tcBorders>
                  <w:noWrap/>
                  <w:tcMar>
                    <w:top w:w="15" w:type="dxa"/>
                    <w:left w:w="15" w:type="dxa"/>
                    <w:right w:w="15" w:type="dxa"/>
                  </w:tcMar>
                  <w:vAlign w:val="center"/>
                </w:tcPr>
                <w:p w14:paraId="242A741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4</w:t>
                  </w:r>
                </w:p>
              </w:tc>
              <w:tc>
                <w:tcPr>
                  <w:tcW w:w="353" w:type="pct"/>
                  <w:gridSpan w:val="2"/>
                  <w:vMerge w:val="continue"/>
                  <w:tcBorders>
                    <w:left w:val="single" w:color="auto" w:sz="4" w:space="0"/>
                  </w:tcBorders>
                  <w:noWrap/>
                  <w:tcMar>
                    <w:top w:w="15" w:type="dxa"/>
                    <w:left w:w="15" w:type="dxa"/>
                    <w:right w:w="15" w:type="dxa"/>
                  </w:tcMar>
                  <w:vAlign w:val="center"/>
                </w:tcPr>
                <w:p w14:paraId="4AAD238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7FAD978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827" w:type="pct"/>
                  <w:gridSpan w:val="11"/>
                  <w:noWrap/>
                  <w:tcMar>
                    <w:top w:w="15" w:type="dxa"/>
                    <w:left w:w="15" w:type="dxa"/>
                    <w:right w:w="15" w:type="dxa"/>
                  </w:tcMar>
                  <w:vAlign w:val="center"/>
                </w:tcPr>
                <w:p w14:paraId="6431EFF9">
                  <w:pPr>
                    <w:keepNext w:val="0"/>
                    <w:keepLines w:val="0"/>
                    <w:pageBreakBefore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*原项目挤出生产线包括挤出机、搅拌机、破碎机、输送系统、切粒机、烘粒机等，为配套设备。</w:t>
                  </w:r>
                </w:p>
                <w:p w14:paraId="5320C661">
                  <w:pPr>
                    <w:keepNext w:val="0"/>
                    <w:keepLines w:val="0"/>
                    <w:pageBreakBefore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注：水性喷漆柜配备2把喷枪，油性配备1把；1把喷枪流量设计最大为40ml/min，3把合计120 ml/min，喷漆工序年工作2400h，合计可喷漆量约17m</w:t>
                  </w:r>
                  <w:r>
                    <w:rPr>
                      <w:rFonts w:hint="default" w:ascii="Times New Roman" w:hAnsi="Times New Roman" w:eastAsia="宋体"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lang w:val="en-US" w:eastAsia="zh-CN"/>
                    </w:rPr>
                    <w:t>，本项目使用油漆合计</w:t>
                  </w:r>
                  <w:r>
                    <w:rPr>
                      <w:rFonts w:hint="eastAsia" w:cs="Times New Roman"/>
                      <w:b/>
                      <w:bCs/>
                      <w:color w:val="auto"/>
                      <w:sz w:val="21"/>
                      <w:szCs w:val="21"/>
                      <w:lang w:val="en-US" w:eastAsia="zh-CN"/>
                    </w:rPr>
                    <w:t>13.59</w:t>
                  </w:r>
                  <w:r>
                    <w:rPr>
                      <w:rFonts w:hint="default" w:ascii="Times New Roman" w:hAnsi="Times New Roman" w:eastAsia="宋体" w:cs="Times New Roman"/>
                      <w:b/>
                      <w:bCs/>
                      <w:color w:val="auto"/>
                      <w:sz w:val="21"/>
                      <w:szCs w:val="21"/>
                      <w:lang w:val="en-US" w:eastAsia="zh-CN"/>
                    </w:rPr>
                    <w:t>t/a（约</w:t>
                  </w:r>
                  <w:r>
                    <w:rPr>
                      <w:rFonts w:hint="eastAsia" w:cs="Times New Roman"/>
                      <w:b/>
                      <w:bCs/>
                      <w:color w:val="auto"/>
                      <w:sz w:val="21"/>
                      <w:szCs w:val="21"/>
                      <w:lang w:val="en-US" w:eastAsia="zh-CN"/>
                    </w:rPr>
                    <w:t>14</w:t>
                  </w:r>
                  <w:r>
                    <w:rPr>
                      <w:rFonts w:hint="default" w:ascii="Times New Roman" w:hAnsi="Times New Roman" w:eastAsia="宋体" w:cs="Times New Roman"/>
                      <w:b/>
                      <w:bCs/>
                      <w:color w:val="auto"/>
                      <w:sz w:val="21"/>
                      <w:szCs w:val="21"/>
                      <w:lang w:val="en-US" w:eastAsia="zh-CN"/>
                    </w:rPr>
                    <w:t>m</w:t>
                  </w:r>
                  <w:r>
                    <w:rPr>
                      <w:rFonts w:hint="default" w:ascii="Times New Roman" w:hAnsi="Times New Roman" w:eastAsia="宋体"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lang w:val="en-US" w:eastAsia="zh-CN"/>
                    </w:rPr>
                    <w:t>），喷枪可满足喷漆量要求。</w:t>
                  </w:r>
                </w:p>
              </w:tc>
              <w:tc>
                <w:tcPr>
                  <w:tcW w:w="172" w:type="pct"/>
                  <w:noWrap/>
                  <w:tcMar>
                    <w:top w:w="15" w:type="dxa"/>
                    <w:left w:w="15" w:type="dxa"/>
                    <w:right w:w="15" w:type="dxa"/>
                  </w:tcMar>
                  <w:vAlign w:val="center"/>
                </w:tcPr>
                <w:p w14:paraId="6D79285E">
                  <w:pPr>
                    <w:keepNext w:val="0"/>
                    <w:keepLines w:val="0"/>
                    <w:pageBreakBefore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sz w:val="21"/>
                      <w:szCs w:val="21"/>
                      <w:lang w:val="en-US" w:eastAsia="zh-CN"/>
                    </w:rPr>
                  </w:pPr>
                </w:p>
              </w:tc>
            </w:tr>
          </w:tbl>
          <w:p w14:paraId="21E2C7D5">
            <w:pPr>
              <w:keepNext w:val="0"/>
              <w:keepLines w:val="0"/>
              <w:pageBreakBefore w:val="0"/>
              <w:widowControl w:val="0"/>
              <w:numPr>
                <w:ilvl w:val="0"/>
                <w:numId w:val="0"/>
              </w:numPr>
              <w:kinsoku/>
              <w:wordWrap w:val="0"/>
              <w:overflowPunct/>
              <w:topLinePunct w:val="0"/>
              <w:autoSpaceDE w:val="0"/>
              <w:autoSpaceDN w:val="0"/>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lang w:eastAsia="zh-CN"/>
              </w:rPr>
              <w:t>本项目</w:t>
            </w:r>
            <w:r>
              <w:rPr>
                <w:rFonts w:hint="default" w:ascii="Times New Roman" w:hAnsi="Times New Roman" w:cs="Times New Roman"/>
                <w:color w:val="auto"/>
                <w:sz w:val="24"/>
              </w:rPr>
              <w:t>设置</w:t>
            </w:r>
            <w:r>
              <w:rPr>
                <w:rFonts w:hint="default" w:ascii="Times New Roman" w:hAnsi="Times New Roman" w:cs="Times New Roman"/>
                <w:color w:val="auto"/>
                <w:sz w:val="24"/>
                <w:lang w:val="en-US" w:eastAsia="zh-CN"/>
              </w:rPr>
              <w:t>40</w:t>
            </w:r>
            <w:r>
              <w:rPr>
                <w:rFonts w:hint="default" w:ascii="Times New Roman" w:hAnsi="Times New Roman" w:cs="Times New Roman"/>
                <w:color w:val="auto"/>
                <w:sz w:val="24"/>
              </w:rPr>
              <w:t>台注塑机，产能核算见</w:t>
            </w:r>
            <w:r>
              <w:rPr>
                <w:rFonts w:hint="default" w:ascii="Times New Roman" w:hAnsi="Times New Roman" w:cs="Times New Roman"/>
                <w:color w:val="auto"/>
                <w:sz w:val="24"/>
                <w:lang w:val="en-US" w:eastAsia="zh-CN"/>
              </w:rPr>
              <w:t>下表</w:t>
            </w:r>
            <w:r>
              <w:rPr>
                <w:rFonts w:hint="default" w:ascii="Times New Roman" w:hAnsi="Times New Roman" w:cs="Times New Roman"/>
                <w:color w:val="auto"/>
                <w:sz w:val="24"/>
              </w:rPr>
              <w:t>。</w:t>
            </w:r>
          </w:p>
          <w:p w14:paraId="2A30CBBA">
            <w:pPr>
              <w:pStyle w:val="19"/>
              <w:pageBreakBefore w:val="0"/>
              <w:numPr>
                <w:ilvl w:val="0"/>
                <w:numId w:val="6"/>
              </w:numPr>
              <w:wordWrap w:val="0"/>
              <w:overflowPunct/>
              <w:bidi w:val="0"/>
              <w:spacing w:line="240" w:lineRule="auto"/>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注塑生产设备产能核算表</w:t>
            </w:r>
          </w:p>
          <w:tbl>
            <w:tblPr>
              <w:tblStyle w:val="37"/>
              <w:tblW w:w="4996" w:type="pct"/>
              <w:tblInd w:w="-5"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108" w:type="dxa"/>
                <w:bottom w:w="0" w:type="dxa"/>
                <w:right w:w="108" w:type="dxa"/>
              </w:tblCellMar>
            </w:tblPr>
            <w:tblGrid>
              <w:gridCol w:w="982"/>
              <w:gridCol w:w="846"/>
              <w:gridCol w:w="710"/>
              <w:gridCol w:w="1087"/>
              <w:gridCol w:w="907"/>
              <w:gridCol w:w="899"/>
              <w:gridCol w:w="847"/>
              <w:gridCol w:w="847"/>
              <w:gridCol w:w="865"/>
            </w:tblGrid>
            <w:tr w14:paraId="7E67E9F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883" w:hRule="atLeast"/>
              </w:trPr>
              <w:tc>
                <w:tcPr>
                  <w:tcW w:w="614" w:type="pct"/>
                  <w:noWrap w:val="0"/>
                  <w:vAlign w:val="center"/>
                </w:tcPr>
                <w:p w14:paraId="2101317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产品</w:t>
                  </w:r>
                </w:p>
              </w:tc>
              <w:tc>
                <w:tcPr>
                  <w:tcW w:w="529" w:type="pct"/>
                  <w:noWrap w:val="0"/>
                  <w:vAlign w:val="center"/>
                </w:tcPr>
                <w:p w14:paraId="6CF0B99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注塑机数量</w:t>
                  </w:r>
                </w:p>
                <w:p w14:paraId="78D7FFC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（台）</w:t>
                  </w:r>
                </w:p>
              </w:tc>
              <w:tc>
                <w:tcPr>
                  <w:tcW w:w="444" w:type="pct"/>
                  <w:noWrap w:val="0"/>
                  <w:vAlign w:val="center"/>
                </w:tcPr>
                <w:p w14:paraId="60EC17C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产品规格</w:t>
                  </w:r>
                  <w:r>
                    <w:rPr>
                      <w:rFonts w:hint="eastAsia" w:cs="Times New Roman"/>
                      <w:color w:val="auto"/>
                      <w:sz w:val="21"/>
                      <w:szCs w:val="21"/>
                      <w:highlight w:val="none"/>
                      <w:lang w:val="en-US" w:eastAsia="zh-CN"/>
                    </w:rPr>
                    <w:t>（g/个）</w:t>
                  </w:r>
                </w:p>
              </w:tc>
              <w:tc>
                <w:tcPr>
                  <w:tcW w:w="680" w:type="pct"/>
                  <w:noWrap w:val="0"/>
                  <w:vAlign w:val="center"/>
                </w:tcPr>
                <w:p w14:paraId="516A032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生产能力（个/h·台）</w:t>
                  </w:r>
                </w:p>
              </w:tc>
              <w:tc>
                <w:tcPr>
                  <w:tcW w:w="567" w:type="pct"/>
                  <w:noWrap w:val="0"/>
                  <w:vAlign w:val="center"/>
                </w:tcPr>
                <w:p w14:paraId="30C79A3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生产周期</w:t>
                  </w:r>
                </w:p>
                <w:p w14:paraId="566FA70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h/d</w:t>
                  </w:r>
                  <w:r>
                    <w:rPr>
                      <w:rFonts w:hint="eastAsia" w:cs="Times New Roman"/>
                      <w:color w:val="auto"/>
                      <w:sz w:val="21"/>
                      <w:szCs w:val="21"/>
                      <w:highlight w:val="none"/>
                      <w:lang w:val="en-US" w:eastAsia="zh-CN"/>
                    </w:rPr>
                    <w:t>)</w:t>
                  </w:r>
                </w:p>
              </w:tc>
              <w:tc>
                <w:tcPr>
                  <w:tcW w:w="562" w:type="pct"/>
                  <w:noWrap w:val="0"/>
                  <w:vAlign w:val="center"/>
                </w:tcPr>
                <w:p w14:paraId="753CD21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生产时间</w:t>
                  </w:r>
                </w:p>
                <w:p w14:paraId="29DCD66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d/a</w:t>
                  </w:r>
                  <w:r>
                    <w:rPr>
                      <w:rFonts w:hint="eastAsia" w:cs="Times New Roman"/>
                      <w:color w:val="auto"/>
                      <w:sz w:val="21"/>
                      <w:szCs w:val="21"/>
                      <w:highlight w:val="none"/>
                      <w:lang w:val="en-US" w:eastAsia="zh-CN"/>
                    </w:rPr>
                    <w:t>)</w:t>
                  </w:r>
                </w:p>
              </w:tc>
              <w:tc>
                <w:tcPr>
                  <w:tcW w:w="530" w:type="pct"/>
                  <w:noWrap w:val="0"/>
                  <w:vAlign w:val="center"/>
                </w:tcPr>
                <w:p w14:paraId="6FA5E12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理论产量</w:t>
                  </w:r>
                </w:p>
                <w:p w14:paraId="3927640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t/a</w:t>
                  </w:r>
                  <w:r>
                    <w:rPr>
                      <w:rFonts w:hint="eastAsia" w:cs="Times New Roman"/>
                      <w:color w:val="auto"/>
                      <w:sz w:val="21"/>
                      <w:szCs w:val="21"/>
                      <w:highlight w:val="none"/>
                      <w:lang w:val="en-US" w:eastAsia="zh-CN"/>
                    </w:rPr>
                    <w:t>)</w:t>
                  </w:r>
                </w:p>
              </w:tc>
              <w:tc>
                <w:tcPr>
                  <w:tcW w:w="530" w:type="pct"/>
                  <w:noWrap w:val="0"/>
                  <w:vAlign w:val="center"/>
                </w:tcPr>
                <w:p w14:paraId="3796826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设计产量（t/a）</w:t>
                  </w:r>
                </w:p>
              </w:tc>
              <w:tc>
                <w:tcPr>
                  <w:tcW w:w="541" w:type="pct"/>
                  <w:noWrap w:val="0"/>
                  <w:vAlign w:val="center"/>
                </w:tcPr>
                <w:p w14:paraId="4DE0D85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产能利用率</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w:t>
                  </w:r>
                </w:p>
              </w:tc>
            </w:tr>
            <w:tr w14:paraId="0EC2DE1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497" w:hRule="atLeast"/>
              </w:trPr>
              <w:tc>
                <w:tcPr>
                  <w:tcW w:w="614" w:type="pct"/>
                  <w:noWrap w:val="0"/>
                  <w:vAlign w:val="center"/>
                </w:tcPr>
                <w:p w14:paraId="5CAAAE4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家电塑料配件</w:t>
                  </w:r>
                </w:p>
              </w:tc>
              <w:tc>
                <w:tcPr>
                  <w:tcW w:w="529" w:type="pct"/>
                  <w:noWrap w:val="0"/>
                  <w:vAlign w:val="center"/>
                </w:tcPr>
                <w:p w14:paraId="59B283D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w:t>
                  </w:r>
                </w:p>
              </w:tc>
              <w:tc>
                <w:tcPr>
                  <w:tcW w:w="710" w:type="dxa"/>
                  <w:noWrap w:val="0"/>
                  <w:vAlign w:val="center"/>
                </w:tcPr>
                <w:p w14:paraId="07DA366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w:t>
                  </w:r>
                </w:p>
              </w:tc>
              <w:tc>
                <w:tcPr>
                  <w:tcW w:w="1087" w:type="dxa"/>
                  <w:noWrap w:val="0"/>
                  <w:vAlign w:val="center"/>
                </w:tcPr>
                <w:p w14:paraId="52A37B4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200</w:t>
                  </w:r>
                </w:p>
              </w:tc>
              <w:tc>
                <w:tcPr>
                  <w:tcW w:w="906" w:type="dxa"/>
                  <w:noWrap w:val="0"/>
                  <w:vAlign w:val="center"/>
                </w:tcPr>
                <w:p w14:paraId="3064346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w:t>
                  </w:r>
                </w:p>
              </w:tc>
              <w:tc>
                <w:tcPr>
                  <w:tcW w:w="898" w:type="dxa"/>
                  <w:noWrap w:val="0"/>
                  <w:vAlign w:val="center"/>
                </w:tcPr>
                <w:p w14:paraId="01D4B6F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300</w:t>
                  </w:r>
                </w:p>
              </w:tc>
              <w:tc>
                <w:tcPr>
                  <w:tcW w:w="847" w:type="dxa"/>
                  <w:noWrap w:val="0"/>
                  <w:vAlign w:val="center"/>
                </w:tcPr>
                <w:p w14:paraId="131F45F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2304</w:t>
                  </w:r>
                </w:p>
              </w:tc>
              <w:tc>
                <w:tcPr>
                  <w:tcW w:w="847" w:type="dxa"/>
                  <w:noWrap w:val="0"/>
                  <w:vAlign w:val="center"/>
                </w:tcPr>
                <w:p w14:paraId="25C794F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2000</w:t>
                  </w:r>
                </w:p>
              </w:tc>
              <w:tc>
                <w:tcPr>
                  <w:tcW w:w="865" w:type="dxa"/>
                  <w:noWrap w:val="0"/>
                  <w:vAlign w:val="center"/>
                </w:tcPr>
                <w:p w14:paraId="4805436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86.81%</w:t>
                  </w:r>
                </w:p>
              </w:tc>
            </w:tr>
          </w:tbl>
          <w:p w14:paraId="177B83A8">
            <w:pPr>
              <w:pageBreakBefore w:val="0"/>
              <w:wordWrap w:val="0"/>
              <w:overflowPunct/>
              <w:bidi w:val="0"/>
              <w:adjustRightInd w:val="0"/>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rPr>
              <w:t>由上表可知，</w:t>
            </w:r>
            <w:r>
              <w:rPr>
                <w:rFonts w:hint="default" w:ascii="Times New Roman" w:hAnsi="Times New Roman" w:cs="Times New Roman"/>
                <w:color w:val="auto"/>
                <w:sz w:val="24"/>
                <w:lang w:eastAsia="zh-CN"/>
              </w:rPr>
              <w:t>本</w:t>
            </w:r>
            <w:r>
              <w:rPr>
                <w:rFonts w:hint="default" w:ascii="Times New Roman" w:hAnsi="Times New Roman" w:cs="Times New Roman"/>
                <w:color w:val="auto"/>
                <w:sz w:val="24"/>
              </w:rPr>
              <w:t>项目生产设备综合产能利用率为</w:t>
            </w:r>
            <w:r>
              <w:rPr>
                <w:rFonts w:hint="eastAsia" w:cs="Times New Roman"/>
                <w:color w:val="auto"/>
                <w:sz w:val="24"/>
                <w:lang w:val="en-US" w:eastAsia="zh-CN"/>
              </w:rPr>
              <w:t>86.81</w:t>
            </w:r>
            <w:r>
              <w:rPr>
                <w:rFonts w:hint="default" w:ascii="Times New Roman" w:hAnsi="Times New Roman" w:cs="Times New Roman"/>
                <w:color w:val="auto"/>
                <w:sz w:val="24"/>
              </w:rPr>
              <w:t>%，符合项目实际生产情况需要，故项目设备生产理论产能与项目设计产能是匹配的。</w:t>
            </w:r>
          </w:p>
          <w:p w14:paraId="112C5AD0">
            <w:pPr>
              <w:pStyle w:val="5"/>
              <w:pageBreakBefore w:val="0"/>
              <w:numPr>
                <w:ilvl w:val="3"/>
                <w:numId w:val="0"/>
              </w:numPr>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5、</w:t>
            </w:r>
            <w:r>
              <w:rPr>
                <w:rFonts w:hint="default" w:ascii="Times New Roman" w:hAnsi="Times New Roman" w:eastAsia="宋体" w:cs="Times New Roman"/>
                <w:color w:val="auto"/>
                <w:highlight w:val="none"/>
              </w:rPr>
              <w:t>劳动定员和工作制度</w:t>
            </w:r>
          </w:p>
          <w:p w14:paraId="17CAFEB7">
            <w:pPr>
              <w:pageBreakBefore w:val="0"/>
              <w:wordWrap w:val="0"/>
              <w:overflowPunct/>
              <w:bidi w:val="0"/>
              <w:adjustRightInd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原项目劳动定员200人，扩建后不新增员工，从原项目调配</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扩建前后均</w:t>
            </w:r>
            <w:r>
              <w:rPr>
                <w:rFonts w:hint="default" w:ascii="Times New Roman" w:hAnsi="Times New Roman" w:eastAsia="宋体" w:cs="Times New Roman"/>
                <w:color w:val="auto"/>
                <w:highlight w:val="none"/>
              </w:rPr>
              <w:t>实行“</w:t>
            </w:r>
            <w:r>
              <w:rPr>
                <w:rFonts w:hint="default" w:ascii="Times New Roman" w:hAnsi="Times New Roman" w:eastAsia="宋体" w:cs="Times New Roman"/>
                <w:color w:val="auto"/>
                <w:highlight w:val="none"/>
                <w:lang w:val="en-US" w:eastAsia="zh-CN"/>
              </w:rPr>
              <w:t>三</w:t>
            </w:r>
            <w:r>
              <w:rPr>
                <w:rFonts w:hint="default" w:ascii="Times New Roman" w:hAnsi="Times New Roman" w:eastAsia="宋体" w:cs="Times New Roman"/>
                <w:color w:val="auto"/>
                <w:highlight w:val="none"/>
              </w:rPr>
              <w:t>班制”工作制度，每</w:t>
            </w:r>
            <w:r>
              <w:rPr>
                <w:rFonts w:hint="default" w:ascii="Times New Roman" w:hAnsi="Times New Roman" w:eastAsia="宋体" w:cs="Times New Roman"/>
                <w:color w:val="auto"/>
                <w:highlight w:val="none"/>
                <w:lang w:val="en-US" w:eastAsia="zh-CN"/>
              </w:rPr>
              <w:t>班</w:t>
            </w:r>
            <w:r>
              <w:rPr>
                <w:rFonts w:hint="default" w:ascii="Times New Roman" w:hAnsi="Times New Roman" w:eastAsia="宋体" w:cs="Times New Roman"/>
                <w:color w:val="auto"/>
                <w:highlight w:val="none"/>
              </w:rPr>
              <w:t>工作</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小时</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日工作时间</w:t>
            </w:r>
            <w:r>
              <w:rPr>
                <w:rFonts w:hint="default" w:ascii="Times New Roman" w:hAnsi="Times New Roman" w:eastAsia="宋体" w:cs="Times New Roman"/>
                <w:color w:val="auto"/>
                <w:highlight w:val="none"/>
                <w:lang w:val="en-US" w:eastAsia="zh-CN"/>
              </w:rPr>
              <w:t>24</w:t>
            </w:r>
            <w:r>
              <w:rPr>
                <w:rFonts w:hint="default" w:ascii="Times New Roman" w:hAnsi="Times New Roman" w:eastAsia="宋体" w:cs="Times New Roman"/>
                <w:color w:val="auto"/>
                <w:highlight w:val="none"/>
              </w:rPr>
              <w:t>小时</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年工作时间</w:t>
            </w:r>
            <w:r>
              <w:rPr>
                <w:rFonts w:hint="default" w:ascii="Times New Roman" w:hAnsi="Times New Roman" w:eastAsia="宋体" w:cs="Times New Roman"/>
                <w:color w:val="auto"/>
                <w:highlight w:val="none"/>
                <w:lang w:val="en-US" w:eastAsia="zh-CN"/>
              </w:rPr>
              <w:t>300</w:t>
            </w:r>
            <w:r>
              <w:rPr>
                <w:rFonts w:hint="default" w:ascii="Times New Roman" w:hAnsi="Times New Roman" w:eastAsia="宋体" w:cs="Times New Roman"/>
                <w:color w:val="auto"/>
                <w:highlight w:val="none"/>
              </w:rPr>
              <w:t>天</w:t>
            </w:r>
          </w:p>
          <w:p w14:paraId="78053351">
            <w:pPr>
              <w:pStyle w:val="5"/>
              <w:pageBreakBefore w:val="0"/>
              <w:numPr>
                <w:ilvl w:val="3"/>
                <w:numId w:val="0"/>
              </w:numPr>
              <w:wordWrap w:val="0"/>
              <w:overflowPunct/>
              <w:bidi w:val="0"/>
              <w:ind w:left="480"/>
              <w:rPr>
                <w:rFonts w:hint="default" w:ascii="Times New Roman" w:hAnsi="Times New Roman" w:cs="Times New Roman"/>
                <w:color w:val="auto"/>
                <w:highlight w:val="none"/>
              </w:rPr>
            </w:pPr>
            <w:r>
              <w:rPr>
                <w:rFonts w:hint="default" w:ascii="Times New Roman" w:hAnsi="Times New Roman" w:cs="Times New Roman"/>
                <w:color w:val="auto"/>
                <w:highlight w:val="none"/>
              </w:rPr>
              <w:t>6、能源和资源消耗</w:t>
            </w:r>
          </w:p>
          <w:p w14:paraId="6DD97639">
            <w:pPr>
              <w:pStyle w:val="6"/>
              <w:pageBreakBefore w:val="0"/>
              <w:numPr>
                <w:ilvl w:val="4"/>
                <w:numId w:val="0"/>
              </w:numPr>
              <w:wordWrap w:val="0"/>
              <w:overflowPunct/>
              <w:bidi w:val="0"/>
              <w:ind w:left="-960" w:firstLine="1440"/>
              <w:rPr>
                <w:rFonts w:hint="default" w:ascii="Times New Roman" w:hAnsi="Times New Roman" w:cs="Times New Roman"/>
                <w:color w:val="auto"/>
                <w:szCs w:val="32"/>
                <w:highlight w:val="none"/>
              </w:rPr>
            </w:pPr>
            <w:r>
              <w:rPr>
                <w:rFonts w:hint="default" w:ascii="Times New Roman" w:hAnsi="Times New Roman" w:cs="Times New Roman"/>
                <w:color w:val="auto"/>
                <w:szCs w:val="32"/>
                <w:highlight w:val="none"/>
              </w:rPr>
              <w:t>（1）供电</w:t>
            </w:r>
          </w:p>
          <w:p w14:paraId="1C66352F">
            <w:pPr>
              <w:pageBreakBefore w:val="0"/>
              <w:wordWrap w:val="0"/>
              <w:overflowPunct/>
              <w:bidi w:val="0"/>
              <w:adjustRightInd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本项目不设置中央空调等集中供暖制冷设施，办公生产供冷制热由分体空调供给。本项目用电由市政供电管网提供，</w:t>
            </w:r>
            <w:r>
              <w:rPr>
                <w:rFonts w:hint="default" w:ascii="Times New Roman" w:hAnsi="Times New Roman" w:cs="Times New Roman"/>
                <w:color w:val="auto"/>
                <w:highlight w:val="none"/>
                <w:lang w:val="en-US" w:eastAsia="zh-CN"/>
              </w:rPr>
              <w:t>原项目</w:t>
            </w:r>
            <w:r>
              <w:rPr>
                <w:rFonts w:hint="default" w:ascii="Times New Roman" w:hAnsi="Times New Roman" w:cs="Times New Roman"/>
                <w:color w:val="auto"/>
                <w:highlight w:val="none"/>
              </w:rPr>
              <w:t>用电量</w:t>
            </w:r>
            <w:r>
              <w:rPr>
                <w:rFonts w:hint="default" w:ascii="Times New Roman" w:hAnsi="Times New Roman" w:cs="Times New Roman"/>
                <w:color w:val="auto"/>
                <w:highlight w:val="none"/>
                <w:lang w:val="en-US" w:eastAsia="zh-CN"/>
              </w:rPr>
              <w:t>约</w:t>
            </w:r>
            <w:r>
              <w:rPr>
                <w:rFonts w:hint="default" w:ascii="Times New Roman" w:hAnsi="Times New Roman" w:cs="Times New Roman"/>
                <w:color w:val="auto"/>
                <w:highlight w:val="none"/>
              </w:rPr>
              <w:t>为</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50万kW·h/a，</w:t>
            </w:r>
            <w:r>
              <w:rPr>
                <w:rFonts w:hint="default" w:ascii="Times New Roman" w:hAnsi="Times New Roman" w:cs="Times New Roman"/>
                <w:color w:val="auto"/>
                <w:highlight w:val="none"/>
                <w:lang w:val="en-US" w:eastAsia="zh-CN"/>
              </w:rPr>
              <w:t>本次扩建项目用电量约为50万kW·h/a</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扩建后总用电量为200万kW·h/a</w:t>
            </w:r>
            <w:r>
              <w:rPr>
                <w:rFonts w:hint="default" w:ascii="Times New Roman" w:hAnsi="Times New Roman" w:cs="Times New Roman"/>
                <w:color w:val="auto"/>
                <w:highlight w:val="none"/>
              </w:rPr>
              <w:t>。</w:t>
            </w:r>
          </w:p>
          <w:p w14:paraId="053608CF">
            <w:pPr>
              <w:pStyle w:val="6"/>
              <w:pageBreakBefore w:val="0"/>
              <w:numPr>
                <w:ilvl w:val="4"/>
                <w:numId w:val="0"/>
              </w:numPr>
              <w:wordWrap w:val="0"/>
              <w:overflowPunct/>
              <w:bidi w:val="0"/>
              <w:ind w:left="-960" w:firstLine="1440"/>
              <w:rPr>
                <w:rFonts w:hint="default" w:ascii="Times New Roman" w:hAnsi="Times New Roman" w:cs="Times New Roman"/>
                <w:color w:val="auto"/>
                <w:highlight w:val="none"/>
              </w:rPr>
            </w:pPr>
            <w:r>
              <w:rPr>
                <w:rFonts w:hint="default" w:ascii="Times New Roman" w:hAnsi="Times New Roman" w:cs="Times New Roman"/>
                <w:color w:val="auto"/>
                <w:highlight w:val="none"/>
              </w:rPr>
              <w:t>（2）给水</w:t>
            </w:r>
          </w:p>
          <w:p w14:paraId="75258FA6">
            <w:pPr>
              <w:pageBreakBefore w:val="0"/>
              <w:wordWrap w:val="0"/>
              <w:overflowPunct/>
              <w:bidi w:val="0"/>
              <w:adjustRightInd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w:t>
            </w:r>
            <w:r>
              <w:rPr>
                <w:rFonts w:hint="default" w:ascii="Times New Roman" w:hAnsi="Times New Roman" w:cs="Times New Roman"/>
                <w:color w:val="auto"/>
                <w:highlight w:val="none"/>
                <w:lang w:val="en-US" w:eastAsia="zh-CN"/>
              </w:rPr>
              <w:t>次扩建项目不新增员工，不新增生活用水，仅涉及调漆用水、水帘柜用水、水喷淋塔用水、循环冷却水</w:t>
            </w:r>
            <w:r>
              <w:rPr>
                <w:rFonts w:hint="eastAsia" w:cs="Times New Roman"/>
                <w:color w:val="auto"/>
                <w:highlight w:val="none"/>
                <w:lang w:val="en-US" w:eastAsia="zh-CN"/>
              </w:rPr>
              <w:t>、喷枪清洗用水</w:t>
            </w:r>
            <w:r>
              <w:rPr>
                <w:rFonts w:hint="default" w:ascii="Times New Roman" w:hAnsi="Times New Roman" w:cs="Times New Roman"/>
                <w:color w:val="auto"/>
                <w:highlight w:val="none"/>
                <w:lang w:eastAsia="zh-CN"/>
              </w:rPr>
              <w:t>。</w:t>
            </w:r>
          </w:p>
          <w:p w14:paraId="6A5B9880">
            <w:pPr>
              <w:pStyle w:val="12"/>
              <w:pageBreakBefore w:val="0"/>
              <w:wordWrap w:val="0"/>
              <w:overflowPunct/>
              <w:bidi w:val="0"/>
              <w:ind w:firstLine="48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①</w:t>
            </w:r>
            <w:r>
              <w:rPr>
                <w:rFonts w:hint="default" w:ascii="Times New Roman" w:hAnsi="Times New Roman" w:cs="Times New Roman"/>
                <w:color w:val="auto"/>
                <w:highlight w:val="none"/>
                <w:lang w:val="en-US" w:eastAsia="zh-CN"/>
              </w:rPr>
              <w:t>调漆用水</w:t>
            </w:r>
            <w:r>
              <w:rPr>
                <w:rFonts w:hint="default" w:ascii="Times New Roman" w:hAnsi="Times New Roman" w:cs="Times New Roman"/>
                <w:color w:val="auto"/>
                <w:highlight w:val="none"/>
              </w:rPr>
              <w:t>：调漆用水</w:t>
            </w:r>
            <w:r>
              <w:rPr>
                <w:rFonts w:hint="eastAsia" w:cs="Times New Roman"/>
                <w:color w:val="auto"/>
                <w:highlight w:val="none"/>
                <w:lang w:eastAsia="zh-CN"/>
              </w:rPr>
              <w:t>1.887</w:t>
            </w:r>
            <w:r>
              <w:rPr>
                <w:rFonts w:hint="default" w:ascii="Times New Roman" w:hAnsi="Times New Roman" w:cs="Times New Roman"/>
                <w:color w:val="auto"/>
                <w:highlight w:val="none"/>
              </w:rPr>
              <w:t>t/a，蒸发损耗</w:t>
            </w:r>
            <w:r>
              <w:rPr>
                <w:rFonts w:hint="default" w:ascii="Times New Roman" w:hAnsi="Times New Roman" w:cs="Times New Roman"/>
                <w:color w:val="auto"/>
                <w:highlight w:val="none"/>
                <w:lang w:eastAsia="zh-CN"/>
              </w:rPr>
              <w:t>；</w:t>
            </w:r>
          </w:p>
          <w:p w14:paraId="5E171EA9">
            <w:pPr>
              <w:pStyle w:val="12"/>
              <w:pageBreakBefore w:val="0"/>
              <w:wordWrap w:val="0"/>
              <w:overflowPunct/>
              <w:bidi w:val="0"/>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②喷枪清洗用水：年用量0.25t/a，废水产生量0.225t/a，作为危废，委托有资质单位处理。</w:t>
            </w:r>
          </w:p>
          <w:p w14:paraId="578223BE">
            <w:pPr>
              <w:pStyle w:val="12"/>
              <w:pageBreakBefore w:val="0"/>
              <w:wordWrap w:val="0"/>
              <w:overflowPunct/>
              <w:bidi w:val="0"/>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③喷漆废水（水帘柜、水喷淋塔喷淋废水）：水帘柜、水喷淋塔用水量为补水量+换水量，总量为1345.86t/a（其中12t/a来自冷却塔更换水）</w:t>
            </w:r>
            <w:r>
              <w:rPr>
                <w:rFonts w:hint="eastAsia" w:cs="Times New Roman"/>
                <w:color w:val="auto"/>
                <w:highlight w:val="none"/>
                <w:lang w:val="en-US" w:eastAsia="zh-CN"/>
              </w:rPr>
              <w:t>；水性水帘柜废水每两个月更换一次，油性水帘柜废水、喷淋废水每个季度更换一次由于水帘柜，则水帘柜、水喷淋塔的喷淋废水的产生量约为25.864t/a，</w:t>
            </w:r>
            <w:r>
              <w:rPr>
                <w:rFonts w:hint="default" w:ascii="Times New Roman" w:hAnsi="Times New Roman" w:cs="Times New Roman"/>
                <w:color w:val="auto"/>
                <w:highlight w:val="none"/>
                <w:lang w:val="en-US" w:eastAsia="zh-CN"/>
              </w:rPr>
              <w:t>作为危废，委托有资质单位处理。</w:t>
            </w:r>
          </w:p>
          <w:p w14:paraId="558B0769">
            <w:pPr>
              <w:pStyle w:val="12"/>
              <w:pageBreakBefore w:val="0"/>
              <w:wordWrap w:val="0"/>
              <w:overflowPunct/>
              <w:bidi w:val="0"/>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④循环冷却水：冷却补水量为8064m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/a，</w:t>
            </w:r>
            <w:r>
              <w:rPr>
                <w:rFonts w:hint="default" w:ascii="Times New Roman" w:hAnsi="Times New Roman" w:cs="Times New Roman"/>
                <w:color w:val="auto"/>
                <w:sz w:val="24"/>
              </w:rPr>
              <w:t>冷却水经冷却塔冷却后循环使用</w:t>
            </w:r>
            <w:r>
              <w:rPr>
                <w:rFonts w:hint="default" w:ascii="Times New Roman" w:hAnsi="Times New Roman" w:cs="Times New Roman"/>
                <w:color w:val="auto"/>
                <w:sz w:val="24"/>
                <w:lang w:eastAsia="zh-CN"/>
              </w:rPr>
              <w:t>，蒸发损耗</w:t>
            </w:r>
            <w:r>
              <w:rPr>
                <w:rFonts w:hint="eastAsia" w:cs="Times New Roman"/>
                <w:color w:val="auto"/>
                <w:sz w:val="24"/>
                <w:lang w:eastAsia="zh-CN"/>
              </w:rPr>
              <w:t>；循环水每月更换一次，补充至喷淋塔作为喷淋用水，不外排；</w:t>
            </w:r>
            <w:r>
              <w:rPr>
                <w:rFonts w:hint="eastAsia" w:cs="Times New Roman"/>
                <w:color w:val="auto"/>
                <w:kern w:val="0"/>
                <w:sz w:val="24"/>
                <w:lang w:val="en-US" w:eastAsia="zh-CN"/>
              </w:rPr>
              <w:t>总计补水量为8076m</w:t>
            </w:r>
            <w:r>
              <w:rPr>
                <w:rFonts w:hint="eastAsia" w:cs="Times New Roman"/>
                <w:color w:val="auto"/>
                <w:kern w:val="0"/>
                <w:sz w:val="24"/>
                <w:vertAlign w:val="superscript"/>
                <w:lang w:val="en-US" w:eastAsia="zh-CN"/>
              </w:rPr>
              <w:t>3</w:t>
            </w:r>
            <w:r>
              <w:rPr>
                <w:rFonts w:hint="eastAsia" w:cs="Times New Roman"/>
                <w:color w:val="auto"/>
                <w:kern w:val="0"/>
                <w:sz w:val="24"/>
                <w:lang w:val="en-US" w:eastAsia="zh-CN"/>
              </w:rPr>
              <w:t>/a</w:t>
            </w:r>
            <w:r>
              <w:rPr>
                <w:rFonts w:hint="default" w:ascii="Times New Roman" w:hAnsi="Times New Roman" w:cs="Times New Roman"/>
                <w:color w:val="auto"/>
                <w:highlight w:val="none"/>
                <w:lang w:val="en-US" w:eastAsia="zh-CN"/>
              </w:rPr>
              <w:t>。</w:t>
            </w:r>
          </w:p>
          <w:p w14:paraId="2CCD515E">
            <w:pPr>
              <w:pStyle w:val="6"/>
              <w:pageBreakBefore w:val="0"/>
              <w:numPr>
                <w:ilvl w:val="4"/>
                <w:numId w:val="0"/>
              </w:numPr>
              <w:wordWrap w:val="0"/>
              <w:overflowPunct/>
              <w:bidi w:val="0"/>
              <w:ind w:left="-960" w:firstLine="1440"/>
              <w:rPr>
                <w:rFonts w:hint="default" w:ascii="Times New Roman" w:hAnsi="Times New Roman" w:cs="Times New Roman"/>
                <w:color w:val="auto"/>
                <w:highlight w:val="none"/>
              </w:rPr>
            </w:pPr>
            <w:r>
              <w:rPr>
                <w:rFonts w:hint="default" w:ascii="Times New Roman" w:hAnsi="Times New Roman" w:cs="Times New Roman"/>
                <w:color w:val="auto"/>
                <w:highlight w:val="none"/>
              </w:rPr>
              <w:t>（3）排水</w:t>
            </w:r>
          </w:p>
          <w:p w14:paraId="0CFEBE27">
            <w:pPr>
              <w:pageBreakBefore w:val="0"/>
              <w:wordWrap w:val="0"/>
              <w:overflowPunct/>
              <w:bidi w:val="0"/>
              <w:adjustRightInd w:val="0"/>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本次扩建项目不新增员工，不新增废水外排。</w:t>
            </w:r>
          </w:p>
          <w:p w14:paraId="6E2EF733">
            <w:pPr>
              <w:pStyle w:val="19"/>
              <w:pageBreakBefore w:val="0"/>
              <w:wordWrap w:val="0"/>
              <w:overflowPunct/>
              <w:bidi w:val="0"/>
              <w:spacing w:line="240" w:lineRule="auto"/>
              <w:rPr>
                <w:rFonts w:hint="default" w:ascii="Times New Roman" w:hAnsi="Times New Roman" w:eastAsia="宋体" w:cs="Times New Roman"/>
                <w:color w:val="auto"/>
                <w:highlight w:val="none"/>
                <w:lang w:eastAsia="zh-CN"/>
              </w:rPr>
            </w:pPr>
            <w:r>
              <w:rPr>
                <w:color w:val="auto"/>
              </w:rPr>
              <w:drawing>
                <wp:inline distT="0" distB="0" distL="114300" distR="114300">
                  <wp:extent cx="4373245" cy="2011680"/>
                  <wp:effectExtent l="0" t="0" r="8255" b="7620"/>
                  <wp:docPr id="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
                          <pic:cNvPicPr>
                            <a:picLocks noChangeAspect="1"/>
                          </pic:cNvPicPr>
                        </pic:nvPicPr>
                        <pic:blipFill>
                          <a:blip r:embed="rId23"/>
                          <a:srcRect t="2489" b="2713"/>
                          <a:stretch>
                            <a:fillRect/>
                          </a:stretch>
                        </pic:blipFill>
                        <pic:spPr>
                          <a:xfrm>
                            <a:off x="0" y="0"/>
                            <a:ext cx="4373245" cy="2011680"/>
                          </a:xfrm>
                          <a:prstGeom prst="rect">
                            <a:avLst/>
                          </a:prstGeom>
                          <a:noFill/>
                          <a:ln>
                            <a:noFill/>
                          </a:ln>
                        </pic:spPr>
                      </pic:pic>
                    </a:graphicData>
                  </a:graphic>
                </wp:inline>
              </w:drawing>
            </w:r>
          </w:p>
          <w:p w14:paraId="3BDDCFC1">
            <w:pPr>
              <w:pStyle w:val="19"/>
              <w:pageBreakBefore w:val="0"/>
              <w:wordWrap w:val="0"/>
              <w:overflowPunct/>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图2-1 项目用水平衡图 （单位t/a）</w:t>
            </w:r>
          </w:p>
          <w:p w14:paraId="13C52D44">
            <w:pPr>
              <w:pStyle w:val="4"/>
              <w:pageBreakBefore w:val="0"/>
              <w:numPr>
                <w:ilvl w:val="2"/>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三、总平面布局合理性分析</w:t>
            </w:r>
          </w:p>
          <w:p w14:paraId="729D1CBE">
            <w:pPr>
              <w:pStyle w:val="5"/>
              <w:pageBreakBefore w:val="0"/>
              <w:numPr>
                <w:ilvl w:val="3"/>
                <w:numId w:val="0"/>
              </w:numPr>
              <w:wordWrap w:val="0"/>
              <w:overflowPunct/>
              <w:bidi w:val="0"/>
              <w:ind w:left="480" w:left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1、用地合理、合法性分析</w:t>
            </w:r>
          </w:p>
          <w:p w14:paraId="62942822">
            <w:pPr>
              <w:pStyle w:val="5"/>
              <w:pageBreakBefore w:val="0"/>
              <w:numPr>
                <w:ilvl w:val="3"/>
                <w:numId w:val="0"/>
              </w:numPr>
              <w:wordWrap w:val="0"/>
              <w:overflowPunct/>
              <w:bidi w:val="0"/>
              <w:ind w:firstLine="480" w:firstLineChars="200"/>
              <w:rPr>
                <w:rFonts w:hint="default" w:ascii="Times New Roman" w:hAnsi="Times New Roman" w:cs="Times New Roman"/>
                <w:b w:val="0"/>
                <w:color w:val="auto"/>
                <w:szCs w:val="24"/>
                <w:highlight w:val="none"/>
              </w:rPr>
            </w:pPr>
            <w:r>
              <w:rPr>
                <w:rFonts w:hint="default" w:ascii="Times New Roman" w:hAnsi="Times New Roman" w:cs="Times New Roman"/>
                <w:b w:val="0"/>
                <w:color w:val="auto"/>
                <w:szCs w:val="24"/>
                <w:highlight w:val="none"/>
              </w:rPr>
              <w:t>建设单位拟于</w:t>
            </w:r>
            <w:r>
              <w:rPr>
                <w:rFonts w:hint="eastAsia" w:cs="Times New Roman"/>
                <w:b w:val="0"/>
                <w:color w:val="auto"/>
                <w:szCs w:val="24"/>
                <w:highlight w:val="none"/>
                <w:lang w:eastAsia="zh-CN"/>
              </w:rPr>
              <w:t>韶关市乐昌市廊田镇乐昌市乐昌产业转移工业园金岭四路7号（广东乐昌经济开发区）</w:t>
            </w:r>
            <w:r>
              <w:rPr>
                <w:rFonts w:hint="default" w:ascii="Times New Roman" w:hAnsi="Times New Roman" w:cs="Times New Roman"/>
                <w:b w:val="0"/>
                <w:color w:val="auto"/>
                <w:szCs w:val="24"/>
                <w:highlight w:val="none"/>
              </w:rPr>
              <w:t>进行生产，根据中华人民共和国不动产权证书（详见附件</w:t>
            </w:r>
            <w:r>
              <w:rPr>
                <w:rFonts w:hint="default" w:ascii="Times New Roman" w:hAnsi="Times New Roman" w:cs="Times New Roman"/>
                <w:b w:val="0"/>
                <w:color w:val="auto"/>
                <w:szCs w:val="24"/>
                <w:highlight w:val="none"/>
                <w:lang w:val="en-US" w:eastAsia="zh-CN"/>
              </w:rPr>
              <w:t>3</w:t>
            </w:r>
            <w:r>
              <w:rPr>
                <w:rFonts w:hint="default" w:ascii="Times New Roman" w:hAnsi="Times New Roman" w:cs="Times New Roman"/>
                <w:b w:val="0"/>
                <w:color w:val="auto"/>
                <w:szCs w:val="24"/>
                <w:highlight w:val="none"/>
              </w:rPr>
              <w:t>）可知，项目用地用途为工业用地。</w:t>
            </w:r>
          </w:p>
          <w:p w14:paraId="0A1F0966">
            <w:pPr>
              <w:pStyle w:val="5"/>
              <w:pageBreakBefore w:val="0"/>
              <w:numPr>
                <w:ilvl w:val="3"/>
                <w:numId w:val="0"/>
              </w:numPr>
              <w:wordWrap w:val="0"/>
              <w:overflowPunct/>
              <w:bidi w:val="0"/>
              <w:ind w:left="480" w:left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2、四至分析</w:t>
            </w:r>
          </w:p>
          <w:p w14:paraId="74B6DB3C">
            <w:pPr>
              <w:pageBreakBefore w:val="0"/>
              <w:wordWrap w:val="0"/>
              <w:overflowPunct/>
              <w:bidi w:val="0"/>
              <w:adjustRightInd w:val="0"/>
              <w:ind w:firstLine="480" w:firstLineChars="200"/>
              <w:rPr>
                <w:rFonts w:hint="default" w:ascii="Times New Roman" w:hAnsi="Times New Roman" w:cs="Times New Roman"/>
                <w:color w:val="auto"/>
                <w:highlight w:val="none"/>
              </w:rPr>
            </w:pPr>
            <w:bookmarkStart w:id="19" w:name="_Toc21623"/>
            <w:bookmarkStart w:id="20" w:name="_Toc15878"/>
            <w:r>
              <w:rPr>
                <w:rFonts w:hint="default" w:ascii="Times New Roman" w:hAnsi="Times New Roman" w:cs="Times New Roman"/>
                <w:bCs/>
                <w:color w:val="auto"/>
                <w:highlight w:val="none"/>
              </w:rPr>
              <w:t>本项目</w:t>
            </w:r>
            <w:r>
              <w:rPr>
                <w:rFonts w:hint="default" w:ascii="Times New Roman" w:hAnsi="Times New Roman" w:cs="Times New Roman"/>
                <w:bCs/>
                <w:color w:val="auto"/>
                <w:highlight w:val="none"/>
                <w:lang w:val="en-US" w:eastAsia="zh-CN"/>
              </w:rPr>
              <w:t>东面隔金岭五路为众诚实业、欧昊科技韶关有限公司，南面隔金岭四路为柏创机电、建强混凝土有限公司，西面为金来得有限公司、乐淇包装材料有限公司，北</w:t>
            </w:r>
            <w:r>
              <w:rPr>
                <w:rFonts w:hint="default" w:ascii="Times New Roman" w:hAnsi="Times New Roman" w:cs="Times New Roman"/>
                <w:bCs/>
                <w:color w:val="auto"/>
                <w:highlight w:val="none"/>
              </w:rPr>
              <w:t>面</w:t>
            </w:r>
            <w:r>
              <w:rPr>
                <w:rFonts w:hint="default" w:ascii="Times New Roman" w:hAnsi="Times New Roman" w:cs="Times New Roman"/>
                <w:bCs/>
                <w:color w:val="auto"/>
                <w:highlight w:val="none"/>
                <w:lang w:val="en-US" w:eastAsia="zh-CN"/>
              </w:rPr>
              <w:t>隔金岭三路</w:t>
            </w:r>
            <w:r>
              <w:rPr>
                <w:rFonts w:hint="default" w:ascii="Times New Roman" w:hAnsi="Times New Roman" w:cs="Times New Roman"/>
                <w:bCs/>
                <w:color w:val="auto"/>
                <w:highlight w:val="none"/>
              </w:rPr>
              <w:t>为</w:t>
            </w:r>
            <w:r>
              <w:rPr>
                <w:rFonts w:hint="default" w:ascii="Times New Roman" w:hAnsi="Times New Roman" w:cs="Times New Roman"/>
                <w:bCs/>
                <w:color w:val="auto"/>
                <w:highlight w:val="none"/>
                <w:lang w:val="en-US" w:eastAsia="zh-CN"/>
              </w:rPr>
              <w:t>汇隽新材料、华国艺术装饰有限公司。</w:t>
            </w:r>
            <w:r>
              <w:rPr>
                <w:rFonts w:hint="default" w:ascii="Times New Roman" w:hAnsi="Times New Roman" w:cs="Times New Roman"/>
                <w:bCs/>
                <w:color w:val="auto"/>
                <w:highlight w:val="none"/>
              </w:rPr>
              <w:t>本项目边界周围500m范围内无</w:t>
            </w:r>
            <w:r>
              <w:rPr>
                <w:rFonts w:hint="default" w:ascii="Times New Roman" w:hAnsi="Times New Roman" w:cs="Times New Roman"/>
                <w:bCs/>
                <w:color w:val="auto"/>
                <w:highlight w:val="none"/>
                <w:lang w:val="en-US" w:eastAsia="zh-CN"/>
              </w:rPr>
              <w:t>环境保护目标</w:t>
            </w:r>
            <w:r>
              <w:rPr>
                <w:rFonts w:hint="default" w:ascii="Times New Roman" w:hAnsi="Times New Roman" w:cs="Times New Roman"/>
                <w:color w:val="auto"/>
                <w:highlight w:val="none"/>
              </w:rPr>
              <w:t>。</w:t>
            </w:r>
            <w:bookmarkEnd w:id="19"/>
            <w:bookmarkEnd w:id="20"/>
          </w:p>
          <w:p w14:paraId="3E9F986B">
            <w:pPr>
              <w:keepNext w:val="0"/>
              <w:keepLines w:val="0"/>
              <w:pageBreakBefore w:val="0"/>
              <w:widowControl w:val="0"/>
              <w:kinsoku/>
              <w:wordWrap w:val="0"/>
              <w:overflowPunct/>
              <w:topLinePunct w:val="0"/>
              <w:autoSpaceDE/>
              <w:autoSpaceDN/>
              <w:bidi w:val="0"/>
              <w:adjustRightInd w:val="0"/>
              <w:snapToGrid/>
              <w:ind w:firstLine="480" w:firstLineChars="200"/>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3、总平面布局</w:t>
            </w:r>
          </w:p>
          <w:p w14:paraId="11550B92">
            <w:pPr>
              <w:keepNext w:val="0"/>
              <w:keepLines w:val="0"/>
              <w:pageBreakBefore w:val="0"/>
              <w:widowControl w:val="0"/>
              <w:kinsoku/>
              <w:wordWrap w:val="0"/>
              <w:overflowPunct/>
              <w:topLinePunct w:val="0"/>
              <w:autoSpaceDE/>
              <w:autoSpaceDN/>
              <w:bidi w:val="0"/>
              <w:adjustRightInd w:val="0"/>
              <w:snapToGrid/>
              <w:ind w:firstLine="48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b w:val="0"/>
                <w:bCs w:val="0"/>
                <w:color w:val="auto"/>
                <w:highlight w:val="none"/>
              </w:rPr>
              <w:t>本</w:t>
            </w:r>
            <w:r>
              <w:rPr>
                <w:rFonts w:hint="default" w:ascii="Times New Roman" w:hAnsi="Times New Roman" w:cs="Times New Roman"/>
                <w:b w:val="0"/>
                <w:bCs w:val="0"/>
                <w:color w:val="auto"/>
                <w:highlight w:val="none"/>
                <w:lang w:val="en-US" w:eastAsia="zh-CN"/>
              </w:rPr>
              <w:t>次扩建部分</w:t>
            </w:r>
            <w:r>
              <w:rPr>
                <w:rFonts w:hint="default" w:ascii="Times New Roman" w:hAnsi="Times New Roman" w:cs="Times New Roman"/>
                <w:b w:val="0"/>
                <w:bCs w:val="0"/>
                <w:color w:val="auto"/>
                <w:highlight w:val="none"/>
              </w:rPr>
              <w:t>由</w:t>
            </w:r>
            <w:r>
              <w:rPr>
                <w:rFonts w:hint="default" w:ascii="Times New Roman" w:hAnsi="Times New Roman" w:cs="Times New Roman"/>
                <w:b w:val="0"/>
                <w:bCs w:val="0"/>
                <w:color w:val="auto"/>
                <w:highlight w:val="none"/>
                <w:lang w:val="en-US" w:eastAsia="zh-CN"/>
              </w:rPr>
              <w:t>注塑区、喷漆房等</w:t>
            </w:r>
            <w:r>
              <w:rPr>
                <w:rFonts w:hint="default" w:ascii="Times New Roman" w:hAnsi="Times New Roman" w:cs="Times New Roman"/>
                <w:b w:val="0"/>
                <w:bCs w:val="0"/>
                <w:color w:val="auto"/>
                <w:highlight w:val="none"/>
              </w:rPr>
              <w:t>组成，各区用途分明，布局紧凑，原料统一存放，便于物料的管理和风险控制，该区域地面设置防渗层，防止泄漏时下渗，防止污染土壤和地下水</w:t>
            </w:r>
            <w:r>
              <w:rPr>
                <w:rFonts w:hint="default" w:ascii="Times New Roman" w:hAnsi="Times New Roman" w:eastAsia="宋体" w:cs="Times New Roman"/>
                <w:b w:val="0"/>
                <w:bCs/>
                <w:color w:val="auto"/>
                <w:sz w:val="24"/>
                <w:szCs w:val="24"/>
                <w:lang w:eastAsia="zh-CN"/>
              </w:rPr>
              <w:t>。</w:t>
            </w:r>
            <w:r>
              <w:rPr>
                <w:rFonts w:hint="default" w:ascii="Times New Roman" w:hAnsi="Times New Roman" w:cs="Times New Roman"/>
                <w:b w:val="0"/>
                <w:bCs w:val="0"/>
                <w:color w:val="auto"/>
                <w:highlight w:val="none"/>
              </w:rPr>
              <w:t>本项目四周以工业性质企业、建设用地为主，因此本项目建设能与周边环境协调一致，项目四至情况卫星图见附图2，周边环境现状实景见附图</w:t>
            </w:r>
            <w:r>
              <w:rPr>
                <w:rFonts w:hint="default" w:ascii="Times New Roman" w:hAnsi="Times New Roman" w:cs="Times New Roman"/>
                <w:b w:val="0"/>
                <w:bCs w:val="0"/>
                <w:color w:val="auto"/>
                <w:highlight w:val="none"/>
                <w:lang w:val="en-US" w:eastAsia="zh-CN"/>
              </w:rPr>
              <w:t>14</w:t>
            </w:r>
            <w:r>
              <w:rPr>
                <w:rFonts w:hint="default" w:ascii="Times New Roman" w:hAnsi="Times New Roman" w:cs="Times New Roman"/>
                <w:b w:val="0"/>
                <w:bCs w:val="0"/>
                <w:color w:val="auto"/>
                <w:highlight w:val="none"/>
              </w:rPr>
              <w:t>。</w:t>
            </w:r>
          </w:p>
        </w:tc>
      </w:tr>
      <w:tr w14:paraId="276D6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6" w:type="pct"/>
            <w:vAlign w:val="center"/>
          </w:tcPr>
          <w:p w14:paraId="72393AB5">
            <w:pPr>
              <w:keepNext w:val="0"/>
              <w:keepLines w:val="0"/>
              <w:pageBreakBefore w:val="0"/>
              <w:widowControl w:val="0"/>
              <w:numPr>
                <w:ilvl w:val="1"/>
                <w:numId w:val="0"/>
              </w:numPr>
              <w:tabs>
                <w:tab w:val="left" w:pos="420"/>
              </w:tabs>
              <w:kinsoku/>
              <w:wordWrap w:val="0"/>
              <w:overflowPunct/>
              <w:topLinePunct w:val="0"/>
              <w:autoSpaceDE/>
              <w:autoSpaceDN/>
              <w:bidi w:val="0"/>
              <w:adjustRightInd/>
              <w:snapToGrid/>
              <w:spacing w:line="240" w:lineRule="auto"/>
              <w:textAlignment w:val="auto"/>
              <w:outlineLvl w:val="9"/>
              <w:rPr>
                <w:rFonts w:hint="default" w:ascii="Times New Roman" w:hAnsi="Times New Roman" w:cs="Times New Roman"/>
                <w:color w:val="auto"/>
                <w:highlight w:val="none"/>
              </w:rPr>
            </w:pPr>
            <w:bookmarkStart w:id="21" w:name="_Toc14179"/>
            <w:bookmarkStart w:id="22" w:name="_Toc25729"/>
            <w:bookmarkStart w:id="23" w:name="_Toc22477"/>
            <w:bookmarkStart w:id="24" w:name="_Toc7091"/>
            <w:bookmarkStart w:id="25" w:name="_Toc29759"/>
            <w:r>
              <w:rPr>
                <w:rFonts w:hint="default" w:ascii="Times New Roman" w:hAnsi="Times New Roman" w:cs="Times New Roman"/>
                <w:color w:val="auto"/>
                <w:highlight w:val="none"/>
              </w:rPr>
              <w:t>工艺流程和产排污环节</w:t>
            </w:r>
            <w:bookmarkEnd w:id="21"/>
            <w:bookmarkEnd w:id="22"/>
            <w:bookmarkEnd w:id="23"/>
            <w:bookmarkEnd w:id="24"/>
            <w:bookmarkEnd w:id="25"/>
          </w:p>
        </w:tc>
        <w:tc>
          <w:tcPr>
            <w:tcW w:w="4733" w:type="pct"/>
          </w:tcPr>
          <w:p w14:paraId="5C5F7192">
            <w:pPr>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bCs w:val="0"/>
                <w:color w:val="auto"/>
                <w:sz w:val="24"/>
                <w:szCs w:val="24"/>
                <w:lang w:eastAsia="zh-CN"/>
              </w:rPr>
            </w:pPr>
            <w:r>
              <w:rPr>
                <w:rFonts w:hint="default" w:ascii="Times New Roman" w:hAnsi="Times New Roman" w:cs="Times New Roman"/>
                <w:b/>
                <w:bCs w:val="0"/>
                <w:color w:val="auto"/>
                <w:sz w:val="24"/>
                <w:szCs w:val="24"/>
                <w:lang w:eastAsia="zh-CN"/>
              </w:rPr>
              <w:t>一、</w:t>
            </w:r>
            <w:r>
              <w:rPr>
                <w:rFonts w:hint="default" w:ascii="Times New Roman" w:hAnsi="Times New Roman" w:eastAsia="宋体" w:cs="Times New Roman"/>
                <w:b/>
                <w:bCs w:val="0"/>
                <w:color w:val="auto"/>
                <w:sz w:val="24"/>
                <w:szCs w:val="24"/>
                <w:lang w:eastAsia="zh-CN"/>
              </w:rPr>
              <w:t>工艺流程</w:t>
            </w:r>
          </w:p>
          <w:p w14:paraId="530EEA51">
            <w:pPr>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bCs w:val="0"/>
                <w:color w:val="auto"/>
                <w:sz w:val="24"/>
                <w:szCs w:val="24"/>
                <w:lang w:eastAsia="zh-CN"/>
              </w:rPr>
            </w:pPr>
            <w:r>
              <w:rPr>
                <w:rFonts w:hint="default" w:ascii="Times New Roman" w:hAnsi="Times New Roman" w:eastAsia="宋体" w:cs="Times New Roman"/>
                <w:b/>
                <w:bCs w:val="0"/>
                <w:color w:val="auto"/>
                <w:sz w:val="24"/>
                <w:szCs w:val="24"/>
                <w:lang w:eastAsia="zh-CN"/>
              </w:rPr>
              <w:t>运营期工艺</w:t>
            </w:r>
            <w:r>
              <w:rPr>
                <w:rFonts w:hint="default" w:ascii="Times New Roman" w:hAnsi="Times New Roman" w:cs="Times New Roman"/>
                <w:b/>
                <w:bCs w:val="0"/>
                <w:color w:val="auto"/>
                <w:sz w:val="24"/>
                <w:szCs w:val="24"/>
                <w:lang w:eastAsia="zh-CN"/>
              </w:rPr>
              <w:t>流程</w:t>
            </w:r>
            <w:r>
              <w:rPr>
                <w:rFonts w:hint="default" w:ascii="Times New Roman" w:hAnsi="Times New Roman" w:eastAsia="宋体" w:cs="Times New Roman"/>
                <w:b/>
                <w:bCs w:val="0"/>
                <w:color w:val="auto"/>
                <w:sz w:val="24"/>
                <w:szCs w:val="24"/>
                <w:lang w:eastAsia="zh-CN"/>
              </w:rPr>
              <w:t>及产污</w:t>
            </w:r>
            <w:r>
              <w:rPr>
                <w:rFonts w:hint="default" w:ascii="Times New Roman" w:hAnsi="Times New Roman" w:cs="Times New Roman"/>
                <w:b/>
                <w:bCs w:val="0"/>
                <w:color w:val="auto"/>
                <w:sz w:val="24"/>
                <w:szCs w:val="24"/>
                <w:lang w:eastAsia="zh-CN"/>
              </w:rPr>
              <w:t>环节</w:t>
            </w:r>
          </w:p>
          <w:p w14:paraId="400AA83A">
            <w:pPr>
              <w:pageBreakBefore w:val="0"/>
              <w:numPr>
                <w:ilvl w:val="0"/>
                <w:numId w:val="0"/>
              </w:numPr>
              <w:tabs>
                <w:tab w:val="left" w:pos="420"/>
              </w:tabs>
              <w:kinsoku/>
              <w:wordWrap w:val="0"/>
              <w:overflowPunct/>
              <w:topLinePunct w:val="0"/>
              <w:bidi w:val="0"/>
              <w:snapToGrid/>
              <w:ind w:left="480" w:leftChars="200"/>
              <w:outlineLvl w:val="9"/>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lang w:val="en-US" w:eastAsia="zh-CN"/>
              </w:rPr>
              <w:t>1）</w:t>
            </w:r>
            <w:r>
              <w:rPr>
                <w:rFonts w:hint="default" w:ascii="Times New Roman" w:hAnsi="Times New Roman" w:cs="Times New Roman"/>
                <w:b/>
                <w:bCs/>
                <w:color w:val="auto"/>
                <w:highlight w:val="none"/>
                <w:lang w:val="en-US" w:eastAsia="zh-CN"/>
              </w:rPr>
              <w:t>家电塑料配件</w:t>
            </w:r>
            <w:r>
              <w:rPr>
                <w:rFonts w:hint="default" w:ascii="Times New Roman" w:hAnsi="Times New Roman" w:eastAsia="宋体" w:cs="Times New Roman"/>
                <w:b/>
                <w:bCs/>
                <w:color w:val="auto"/>
                <w:highlight w:val="none"/>
                <w:lang w:val="en-US" w:eastAsia="zh-CN"/>
              </w:rPr>
              <w:t>工艺流程</w:t>
            </w:r>
          </w:p>
          <w:p w14:paraId="5E8A98B0">
            <w:pPr>
              <w:pStyle w:val="19"/>
              <w:pageBreakBefore w:val="0"/>
              <w:kinsoku/>
              <w:wordWrap w:val="0"/>
              <w:overflowPunct/>
              <w:topLinePunct w:val="0"/>
              <w:bidi w:val="0"/>
              <w:snapToGrid/>
              <w:spacing w:line="240" w:lineRule="auto"/>
              <w:outlineLvl w:val="9"/>
              <w:rPr>
                <w:rFonts w:hint="default" w:ascii="Times New Roman" w:hAnsi="Times New Roman" w:eastAsia="宋体" w:cs="Times New Roman"/>
                <w:color w:val="auto"/>
                <w:highlight w:val="yellow"/>
                <w:lang w:eastAsia="zh-CN"/>
              </w:rPr>
            </w:pPr>
            <w:r>
              <w:rPr>
                <w:rFonts w:hint="default" w:ascii="Times New Roman" w:hAnsi="Times New Roman" w:cs="Times New Roman"/>
                <w:color w:val="auto"/>
              </w:rPr>
              <w:drawing>
                <wp:inline distT="0" distB="0" distL="114300" distR="114300">
                  <wp:extent cx="5074920" cy="2534285"/>
                  <wp:effectExtent l="9525" t="9525" r="20955" b="27940"/>
                  <wp:docPr id="23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41"/>
                          <pic:cNvPicPr>
                            <a:picLocks noChangeAspect="1"/>
                          </pic:cNvPicPr>
                        </pic:nvPicPr>
                        <pic:blipFill>
                          <a:blip r:embed="rId24"/>
                          <a:stretch>
                            <a:fillRect/>
                          </a:stretch>
                        </pic:blipFill>
                        <pic:spPr>
                          <a:xfrm>
                            <a:off x="0" y="0"/>
                            <a:ext cx="5074920" cy="2534285"/>
                          </a:xfrm>
                          <a:prstGeom prst="rect">
                            <a:avLst/>
                          </a:prstGeom>
                          <a:noFill/>
                          <a:ln>
                            <a:solidFill>
                              <a:schemeClr val="tx1"/>
                            </a:solidFill>
                          </a:ln>
                        </pic:spPr>
                      </pic:pic>
                    </a:graphicData>
                  </a:graphic>
                </wp:inline>
              </w:drawing>
            </w:r>
          </w:p>
          <w:p w14:paraId="77146E1C">
            <w:pPr>
              <w:pStyle w:val="19"/>
              <w:pageBreakBefore w:val="0"/>
              <w:numPr>
                <w:ilvl w:val="0"/>
                <w:numId w:val="7"/>
              </w:numPr>
              <w:wordWrap w:val="0"/>
              <w:overflowPunct/>
              <w:bidi w:val="0"/>
              <w:spacing w:line="240" w:lineRule="auto"/>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生产工艺流程图</w:t>
            </w:r>
          </w:p>
          <w:p w14:paraId="49E6C90C">
            <w:pPr>
              <w:pageBreakBefore w:val="0"/>
              <w:numPr>
                <w:ilvl w:val="0"/>
                <w:numId w:val="0"/>
              </w:numPr>
              <w:tabs>
                <w:tab w:val="left" w:pos="420"/>
              </w:tabs>
              <w:kinsoku/>
              <w:wordWrap w:val="0"/>
              <w:overflowPunct/>
              <w:topLinePunct w:val="0"/>
              <w:bidi w:val="0"/>
              <w:snapToGrid/>
              <w:ind w:left="480" w:leftChars="200"/>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工艺</w:t>
            </w:r>
            <w:r>
              <w:rPr>
                <w:rFonts w:hint="default" w:ascii="Times New Roman" w:hAnsi="Times New Roman" w:cs="Times New Roman"/>
                <w:b/>
                <w:bCs/>
                <w:color w:val="auto"/>
                <w:highlight w:val="none"/>
                <w:lang w:eastAsia="zh-CN"/>
              </w:rPr>
              <w:t>流程简述</w:t>
            </w:r>
            <w:r>
              <w:rPr>
                <w:rFonts w:hint="default" w:ascii="Times New Roman" w:hAnsi="Times New Roman" w:cs="Times New Roman"/>
                <w:b/>
                <w:bCs/>
                <w:color w:val="auto"/>
                <w:highlight w:val="none"/>
              </w:rPr>
              <w:t>：</w:t>
            </w:r>
          </w:p>
          <w:p w14:paraId="3FB77D26">
            <w:pPr>
              <w:pageBreakBefore w:val="0"/>
              <w:numPr>
                <w:ilvl w:val="0"/>
                <w:numId w:val="0"/>
              </w:numPr>
              <w:tabs>
                <w:tab w:val="left" w:pos="0"/>
              </w:tabs>
              <w:wordWrap w:val="0"/>
              <w:overflowPunct/>
              <w:bidi w:val="0"/>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bCs/>
                <w:color w:val="auto"/>
                <w:highlight w:val="none"/>
                <w:lang w:val="en-US" w:eastAsia="zh-CN"/>
              </w:rPr>
              <w:t>（1）投料搅拌：</w:t>
            </w:r>
            <w:r>
              <w:rPr>
                <w:rFonts w:hint="default" w:ascii="Times New Roman" w:hAnsi="Times New Roman" w:cs="Times New Roman"/>
                <w:b w:val="0"/>
                <w:bCs w:val="0"/>
                <w:color w:val="auto"/>
                <w:highlight w:val="none"/>
                <w:lang w:val="en-US" w:eastAsia="zh-CN"/>
              </w:rPr>
              <w:t>将PP塑料新粒以及经破碎后的不合格品、边角料，从桶中泵入搅拌机进行搅拌，搅拌过程中投料口密闭，物料不断翻动，直至混合均匀。同时，项目使用的塑料新粒为固体颗粒，因此投料时会无粉尘产生，主要产生噪声。</w:t>
            </w:r>
          </w:p>
          <w:p w14:paraId="2FA46D3B">
            <w:pPr>
              <w:pageBreakBefore w:val="0"/>
              <w:numPr>
                <w:ilvl w:val="0"/>
                <w:numId w:val="0"/>
              </w:numPr>
              <w:tabs>
                <w:tab w:val="left" w:pos="0"/>
              </w:tabs>
              <w:wordWrap w:val="0"/>
              <w:overflowPunct/>
              <w:bidi w:val="0"/>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bCs/>
                <w:color w:val="auto"/>
                <w:highlight w:val="none"/>
                <w:lang w:val="en-US" w:eastAsia="zh-CN"/>
              </w:rPr>
              <w:t>（2）注塑成型：</w:t>
            </w:r>
            <w:r>
              <w:rPr>
                <w:rFonts w:hint="default" w:ascii="Times New Roman" w:hAnsi="Times New Roman" w:cs="Times New Roman"/>
                <w:b w:val="0"/>
                <w:bCs w:val="0"/>
                <w:color w:val="auto"/>
                <w:highlight w:val="none"/>
                <w:lang w:val="en-US" w:eastAsia="zh-CN"/>
              </w:rPr>
              <w:t>塑料原料在外部电加热的热力作用下逐渐熔融（加热温度约200℃，低于PP塑料的分解温度，加热时间3-5min），熔融的塑料在设备内通过模具注塑成型后，模具经冷却水进行间接冷却，冷却后将塑料件与模具分离得到成品。项目加热注塑过程中主要产生有机废气（非甲烷总烃）、臭气浓度和噪声；冷却后产生边角料、循环冷却水。</w:t>
            </w:r>
          </w:p>
          <w:p w14:paraId="02403E38">
            <w:pPr>
              <w:pageBreakBefore w:val="0"/>
              <w:numPr>
                <w:ilvl w:val="0"/>
                <w:numId w:val="0"/>
              </w:numPr>
              <w:tabs>
                <w:tab w:val="left" w:pos="0"/>
              </w:tabs>
              <w:wordWrap w:val="0"/>
              <w:overflowPunct/>
              <w:bidi w:val="0"/>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bCs/>
                <w:color w:val="auto"/>
                <w:highlight w:val="none"/>
                <w:lang w:val="en-US" w:eastAsia="zh-CN"/>
              </w:rPr>
              <w:t>（3）检验：</w:t>
            </w:r>
            <w:r>
              <w:rPr>
                <w:rFonts w:hint="default" w:ascii="Times New Roman" w:hAnsi="Times New Roman" w:cs="Times New Roman"/>
                <w:b w:val="0"/>
                <w:bCs w:val="0"/>
                <w:color w:val="auto"/>
                <w:highlight w:val="none"/>
                <w:lang w:val="en-US" w:eastAsia="zh-CN"/>
              </w:rPr>
              <w:t>人工对注塑后的工件外观进行检查，检查合格的进入下一道工序，不合格的作为不合格品进入破碎工序。</w:t>
            </w:r>
          </w:p>
          <w:p w14:paraId="0AE924E5">
            <w:pPr>
              <w:pageBreakBefore w:val="0"/>
              <w:numPr>
                <w:ilvl w:val="0"/>
                <w:numId w:val="0"/>
              </w:numPr>
              <w:tabs>
                <w:tab w:val="left" w:pos="0"/>
              </w:tabs>
              <w:wordWrap w:val="0"/>
              <w:overflowPunct/>
              <w:bidi w:val="0"/>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bCs/>
                <w:color w:val="auto"/>
                <w:highlight w:val="none"/>
                <w:lang w:val="en-US" w:eastAsia="zh-CN"/>
              </w:rPr>
              <w:t>（4）喷漆、烘干：</w:t>
            </w:r>
            <w:r>
              <w:rPr>
                <w:rFonts w:hint="default" w:ascii="Times New Roman" w:hAnsi="Times New Roman" w:cs="Times New Roman"/>
                <w:b w:val="0"/>
                <w:bCs w:val="0"/>
                <w:color w:val="auto"/>
                <w:highlight w:val="none"/>
                <w:lang w:val="en-US" w:eastAsia="zh-CN"/>
              </w:rPr>
              <w:t>本项目喷漆工序设2个手动喷漆柜，水性、油性各一个，对</w:t>
            </w:r>
            <w:r>
              <w:rPr>
                <w:rFonts w:hint="eastAsia" w:cs="Times New Roman"/>
                <w:b w:val="0"/>
                <w:bCs w:val="0"/>
                <w:color w:val="auto"/>
                <w:highlight w:val="none"/>
                <w:lang w:val="en-US" w:eastAsia="zh-CN"/>
              </w:rPr>
              <w:t>20%</w:t>
            </w:r>
            <w:r>
              <w:rPr>
                <w:rFonts w:hint="default" w:ascii="Times New Roman" w:hAnsi="Times New Roman" w:cs="Times New Roman"/>
                <w:b w:val="0"/>
                <w:bCs w:val="0"/>
                <w:color w:val="auto"/>
                <w:highlight w:val="none"/>
                <w:lang w:val="en-US" w:eastAsia="zh-CN"/>
              </w:rPr>
              <w:t>塑料件进行喷漆作业，均只喷一遍，其中</w:t>
            </w:r>
            <w:r>
              <w:rPr>
                <w:rFonts w:hint="eastAsia" w:cs="Times New Roman"/>
                <w:b w:val="0"/>
                <w:bCs w:val="0"/>
                <w:color w:val="auto"/>
                <w:highlight w:val="none"/>
                <w:lang w:val="en-US" w:eastAsia="zh-CN"/>
              </w:rPr>
              <w:t>80</w:t>
            </w:r>
            <w:r>
              <w:rPr>
                <w:rFonts w:hint="default" w:ascii="Times New Roman" w:hAnsi="Times New Roman" w:cs="Times New Roman"/>
                <w:b w:val="0"/>
                <w:bCs w:val="0"/>
                <w:color w:val="auto"/>
                <w:highlight w:val="none"/>
                <w:lang w:val="en-US" w:eastAsia="zh-CN"/>
              </w:rPr>
              <w:t>%喷水性漆，</w:t>
            </w:r>
            <w:r>
              <w:rPr>
                <w:rFonts w:hint="eastAsia" w:cs="Times New Roman"/>
                <w:b w:val="0"/>
                <w:bCs w:val="0"/>
                <w:color w:val="auto"/>
                <w:highlight w:val="none"/>
                <w:lang w:val="en-US" w:eastAsia="zh-CN"/>
              </w:rPr>
              <w:t>20</w:t>
            </w:r>
            <w:r>
              <w:rPr>
                <w:rFonts w:hint="default" w:ascii="Times New Roman" w:hAnsi="Times New Roman" w:cs="Times New Roman"/>
                <w:b w:val="0"/>
                <w:bCs w:val="0"/>
                <w:color w:val="auto"/>
                <w:highlight w:val="none"/>
                <w:lang w:val="en-US" w:eastAsia="zh-CN"/>
              </w:rPr>
              <w:t>%喷油性漆，喷漆厚度10μm。该工序会产生喷漆废气（漆雾、非甲烷总烃、臭气浓度）、喷漆循环水、</w:t>
            </w:r>
            <w:r>
              <w:rPr>
                <w:rFonts w:hint="eastAsia" w:cs="Times New Roman"/>
                <w:b w:val="0"/>
                <w:bCs w:val="0"/>
                <w:color w:val="auto"/>
                <w:highlight w:val="none"/>
                <w:lang w:val="en-US" w:eastAsia="zh-CN"/>
              </w:rPr>
              <w:t>喷枪清洗废液</w:t>
            </w:r>
            <w:r>
              <w:rPr>
                <w:rFonts w:hint="default" w:ascii="Times New Roman" w:hAnsi="Times New Roman" w:cs="Times New Roman"/>
                <w:b w:val="0"/>
                <w:bCs w:val="0"/>
                <w:color w:val="auto"/>
                <w:highlight w:val="none"/>
                <w:lang w:val="en-US" w:eastAsia="zh-CN"/>
              </w:rPr>
              <w:t>、噪声。</w:t>
            </w:r>
          </w:p>
          <w:p w14:paraId="29104853">
            <w:pPr>
              <w:pageBreakBefore w:val="0"/>
              <w:numPr>
                <w:ilvl w:val="0"/>
                <w:numId w:val="0"/>
              </w:numPr>
              <w:tabs>
                <w:tab w:val="left" w:pos="0"/>
              </w:tabs>
              <w:wordWrap w:val="0"/>
              <w:overflowPunct/>
              <w:bidi w:val="0"/>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喷漆后的塑料件进入电烤箱进行烘干固化，烘干温度80℃。该工序会产生烘干废气（非甲烷总烃、臭气浓度）、噪声。</w:t>
            </w:r>
          </w:p>
          <w:p w14:paraId="6C0CA672">
            <w:pPr>
              <w:pageBreakBefore w:val="0"/>
              <w:numPr>
                <w:ilvl w:val="0"/>
                <w:numId w:val="0"/>
              </w:numPr>
              <w:tabs>
                <w:tab w:val="left" w:pos="0"/>
              </w:tabs>
              <w:wordWrap w:val="0"/>
              <w:overflowPunct/>
              <w:bidi w:val="0"/>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bCs/>
                <w:color w:val="auto"/>
                <w:highlight w:val="none"/>
                <w:lang w:val="en-US" w:eastAsia="zh-CN"/>
              </w:rPr>
              <w:t>（5）破碎：</w:t>
            </w:r>
            <w:r>
              <w:rPr>
                <w:rFonts w:hint="default" w:ascii="Times New Roman" w:hAnsi="Times New Roman" w:cs="Times New Roman"/>
                <w:b w:val="0"/>
                <w:bCs w:val="0"/>
                <w:color w:val="auto"/>
                <w:highlight w:val="none"/>
                <w:lang w:val="en-US" w:eastAsia="zh-CN"/>
              </w:rPr>
              <w:t>利用破碎机将本项目产生的不合格品、边角料破碎成长宽约1cm*1cm片块后，重新投入设备中生产，不外卖，该工序主要产生破碎粉尘和噪声。</w:t>
            </w:r>
          </w:p>
          <w:p w14:paraId="00BB16CD">
            <w:pPr>
              <w:pageBreakBefore w:val="0"/>
              <w:numPr>
                <w:ilvl w:val="0"/>
                <w:numId w:val="0"/>
              </w:numPr>
              <w:tabs>
                <w:tab w:val="left" w:pos="0"/>
              </w:tabs>
              <w:wordWrap w:val="0"/>
              <w:overflowPunct/>
              <w:bidi w:val="0"/>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备注：本项目金属模具外购定制，且发外维修</w:t>
            </w:r>
            <w:r>
              <w:rPr>
                <w:rFonts w:hint="eastAsia" w:cs="Times New Roman"/>
                <w:b w:val="0"/>
                <w:bCs w:val="0"/>
                <w:color w:val="auto"/>
                <w:highlight w:val="none"/>
                <w:lang w:val="en-US" w:eastAsia="zh-CN"/>
              </w:rPr>
              <w:t>，不产生废模具</w:t>
            </w:r>
            <w:r>
              <w:rPr>
                <w:rFonts w:hint="default" w:ascii="Times New Roman" w:hAnsi="Times New Roman" w:cs="Times New Roman"/>
                <w:b w:val="0"/>
                <w:bCs w:val="0"/>
                <w:color w:val="auto"/>
                <w:highlight w:val="none"/>
                <w:lang w:val="en-US" w:eastAsia="zh-CN"/>
              </w:rPr>
              <w:t>。</w:t>
            </w:r>
          </w:p>
          <w:p w14:paraId="40CD9A5D">
            <w:pPr>
              <w:pStyle w:val="19"/>
              <w:pageBreakBefore w:val="0"/>
              <w:kinsoku/>
              <w:wordWrap w:val="0"/>
              <w:overflowPunct/>
              <w:topLinePunct w:val="0"/>
              <w:bidi w:val="0"/>
              <w:snapToGrid/>
              <w:ind w:firstLine="480" w:firstLineChars="200"/>
              <w:jc w:val="both"/>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二、产污环节分析</w:t>
            </w:r>
          </w:p>
          <w:p w14:paraId="4D2676C7">
            <w:pPr>
              <w:pStyle w:val="19"/>
              <w:pageBreakBefore w:val="0"/>
              <w:numPr>
                <w:ilvl w:val="0"/>
                <w:numId w:val="6"/>
              </w:numPr>
              <w:wordWrap w:val="0"/>
              <w:overflowPunct/>
              <w:bidi w:val="0"/>
              <w:spacing w:line="240" w:lineRule="auto"/>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zh-CN" w:eastAsia="zh-CN"/>
              </w:rPr>
              <w:t>主要污染节点分析一览表</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4"/>
              <w:gridCol w:w="1014"/>
              <w:gridCol w:w="1014"/>
              <w:gridCol w:w="4864"/>
            </w:tblGrid>
            <w:tr w14:paraId="4C910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0" w:type="pct"/>
                  <w:noWrap w:val="0"/>
                  <w:vAlign w:val="center"/>
                </w:tcPr>
                <w:p w14:paraId="6068723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类别</w:t>
                  </w:r>
                </w:p>
              </w:tc>
              <w:tc>
                <w:tcPr>
                  <w:tcW w:w="1268" w:type="pct"/>
                  <w:gridSpan w:val="2"/>
                  <w:noWrap w:val="0"/>
                  <w:vAlign w:val="center"/>
                </w:tcPr>
                <w:p w14:paraId="2E1F321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污染工序</w:t>
                  </w:r>
                </w:p>
              </w:tc>
              <w:tc>
                <w:tcPr>
                  <w:tcW w:w="3041" w:type="pct"/>
                  <w:noWrap w:val="0"/>
                  <w:vAlign w:val="center"/>
                </w:tcPr>
                <w:p w14:paraId="179A240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主要污染物</w:t>
                  </w:r>
                </w:p>
              </w:tc>
            </w:tr>
            <w:tr w14:paraId="6DBF0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690" w:type="pct"/>
                  <w:vMerge w:val="restart"/>
                  <w:noWrap w:val="0"/>
                  <w:vAlign w:val="center"/>
                </w:tcPr>
                <w:p w14:paraId="107FE3A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废气</w:t>
                  </w:r>
                </w:p>
              </w:tc>
              <w:tc>
                <w:tcPr>
                  <w:tcW w:w="1268" w:type="pct"/>
                  <w:gridSpan w:val="2"/>
                  <w:noWrap w:val="0"/>
                  <w:vAlign w:val="center"/>
                </w:tcPr>
                <w:p w14:paraId="6A03914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破碎</w:t>
                  </w:r>
                </w:p>
              </w:tc>
              <w:tc>
                <w:tcPr>
                  <w:tcW w:w="3041" w:type="pct"/>
                  <w:noWrap w:val="0"/>
                  <w:vAlign w:val="center"/>
                </w:tcPr>
                <w:p w14:paraId="27462E4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颗粒物</w:t>
                  </w:r>
                </w:p>
              </w:tc>
            </w:tr>
            <w:tr w14:paraId="75552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690" w:type="pct"/>
                  <w:vMerge w:val="continue"/>
                  <w:noWrap w:val="0"/>
                  <w:vAlign w:val="center"/>
                </w:tcPr>
                <w:p w14:paraId="16887E8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268" w:type="pct"/>
                  <w:gridSpan w:val="2"/>
                  <w:noWrap w:val="0"/>
                  <w:vAlign w:val="center"/>
                </w:tcPr>
                <w:p w14:paraId="0AA6F40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注塑</w:t>
                  </w:r>
                </w:p>
              </w:tc>
              <w:tc>
                <w:tcPr>
                  <w:tcW w:w="3041" w:type="pct"/>
                  <w:noWrap w:val="0"/>
                  <w:vAlign w:val="center"/>
                </w:tcPr>
                <w:p w14:paraId="3A43528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非甲烷总烃、臭气浓度</w:t>
                  </w:r>
                </w:p>
              </w:tc>
            </w:tr>
            <w:tr w14:paraId="635FB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690" w:type="pct"/>
                  <w:vMerge w:val="continue"/>
                  <w:noWrap w:val="0"/>
                  <w:vAlign w:val="center"/>
                </w:tcPr>
                <w:p w14:paraId="3056173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268" w:type="pct"/>
                  <w:gridSpan w:val="2"/>
                  <w:noWrap w:val="0"/>
                  <w:vAlign w:val="center"/>
                </w:tcPr>
                <w:p w14:paraId="2308062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喷漆</w:t>
                  </w:r>
                  <w:r>
                    <w:rPr>
                      <w:rFonts w:hint="default" w:ascii="Times New Roman" w:hAnsi="Times New Roman" w:cs="Times New Roman"/>
                      <w:color w:val="auto"/>
                      <w:sz w:val="21"/>
                      <w:szCs w:val="21"/>
                      <w:highlight w:val="none"/>
                      <w:lang w:val="en-US" w:eastAsia="zh-CN"/>
                    </w:rPr>
                    <w:t>（含烘干</w:t>
                  </w:r>
                  <w:r>
                    <w:rPr>
                      <w:rFonts w:hint="eastAsia" w:cs="Times New Roman"/>
                      <w:color w:val="auto"/>
                      <w:sz w:val="21"/>
                      <w:szCs w:val="21"/>
                      <w:highlight w:val="none"/>
                      <w:lang w:val="en-US" w:eastAsia="zh-CN"/>
                    </w:rPr>
                    <w:t>、调漆、喷枪清洗</w:t>
                  </w:r>
                  <w:r>
                    <w:rPr>
                      <w:rFonts w:hint="default" w:ascii="Times New Roman" w:hAnsi="Times New Roman" w:cs="Times New Roman"/>
                      <w:color w:val="auto"/>
                      <w:sz w:val="21"/>
                      <w:szCs w:val="21"/>
                      <w:highlight w:val="none"/>
                      <w:lang w:val="en-US" w:eastAsia="zh-CN"/>
                    </w:rPr>
                    <w:t>）</w:t>
                  </w:r>
                </w:p>
              </w:tc>
              <w:tc>
                <w:tcPr>
                  <w:tcW w:w="3041" w:type="pct"/>
                  <w:noWrap w:val="0"/>
                  <w:vAlign w:val="center"/>
                </w:tcPr>
                <w:p w14:paraId="57E7D21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非甲烷总烃、漆雾、臭气浓度</w:t>
                  </w:r>
                </w:p>
              </w:tc>
            </w:tr>
            <w:tr w14:paraId="0EBCB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690" w:type="pct"/>
                  <w:vMerge w:val="restart"/>
                  <w:noWrap w:val="0"/>
                  <w:vAlign w:val="center"/>
                </w:tcPr>
                <w:p w14:paraId="609E82C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废水</w:t>
                  </w:r>
                </w:p>
              </w:tc>
              <w:tc>
                <w:tcPr>
                  <w:tcW w:w="1268" w:type="pct"/>
                  <w:gridSpan w:val="2"/>
                  <w:noWrap w:val="0"/>
                  <w:vAlign w:val="center"/>
                </w:tcPr>
                <w:p w14:paraId="139B31D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冷却</w:t>
                  </w:r>
                </w:p>
              </w:tc>
              <w:tc>
                <w:tcPr>
                  <w:tcW w:w="3041" w:type="pct"/>
                  <w:noWrap w:val="0"/>
                  <w:vAlign w:val="center"/>
                </w:tcPr>
                <w:p w14:paraId="3E3AB40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循环冷却水</w:t>
                  </w:r>
                </w:p>
              </w:tc>
            </w:tr>
            <w:tr w14:paraId="23071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690" w:type="pct"/>
                  <w:vMerge w:val="continue"/>
                  <w:noWrap w:val="0"/>
                  <w:vAlign w:val="center"/>
                </w:tcPr>
                <w:p w14:paraId="07EA2F0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268" w:type="pct"/>
                  <w:gridSpan w:val="2"/>
                  <w:noWrap w:val="0"/>
                  <w:vAlign w:val="center"/>
                </w:tcPr>
                <w:p w14:paraId="6867AB3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喷漆循环</w:t>
                  </w:r>
                </w:p>
              </w:tc>
              <w:tc>
                <w:tcPr>
                  <w:tcW w:w="3041" w:type="pct"/>
                  <w:noWrap w:val="0"/>
                  <w:vAlign w:val="center"/>
                </w:tcPr>
                <w:p w14:paraId="2776983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水帘柜循环水、喷淋塔循环水</w:t>
                  </w:r>
                </w:p>
              </w:tc>
            </w:tr>
            <w:tr w14:paraId="379F3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0" w:type="pct"/>
                  <w:noWrap w:val="0"/>
                  <w:vAlign w:val="center"/>
                </w:tcPr>
                <w:p w14:paraId="1BF2F17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w:t>
                  </w:r>
                </w:p>
              </w:tc>
              <w:tc>
                <w:tcPr>
                  <w:tcW w:w="1268" w:type="pct"/>
                  <w:gridSpan w:val="2"/>
                  <w:noWrap w:val="0"/>
                  <w:vAlign w:val="center"/>
                </w:tcPr>
                <w:p w14:paraId="0189604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生产设备</w:t>
                  </w:r>
                </w:p>
              </w:tc>
              <w:tc>
                <w:tcPr>
                  <w:tcW w:w="3041" w:type="pct"/>
                  <w:noWrap w:val="0"/>
                  <w:vAlign w:val="center"/>
                </w:tcPr>
                <w:p w14:paraId="22F5D87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设备运行时产生的噪声</w:t>
                  </w:r>
                </w:p>
              </w:tc>
            </w:tr>
            <w:tr w14:paraId="0221E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 w:hRule="atLeast"/>
                <w:jc w:val="center"/>
              </w:trPr>
              <w:tc>
                <w:tcPr>
                  <w:tcW w:w="690" w:type="pct"/>
                  <w:vMerge w:val="restart"/>
                  <w:noWrap w:val="0"/>
                  <w:vAlign w:val="center"/>
                </w:tcPr>
                <w:p w14:paraId="75CE20E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固废</w:t>
                  </w:r>
                </w:p>
              </w:tc>
              <w:tc>
                <w:tcPr>
                  <w:tcW w:w="634" w:type="pct"/>
                  <w:vMerge w:val="restart"/>
                  <w:noWrap w:val="0"/>
                  <w:vAlign w:val="center"/>
                </w:tcPr>
                <w:p w14:paraId="7175E41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生产过程</w:t>
                  </w:r>
                </w:p>
              </w:tc>
              <w:tc>
                <w:tcPr>
                  <w:tcW w:w="634" w:type="pct"/>
                  <w:noWrap w:val="0"/>
                  <w:vAlign w:val="center"/>
                </w:tcPr>
                <w:p w14:paraId="56B33D1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一般工业固废</w:t>
                  </w:r>
                </w:p>
              </w:tc>
              <w:tc>
                <w:tcPr>
                  <w:tcW w:w="3041" w:type="pct"/>
                  <w:noWrap w:val="0"/>
                  <w:vAlign w:val="center"/>
                </w:tcPr>
                <w:p w14:paraId="6A7A994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不合格品、边角料破碎后回用于生产线，不外卖；废包装材料收集后交废旧资源收购站综合利用</w:t>
                  </w:r>
                </w:p>
              </w:tc>
            </w:tr>
            <w:tr w14:paraId="693A6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 w:hRule="atLeast"/>
                <w:jc w:val="center"/>
              </w:trPr>
              <w:tc>
                <w:tcPr>
                  <w:tcW w:w="690" w:type="pct"/>
                  <w:vMerge w:val="continue"/>
                  <w:noWrap w:val="0"/>
                  <w:vAlign w:val="center"/>
                </w:tcPr>
                <w:p w14:paraId="4110E55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634" w:type="pct"/>
                  <w:vMerge w:val="continue"/>
                  <w:noWrap w:val="0"/>
                  <w:vAlign w:val="center"/>
                </w:tcPr>
                <w:p w14:paraId="06A9BA6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634" w:type="pct"/>
                  <w:noWrap w:val="0"/>
                  <w:vAlign w:val="center"/>
                </w:tcPr>
                <w:p w14:paraId="141E046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w:t>
                  </w:r>
                </w:p>
              </w:tc>
              <w:tc>
                <w:tcPr>
                  <w:tcW w:w="3041" w:type="pct"/>
                  <w:noWrap w:val="0"/>
                  <w:vAlign w:val="center"/>
                </w:tcPr>
                <w:p w14:paraId="13C8038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废油桶、</w:t>
                  </w:r>
                  <w:r>
                    <w:rPr>
                      <w:rFonts w:hint="default" w:ascii="Times New Roman" w:hAnsi="Times New Roman" w:cs="Times New Roman"/>
                      <w:color w:val="auto"/>
                      <w:sz w:val="21"/>
                      <w:szCs w:val="21"/>
                      <w:highlight w:val="none"/>
                      <w:lang w:val="en-US" w:eastAsia="zh-CN"/>
                    </w:rPr>
                    <w:t>废机油、</w:t>
                  </w:r>
                  <w:r>
                    <w:rPr>
                      <w:rFonts w:hint="default" w:ascii="Times New Roman" w:hAnsi="Times New Roman" w:eastAsia="宋体" w:cs="Times New Roman"/>
                      <w:color w:val="auto"/>
                      <w:sz w:val="21"/>
                      <w:szCs w:val="21"/>
                      <w:highlight w:val="none"/>
                      <w:lang w:val="en-US" w:eastAsia="zh-CN"/>
                    </w:rPr>
                    <w:t>废抹布、</w:t>
                  </w:r>
                  <w:r>
                    <w:rPr>
                      <w:rFonts w:hint="eastAsia" w:cs="Times New Roman"/>
                      <w:color w:val="auto"/>
                      <w:sz w:val="21"/>
                      <w:szCs w:val="21"/>
                      <w:highlight w:val="none"/>
                      <w:lang w:val="en-US" w:eastAsia="zh-CN"/>
                    </w:rPr>
                    <w:t>喷枪清洗废液</w:t>
                  </w:r>
                  <w:r>
                    <w:rPr>
                      <w:rFonts w:hint="default" w:ascii="Times New Roman" w:hAnsi="Times New Roman" w:cs="Times New Roman"/>
                      <w:color w:val="auto"/>
                      <w:sz w:val="21"/>
                      <w:szCs w:val="21"/>
                      <w:highlight w:val="none"/>
                      <w:lang w:val="en-US" w:eastAsia="zh-CN"/>
                    </w:rPr>
                    <w:t>、喷漆废水</w:t>
                  </w:r>
                  <w:r>
                    <w:rPr>
                      <w:rFonts w:hint="default" w:ascii="Times New Roman" w:hAnsi="Times New Roman" w:eastAsia="宋体" w:cs="Times New Roman"/>
                      <w:color w:val="auto"/>
                      <w:sz w:val="21"/>
                      <w:szCs w:val="21"/>
                      <w:highlight w:val="none"/>
                      <w:lang w:val="en-US" w:eastAsia="zh-CN"/>
                    </w:rPr>
                    <w:t>、漆渣、废原料桶、废过滤棉、废活性炭收集后交由有资质的危废单位处理</w:t>
                  </w:r>
                </w:p>
              </w:tc>
            </w:tr>
          </w:tbl>
          <w:p w14:paraId="3565955E">
            <w:pPr>
              <w:pStyle w:val="12"/>
              <w:pageBreakBefore w:val="0"/>
              <w:kinsoku/>
              <w:wordWrap w:val="0"/>
              <w:overflowPunct/>
              <w:topLinePunct w:val="0"/>
              <w:bidi w:val="0"/>
              <w:snapToGrid/>
              <w:ind w:firstLine="0" w:firstLineChars="0"/>
              <w:outlineLvl w:val="9"/>
              <w:rPr>
                <w:rFonts w:hint="default" w:ascii="Times New Roman" w:hAnsi="Times New Roman" w:cs="Times New Roman"/>
                <w:b/>
                <w:bCs/>
                <w:color w:val="auto"/>
                <w:sz w:val="21"/>
                <w:szCs w:val="21"/>
                <w:highlight w:val="none"/>
              </w:rPr>
            </w:pPr>
          </w:p>
        </w:tc>
      </w:tr>
      <w:tr w14:paraId="73790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6" w:type="pct"/>
            <w:vAlign w:val="center"/>
          </w:tcPr>
          <w:p w14:paraId="4A4A30B5">
            <w:pPr>
              <w:keepNext w:val="0"/>
              <w:keepLines w:val="0"/>
              <w:pageBreakBefore w:val="0"/>
              <w:widowControl w:val="0"/>
              <w:numPr>
                <w:ilvl w:val="1"/>
                <w:numId w:val="0"/>
              </w:numPr>
              <w:tabs>
                <w:tab w:val="left" w:pos="420"/>
              </w:tabs>
              <w:kinsoku/>
              <w:wordWrap w:val="0"/>
              <w:overflowPunct/>
              <w:topLinePunct w:val="0"/>
              <w:autoSpaceDE/>
              <w:autoSpaceDN/>
              <w:bidi w:val="0"/>
              <w:adjustRightInd w:val="0"/>
              <w:snapToGrid w:val="0"/>
              <w:spacing w:line="240" w:lineRule="auto"/>
              <w:textAlignment w:val="auto"/>
              <w:outlineLvl w:val="9"/>
              <w:rPr>
                <w:rFonts w:hint="default" w:ascii="Times New Roman" w:hAnsi="Times New Roman" w:cs="Times New Roman"/>
                <w:color w:val="auto"/>
                <w:highlight w:val="none"/>
              </w:rPr>
            </w:pPr>
            <w:bookmarkStart w:id="26" w:name="_Toc5613"/>
            <w:bookmarkStart w:id="27" w:name="_Toc13420"/>
            <w:bookmarkStart w:id="28" w:name="_Toc631"/>
            <w:bookmarkStart w:id="29" w:name="_Toc5833"/>
            <w:bookmarkStart w:id="30" w:name="_Toc11592"/>
            <w:bookmarkStart w:id="31" w:name="_Toc14546"/>
            <w:bookmarkStart w:id="32" w:name="_Toc8130"/>
            <w:bookmarkStart w:id="33" w:name="_Toc21908"/>
            <w:bookmarkStart w:id="34" w:name="_Toc25856"/>
            <w:bookmarkStart w:id="35" w:name="_Toc24696"/>
            <w:r>
              <w:rPr>
                <w:rFonts w:hint="default" w:ascii="Times New Roman" w:hAnsi="Times New Roman" w:cs="Times New Roman"/>
                <w:color w:val="auto"/>
                <w:highlight w:val="none"/>
              </w:rPr>
              <w:t>与项目有关的原有环境污染问题</w:t>
            </w:r>
            <w:bookmarkEnd w:id="26"/>
            <w:bookmarkEnd w:id="27"/>
            <w:bookmarkEnd w:id="28"/>
            <w:bookmarkEnd w:id="29"/>
            <w:bookmarkEnd w:id="30"/>
            <w:bookmarkEnd w:id="31"/>
            <w:bookmarkEnd w:id="32"/>
            <w:bookmarkEnd w:id="33"/>
            <w:bookmarkEnd w:id="34"/>
            <w:bookmarkEnd w:id="35"/>
          </w:p>
        </w:tc>
        <w:tc>
          <w:tcPr>
            <w:tcW w:w="4733" w:type="pct"/>
            <w:vAlign w:val="center"/>
          </w:tcPr>
          <w:p w14:paraId="289B769C">
            <w:pPr>
              <w:pStyle w:val="5"/>
              <w:pageBreakBefore w:val="0"/>
              <w:numPr>
                <w:ilvl w:val="3"/>
                <w:numId w:val="0"/>
              </w:numPr>
              <w:wordWrap w:val="0"/>
              <w:overflowPunct/>
              <w:bidi w:val="0"/>
              <w:ind w:firstLine="480" w:firstLineChars="200"/>
              <w:rPr>
                <w:rFonts w:hint="default" w:ascii="Times New Roman" w:hAnsi="Times New Roman" w:eastAsia="宋体" w:cs="Times New Roman"/>
                <w:b w:val="0"/>
                <w:color w:val="auto"/>
                <w:szCs w:val="24"/>
                <w:highlight w:val="none"/>
              </w:rPr>
            </w:pPr>
            <w:r>
              <w:rPr>
                <w:rFonts w:hint="default" w:ascii="Times New Roman" w:hAnsi="Times New Roman" w:eastAsia="宋体" w:cs="Times New Roman"/>
                <w:b w:val="0"/>
                <w:color w:val="auto"/>
                <w:szCs w:val="24"/>
                <w:highlight w:val="none"/>
                <w:lang w:val="en-US" w:eastAsia="zh-CN"/>
              </w:rPr>
              <w:t>本项目为扩建项目，原项目于2017年9月29日取得了《韶关市环境保护局关于乐昌市沃府新材料有限公司乐昌市沃府新材料科技项目环境影响报告书的批复》（韶环审</w:t>
            </w:r>
            <w:r>
              <w:rPr>
                <w:rFonts w:hint="eastAsia" w:cs="Times New Roman"/>
                <w:b w:val="0"/>
                <w:color w:val="auto"/>
                <w:szCs w:val="24"/>
                <w:highlight w:val="none"/>
                <w:lang w:val="en-US" w:eastAsia="zh-CN"/>
              </w:rPr>
              <w:t>〔2017〕177号</w:t>
            </w:r>
            <w:r>
              <w:rPr>
                <w:rFonts w:hint="default" w:ascii="Times New Roman" w:hAnsi="Times New Roman" w:eastAsia="宋体" w:cs="Times New Roman"/>
                <w:b w:val="0"/>
                <w:color w:val="auto"/>
                <w:szCs w:val="24"/>
                <w:highlight w:val="none"/>
                <w:lang w:val="en-US" w:eastAsia="zh-CN"/>
              </w:rPr>
              <w:t>）；于2018年5月27日完成了乐昌市沃府新材料有限公司乐昌市沃府新材料科技项目</w:t>
            </w:r>
            <w:r>
              <w:rPr>
                <w:rFonts w:hint="eastAsia" w:cs="Times New Roman"/>
                <w:b w:val="0"/>
                <w:color w:val="auto"/>
                <w:szCs w:val="24"/>
                <w:highlight w:val="none"/>
                <w:lang w:val="en-US" w:eastAsia="zh-CN"/>
              </w:rPr>
              <w:t>（</w:t>
            </w:r>
            <w:r>
              <w:rPr>
                <w:rFonts w:hint="default" w:ascii="Times New Roman" w:hAnsi="Times New Roman" w:eastAsia="宋体" w:cs="Times New Roman"/>
                <w:b w:val="0"/>
                <w:color w:val="auto"/>
                <w:szCs w:val="24"/>
                <w:highlight w:val="none"/>
                <w:lang w:val="en-US" w:eastAsia="zh-CN"/>
              </w:rPr>
              <w:t>一期</w:t>
            </w:r>
            <w:r>
              <w:rPr>
                <w:rFonts w:hint="eastAsia" w:cs="Times New Roman"/>
                <w:b w:val="0"/>
                <w:color w:val="auto"/>
                <w:szCs w:val="24"/>
                <w:highlight w:val="none"/>
                <w:lang w:val="en-US" w:eastAsia="zh-CN"/>
              </w:rPr>
              <w:t>）</w:t>
            </w:r>
            <w:r>
              <w:rPr>
                <w:rFonts w:hint="default" w:ascii="Times New Roman" w:hAnsi="Times New Roman" w:eastAsia="宋体" w:cs="Times New Roman"/>
                <w:b w:val="0"/>
                <w:color w:val="auto"/>
                <w:szCs w:val="24"/>
                <w:highlight w:val="none"/>
                <w:lang w:val="en-US" w:eastAsia="zh-CN"/>
              </w:rPr>
              <w:t>的自主验收；于2021年12月27日完成了广东沃府实业有限公司乐昌市沃府新材料科技项目二期建设项目的自主验收；三期暂未进行建设；于2020</w:t>
            </w:r>
            <w:r>
              <w:rPr>
                <w:rFonts w:hint="eastAsia" w:cs="Times New Roman"/>
                <w:b w:val="0"/>
                <w:color w:val="auto"/>
                <w:szCs w:val="24"/>
                <w:highlight w:val="none"/>
                <w:lang w:val="en-US" w:eastAsia="zh-CN"/>
              </w:rPr>
              <w:t>年</w:t>
            </w:r>
            <w:r>
              <w:rPr>
                <w:rFonts w:hint="default" w:ascii="Times New Roman" w:hAnsi="Times New Roman" w:eastAsia="宋体" w:cs="Times New Roman"/>
                <w:b w:val="0"/>
                <w:color w:val="auto"/>
                <w:szCs w:val="24"/>
                <w:highlight w:val="none"/>
                <w:lang w:val="en-US" w:eastAsia="zh-CN"/>
              </w:rPr>
              <w:t>5月6日取得了排污许可证（编号：91440281MA53JEL554001U）并于2023年12月11日重新申领，目前在有效期内</w:t>
            </w:r>
            <w:r>
              <w:rPr>
                <w:rFonts w:hint="default" w:ascii="Times New Roman" w:hAnsi="Times New Roman" w:eastAsia="宋体" w:cs="Times New Roman"/>
                <w:b w:val="0"/>
                <w:color w:val="auto"/>
                <w:szCs w:val="24"/>
                <w:highlight w:val="none"/>
              </w:rPr>
              <w:t>，现有项目环保审批、验收手续齐全。</w:t>
            </w:r>
          </w:p>
          <w:p w14:paraId="57FA00B5">
            <w:pPr>
              <w:pStyle w:val="5"/>
              <w:pageBreakBefore w:val="0"/>
              <w:numPr>
                <w:ilvl w:val="3"/>
                <w:numId w:val="0"/>
              </w:numPr>
              <w:wordWrap w:val="0"/>
              <w:overflowPunct/>
              <w:bidi w:val="0"/>
              <w:ind w:firstLine="480" w:firstLineChars="200"/>
              <w:rPr>
                <w:rFonts w:hint="default" w:ascii="Times New Roman" w:hAnsi="Times New Roman" w:eastAsia="宋体" w:cs="Times New Roman"/>
                <w:b w:val="0"/>
                <w:color w:val="auto"/>
                <w:szCs w:val="24"/>
                <w:highlight w:val="none"/>
                <w:lang w:val="en-US" w:eastAsia="zh-CN"/>
              </w:rPr>
            </w:pPr>
            <w:r>
              <w:rPr>
                <w:rFonts w:hint="default" w:ascii="Times New Roman" w:hAnsi="Times New Roman" w:eastAsia="宋体" w:cs="Times New Roman"/>
                <w:b w:val="0"/>
                <w:color w:val="auto"/>
                <w:szCs w:val="24"/>
                <w:highlight w:val="none"/>
                <w:lang w:val="en-US" w:eastAsia="zh-CN"/>
              </w:rPr>
              <w:t>建设单位后续不再建设三期项目内容，根据原项目2023年4月向环境管理部门提交的《广东沃府实业有限公司VOCs重点监管企业管理手册》，报告中已说明广东沃府实业有限公司目前已完成对车间集气设施进行改造，加建负压密闭车间，对生产设备用铁皮包裹，安装玻璃透光，新增新风送风系统，加大末端风机功率；并对末端治理设施升级改造为气旋喷淋塔+二级活性炭吸附+脱附+催化燃烧；根据手册计算，改造后VOCs总量指标为5.194t/a。</w:t>
            </w:r>
          </w:p>
          <w:p w14:paraId="7A0B02DD">
            <w:pPr>
              <w:pStyle w:val="19"/>
              <w:pageBreakBefore w:val="0"/>
              <w:numPr>
                <w:ilvl w:val="0"/>
                <w:numId w:val="6"/>
              </w:numPr>
              <w:wordWrap w:val="0"/>
              <w:overflowPunct/>
              <w:bidi w:val="0"/>
              <w:spacing w:line="240" w:lineRule="auto"/>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现有工程具体建设内容</w:t>
            </w:r>
            <w:r>
              <w:rPr>
                <w:rFonts w:hint="eastAsia" w:ascii="Times New Roman" w:hAnsi="Times New Roman" w:cs="Times New Roman"/>
                <w:color w:val="auto"/>
                <w:highlight w:val="none"/>
                <w:lang w:val="en-US" w:eastAsia="zh-CN"/>
              </w:rPr>
              <w:t>及建设、验收情况</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8"/>
              <w:gridCol w:w="3601"/>
              <w:gridCol w:w="837"/>
              <w:gridCol w:w="529"/>
              <w:gridCol w:w="529"/>
              <w:gridCol w:w="1972"/>
            </w:tblGrid>
            <w:tr w14:paraId="50266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9BB219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项目</w:t>
                  </w:r>
                </w:p>
              </w:tc>
              <w:tc>
                <w:tcPr>
                  <w:tcW w:w="0" w:type="auto"/>
                  <w:vAlign w:val="center"/>
                </w:tcPr>
                <w:p w14:paraId="165223E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工程内容</w:t>
                  </w:r>
                </w:p>
              </w:tc>
              <w:tc>
                <w:tcPr>
                  <w:tcW w:w="0" w:type="auto"/>
                  <w:vAlign w:val="center"/>
                </w:tcPr>
                <w:p w14:paraId="4358134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生产线</w:t>
                  </w:r>
                </w:p>
              </w:tc>
              <w:tc>
                <w:tcPr>
                  <w:tcW w:w="0" w:type="auto"/>
                  <w:vAlign w:val="center"/>
                </w:tcPr>
                <w:p w14:paraId="14EF8B6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单位</w:t>
                  </w:r>
                </w:p>
              </w:tc>
              <w:tc>
                <w:tcPr>
                  <w:tcW w:w="0" w:type="auto"/>
                  <w:vAlign w:val="center"/>
                </w:tcPr>
                <w:p w14:paraId="4715DC7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数量</w:t>
                  </w:r>
                </w:p>
              </w:tc>
              <w:tc>
                <w:tcPr>
                  <w:tcW w:w="0" w:type="auto"/>
                  <w:vAlign w:val="center"/>
                </w:tcPr>
                <w:p w14:paraId="62524A7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建设、验收情况</w:t>
                  </w:r>
                </w:p>
              </w:tc>
            </w:tr>
            <w:tr w14:paraId="02F2A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3BECAD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一期</w:t>
                  </w:r>
                </w:p>
              </w:tc>
              <w:tc>
                <w:tcPr>
                  <w:tcW w:w="0" w:type="auto"/>
                  <w:vAlign w:val="center"/>
                </w:tcPr>
                <w:p w14:paraId="58C7471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1号厂房挤出车间，总建筑面积9016m</w:t>
                  </w:r>
                  <w:r>
                    <w:rPr>
                      <w:rFonts w:hint="default" w:ascii="Times New Roman" w:hAnsi="Times New Roman" w:cs="Times New Roman"/>
                      <w:color w:val="auto"/>
                      <w:sz w:val="21"/>
                      <w:szCs w:val="21"/>
                      <w:vertAlign w:val="superscript"/>
                      <w:lang w:val="en-US" w:eastAsia="zh-CN"/>
                    </w:rPr>
                    <w:t>2</w:t>
                  </w:r>
                </w:p>
              </w:tc>
              <w:tc>
                <w:tcPr>
                  <w:tcW w:w="0" w:type="auto"/>
                  <w:vAlign w:val="center"/>
                </w:tcPr>
                <w:p w14:paraId="1C3E43BC">
                  <w:pPr>
                    <w:pageBreakBefore w:val="0"/>
                    <w:wordWrap w:val="0"/>
                    <w:overflowPunct/>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挤出生产线</w:t>
                  </w:r>
                </w:p>
              </w:tc>
              <w:tc>
                <w:tcPr>
                  <w:tcW w:w="0" w:type="auto"/>
                  <w:vAlign w:val="center"/>
                </w:tcPr>
                <w:p w14:paraId="7C13808E">
                  <w:pPr>
                    <w:pageBreakBefore w:val="0"/>
                    <w:wordWrap w:val="0"/>
                    <w:overflowPunct/>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条</w:t>
                  </w:r>
                </w:p>
              </w:tc>
              <w:tc>
                <w:tcPr>
                  <w:tcW w:w="0" w:type="auto"/>
                  <w:vAlign w:val="center"/>
                </w:tcPr>
                <w:p w14:paraId="44E3FD1D">
                  <w:pPr>
                    <w:pageBreakBefore w:val="0"/>
                    <w:wordWrap w:val="0"/>
                    <w:overflowPunct/>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5</w:t>
                  </w:r>
                </w:p>
              </w:tc>
              <w:tc>
                <w:tcPr>
                  <w:tcW w:w="0" w:type="auto"/>
                  <w:vMerge w:val="restart"/>
                  <w:vAlign w:val="center"/>
                </w:tcPr>
                <w:p w14:paraId="5FA88D6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已建设、已验收</w:t>
                  </w:r>
                </w:p>
              </w:tc>
            </w:tr>
            <w:tr w14:paraId="1A911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6F4BFA7">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二期</w:t>
                  </w:r>
                </w:p>
              </w:tc>
              <w:tc>
                <w:tcPr>
                  <w:tcW w:w="0" w:type="auto"/>
                  <w:vAlign w:val="center"/>
                </w:tcPr>
                <w:p w14:paraId="2F3927D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3号厂房挤出车间，2、4号厂房仓库，总建筑面积27048m</w:t>
                  </w:r>
                  <w:r>
                    <w:rPr>
                      <w:rFonts w:hint="default" w:ascii="Times New Roman" w:hAnsi="Times New Roman" w:cs="Times New Roman"/>
                      <w:color w:val="auto"/>
                      <w:sz w:val="21"/>
                      <w:szCs w:val="21"/>
                      <w:vertAlign w:val="superscript"/>
                      <w:lang w:val="en-US" w:eastAsia="zh-CN"/>
                    </w:rPr>
                    <w:t>2</w:t>
                  </w:r>
                </w:p>
              </w:tc>
              <w:tc>
                <w:tcPr>
                  <w:tcW w:w="0" w:type="auto"/>
                  <w:vAlign w:val="center"/>
                </w:tcPr>
                <w:p w14:paraId="5BFF8E35">
                  <w:pPr>
                    <w:pageBreakBefore w:val="0"/>
                    <w:wordWrap w:val="0"/>
                    <w:overflowPunct/>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挤出生产线</w:t>
                  </w:r>
                </w:p>
              </w:tc>
              <w:tc>
                <w:tcPr>
                  <w:tcW w:w="0" w:type="auto"/>
                  <w:vAlign w:val="center"/>
                </w:tcPr>
                <w:p w14:paraId="4FEDC4C7">
                  <w:pPr>
                    <w:pageBreakBefore w:val="0"/>
                    <w:wordWrap w:val="0"/>
                    <w:overflowPunct/>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条</w:t>
                  </w:r>
                </w:p>
              </w:tc>
              <w:tc>
                <w:tcPr>
                  <w:tcW w:w="0" w:type="auto"/>
                  <w:vAlign w:val="center"/>
                </w:tcPr>
                <w:p w14:paraId="2D127107">
                  <w:pPr>
                    <w:pageBreakBefore w:val="0"/>
                    <w:wordWrap w:val="0"/>
                    <w:overflowPunct/>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15</w:t>
                  </w:r>
                </w:p>
              </w:tc>
              <w:tc>
                <w:tcPr>
                  <w:tcW w:w="0" w:type="auto"/>
                  <w:vMerge w:val="continue"/>
                  <w:vAlign w:val="center"/>
                </w:tcPr>
                <w:p w14:paraId="734D2A5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p>
              </w:tc>
            </w:tr>
            <w:tr w14:paraId="2E527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D1CC5E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三期</w:t>
                  </w:r>
                </w:p>
              </w:tc>
              <w:tc>
                <w:tcPr>
                  <w:tcW w:w="0" w:type="auto"/>
                  <w:vAlign w:val="center"/>
                </w:tcPr>
                <w:p w14:paraId="5F647AD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7、8号厂房挤出车间，5、6、9、10号厂房仓库，总建筑面积57408m</w:t>
                  </w:r>
                  <w:r>
                    <w:rPr>
                      <w:rFonts w:hint="default" w:ascii="Times New Roman" w:hAnsi="Times New Roman" w:cs="Times New Roman"/>
                      <w:color w:val="auto"/>
                      <w:sz w:val="21"/>
                      <w:szCs w:val="21"/>
                      <w:vertAlign w:val="superscript"/>
                      <w:lang w:val="en-US" w:eastAsia="zh-CN"/>
                    </w:rPr>
                    <w:t>2</w:t>
                  </w:r>
                </w:p>
              </w:tc>
              <w:tc>
                <w:tcPr>
                  <w:tcW w:w="0" w:type="auto"/>
                  <w:vAlign w:val="center"/>
                </w:tcPr>
                <w:p w14:paraId="29514F62">
                  <w:pPr>
                    <w:pageBreakBefore w:val="0"/>
                    <w:wordWrap w:val="0"/>
                    <w:overflowPunct/>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挤出生产线</w:t>
                  </w:r>
                </w:p>
              </w:tc>
              <w:tc>
                <w:tcPr>
                  <w:tcW w:w="0" w:type="auto"/>
                  <w:vAlign w:val="center"/>
                </w:tcPr>
                <w:p w14:paraId="2EFB24BB">
                  <w:pPr>
                    <w:pageBreakBefore w:val="0"/>
                    <w:wordWrap w:val="0"/>
                    <w:overflowPunct/>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条</w:t>
                  </w:r>
                </w:p>
              </w:tc>
              <w:tc>
                <w:tcPr>
                  <w:tcW w:w="0" w:type="auto"/>
                  <w:vAlign w:val="center"/>
                </w:tcPr>
                <w:p w14:paraId="798B8C48">
                  <w:pPr>
                    <w:pageBreakBefore w:val="0"/>
                    <w:wordWrap w:val="0"/>
                    <w:overflowPunct/>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15</w:t>
                  </w:r>
                </w:p>
              </w:tc>
              <w:tc>
                <w:tcPr>
                  <w:tcW w:w="0" w:type="auto"/>
                  <w:vAlign w:val="center"/>
                </w:tcPr>
                <w:p w14:paraId="1D9D033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未建设、未验收（后续不再建设）</w:t>
                  </w:r>
                </w:p>
              </w:tc>
            </w:tr>
          </w:tbl>
          <w:p w14:paraId="47F2D243">
            <w:pPr>
              <w:pStyle w:val="5"/>
              <w:pageBreakBefore w:val="0"/>
              <w:numPr>
                <w:ilvl w:val="3"/>
                <w:numId w:val="0"/>
              </w:numPr>
              <w:wordWrap w:val="0"/>
              <w:overflowPunct/>
              <w:bidi w:val="0"/>
              <w:ind w:firstLine="480" w:firstLineChars="200"/>
              <w:rPr>
                <w:rFonts w:hint="default" w:ascii="Times New Roman" w:hAnsi="Times New Roman" w:eastAsia="宋体" w:cs="Times New Roman"/>
                <w:b w:val="0"/>
                <w:color w:val="auto"/>
                <w:szCs w:val="24"/>
                <w:highlight w:val="none"/>
                <w:lang w:val="en-US" w:eastAsia="zh-CN"/>
              </w:rPr>
            </w:pPr>
            <w:r>
              <w:rPr>
                <w:rFonts w:hint="default" w:ascii="Times New Roman" w:hAnsi="Times New Roman" w:eastAsia="宋体" w:cs="Times New Roman"/>
                <w:b/>
                <w:bCs w:val="0"/>
                <w:color w:val="auto"/>
                <w:szCs w:val="24"/>
                <w:highlight w:val="none"/>
                <w:lang w:val="en-US" w:eastAsia="zh-CN"/>
              </w:rPr>
              <w:t>（1）废水：</w:t>
            </w:r>
          </w:p>
          <w:p w14:paraId="5FA5A570">
            <w:pPr>
              <w:pStyle w:val="5"/>
              <w:pageBreakBefore w:val="0"/>
              <w:numPr>
                <w:ilvl w:val="3"/>
                <w:numId w:val="0"/>
              </w:numPr>
              <w:wordWrap w:val="0"/>
              <w:overflowPunct/>
              <w:bidi w:val="0"/>
              <w:ind w:firstLine="480" w:firstLineChars="200"/>
              <w:rPr>
                <w:rFonts w:hint="default" w:ascii="Times New Roman" w:hAnsi="Times New Roman" w:eastAsia="宋体" w:cs="Times New Roman"/>
                <w:b w:val="0"/>
                <w:color w:val="auto"/>
                <w:szCs w:val="24"/>
                <w:highlight w:val="none"/>
                <w:lang w:val="en-US" w:eastAsia="zh-CN"/>
              </w:rPr>
            </w:pPr>
            <w:r>
              <w:rPr>
                <w:rFonts w:hint="default" w:ascii="Times New Roman" w:hAnsi="Times New Roman" w:eastAsia="宋体" w:cs="Times New Roman"/>
                <w:b w:val="0"/>
                <w:color w:val="auto"/>
                <w:szCs w:val="24"/>
                <w:highlight w:val="none"/>
                <w:lang w:val="en-US" w:eastAsia="zh-CN"/>
              </w:rPr>
              <w:t>原项目废水主要来源于员工日常生活污水和车间清洗废水</w:t>
            </w:r>
            <w:r>
              <w:rPr>
                <w:rFonts w:hint="default" w:ascii="Times New Roman" w:hAnsi="Times New Roman" w:cs="Times New Roman"/>
                <w:b w:val="0"/>
                <w:color w:val="auto"/>
                <w:szCs w:val="24"/>
                <w:highlight w:val="none"/>
                <w:lang w:val="en-US" w:eastAsia="zh-CN"/>
              </w:rPr>
              <w:t>。</w:t>
            </w:r>
          </w:p>
          <w:p w14:paraId="0B7EA406">
            <w:pPr>
              <w:pStyle w:val="5"/>
              <w:pageBreakBefore w:val="0"/>
              <w:numPr>
                <w:ilvl w:val="3"/>
                <w:numId w:val="0"/>
              </w:numPr>
              <w:wordWrap w:val="0"/>
              <w:overflowPunct/>
              <w:bidi w:val="0"/>
              <w:ind w:firstLine="480" w:firstLineChars="200"/>
              <w:rPr>
                <w:rFonts w:hint="default" w:ascii="Times New Roman" w:hAnsi="Times New Roman" w:eastAsia="宋体" w:cs="Times New Roman"/>
                <w:b w:val="0"/>
                <w:color w:val="auto"/>
                <w:szCs w:val="24"/>
                <w:highlight w:val="none"/>
                <w:lang w:val="en-US" w:eastAsia="zh-CN"/>
              </w:rPr>
            </w:pPr>
            <w:r>
              <w:rPr>
                <w:rFonts w:hint="default" w:ascii="Times New Roman" w:hAnsi="Times New Roman" w:eastAsia="宋体" w:cs="Times New Roman"/>
                <w:b w:val="0"/>
                <w:color w:val="auto"/>
                <w:szCs w:val="24"/>
                <w:highlight w:val="none"/>
                <w:lang w:val="en-US" w:eastAsia="zh-CN"/>
              </w:rPr>
              <w:t>根据原项目报告书，生活污水排放量为2419.2m</w:t>
            </w:r>
            <w:r>
              <w:rPr>
                <w:rFonts w:hint="default" w:ascii="Times New Roman" w:hAnsi="Times New Roman" w:eastAsia="宋体" w:cs="Times New Roman"/>
                <w:b w:val="0"/>
                <w:color w:val="auto"/>
                <w:szCs w:val="24"/>
                <w:highlight w:val="none"/>
                <w:vertAlign w:val="superscript"/>
                <w:lang w:val="en-US" w:eastAsia="zh-CN"/>
              </w:rPr>
              <w:t>3</w:t>
            </w:r>
            <w:r>
              <w:rPr>
                <w:rFonts w:hint="default" w:ascii="Times New Roman" w:hAnsi="Times New Roman" w:eastAsia="宋体" w:cs="Times New Roman"/>
                <w:b w:val="0"/>
                <w:color w:val="auto"/>
                <w:szCs w:val="24"/>
                <w:highlight w:val="none"/>
                <w:lang w:val="en-US" w:eastAsia="zh-CN"/>
              </w:rPr>
              <w:t>/a，车间清洗废水排放量为608.4m</w:t>
            </w:r>
            <w:r>
              <w:rPr>
                <w:rFonts w:hint="default" w:ascii="Times New Roman" w:hAnsi="Times New Roman" w:eastAsia="宋体" w:cs="Times New Roman"/>
                <w:b w:val="0"/>
                <w:color w:val="auto"/>
                <w:szCs w:val="24"/>
                <w:highlight w:val="none"/>
                <w:vertAlign w:val="superscript"/>
                <w:lang w:val="en-US" w:eastAsia="zh-CN"/>
              </w:rPr>
              <w:t>3</w:t>
            </w:r>
            <w:r>
              <w:rPr>
                <w:rFonts w:hint="default" w:ascii="Times New Roman" w:hAnsi="Times New Roman" w:eastAsia="宋体" w:cs="Times New Roman"/>
                <w:b w:val="0"/>
                <w:color w:val="auto"/>
                <w:szCs w:val="24"/>
                <w:highlight w:val="none"/>
                <w:lang w:val="en-US" w:eastAsia="zh-CN"/>
              </w:rPr>
              <w:t>/a。职工产生的生活废水经三级化粪池处理后（DW001）与车间清洗废水（DW002）一起经厂排污口排入东莞东坑</w:t>
            </w:r>
            <w:r>
              <w:rPr>
                <w:rFonts w:hint="eastAsia" w:cs="Times New Roman"/>
                <w:b w:val="0"/>
                <w:color w:val="auto"/>
                <w:szCs w:val="24"/>
                <w:highlight w:val="none"/>
                <w:lang w:val="en-US" w:eastAsia="zh-CN"/>
              </w:rPr>
              <w:t>（</w:t>
            </w:r>
            <w:r>
              <w:rPr>
                <w:rFonts w:hint="default" w:ascii="Times New Roman" w:hAnsi="Times New Roman" w:eastAsia="宋体" w:cs="Times New Roman"/>
                <w:b w:val="0"/>
                <w:color w:val="auto"/>
                <w:szCs w:val="24"/>
                <w:highlight w:val="none"/>
                <w:lang w:val="en-US" w:eastAsia="zh-CN"/>
              </w:rPr>
              <w:t>乐昌</w:t>
            </w:r>
            <w:r>
              <w:rPr>
                <w:rFonts w:hint="eastAsia" w:cs="Times New Roman"/>
                <w:b w:val="0"/>
                <w:color w:val="auto"/>
                <w:szCs w:val="24"/>
                <w:highlight w:val="none"/>
                <w:lang w:val="en-US" w:eastAsia="zh-CN"/>
              </w:rPr>
              <w:t>）</w:t>
            </w:r>
            <w:r>
              <w:rPr>
                <w:rFonts w:hint="default" w:ascii="Times New Roman" w:hAnsi="Times New Roman" w:eastAsia="宋体" w:cs="Times New Roman"/>
                <w:b w:val="0"/>
                <w:color w:val="auto"/>
                <w:szCs w:val="24"/>
                <w:highlight w:val="none"/>
                <w:lang w:val="en-US" w:eastAsia="zh-CN"/>
              </w:rPr>
              <w:t>产业园区污水管网，纳入东莞东坑</w:t>
            </w:r>
            <w:r>
              <w:rPr>
                <w:rFonts w:hint="eastAsia" w:cs="Times New Roman"/>
                <w:b w:val="0"/>
                <w:color w:val="auto"/>
                <w:szCs w:val="24"/>
                <w:highlight w:val="none"/>
                <w:lang w:val="en-US" w:eastAsia="zh-CN"/>
              </w:rPr>
              <w:t>（</w:t>
            </w:r>
            <w:r>
              <w:rPr>
                <w:rFonts w:hint="default" w:ascii="Times New Roman" w:hAnsi="Times New Roman" w:eastAsia="宋体" w:cs="Times New Roman"/>
                <w:b w:val="0"/>
                <w:color w:val="auto"/>
                <w:szCs w:val="24"/>
                <w:highlight w:val="none"/>
                <w:lang w:val="en-US" w:eastAsia="zh-CN"/>
              </w:rPr>
              <w:t>乐昌</w:t>
            </w:r>
            <w:r>
              <w:rPr>
                <w:rFonts w:hint="eastAsia" w:cs="Times New Roman"/>
                <w:b w:val="0"/>
                <w:color w:val="auto"/>
                <w:szCs w:val="24"/>
                <w:highlight w:val="none"/>
                <w:lang w:val="en-US" w:eastAsia="zh-CN"/>
              </w:rPr>
              <w:t>）</w:t>
            </w:r>
            <w:r>
              <w:rPr>
                <w:rFonts w:hint="default" w:ascii="Times New Roman" w:hAnsi="Times New Roman" w:eastAsia="宋体" w:cs="Times New Roman"/>
                <w:b w:val="0"/>
                <w:color w:val="auto"/>
                <w:szCs w:val="24"/>
                <w:highlight w:val="none"/>
                <w:lang w:val="en-US" w:eastAsia="zh-CN"/>
              </w:rPr>
              <w:t>产业园污水处理厂处理。</w:t>
            </w:r>
          </w:p>
          <w:p w14:paraId="28EF1773">
            <w:pPr>
              <w:pStyle w:val="5"/>
              <w:pageBreakBefore w:val="0"/>
              <w:numPr>
                <w:ilvl w:val="3"/>
                <w:numId w:val="0"/>
              </w:numPr>
              <w:wordWrap w:val="0"/>
              <w:overflowPunct/>
              <w:bidi w:val="0"/>
              <w:ind w:firstLine="480" w:firstLineChars="200"/>
              <w:rPr>
                <w:rFonts w:hint="default" w:ascii="Times New Roman" w:hAnsi="Times New Roman" w:eastAsia="宋体" w:cs="Times New Roman"/>
                <w:b w:val="0"/>
                <w:color w:val="auto"/>
                <w:szCs w:val="24"/>
                <w:highlight w:val="none"/>
                <w:lang w:val="en-US" w:eastAsia="zh-CN"/>
              </w:rPr>
            </w:pPr>
            <w:r>
              <w:rPr>
                <w:rFonts w:hint="default" w:ascii="Times New Roman" w:hAnsi="Times New Roman" w:eastAsia="宋体" w:cs="Times New Roman"/>
                <w:b w:val="0"/>
                <w:color w:val="auto"/>
                <w:szCs w:val="24"/>
                <w:highlight w:val="none"/>
                <w:lang w:val="en-US" w:eastAsia="zh-CN"/>
              </w:rPr>
              <w:t>根据2024年10月31日建设项目委托广东粤北环境检测有限公司的检测报告（编号：粤北检测24111101号）：</w:t>
            </w:r>
          </w:p>
          <w:p w14:paraId="30AFF77B">
            <w:pPr>
              <w:pStyle w:val="19"/>
              <w:pageBreakBefore w:val="0"/>
              <w:numPr>
                <w:ilvl w:val="0"/>
                <w:numId w:val="6"/>
              </w:numPr>
              <w:wordWrap w:val="0"/>
              <w:overflowPunct/>
              <w:bidi w:val="0"/>
              <w:spacing w:line="240" w:lineRule="auto"/>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废水监测、统计表</w:t>
            </w:r>
          </w:p>
          <w:tbl>
            <w:tblPr>
              <w:tblStyle w:val="37"/>
              <w:tblW w:w="7926" w:type="dxa"/>
              <w:tblInd w:w="-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851"/>
              <w:gridCol w:w="1853"/>
              <w:gridCol w:w="784"/>
              <w:gridCol w:w="784"/>
              <w:gridCol w:w="784"/>
              <w:gridCol w:w="1024"/>
              <w:gridCol w:w="846"/>
            </w:tblGrid>
            <w:tr w14:paraId="77B43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1851" w:type="dxa"/>
                  <w:tcBorders>
                    <w:tl2br w:val="nil"/>
                    <w:tr2bl w:val="nil"/>
                  </w:tcBorders>
                  <w:shd w:val="clear" w:color="auto" w:fill="auto"/>
                  <w:noWrap/>
                  <w:vAlign w:val="center"/>
                </w:tcPr>
                <w:p w14:paraId="31B0323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排放口</w:t>
                  </w:r>
                </w:p>
              </w:tc>
              <w:tc>
                <w:tcPr>
                  <w:tcW w:w="1853" w:type="dxa"/>
                  <w:tcBorders>
                    <w:tl2br w:val="nil"/>
                    <w:tr2bl w:val="nil"/>
                  </w:tcBorders>
                  <w:shd w:val="clear" w:color="auto" w:fill="auto"/>
                  <w:noWrap/>
                  <w:vAlign w:val="center"/>
                </w:tcPr>
                <w:p w14:paraId="658ADB3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检测项目</w:t>
                  </w:r>
                </w:p>
              </w:tc>
              <w:tc>
                <w:tcPr>
                  <w:tcW w:w="784" w:type="dxa"/>
                  <w:tcBorders>
                    <w:tl2br w:val="nil"/>
                    <w:tr2bl w:val="nil"/>
                  </w:tcBorders>
                  <w:shd w:val="clear" w:color="auto" w:fill="auto"/>
                  <w:noWrap/>
                  <w:vAlign w:val="center"/>
                </w:tcPr>
                <w:p w14:paraId="1CC6428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检测结果</w:t>
                  </w:r>
                </w:p>
              </w:tc>
              <w:tc>
                <w:tcPr>
                  <w:tcW w:w="784" w:type="dxa"/>
                  <w:tcBorders>
                    <w:tl2br w:val="nil"/>
                    <w:tr2bl w:val="nil"/>
                  </w:tcBorders>
                  <w:shd w:val="clear" w:color="auto" w:fill="auto"/>
                  <w:noWrap/>
                  <w:vAlign w:val="center"/>
                </w:tcPr>
                <w:p w14:paraId="6255BA4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标准限值</w:t>
                  </w:r>
                </w:p>
              </w:tc>
              <w:tc>
                <w:tcPr>
                  <w:tcW w:w="784" w:type="dxa"/>
                  <w:tcBorders>
                    <w:tl2br w:val="nil"/>
                    <w:tr2bl w:val="nil"/>
                  </w:tcBorders>
                  <w:shd w:val="clear" w:color="auto" w:fill="auto"/>
                  <w:noWrap/>
                  <w:vAlign w:val="center"/>
                </w:tcPr>
                <w:p w14:paraId="41E4673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单位</w:t>
                  </w:r>
                </w:p>
              </w:tc>
              <w:tc>
                <w:tcPr>
                  <w:tcW w:w="1024" w:type="dxa"/>
                  <w:tcBorders>
                    <w:tl2br w:val="nil"/>
                    <w:tr2bl w:val="nil"/>
                  </w:tcBorders>
                  <w:shd w:val="clear" w:color="auto" w:fill="auto"/>
                  <w:noWrap/>
                  <w:vAlign w:val="center"/>
                </w:tcPr>
                <w:p w14:paraId="4FB7A05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水量（</w:t>
                  </w:r>
                  <w:r>
                    <w:rPr>
                      <w:rFonts w:hint="default" w:ascii="Times New Roman" w:hAnsi="Times New Roman" w:eastAsia="宋体" w:cs="Times New Roman"/>
                      <w:b w:val="0"/>
                      <w:color w:val="auto"/>
                      <w:sz w:val="21"/>
                      <w:szCs w:val="21"/>
                      <w:highlight w:val="none"/>
                      <w:lang w:val="en-US" w:eastAsia="zh-CN"/>
                    </w:rPr>
                    <w:t>m</w:t>
                  </w:r>
                  <w:r>
                    <w:rPr>
                      <w:rFonts w:hint="default" w:ascii="Times New Roman" w:hAnsi="Times New Roman" w:eastAsia="宋体" w:cs="Times New Roman"/>
                      <w:b w:val="0"/>
                      <w:color w:val="auto"/>
                      <w:sz w:val="21"/>
                      <w:szCs w:val="21"/>
                      <w:highlight w:val="none"/>
                      <w:vertAlign w:val="superscript"/>
                      <w:lang w:val="en-US" w:eastAsia="zh-CN"/>
                    </w:rPr>
                    <w:t>3</w:t>
                  </w:r>
                  <w:r>
                    <w:rPr>
                      <w:rFonts w:hint="default" w:ascii="Times New Roman" w:hAnsi="Times New Roman" w:eastAsia="宋体" w:cs="Times New Roman"/>
                      <w:b w:val="0"/>
                      <w:color w:val="auto"/>
                      <w:sz w:val="21"/>
                      <w:szCs w:val="21"/>
                      <w:highlight w:val="none"/>
                      <w:lang w:val="en-US" w:eastAsia="zh-CN"/>
                    </w:rPr>
                    <w:t>/a</w:t>
                  </w:r>
                  <w:r>
                    <w:rPr>
                      <w:rFonts w:hint="default" w:ascii="Times New Roman" w:hAnsi="Times New Roman" w:eastAsia="宋体" w:cs="Times New Roman"/>
                      <w:b w:val="0"/>
                      <w:bCs w:val="0"/>
                      <w:color w:val="auto"/>
                      <w:sz w:val="21"/>
                      <w:szCs w:val="21"/>
                      <w:lang w:val="en-US" w:eastAsia="zh-CN"/>
                    </w:rPr>
                    <w:t>）</w:t>
                  </w:r>
                </w:p>
              </w:tc>
              <w:tc>
                <w:tcPr>
                  <w:tcW w:w="846" w:type="dxa"/>
                  <w:tcBorders>
                    <w:tl2br w:val="nil"/>
                    <w:tr2bl w:val="nil"/>
                  </w:tcBorders>
                  <w:shd w:val="clear" w:color="auto" w:fill="auto"/>
                  <w:noWrap/>
                  <w:vAlign w:val="center"/>
                </w:tcPr>
                <w:p w14:paraId="2D81FEA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排放量（t/a）</w:t>
                  </w:r>
                </w:p>
              </w:tc>
            </w:tr>
            <w:tr w14:paraId="17386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851" w:type="dxa"/>
                  <w:vMerge w:val="restart"/>
                  <w:tcBorders>
                    <w:tl2br w:val="nil"/>
                    <w:tr2bl w:val="nil"/>
                  </w:tcBorders>
                  <w:shd w:val="clear" w:color="auto" w:fill="auto"/>
                  <w:noWrap/>
                  <w:vAlign w:val="center"/>
                </w:tcPr>
                <w:p w14:paraId="5C8E149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DA001生活污水排放口</w:t>
                  </w:r>
                </w:p>
              </w:tc>
              <w:tc>
                <w:tcPr>
                  <w:tcW w:w="1853" w:type="dxa"/>
                  <w:tcBorders>
                    <w:tl2br w:val="nil"/>
                    <w:tr2bl w:val="nil"/>
                  </w:tcBorders>
                  <w:shd w:val="clear" w:color="auto" w:fill="auto"/>
                  <w:noWrap/>
                  <w:vAlign w:val="center"/>
                </w:tcPr>
                <w:p w14:paraId="69ED2B5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pH</w:t>
                  </w:r>
                </w:p>
              </w:tc>
              <w:tc>
                <w:tcPr>
                  <w:tcW w:w="784" w:type="dxa"/>
                  <w:tcBorders>
                    <w:tl2br w:val="nil"/>
                    <w:tr2bl w:val="nil"/>
                  </w:tcBorders>
                  <w:shd w:val="clear" w:color="auto" w:fill="auto"/>
                  <w:noWrap/>
                  <w:vAlign w:val="center"/>
                </w:tcPr>
                <w:p w14:paraId="7607240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6.8</w:t>
                  </w:r>
                </w:p>
              </w:tc>
              <w:tc>
                <w:tcPr>
                  <w:tcW w:w="784" w:type="dxa"/>
                  <w:tcBorders>
                    <w:tl2br w:val="nil"/>
                    <w:tr2bl w:val="nil"/>
                  </w:tcBorders>
                  <w:shd w:val="clear" w:color="auto" w:fill="auto"/>
                  <w:noWrap/>
                  <w:vAlign w:val="center"/>
                </w:tcPr>
                <w:p w14:paraId="1A179FF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rPr>
                  </w:pPr>
                  <w:r>
                    <w:rPr>
                      <w:rFonts w:hint="default" w:ascii="Times New Roman" w:hAnsi="Times New Roman" w:eastAsia="宋体" w:cs="Times New Roman"/>
                      <w:b w:val="0"/>
                      <w:bCs w:val="0"/>
                      <w:color w:val="auto"/>
                      <w:sz w:val="21"/>
                      <w:szCs w:val="21"/>
                      <w:lang w:val="en-US" w:eastAsia="zh-CN"/>
                    </w:rPr>
                    <w:t>6-9</w:t>
                  </w:r>
                </w:p>
              </w:tc>
              <w:tc>
                <w:tcPr>
                  <w:tcW w:w="784" w:type="dxa"/>
                  <w:tcBorders>
                    <w:tl2br w:val="nil"/>
                    <w:tr2bl w:val="nil"/>
                  </w:tcBorders>
                  <w:shd w:val="clear" w:color="auto" w:fill="auto"/>
                  <w:noWrap/>
                  <w:vAlign w:val="center"/>
                </w:tcPr>
                <w:p w14:paraId="2BEDBA3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无量纲</w:t>
                  </w:r>
                </w:p>
              </w:tc>
              <w:tc>
                <w:tcPr>
                  <w:tcW w:w="1024" w:type="dxa"/>
                  <w:vMerge w:val="restart"/>
                  <w:tcBorders>
                    <w:tl2br w:val="nil"/>
                    <w:tr2bl w:val="nil"/>
                  </w:tcBorders>
                  <w:shd w:val="clear" w:color="auto" w:fill="auto"/>
                  <w:noWrap/>
                  <w:vAlign w:val="center"/>
                </w:tcPr>
                <w:p w14:paraId="59E1ECC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color w:val="auto"/>
                      <w:szCs w:val="24"/>
                      <w:highlight w:val="none"/>
                      <w:lang w:val="en-US" w:eastAsia="zh-CN"/>
                    </w:rPr>
                    <w:t>2419.2</w:t>
                  </w:r>
                </w:p>
              </w:tc>
              <w:tc>
                <w:tcPr>
                  <w:tcW w:w="846" w:type="dxa"/>
                  <w:tcBorders>
                    <w:tl2br w:val="nil"/>
                    <w:tr2bl w:val="nil"/>
                  </w:tcBorders>
                  <w:shd w:val="clear" w:color="auto" w:fill="auto"/>
                  <w:noWrap/>
                  <w:vAlign w:val="center"/>
                </w:tcPr>
                <w:p w14:paraId="2DA17BE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r>
            <w:tr w14:paraId="07640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65B894D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20CAB64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 xml:space="preserve">悬浮物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SS)</w:t>
                  </w:r>
                </w:p>
              </w:tc>
              <w:tc>
                <w:tcPr>
                  <w:tcW w:w="784" w:type="dxa"/>
                  <w:tcBorders>
                    <w:tl2br w:val="nil"/>
                    <w:tr2bl w:val="nil"/>
                  </w:tcBorders>
                  <w:shd w:val="clear" w:color="auto" w:fill="auto"/>
                  <w:noWrap/>
                  <w:vAlign w:val="center"/>
                </w:tcPr>
                <w:p w14:paraId="694E7FB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67</w:t>
                  </w:r>
                </w:p>
              </w:tc>
              <w:tc>
                <w:tcPr>
                  <w:tcW w:w="784" w:type="dxa"/>
                  <w:tcBorders>
                    <w:tl2br w:val="nil"/>
                    <w:tr2bl w:val="nil"/>
                  </w:tcBorders>
                  <w:shd w:val="clear" w:color="auto" w:fill="auto"/>
                  <w:noWrap/>
                  <w:vAlign w:val="center"/>
                </w:tcPr>
                <w:p w14:paraId="4DC51D7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≤250</w:t>
                  </w:r>
                </w:p>
              </w:tc>
              <w:tc>
                <w:tcPr>
                  <w:tcW w:w="784" w:type="dxa"/>
                  <w:tcBorders>
                    <w:tl2br w:val="nil"/>
                    <w:tr2bl w:val="nil"/>
                  </w:tcBorders>
                  <w:shd w:val="clear" w:color="auto" w:fill="auto"/>
                  <w:noWrap/>
                  <w:vAlign w:val="center"/>
                </w:tcPr>
                <w:p w14:paraId="4D0F3A3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mg/L</w:t>
                  </w:r>
                </w:p>
              </w:tc>
              <w:tc>
                <w:tcPr>
                  <w:tcW w:w="1024" w:type="dxa"/>
                  <w:vMerge w:val="continue"/>
                  <w:tcBorders>
                    <w:tl2br w:val="nil"/>
                    <w:tr2bl w:val="nil"/>
                  </w:tcBorders>
                  <w:shd w:val="clear" w:color="auto" w:fill="auto"/>
                  <w:noWrap/>
                  <w:vAlign w:val="center"/>
                </w:tcPr>
                <w:p w14:paraId="2EB92D2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2816EEB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0.162 </w:t>
                  </w:r>
                </w:p>
              </w:tc>
            </w:tr>
            <w:tr w14:paraId="7E783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35E48E9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6562206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 xml:space="preserve">氨氮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NH₃-N)</w:t>
                  </w:r>
                </w:p>
              </w:tc>
              <w:tc>
                <w:tcPr>
                  <w:tcW w:w="784" w:type="dxa"/>
                  <w:tcBorders>
                    <w:tl2br w:val="nil"/>
                    <w:tr2bl w:val="nil"/>
                  </w:tcBorders>
                  <w:shd w:val="clear" w:color="auto" w:fill="auto"/>
                  <w:noWrap/>
                  <w:vAlign w:val="center"/>
                </w:tcPr>
                <w:p w14:paraId="7D9FE177">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35.6</w:t>
                  </w:r>
                </w:p>
              </w:tc>
              <w:tc>
                <w:tcPr>
                  <w:tcW w:w="784" w:type="dxa"/>
                  <w:tcBorders>
                    <w:tl2br w:val="nil"/>
                    <w:tr2bl w:val="nil"/>
                  </w:tcBorders>
                  <w:shd w:val="clear" w:color="auto" w:fill="auto"/>
                  <w:noWrap/>
                  <w:vAlign w:val="center"/>
                </w:tcPr>
                <w:p w14:paraId="3188103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≤40</w:t>
                  </w:r>
                </w:p>
              </w:tc>
              <w:tc>
                <w:tcPr>
                  <w:tcW w:w="784" w:type="dxa"/>
                  <w:tcBorders>
                    <w:tl2br w:val="nil"/>
                    <w:tr2bl w:val="nil"/>
                  </w:tcBorders>
                  <w:shd w:val="clear" w:color="auto" w:fill="auto"/>
                  <w:noWrap/>
                  <w:vAlign w:val="center"/>
                </w:tcPr>
                <w:p w14:paraId="130B502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mg/L</w:t>
                  </w:r>
                </w:p>
              </w:tc>
              <w:tc>
                <w:tcPr>
                  <w:tcW w:w="1024" w:type="dxa"/>
                  <w:vMerge w:val="continue"/>
                  <w:tcBorders>
                    <w:tl2br w:val="nil"/>
                    <w:tr2bl w:val="nil"/>
                  </w:tcBorders>
                  <w:shd w:val="clear" w:color="auto" w:fill="auto"/>
                  <w:noWrap/>
                  <w:vAlign w:val="center"/>
                </w:tcPr>
                <w:p w14:paraId="6E1BC4C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6F0F440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0.086 </w:t>
                  </w:r>
                </w:p>
              </w:tc>
            </w:tr>
            <w:tr w14:paraId="2620D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1A54816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01CDEE1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 xml:space="preserve">总磷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TP)</w:t>
                  </w:r>
                </w:p>
              </w:tc>
              <w:tc>
                <w:tcPr>
                  <w:tcW w:w="784" w:type="dxa"/>
                  <w:tcBorders>
                    <w:tl2br w:val="nil"/>
                    <w:tr2bl w:val="nil"/>
                  </w:tcBorders>
                  <w:shd w:val="clear" w:color="auto" w:fill="auto"/>
                  <w:noWrap/>
                  <w:vAlign w:val="center"/>
                </w:tcPr>
                <w:p w14:paraId="1AC31AB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4.35</w:t>
                  </w:r>
                </w:p>
              </w:tc>
              <w:tc>
                <w:tcPr>
                  <w:tcW w:w="784" w:type="dxa"/>
                  <w:tcBorders>
                    <w:tl2br w:val="nil"/>
                    <w:tr2bl w:val="nil"/>
                  </w:tcBorders>
                  <w:shd w:val="clear" w:color="auto" w:fill="auto"/>
                  <w:noWrap/>
                  <w:vAlign w:val="center"/>
                </w:tcPr>
                <w:p w14:paraId="7897C2C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≤5.0</w:t>
                  </w:r>
                </w:p>
              </w:tc>
              <w:tc>
                <w:tcPr>
                  <w:tcW w:w="784" w:type="dxa"/>
                  <w:tcBorders>
                    <w:tl2br w:val="nil"/>
                    <w:tr2bl w:val="nil"/>
                  </w:tcBorders>
                  <w:shd w:val="clear" w:color="auto" w:fill="auto"/>
                  <w:noWrap/>
                  <w:vAlign w:val="center"/>
                </w:tcPr>
                <w:p w14:paraId="53D9E9E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mg/L</w:t>
                  </w:r>
                </w:p>
              </w:tc>
              <w:tc>
                <w:tcPr>
                  <w:tcW w:w="1024" w:type="dxa"/>
                  <w:vMerge w:val="continue"/>
                  <w:tcBorders>
                    <w:tl2br w:val="nil"/>
                    <w:tr2bl w:val="nil"/>
                  </w:tcBorders>
                  <w:shd w:val="clear" w:color="auto" w:fill="auto"/>
                  <w:noWrap/>
                  <w:vAlign w:val="center"/>
                </w:tcPr>
                <w:p w14:paraId="22FAC37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2B96D4A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0.011 </w:t>
                  </w:r>
                </w:p>
              </w:tc>
            </w:tr>
            <w:tr w14:paraId="017A7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7A8EAF6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26FF27E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 xml:space="preserve">化学需氧量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COD)</w:t>
                  </w:r>
                </w:p>
              </w:tc>
              <w:tc>
                <w:tcPr>
                  <w:tcW w:w="784" w:type="dxa"/>
                  <w:tcBorders>
                    <w:tl2br w:val="nil"/>
                    <w:tr2bl w:val="nil"/>
                  </w:tcBorders>
                  <w:shd w:val="clear" w:color="auto" w:fill="auto"/>
                  <w:noWrap/>
                  <w:vAlign w:val="center"/>
                </w:tcPr>
                <w:p w14:paraId="1298FED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238</w:t>
                  </w:r>
                </w:p>
              </w:tc>
              <w:tc>
                <w:tcPr>
                  <w:tcW w:w="784" w:type="dxa"/>
                  <w:tcBorders>
                    <w:tl2br w:val="nil"/>
                    <w:tr2bl w:val="nil"/>
                  </w:tcBorders>
                  <w:shd w:val="clear" w:color="auto" w:fill="auto"/>
                  <w:noWrap/>
                  <w:vAlign w:val="center"/>
                </w:tcPr>
                <w:p w14:paraId="4C5CF0E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≤300</w:t>
                  </w:r>
                </w:p>
              </w:tc>
              <w:tc>
                <w:tcPr>
                  <w:tcW w:w="784" w:type="dxa"/>
                  <w:tcBorders>
                    <w:tl2br w:val="nil"/>
                    <w:tr2bl w:val="nil"/>
                  </w:tcBorders>
                  <w:shd w:val="clear" w:color="auto" w:fill="auto"/>
                  <w:noWrap/>
                  <w:vAlign w:val="center"/>
                </w:tcPr>
                <w:p w14:paraId="682B021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mg/L</w:t>
                  </w:r>
                </w:p>
              </w:tc>
              <w:tc>
                <w:tcPr>
                  <w:tcW w:w="1024" w:type="dxa"/>
                  <w:vMerge w:val="continue"/>
                  <w:tcBorders>
                    <w:tl2br w:val="nil"/>
                    <w:tr2bl w:val="nil"/>
                  </w:tcBorders>
                  <w:shd w:val="clear" w:color="auto" w:fill="auto"/>
                  <w:noWrap/>
                  <w:vAlign w:val="center"/>
                </w:tcPr>
                <w:p w14:paraId="21F94EA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61086F0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0.576 </w:t>
                  </w:r>
                </w:p>
              </w:tc>
            </w:tr>
            <w:tr w14:paraId="205AD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16617E6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4038A54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 xml:space="preserve">五日生化需氧量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BOD₅)</w:t>
                  </w:r>
                </w:p>
              </w:tc>
              <w:tc>
                <w:tcPr>
                  <w:tcW w:w="784" w:type="dxa"/>
                  <w:tcBorders>
                    <w:tl2br w:val="nil"/>
                    <w:tr2bl w:val="nil"/>
                  </w:tcBorders>
                  <w:shd w:val="clear" w:color="auto" w:fill="auto"/>
                  <w:noWrap/>
                  <w:vAlign w:val="center"/>
                </w:tcPr>
                <w:p w14:paraId="697AD50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117</w:t>
                  </w:r>
                </w:p>
              </w:tc>
              <w:tc>
                <w:tcPr>
                  <w:tcW w:w="784" w:type="dxa"/>
                  <w:tcBorders>
                    <w:tl2br w:val="nil"/>
                    <w:tr2bl w:val="nil"/>
                  </w:tcBorders>
                  <w:shd w:val="clear" w:color="auto" w:fill="auto"/>
                  <w:noWrap/>
                  <w:vAlign w:val="center"/>
                </w:tcPr>
                <w:p w14:paraId="25FBD61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≤150</w:t>
                  </w:r>
                </w:p>
              </w:tc>
              <w:tc>
                <w:tcPr>
                  <w:tcW w:w="784" w:type="dxa"/>
                  <w:tcBorders>
                    <w:tl2br w:val="nil"/>
                    <w:tr2bl w:val="nil"/>
                  </w:tcBorders>
                  <w:shd w:val="clear" w:color="auto" w:fill="auto"/>
                  <w:noWrap/>
                  <w:vAlign w:val="center"/>
                </w:tcPr>
                <w:p w14:paraId="528000A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mg/L</w:t>
                  </w:r>
                </w:p>
              </w:tc>
              <w:tc>
                <w:tcPr>
                  <w:tcW w:w="1024" w:type="dxa"/>
                  <w:vMerge w:val="continue"/>
                  <w:tcBorders>
                    <w:tl2br w:val="nil"/>
                    <w:tr2bl w:val="nil"/>
                  </w:tcBorders>
                  <w:shd w:val="clear" w:color="auto" w:fill="auto"/>
                  <w:noWrap/>
                  <w:vAlign w:val="center"/>
                </w:tcPr>
                <w:p w14:paraId="6A50492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4306D64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0.283 </w:t>
                  </w:r>
                </w:p>
              </w:tc>
            </w:tr>
            <w:tr w14:paraId="395F7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1670566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58DAF10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动植物油</w:t>
                  </w:r>
                </w:p>
              </w:tc>
              <w:tc>
                <w:tcPr>
                  <w:tcW w:w="784" w:type="dxa"/>
                  <w:tcBorders>
                    <w:tl2br w:val="nil"/>
                    <w:tr2bl w:val="nil"/>
                  </w:tcBorders>
                  <w:shd w:val="clear" w:color="auto" w:fill="auto"/>
                  <w:noWrap/>
                  <w:vAlign w:val="center"/>
                </w:tcPr>
                <w:p w14:paraId="3311803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1.92</w:t>
                  </w:r>
                </w:p>
              </w:tc>
              <w:tc>
                <w:tcPr>
                  <w:tcW w:w="784" w:type="dxa"/>
                  <w:tcBorders>
                    <w:tl2br w:val="nil"/>
                    <w:tr2bl w:val="nil"/>
                  </w:tcBorders>
                  <w:shd w:val="clear" w:color="auto" w:fill="auto"/>
                  <w:noWrap/>
                  <w:vAlign w:val="center"/>
                </w:tcPr>
                <w:p w14:paraId="246FDE8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≤100</w:t>
                  </w:r>
                </w:p>
              </w:tc>
              <w:tc>
                <w:tcPr>
                  <w:tcW w:w="784" w:type="dxa"/>
                  <w:tcBorders>
                    <w:tl2br w:val="nil"/>
                    <w:tr2bl w:val="nil"/>
                  </w:tcBorders>
                  <w:shd w:val="clear" w:color="auto" w:fill="auto"/>
                  <w:noWrap/>
                  <w:vAlign w:val="center"/>
                </w:tcPr>
                <w:p w14:paraId="36D62AB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mg/L</w:t>
                  </w:r>
                </w:p>
              </w:tc>
              <w:tc>
                <w:tcPr>
                  <w:tcW w:w="1024" w:type="dxa"/>
                  <w:vMerge w:val="continue"/>
                  <w:tcBorders>
                    <w:tl2br w:val="nil"/>
                    <w:tr2bl w:val="nil"/>
                  </w:tcBorders>
                  <w:shd w:val="clear" w:color="auto" w:fill="auto"/>
                  <w:noWrap/>
                  <w:vAlign w:val="center"/>
                </w:tcPr>
                <w:p w14:paraId="56D34D7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2E58078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0.005 </w:t>
                  </w:r>
                </w:p>
              </w:tc>
            </w:tr>
            <w:tr w14:paraId="0F94C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0CADCBB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4454855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石油类</w:t>
                  </w:r>
                </w:p>
              </w:tc>
              <w:tc>
                <w:tcPr>
                  <w:tcW w:w="784" w:type="dxa"/>
                  <w:tcBorders>
                    <w:tl2br w:val="nil"/>
                    <w:tr2bl w:val="nil"/>
                  </w:tcBorders>
                  <w:shd w:val="clear" w:color="auto" w:fill="auto"/>
                  <w:noWrap/>
                  <w:vAlign w:val="center"/>
                </w:tcPr>
                <w:p w14:paraId="7646216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0.66</w:t>
                  </w:r>
                </w:p>
              </w:tc>
              <w:tc>
                <w:tcPr>
                  <w:tcW w:w="784" w:type="dxa"/>
                  <w:tcBorders>
                    <w:tl2br w:val="nil"/>
                    <w:tr2bl w:val="nil"/>
                  </w:tcBorders>
                  <w:shd w:val="clear" w:color="auto" w:fill="auto"/>
                  <w:noWrap/>
                  <w:vAlign w:val="center"/>
                </w:tcPr>
                <w:p w14:paraId="52D912F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≤20</w:t>
                  </w:r>
                </w:p>
              </w:tc>
              <w:tc>
                <w:tcPr>
                  <w:tcW w:w="784" w:type="dxa"/>
                  <w:tcBorders>
                    <w:tl2br w:val="nil"/>
                    <w:tr2bl w:val="nil"/>
                  </w:tcBorders>
                  <w:shd w:val="clear" w:color="auto" w:fill="auto"/>
                  <w:noWrap/>
                  <w:vAlign w:val="center"/>
                </w:tcPr>
                <w:p w14:paraId="670D753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mg/L</w:t>
                  </w:r>
                </w:p>
              </w:tc>
              <w:tc>
                <w:tcPr>
                  <w:tcW w:w="1024" w:type="dxa"/>
                  <w:vMerge w:val="continue"/>
                  <w:tcBorders>
                    <w:tl2br w:val="nil"/>
                    <w:tr2bl w:val="nil"/>
                  </w:tcBorders>
                  <w:shd w:val="clear" w:color="auto" w:fill="auto"/>
                  <w:noWrap/>
                  <w:vAlign w:val="center"/>
                </w:tcPr>
                <w:p w14:paraId="649B677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64E79297">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0.002 </w:t>
                  </w:r>
                </w:p>
              </w:tc>
            </w:tr>
            <w:tr w14:paraId="6EF15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851" w:type="dxa"/>
                  <w:vMerge w:val="restart"/>
                  <w:tcBorders>
                    <w:tl2br w:val="nil"/>
                    <w:tr2bl w:val="nil"/>
                  </w:tcBorders>
                  <w:shd w:val="clear" w:color="auto" w:fill="auto"/>
                  <w:noWrap/>
                  <w:vAlign w:val="center"/>
                </w:tcPr>
                <w:p w14:paraId="59E6878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DA001车间清洗废水排放口</w:t>
                  </w:r>
                </w:p>
              </w:tc>
              <w:tc>
                <w:tcPr>
                  <w:tcW w:w="1853" w:type="dxa"/>
                  <w:tcBorders>
                    <w:tl2br w:val="nil"/>
                    <w:tr2bl w:val="nil"/>
                  </w:tcBorders>
                  <w:shd w:val="clear" w:color="auto" w:fill="auto"/>
                  <w:noWrap/>
                  <w:vAlign w:val="center"/>
                </w:tcPr>
                <w:p w14:paraId="070A2CC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pH</w:t>
                  </w:r>
                </w:p>
              </w:tc>
              <w:tc>
                <w:tcPr>
                  <w:tcW w:w="784" w:type="dxa"/>
                  <w:tcBorders>
                    <w:tl2br w:val="nil"/>
                    <w:tr2bl w:val="nil"/>
                  </w:tcBorders>
                  <w:shd w:val="clear" w:color="auto" w:fill="auto"/>
                  <w:noWrap/>
                  <w:vAlign w:val="center"/>
                </w:tcPr>
                <w:p w14:paraId="5EF5B54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6.6</w:t>
                  </w:r>
                </w:p>
              </w:tc>
              <w:tc>
                <w:tcPr>
                  <w:tcW w:w="784" w:type="dxa"/>
                  <w:tcBorders>
                    <w:tl2br w:val="nil"/>
                    <w:tr2bl w:val="nil"/>
                  </w:tcBorders>
                  <w:shd w:val="clear" w:color="auto" w:fill="auto"/>
                  <w:noWrap/>
                  <w:vAlign w:val="center"/>
                </w:tcPr>
                <w:p w14:paraId="2AA1505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6-9</w:t>
                  </w:r>
                </w:p>
              </w:tc>
              <w:tc>
                <w:tcPr>
                  <w:tcW w:w="784" w:type="dxa"/>
                  <w:tcBorders>
                    <w:tl2br w:val="nil"/>
                    <w:tr2bl w:val="nil"/>
                  </w:tcBorders>
                  <w:shd w:val="clear" w:color="auto" w:fill="auto"/>
                  <w:noWrap/>
                  <w:vAlign w:val="center"/>
                </w:tcPr>
                <w:p w14:paraId="7A64C32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无量纲</w:t>
                  </w:r>
                </w:p>
              </w:tc>
              <w:tc>
                <w:tcPr>
                  <w:tcW w:w="1024" w:type="dxa"/>
                  <w:vMerge w:val="restart"/>
                  <w:tcBorders>
                    <w:tl2br w:val="nil"/>
                    <w:tr2bl w:val="nil"/>
                  </w:tcBorders>
                  <w:shd w:val="clear" w:color="auto" w:fill="auto"/>
                  <w:noWrap/>
                  <w:vAlign w:val="center"/>
                </w:tcPr>
                <w:p w14:paraId="6E1FD19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608.4</w:t>
                  </w:r>
                </w:p>
              </w:tc>
              <w:tc>
                <w:tcPr>
                  <w:tcW w:w="846" w:type="dxa"/>
                  <w:tcBorders>
                    <w:tl2br w:val="nil"/>
                    <w:tr2bl w:val="nil"/>
                  </w:tcBorders>
                  <w:shd w:val="clear" w:color="auto" w:fill="auto"/>
                  <w:noWrap/>
                  <w:vAlign w:val="center"/>
                </w:tcPr>
                <w:p w14:paraId="5250F91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r>
            <w:tr w14:paraId="35A6A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340C8B9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3F18320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悬浮物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SS)</w:t>
                  </w:r>
                </w:p>
              </w:tc>
              <w:tc>
                <w:tcPr>
                  <w:tcW w:w="784" w:type="dxa"/>
                  <w:tcBorders>
                    <w:tl2br w:val="nil"/>
                    <w:tr2bl w:val="nil"/>
                  </w:tcBorders>
                  <w:shd w:val="clear" w:color="auto" w:fill="auto"/>
                  <w:noWrap/>
                  <w:vAlign w:val="center"/>
                </w:tcPr>
                <w:p w14:paraId="30937CA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24</w:t>
                  </w:r>
                </w:p>
              </w:tc>
              <w:tc>
                <w:tcPr>
                  <w:tcW w:w="784" w:type="dxa"/>
                  <w:tcBorders>
                    <w:tl2br w:val="nil"/>
                    <w:tr2bl w:val="nil"/>
                  </w:tcBorders>
                  <w:shd w:val="clear" w:color="auto" w:fill="auto"/>
                  <w:noWrap/>
                  <w:vAlign w:val="center"/>
                </w:tcPr>
                <w:p w14:paraId="5893345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≤250</w:t>
                  </w:r>
                </w:p>
              </w:tc>
              <w:tc>
                <w:tcPr>
                  <w:tcW w:w="784" w:type="dxa"/>
                  <w:tcBorders>
                    <w:tl2br w:val="nil"/>
                    <w:tr2bl w:val="nil"/>
                  </w:tcBorders>
                  <w:shd w:val="clear" w:color="auto" w:fill="auto"/>
                  <w:noWrap/>
                  <w:vAlign w:val="center"/>
                </w:tcPr>
                <w:p w14:paraId="22C6381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mg/L</w:t>
                  </w:r>
                </w:p>
              </w:tc>
              <w:tc>
                <w:tcPr>
                  <w:tcW w:w="1024" w:type="dxa"/>
                  <w:vMerge w:val="continue"/>
                  <w:tcBorders>
                    <w:tl2br w:val="nil"/>
                    <w:tr2bl w:val="nil"/>
                  </w:tcBorders>
                  <w:shd w:val="clear" w:color="auto" w:fill="auto"/>
                  <w:noWrap/>
                  <w:vAlign w:val="center"/>
                </w:tcPr>
                <w:p w14:paraId="1EEC2D5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01C91B9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0.015 </w:t>
                  </w:r>
                </w:p>
              </w:tc>
            </w:tr>
            <w:tr w14:paraId="38D36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5C38F4E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0577968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氨氮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NH₃-N)</w:t>
                  </w:r>
                </w:p>
              </w:tc>
              <w:tc>
                <w:tcPr>
                  <w:tcW w:w="784" w:type="dxa"/>
                  <w:tcBorders>
                    <w:tl2br w:val="nil"/>
                    <w:tr2bl w:val="nil"/>
                  </w:tcBorders>
                  <w:shd w:val="clear" w:color="auto" w:fill="auto"/>
                  <w:noWrap/>
                  <w:vAlign w:val="center"/>
                </w:tcPr>
                <w:p w14:paraId="60A7059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0.186</w:t>
                  </w:r>
                </w:p>
              </w:tc>
              <w:tc>
                <w:tcPr>
                  <w:tcW w:w="784" w:type="dxa"/>
                  <w:tcBorders>
                    <w:tl2br w:val="nil"/>
                    <w:tr2bl w:val="nil"/>
                  </w:tcBorders>
                  <w:shd w:val="clear" w:color="auto" w:fill="auto"/>
                  <w:noWrap/>
                  <w:vAlign w:val="center"/>
                </w:tcPr>
                <w:p w14:paraId="002A44B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≤40</w:t>
                  </w:r>
                </w:p>
              </w:tc>
              <w:tc>
                <w:tcPr>
                  <w:tcW w:w="784" w:type="dxa"/>
                  <w:tcBorders>
                    <w:tl2br w:val="nil"/>
                    <w:tr2bl w:val="nil"/>
                  </w:tcBorders>
                  <w:shd w:val="clear" w:color="auto" w:fill="auto"/>
                  <w:noWrap/>
                  <w:vAlign w:val="center"/>
                </w:tcPr>
                <w:p w14:paraId="4351E94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mg/L</w:t>
                  </w:r>
                </w:p>
              </w:tc>
              <w:tc>
                <w:tcPr>
                  <w:tcW w:w="1024" w:type="dxa"/>
                  <w:vMerge w:val="continue"/>
                  <w:tcBorders>
                    <w:tl2br w:val="nil"/>
                    <w:tr2bl w:val="nil"/>
                  </w:tcBorders>
                  <w:shd w:val="clear" w:color="auto" w:fill="auto"/>
                  <w:noWrap/>
                  <w:vAlign w:val="center"/>
                </w:tcPr>
                <w:p w14:paraId="616F2CB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08EF7C97">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0.000 </w:t>
                  </w:r>
                </w:p>
              </w:tc>
            </w:tr>
            <w:tr w14:paraId="494B5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6CD7D10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3383A0C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总磷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TP)</w:t>
                  </w:r>
                </w:p>
              </w:tc>
              <w:tc>
                <w:tcPr>
                  <w:tcW w:w="784" w:type="dxa"/>
                  <w:tcBorders>
                    <w:tl2br w:val="nil"/>
                    <w:tr2bl w:val="nil"/>
                  </w:tcBorders>
                  <w:shd w:val="clear" w:color="auto" w:fill="auto"/>
                  <w:noWrap/>
                  <w:vAlign w:val="center"/>
                </w:tcPr>
                <w:p w14:paraId="499256C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0.09</w:t>
                  </w:r>
                </w:p>
              </w:tc>
              <w:tc>
                <w:tcPr>
                  <w:tcW w:w="784" w:type="dxa"/>
                  <w:tcBorders>
                    <w:tl2br w:val="nil"/>
                    <w:tr2bl w:val="nil"/>
                  </w:tcBorders>
                  <w:shd w:val="clear" w:color="auto" w:fill="auto"/>
                  <w:noWrap/>
                  <w:vAlign w:val="center"/>
                </w:tcPr>
                <w:p w14:paraId="2A3DB8C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≤5.0</w:t>
                  </w:r>
                </w:p>
              </w:tc>
              <w:tc>
                <w:tcPr>
                  <w:tcW w:w="784" w:type="dxa"/>
                  <w:tcBorders>
                    <w:tl2br w:val="nil"/>
                    <w:tr2bl w:val="nil"/>
                  </w:tcBorders>
                  <w:shd w:val="clear" w:color="auto" w:fill="auto"/>
                  <w:noWrap/>
                  <w:vAlign w:val="center"/>
                </w:tcPr>
                <w:p w14:paraId="740CB8B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mg/L</w:t>
                  </w:r>
                </w:p>
              </w:tc>
              <w:tc>
                <w:tcPr>
                  <w:tcW w:w="1024" w:type="dxa"/>
                  <w:vMerge w:val="continue"/>
                  <w:tcBorders>
                    <w:tl2br w:val="nil"/>
                    <w:tr2bl w:val="nil"/>
                  </w:tcBorders>
                  <w:shd w:val="clear" w:color="auto" w:fill="auto"/>
                  <w:noWrap/>
                  <w:vAlign w:val="center"/>
                </w:tcPr>
                <w:p w14:paraId="6ACFAEA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7177A1F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0.000 </w:t>
                  </w:r>
                </w:p>
              </w:tc>
            </w:tr>
            <w:tr w14:paraId="6CC7B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703A809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7B517F8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化学需氧量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COD)</w:t>
                  </w:r>
                </w:p>
              </w:tc>
              <w:tc>
                <w:tcPr>
                  <w:tcW w:w="784" w:type="dxa"/>
                  <w:tcBorders>
                    <w:tl2br w:val="nil"/>
                    <w:tr2bl w:val="nil"/>
                  </w:tcBorders>
                  <w:shd w:val="clear" w:color="auto" w:fill="auto"/>
                  <w:noWrap/>
                  <w:vAlign w:val="center"/>
                </w:tcPr>
                <w:p w14:paraId="70A945E7">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28</w:t>
                  </w:r>
                </w:p>
              </w:tc>
              <w:tc>
                <w:tcPr>
                  <w:tcW w:w="784" w:type="dxa"/>
                  <w:tcBorders>
                    <w:tl2br w:val="nil"/>
                    <w:tr2bl w:val="nil"/>
                  </w:tcBorders>
                  <w:shd w:val="clear" w:color="auto" w:fill="auto"/>
                  <w:noWrap/>
                  <w:vAlign w:val="center"/>
                </w:tcPr>
                <w:p w14:paraId="1C36F6B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≤300</w:t>
                  </w:r>
                </w:p>
              </w:tc>
              <w:tc>
                <w:tcPr>
                  <w:tcW w:w="784" w:type="dxa"/>
                  <w:tcBorders>
                    <w:tl2br w:val="nil"/>
                    <w:tr2bl w:val="nil"/>
                  </w:tcBorders>
                  <w:shd w:val="clear" w:color="auto" w:fill="auto"/>
                  <w:noWrap/>
                  <w:vAlign w:val="center"/>
                </w:tcPr>
                <w:p w14:paraId="5BDD092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mg/L</w:t>
                  </w:r>
                </w:p>
              </w:tc>
              <w:tc>
                <w:tcPr>
                  <w:tcW w:w="1024" w:type="dxa"/>
                  <w:vMerge w:val="continue"/>
                  <w:tcBorders>
                    <w:tl2br w:val="nil"/>
                    <w:tr2bl w:val="nil"/>
                  </w:tcBorders>
                  <w:shd w:val="clear" w:color="auto" w:fill="auto"/>
                  <w:noWrap/>
                  <w:vAlign w:val="center"/>
                </w:tcPr>
                <w:p w14:paraId="5B85206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4993D8C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0.017 </w:t>
                  </w:r>
                </w:p>
              </w:tc>
            </w:tr>
            <w:tr w14:paraId="430FB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6CE3492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2ED0F1D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五日生化需氧量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BOD₅)</w:t>
                  </w:r>
                </w:p>
              </w:tc>
              <w:tc>
                <w:tcPr>
                  <w:tcW w:w="784" w:type="dxa"/>
                  <w:tcBorders>
                    <w:tl2br w:val="nil"/>
                    <w:tr2bl w:val="nil"/>
                  </w:tcBorders>
                  <w:shd w:val="clear" w:color="auto" w:fill="auto"/>
                  <w:noWrap/>
                  <w:vAlign w:val="center"/>
                </w:tcPr>
                <w:p w14:paraId="2C2B925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11.4</w:t>
                  </w:r>
                </w:p>
              </w:tc>
              <w:tc>
                <w:tcPr>
                  <w:tcW w:w="784" w:type="dxa"/>
                  <w:tcBorders>
                    <w:tl2br w:val="nil"/>
                    <w:tr2bl w:val="nil"/>
                  </w:tcBorders>
                  <w:shd w:val="clear" w:color="auto" w:fill="auto"/>
                  <w:noWrap/>
                  <w:vAlign w:val="center"/>
                </w:tcPr>
                <w:p w14:paraId="4524981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≤150</w:t>
                  </w:r>
                </w:p>
              </w:tc>
              <w:tc>
                <w:tcPr>
                  <w:tcW w:w="784" w:type="dxa"/>
                  <w:tcBorders>
                    <w:tl2br w:val="nil"/>
                    <w:tr2bl w:val="nil"/>
                  </w:tcBorders>
                  <w:shd w:val="clear" w:color="auto" w:fill="auto"/>
                  <w:noWrap/>
                  <w:vAlign w:val="center"/>
                </w:tcPr>
                <w:p w14:paraId="10ED8FD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mg/L</w:t>
                  </w:r>
                </w:p>
              </w:tc>
              <w:tc>
                <w:tcPr>
                  <w:tcW w:w="1024" w:type="dxa"/>
                  <w:vMerge w:val="continue"/>
                  <w:tcBorders>
                    <w:tl2br w:val="nil"/>
                    <w:tr2bl w:val="nil"/>
                  </w:tcBorders>
                  <w:shd w:val="clear" w:color="auto" w:fill="auto"/>
                  <w:noWrap/>
                  <w:vAlign w:val="center"/>
                </w:tcPr>
                <w:p w14:paraId="2DF97D8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383B293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0.007 </w:t>
                  </w:r>
                </w:p>
              </w:tc>
            </w:tr>
            <w:tr w14:paraId="6E578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5FAFC72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5A3BFFA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总氮</w:t>
                  </w:r>
                </w:p>
              </w:tc>
              <w:tc>
                <w:tcPr>
                  <w:tcW w:w="784" w:type="dxa"/>
                  <w:tcBorders>
                    <w:tl2br w:val="nil"/>
                    <w:tr2bl w:val="nil"/>
                  </w:tcBorders>
                  <w:shd w:val="clear" w:color="auto" w:fill="auto"/>
                  <w:noWrap/>
                  <w:vAlign w:val="center"/>
                </w:tcPr>
                <w:p w14:paraId="35067C1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2.65</w:t>
                  </w:r>
                </w:p>
              </w:tc>
              <w:tc>
                <w:tcPr>
                  <w:tcW w:w="784" w:type="dxa"/>
                  <w:tcBorders>
                    <w:tl2br w:val="nil"/>
                    <w:tr2bl w:val="nil"/>
                  </w:tcBorders>
                  <w:shd w:val="clear" w:color="auto" w:fill="auto"/>
                  <w:noWrap/>
                  <w:vAlign w:val="center"/>
                </w:tcPr>
                <w:p w14:paraId="0CD3C3F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≤45</w:t>
                  </w:r>
                </w:p>
              </w:tc>
              <w:tc>
                <w:tcPr>
                  <w:tcW w:w="784" w:type="dxa"/>
                  <w:tcBorders>
                    <w:tl2br w:val="nil"/>
                    <w:tr2bl w:val="nil"/>
                  </w:tcBorders>
                  <w:shd w:val="clear" w:color="auto" w:fill="auto"/>
                  <w:noWrap/>
                  <w:vAlign w:val="center"/>
                </w:tcPr>
                <w:p w14:paraId="0303578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mg/L</w:t>
                  </w:r>
                </w:p>
              </w:tc>
              <w:tc>
                <w:tcPr>
                  <w:tcW w:w="1024" w:type="dxa"/>
                  <w:vMerge w:val="continue"/>
                  <w:tcBorders>
                    <w:tl2br w:val="nil"/>
                    <w:tr2bl w:val="nil"/>
                  </w:tcBorders>
                  <w:shd w:val="clear" w:color="auto" w:fill="auto"/>
                  <w:noWrap/>
                  <w:vAlign w:val="center"/>
                </w:tcPr>
                <w:p w14:paraId="149DCBD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255E508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0.002 </w:t>
                  </w:r>
                </w:p>
              </w:tc>
            </w:tr>
            <w:tr w14:paraId="1E53A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29AE5B5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566435D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色度</w:t>
                  </w:r>
                </w:p>
              </w:tc>
              <w:tc>
                <w:tcPr>
                  <w:tcW w:w="784" w:type="dxa"/>
                  <w:tcBorders>
                    <w:tl2br w:val="nil"/>
                    <w:tr2bl w:val="nil"/>
                  </w:tcBorders>
                  <w:shd w:val="clear" w:color="auto" w:fill="auto"/>
                  <w:noWrap/>
                  <w:vAlign w:val="center"/>
                </w:tcPr>
                <w:p w14:paraId="6E8B5F9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40</w:t>
                  </w:r>
                </w:p>
              </w:tc>
              <w:tc>
                <w:tcPr>
                  <w:tcW w:w="784" w:type="dxa"/>
                  <w:tcBorders>
                    <w:tl2br w:val="nil"/>
                    <w:tr2bl w:val="nil"/>
                  </w:tcBorders>
                  <w:shd w:val="clear" w:color="auto" w:fill="auto"/>
                  <w:noWrap/>
                  <w:vAlign w:val="center"/>
                </w:tcPr>
                <w:p w14:paraId="52E2FD1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c>
                <w:tcPr>
                  <w:tcW w:w="784" w:type="dxa"/>
                  <w:tcBorders>
                    <w:tl2br w:val="nil"/>
                    <w:tr2bl w:val="nil"/>
                  </w:tcBorders>
                  <w:shd w:val="clear" w:color="auto" w:fill="auto"/>
                  <w:noWrap/>
                  <w:vAlign w:val="center"/>
                </w:tcPr>
                <w:p w14:paraId="3E07ADD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c>
                <w:tcPr>
                  <w:tcW w:w="1024" w:type="dxa"/>
                  <w:vMerge w:val="continue"/>
                  <w:tcBorders>
                    <w:tl2br w:val="nil"/>
                    <w:tr2bl w:val="nil"/>
                  </w:tcBorders>
                  <w:shd w:val="clear" w:color="auto" w:fill="auto"/>
                  <w:noWrap/>
                  <w:vAlign w:val="center"/>
                </w:tcPr>
                <w:p w14:paraId="35918D3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3E41460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 </w:t>
                  </w:r>
                </w:p>
              </w:tc>
            </w:tr>
            <w:tr w14:paraId="1F2C9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0E15C9D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5A7FC8C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动植物油</w:t>
                  </w:r>
                </w:p>
              </w:tc>
              <w:tc>
                <w:tcPr>
                  <w:tcW w:w="784" w:type="dxa"/>
                  <w:tcBorders>
                    <w:tl2br w:val="nil"/>
                    <w:tr2bl w:val="nil"/>
                  </w:tcBorders>
                  <w:shd w:val="clear" w:color="auto" w:fill="auto"/>
                  <w:noWrap/>
                  <w:vAlign w:val="center"/>
                </w:tcPr>
                <w:p w14:paraId="4E8A455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1.07</w:t>
                  </w:r>
                </w:p>
              </w:tc>
              <w:tc>
                <w:tcPr>
                  <w:tcW w:w="784" w:type="dxa"/>
                  <w:tcBorders>
                    <w:tl2br w:val="nil"/>
                    <w:tr2bl w:val="nil"/>
                  </w:tcBorders>
                  <w:shd w:val="clear" w:color="auto" w:fill="auto"/>
                  <w:noWrap/>
                  <w:vAlign w:val="center"/>
                </w:tcPr>
                <w:p w14:paraId="09ECCB8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≤100</w:t>
                  </w:r>
                </w:p>
              </w:tc>
              <w:tc>
                <w:tcPr>
                  <w:tcW w:w="784" w:type="dxa"/>
                  <w:tcBorders>
                    <w:tl2br w:val="nil"/>
                    <w:tr2bl w:val="nil"/>
                  </w:tcBorders>
                  <w:shd w:val="clear" w:color="auto" w:fill="auto"/>
                  <w:noWrap/>
                  <w:vAlign w:val="center"/>
                </w:tcPr>
                <w:p w14:paraId="0847B337">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mg/L</w:t>
                  </w:r>
                </w:p>
              </w:tc>
              <w:tc>
                <w:tcPr>
                  <w:tcW w:w="1024" w:type="dxa"/>
                  <w:vMerge w:val="continue"/>
                  <w:tcBorders>
                    <w:tl2br w:val="nil"/>
                    <w:tr2bl w:val="nil"/>
                  </w:tcBorders>
                  <w:shd w:val="clear" w:color="auto" w:fill="auto"/>
                  <w:noWrap/>
                  <w:vAlign w:val="center"/>
                </w:tcPr>
                <w:p w14:paraId="4653C55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57DEA32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0.001 </w:t>
                  </w:r>
                </w:p>
              </w:tc>
            </w:tr>
            <w:tr w14:paraId="15F17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5BDC13B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13D8591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石油类</w:t>
                  </w:r>
                </w:p>
              </w:tc>
              <w:tc>
                <w:tcPr>
                  <w:tcW w:w="784" w:type="dxa"/>
                  <w:tcBorders>
                    <w:tl2br w:val="nil"/>
                    <w:tr2bl w:val="nil"/>
                  </w:tcBorders>
                  <w:shd w:val="clear" w:color="auto" w:fill="auto"/>
                  <w:noWrap/>
                  <w:vAlign w:val="center"/>
                </w:tcPr>
                <w:p w14:paraId="5EF6C20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0.37</w:t>
                  </w:r>
                </w:p>
              </w:tc>
              <w:tc>
                <w:tcPr>
                  <w:tcW w:w="784" w:type="dxa"/>
                  <w:tcBorders>
                    <w:tl2br w:val="nil"/>
                    <w:tr2bl w:val="nil"/>
                  </w:tcBorders>
                  <w:shd w:val="clear" w:color="auto" w:fill="auto"/>
                  <w:noWrap/>
                  <w:vAlign w:val="center"/>
                </w:tcPr>
                <w:p w14:paraId="7D7F30B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≤20</w:t>
                  </w:r>
                </w:p>
              </w:tc>
              <w:tc>
                <w:tcPr>
                  <w:tcW w:w="784" w:type="dxa"/>
                  <w:tcBorders>
                    <w:tl2br w:val="nil"/>
                    <w:tr2bl w:val="nil"/>
                  </w:tcBorders>
                  <w:shd w:val="clear" w:color="auto" w:fill="auto"/>
                  <w:noWrap/>
                  <w:vAlign w:val="center"/>
                </w:tcPr>
                <w:p w14:paraId="77884C4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mg/L</w:t>
                  </w:r>
                </w:p>
              </w:tc>
              <w:tc>
                <w:tcPr>
                  <w:tcW w:w="1024" w:type="dxa"/>
                  <w:vMerge w:val="continue"/>
                  <w:tcBorders>
                    <w:tl2br w:val="nil"/>
                    <w:tr2bl w:val="nil"/>
                  </w:tcBorders>
                  <w:shd w:val="clear" w:color="auto" w:fill="auto"/>
                  <w:noWrap/>
                  <w:vAlign w:val="center"/>
                </w:tcPr>
                <w:p w14:paraId="2CC46A1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4A96541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0.000 </w:t>
                  </w:r>
                </w:p>
              </w:tc>
            </w:tr>
            <w:tr w14:paraId="5681C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51" w:type="dxa"/>
                  <w:vMerge w:val="restart"/>
                  <w:tcBorders>
                    <w:tl2br w:val="nil"/>
                    <w:tr2bl w:val="nil"/>
                  </w:tcBorders>
                  <w:shd w:val="clear" w:color="auto" w:fill="auto"/>
                  <w:noWrap/>
                  <w:vAlign w:val="center"/>
                </w:tcPr>
                <w:p w14:paraId="4981DE3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总排放量</w:t>
                  </w:r>
                </w:p>
              </w:tc>
              <w:tc>
                <w:tcPr>
                  <w:tcW w:w="1853" w:type="dxa"/>
                  <w:tcBorders>
                    <w:tl2br w:val="nil"/>
                    <w:tr2bl w:val="nil"/>
                  </w:tcBorders>
                  <w:shd w:val="clear" w:color="auto" w:fill="auto"/>
                  <w:noWrap/>
                  <w:vAlign w:val="center"/>
                </w:tcPr>
                <w:p w14:paraId="0209844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pH</w:t>
                  </w:r>
                </w:p>
              </w:tc>
              <w:tc>
                <w:tcPr>
                  <w:tcW w:w="3376" w:type="dxa"/>
                  <w:gridSpan w:val="4"/>
                  <w:vMerge w:val="restart"/>
                  <w:tcBorders>
                    <w:tl2br w:val="nil"/>
                    <w:tr2bl w:val="nil"/>
                  </w:tcBorders>
                  <w:shd w:val="clear" w:color="auto" w:fill="auto"/>
                  <w:noWrap/>
                  <w:vAlign w:val="center"/>
                </w:tcPr>
                <w:p w14:paraId="061D4C2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c>
                <w:tcPr>
                  <w:tcW w:w="846" w:type="dxa"/>
                  <w:tcBorders>
                    <w:tl2br w:val="nil"/>
                    <w:tr2bl w:val="nil"/>
                  </w:tcBorders>
                  <w:shd w:val="clear" w:color="auto" w:fill="auto"/>
                  <w:noWrap/>
                  <w:vAlign w:val="center"/>
                </w:tcPr>
                <w:p w14:paraId="5CF2488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r>
            <w:tr w14:paraId="3A86C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3F961B0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5CE76247">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悬浮物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SS)</w:t>
                  </w:r>
                </w:p>
              </w:tc>
              <w:tc>
                <w:tcPr>
                  <w:tcW w:w="3376" w:type="dxa"/>
                  <w:gridSpan w:val="4"/>
                  <w:vMerge w:val="continue"/>
                  <w:tcBorders>
                    <w:tl2br w:val="nil"/>
                    <w:tr2bl w:val="nil"/>
                  </w:tcBorders>
                  <w:shd w:val="clear" w:color="auto" w:fill="auto"/>
                  <w:noWrap/>
                  <w:vAlign w:val="center"/>
                </w:tcPr>
                <w:p w14:paraId="0FB68D1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23F7C64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0.177 </w:t>
                  </w:r>
                </w:p>
              </w:tc>
            </w:tr>
            <w:tr w14:paraId="46C11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0F576C0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708E643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氨氮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NH₃-N)</w:t>
                  </w:r>
                </w:p>
              </w:tc>
              <w:tc>
                <w:tcPr>
                  <w:tcW w:w="3376" w:type="dxa"/>
                  <w:gridSpan w:val="4"/>
                  <w:vMerge w:val="continue"/>
                  <w:tcBorders>
                    <w:tl2br w:val="nil"/>
                    <w:tr2bl w:val="nil"/>
                  </w:tcBorders>
                  <w:shd w:val="clear" w:color="auto" w:fill="auto"/>
                  <w:noWrap/>
                  <w:vAlign w:val="center"/>
                </w:tcPr>
                <w:p w14:paraId="67A3363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2878381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0.086 </w:t>
                  </w:r>
                </w:p>
              </w:tc>
            </w:tr>
            <w:tr w14:paraId="17560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52BD845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5C70BF3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总磷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TP)</w:t>
                  </w:r>
                </w:p>
              </w:tc>
              <w:tc>
                <w:tcPr>
                  <w:tcW w:w="3376" w:type="dxa"/>
                  <w:gridSpan w:val="4"/>
                  <w:vMerge w:val="continue"/>
                  <w:tcBorders>
                    <w:tl2br w:val="nil"/>
                    <w:tr2bl w:val="nil"/>
                  </w:tcBorders>
                  <w:shd w:val="clear" w:color="auto" w:fill="auto"/>
                  <w:noWrap/>
                  <w:vAlign w:val="center"/>
                </w:tcPr>
                <w:p w14:paraId="35C2062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5C25C4A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0.011 </w:t>
                  </w:r>
                </w:p>
              </w:tc>
            </w:tr>
            <w:tr w14:paraId="2379C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10E0B21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0AEA9517">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化学需氧量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COD)</w:t>
                  </w:r>
                </w:p>
              </w:tc>
              <w:tc>
                <w:tcPr>
                  <w:tcW w:w="3376" w:type="dxa"/>
                  <w:gridSpan w:val="4"/>
                  <w:vMerge w:val="continue"/>
                  <w:tcBorders>
                    <w:tl2br w:val="nil"/>
                    <w:tr2bl w:val="nil"/>
                  </w:tcBorders>
                  <w:shd w:val="clear" w:color="auto" w:fill="auto"/>
                  <w:noWrap/>
                  <w:vAlign w:val="center"/>
                </w:tcPr>
                <w:p w14:paraId="26D3BB7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7F5F17B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0.593 </w:t>
                  </w:r>
                </w:p>
              </w:tc>
            </w:tr>
            <w:tr w14:paraId="6FDAC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7D4C962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24D549C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五日生化需氧量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BOD₅)</w:t>
                  </w:r>
                </w:p>
              </w:tc>
              <w:tc>
                <w:tcPr>
                  <w:tcW w:w="3376" w:type="dxa"/>
                  <w:gridSpan w:val="4"/>
                  <w:vMerge w:val="continue"/>
                  <w:tcBorders>
                    <w:tl2br w:val="nil"/>
                    <w:tr2bl w:val="nil"/>
                  </w:tcBorders>
                  <w:shd w:val="clear" w:color="auto" w:fill="auto"/>
                  <w:noWrap/>
                  <w:vAlign w:val="center"/>
                </w:tcPr>
                <w:p w14:paraId="6FA2FAE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53DC4B4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0.290 </w:t>
                  </w:r>
                </w:p>
              </w:tc>
            </w:tr>
            <w:tr w14:paraId="7130C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7676297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3E655D0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总氮</w:t>
                  </w:r>
                </w:p>
              </w:tc>
              <w:tc>
                <w:tcPr>
                  <w:tcW w:w="3376" w:type="dxa"/>
                  <w:gridSpan w:val="4"/>
                  <w:vMerge w:val="continue"/>
                  <w:tcBorders>
                    <w:tl2br w:val="nil"/>
                    <w:tr2bl w:val="nil"/>
                  </w:tcBorders>
                  <w:shd w:val="clear" w:color="auto" w:fill="auto"/>
                  <w:noWrap/>
                  <w:vAlign w:val="center"/>
                </w:tcPr>
                <w:p w14:paraId="302C93B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6694823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0.002 </w:t>
                  </w:r>
                </w:p>
              </w:tc>
            </w:tr>
            <w:tr w14:paraId="46BF7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01FDE58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2D6D4E2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色度</w:t>
                  </w:r>
                </w:p>
              </w:tc>
              <w:tc>
                <w:tcPr>
                  <w:tcW w:w="3376" w:type="dxa"/>
                  <w:gridSpan w:val="4"/>
                  <w:vMerge w:val="continue"/>
                  <w:tcBorders>
                    <w:tl2br w:val="nil"/>
                    <w:tr2bl w:val="nil"/>
                  </w:tcBorders>
                  <w:shd w:val="clear" w:color="auto" w:fill="auto"/>
                  <w:noWrap/>
                  <w:vAlign w:val="center"/>
                </w:tcPr>
                <w:p w14:paraId="15D5E9B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3BB1D8F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r>
            <w:tr w14:paraId="3F602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44A5C47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6C4B091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动植物油</w:t>
                  </w:r>
                </w:p>
              </w:tc>
              <w:tc>
                <w:tcPr>
                  <w:tcW w:w="3376" w:type="dxa"/>
                  <w:gridSpan w:val="4"/>
                  <w:vMerge w:val="continue"/>
                  <w:tcBorders>
                    <w:tl2br w:val="nil"/>
                    <w:tr2bl w:val="nil"/>
                  </w:tcBorders>
                  <w:shd w:val="clear" w:color="auto" w:fill="auto"/>
                  <w:noWrap/>
                  <w:vAlign w:val="center"/>
                </w:tcPr>
                <w:p w14:paraId="149DF8D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28AC282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0.005 </w:t>
                  </w:r>
                </w:p>
              </w:tc>
            </w:tr>
            <w:tr w14:paraId="52BF7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51" w:type="dxa"/>
                  <w:vMerge w:val="continue"/>
                  <w:tcBorders>
                    <w:tl2br w:val="nil"/>
                    <w:tr2bl w:val="nil"/>
                  </w:tcBorders>
                  <w:shd w:val="clear" w:color="auto" w:fill="auto"/>
                  <w:noWrap/>
                  <w:vAlign w:val="center"/>
                </w:tcPr>
                <w:p w14:paraId="540F3797">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1853" w:type="dxa"/>
                  <w:tcBorders>
                    <w:tl2br w:val="nil"/>
                    <w:tr2bl w:val="nil"/>
                  </w:tcBorders>
                  <w:shd w:val="clear" w:color="auto" w:fill="auto"/>
                  <w:noWrap/>
                  <w:vAlign w:val="center"/>
                </w:tcPr>
                <w:p w14:paraId="6291E01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石油类</w:t>
                  </w:r>
                </w:p>
              </w:tc>
              <w:tc>
                <w:tcPr>
                  <w:tcW w:w="3376" w:type="dxa"/>
                  <w:gridSpan w:val="4"/>
                  <w:vMerge w:val="continue"/>
                  <w:tcBorders>
                    <w:tl2br w:val="nil"/>
                    <w:tr2bl w:val="nil"/>
                  </w:tcBorders>
                  <w:shd w:val="clear" w:color="auto" w:fill="auto"/>
                  <w:noWrap/>
                  <w:vAlign w:val="center"/>
                </w:tcPr>
                <w:p w14:paraId="06BFB3A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846" w:type="dxa"/>
                  <w:tcBorders>
                    <w:tl2br w:val="nil"/>
                    <w:tr2bl w:val="nil"/>
                  </w:tcBorders>
                  <w:shd w:val="clear" w:color="auto" w:fill="auto"/>
                  <w:noWrap/>
                  <w:vAlign w:val="center"/>
                </w:tcPr>
                <w:p w14:paraId="2D0127E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0.002 </w:t>
                  </w:r>
                </w:p>
              </w:tc>
            </w:tr>
          </w:tbl>
          <w:p w14:paraId="27529B70">
            <w:pPr>
              <w:pStyle w:val="5"/>
              <w:pageBreakBefore w:val="0"/>
              <w:numPr>
                <w:ilvl w:val="3"/>
                <w:numId w:val="0"/>
              </w:numPr>
              <w:wordWrap w:val="0"/>
              <w:overflowPunct/>
              <w:bidi w:val="0"/>
              <w:ind w:firstLine="480" w:firstLineChars="200"/>
              <w:rPr>
                <w:rFonts w:hint="default" w:ascii="Times New Roman" w:hAnsi="Times New Roman" w:eastAsia="宋体" w:cs="Times New Roman"/>
                <w:b w:val="0"/>
                <w:color w:val="auto"/>
                <w:szCs w:val="24"/>
                <w:highlight w:val="none"/>
                <w:lang w:val="en-US" w:eastAsia="zh-CN"/>
              </w:rPr>
            </w:pPr>
            <w:r>
              <w:rPr>
                <w:rFonts w:hint="default" w:ascii="Times New Roman" w:hAnsi="Times New Roman" w:eastAsia="宋体" w:cs="Times New Roman"/>
                <w:b w:val="0"/>
                <w:color w:val="auto"/>
                <w:szCs w:val="24"/>
                <w:highlight w:val="none"/>
                <w:lang w:val="en-US" w:eastAsia="zh-CN"/>
              </w:rPr>
              <w:t>根据上表，本项目外排废水均能达标排放。</w:t>
            </w:r>
          </w:p>
          <w:p w14:paraId="36B76A02">
            <w:pPr>
              <w:pStyle w:val="5"/>
              <w:pageBreakBefore w:val="0"/>
              <w:numPr>
                <w:ilvl w:val="3"/>
                <w:numId w:val="0"/>
              </w:numPr>
              <w:wordWrap w:val="0"/>
              <w:overflowPunct/>
              <w:bidi w:val="0"/>
              <w:ind w:firstLine="480" w:firstLineChars="200"/>
              <w:rPr>
                <w:rFonts w:hint="default" w:ascii="Times New Roman" w:hAnsi="Times New Roman" w:eastAsia="宋体" w:cs="Times New Roman"/>
                <w:b/>
                <w:bCs w:val="0"/>
                <w:color w:val="auto"/>
                <w:szCs w:val="24"/>
                <w:highlight w:val="none"/>
                <w:lang w:val="en-US" w:eastAsia="zh-CN"/>
              </w:rPr>
            </w:pPr>
            <w:r>
              <w:rPr>
                <w:rFonts w:hint="default" w:ascii="Times New Roman" w:hAnsi="Times New Roman" w:eastAsia="宋体" w:cs="Times New Roman"/>
                <w:b/>
                <w:bCs w:val="0"/>
                <w:color w:val="auto"/>
                <w:szCs w:val="24"/>
                <w:highlight w:val="none"/>
                <w:lang w:val="en-US" w:eastAsia="zh-CN"/>
              </w:rPr>
              <w:t>（2）废气</w:t>
            </w:r>
          </w:p>
          <w:p w14:paraId="3FA0131E">
            <w:pPr>
              <w:pStyle w:val="5"/>
              <w:pageBreakBefore w:val="0"/>
              <w:numPr>
                <w:ilvl w:val="3"/>
                <w:numId w:val="0"/>
              </w:numPr>
              <w:wordWrap w:val="0"/>
              <w:overflowPunct/>
              <w:bidi w:val="0"/>
              <w:ind w:firstLine="480" w:firstLineChars="200"/>
              <w:rPr>
                <w:rFonts w:hint="default" w:ascii="Times New Roman" w:hAnsi="Times New Roman" w:eastAsia="宋体" w:cs="Times New Roman"/>
                <w:b w:val="0"/>
                <w:color w:val="auto"/>
                <w:szCs w:val="24"/>
                <w:highlight w:val="none"/>
                <w:lang w:val="en-US" w:eastAsia="zh-CN"/>
              </w:rPr>
            </w:pPr>
            <w:r>
              <w:rPr>
                <w:rFonts w:hint="default" w:ascii="Times New Roman" w:hAnsi="Times New Roman" w:eastAsia="宋体" w:cs="Times New Roman"/>
                <w:b w:val="0"/>
                <w:color w:val="auto"/>
                <w:szCs w:val="24"/>
                <w:highlight w:val="none"/>
                <w:lang w:val="en-US" w:eastAsia="zh-CN"/>
              </w:rPr>
              <w:t>原项目工艺废气主要包括混料过程产生少量粉尘，双螺杆</w:t>
            </w:r>
            <w:r>
              <w:rPr>
                <w:rFonts w:hint="eastAsia" w:cs="Times New Roman"/>
                <w:b w:val="0"/>
                <w:color w:val="auto"/>
                <w:szCs w:val="24"/>
                <w:highlight w:val="none"/>
                <w:lang w:val="en-US" w:eastAsia="zh-CN"/>
              </w:rPr>
              <w:t>挤出机</w:t>
            </w:r>
            <w:r>
              <w:rPr>
                <w:rFonts w:hint="default" w:ascii="Times New Roman" w:hAnsi="Times New Roman" w:eastAsia="宋体" w:cs="Times New Roman"/>
                <w:b w:val="0"/>
                <w:color w:val="auto"/>
                <w:szCs w:val="24"/>
                <w:highlight w:val="none"/>
                <w:lang w:val="en-US" w:eastAsia="zh-CN"/>
              </w:rPr>
              <w:t>生产过程中会有非甲烷总烃、颗粒物排放。</w:t>
            </w:r>
          </w:p>
          <w:p w14:paraId="2F3980EC">
            <w:pPr>
              <w:pStyle w:val="5"/>
              <w:pageBreakBefore w:val="0"/>
              <w:numPr>
                <w:ilvl w:val="3"/>
                <w:numId w:val="0"/>
              </w:numPr>
              <w:wordWrap w:val="0"/>
              <w:overflowPunct/>
              <w:bidi w:val="0"/>
              <w:ind w:firstLine="480" w:firstLineChars="200"/>
              <w:rPr>
                <w:rFonts w:hint="default" w:ascii="Times New Roman" w:hAnsi="Times New Roman" w:eastAsia="宋体" w:cs="Times New Roman"/>
                <w:b w:val="0"/>
                <w:color w:val="auto"/>
                <w:szCs w:val="24"/>
                <w:highlight w:val="none"/>
                <w:lang w:val="en-US" w:eastAsia="zh-CN"/>
              </w:rPr>
            </w:pPr>
            <w:r>
              <w:rPr>
                <w:rFonts w:hint="default" w:ascii="Times New Roman" w:hAnsi="Times New Roman" w:eastAsia="宋体" w:cs="Times New Roman"/>
                <w:b w:val="0"/>
                <w:color w:val="auto"/>
                <w:szCs w:val="24"/>
                <w:highlight w:val="none"/>
                <w:lang w:val="en-US" w:eastAsia="zh-CN"/>
              </w:rPr>
              <w:t>在1号厂房设置1套废气处理设施（气旋喷淋塔+二级活性炭吸附+脱附+催化燃烧）通过15m高排气筒排放（DA001）；在3号厂房设置2套废气处理设施（气旋喷淋塔+二级活性炭吸附+脱附+催化燃烧）通过15m高排气筒排放（DA002、DA003）；食堂油烟通过高效静电净化装置处理后通过15m高排气筒排放DA004。</w:t>
            </w:r>
          </w:p>
          <w:p w14:paraId="2E95B1AD">
            <w:pPr>
              <w:pStyle w:val="5"/>
              <w:pageBreakBefore w:val="0"/>
              <w:numPr>
                <w:ilvl w:val="3"/>
                <w:numId w:val="0"/>
              </w:numPr>
              <w:wordWrap w:val="0"/>
              <w:overflowPunct/>
              <w:bidi w:val="0"/>
              <w:ind w:firstLine="480" w:firstLineChars="200"/>
              <w:rPr>
                <w:rFonts w:hint="default" w:ascii="Times New Roman" w:hAnsi="Times New Roman" w:eastAsia="宋体" w:cs="Times New Roman"/>
                <w:b/>
                <w:bCs w:val="0"/>
                <w:color w:val="auto"/>
                <w:szCs w:val="24"/>
                <w:highlight w:val="none"/>
                <w:lang w:val="en-US" w:eastAsia="zh-CN"/>
              </w:rPr>
            </w:pPr>
            <w:r>
              <w:rPr>
                <w:rFonts w:hint="default" w:ascii="Times New Roman" w:hAnsi="Times New Roman" w:eastAsia="宋体" w:cs="Times New Roman"/>
                <w:b/>
                <w:bCs w:val="0"/>
                <w:color w:val="auto"/>
                <w:szCs w:val="24"/>
                <w:highlight w:val="none"/>
                <w:lang w:val="en-US" w:eastAsia="zh-CN"/>
              </w:rPr>
              <w:t>有组织：</w:t>
            </w:r>
          </w:p>
          <w:p w14:paraId="7D0DAC7C">
            <w:pPr>
              <w:pStyle w:val="5"/>
              <w:pageBreakBefore w:val="0"/>
              <w:numPr>
                <w:ilvl w:val="3"/>
                <w:numId w:val="0"/>
              </w:numPr>
              <w:wordWrap w:val="0"/>
              <w:overflowPunct/>
              <w:bidi w:val="0"/>
              <w:ind w:firstLine="480" w:firstLineChars="200"/>
              <w:rPr>
                <w:rFonts w:hint="default" w:ascii="Times New Roman" w:hAnsi="Times New Roman" w:eastAsia="宋体" w:cs="Times New Roman"/>
                <w:b w:val="0"/>
                <w:color w:val="auto"/>
                <w:szCs w:val="24"/>
                <w:highlight w:val="none"/>
                <w:lang w:val="en-US" w:eastAsia="zh-CN"/>
              </w:rPr>
            </w:pPr>
            <w:r>
              <w:rPr>
                <w:rFonts w:hint="default" w:ascii="Times New Roman" w:hAnsi="Times New Roman" w:eastAsia="宋体" w:cs="Times New Roman"/>
                <w:b w:val="0"/>
                <w:color w:val="auto"/>
                <w:szCs w:val="24"/>
                <w:highlight w:val="none"/>
                <w:lang w:val="en-US" w:eastAsia="zh-CN"/>
              </w:rPr>
              <w:t>根据2024年10月31日、2024年9月23日建设项目委托广东粤北环境检测有限公司的检测报告（编号：粤北检测24111101号、粤北检测24092901号）：</w:t>
            </w:r>
          </w:p>
          <w:p w14:paraId="56F3F512">
            <w:pPr>
              <w:pStyle w:val="19"/>
              <w:pageBreakBefore w:val="0"/>
              <w:numPr>
                <w:ilvl w:val="0"/>
                <w:numId w:val="6"/>
              </w:numPr>
              <w:wordWrap w:val="0"/>
              <w:overflowPunct/>
              <w:bidi w:val="0"/>
              <w:spacing w:line="240" w:lineRule="auto"/>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有组织废气监测、统计表</w:t>
            </w:r>
          </w:p>
          <w:tbl>
            <w:tblPr>
              <w:tblStyle w:val="3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028"/>
              <w:gridCol w:w="1195"/>
              <w:gridCol w:w="1195"/>
              <w:gridCol w:w="1195"/>
              <w:gridCol w:w="1195"/>
              <w:gridCol w:w="1195"/>
            </w:tblGrid>
            <w:tr w14:paraId="00928E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1267" w:type="pct"/>
                  <w:tcBorders>
                    <w:top w:val="single" w:color="000000" w:sz="4" w:space="0"/>
                    <w:left w:val="single" w:color="auto" w:sz="0" w:space="0"/>
                    <w:bottom w:val="single" w:color="000000" w:sz="4" w:space="0"/>
                    <w:right w:val="single" w:color="000000" w:sz="4" w:space="0"/>
                  </w:tcBorders>
                  <w:shd w:val="clear" w:color="auto" w:fill="auto"/>
                  <w:vAlign w:val="center"/>
                </w:tcPr>
                <w:p w14:paraId="26BB146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​污染源名称</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E4670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颗粒物实测浓度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mg/m³)</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78756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颗粒物排放速率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kg/h)</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81ACD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非甲烷总烃实测浓度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mg/m³)</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4C9CB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非甲烷总烃排放速率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kg/h)</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23972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油烟实测浓度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mg/m³)</w:t>
                  </w:r>
                </w:p>
              </w:tc>
            </w:tr>
            <w:tr w14:paraId="05E8C5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5" w:hRule="atLeast"/>
              </w:trPr>
              <w:tc>
                <w:tcPr>
                  <w:tcW w:w="1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3D789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DA001有机废气排气筒</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68D59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1.9</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59FD4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3.7×10</w:t>
                  </w:r>
                  <w:r>
                    <w:rPr>
                      <w:rFonts w:hint="default" w:ascii="Times New Roman" w:hAnsi="Times New Roman" w:eastAsia="宋体" w:cs="Times New Roman"/>
                      <w:b w:val="0"/>
                      <w:bCs w:val="0"/>
                      <w:color w:val="auto"/>
                      <w:sz w:val="21"/>
                      <w:szCs w:val="21"/>
                      <w:vertAlign w:val="superscript"/>
                      <w:lang w:val="en-US" w:eastAsia="zh-CN"/>
                    </w:rPr>
                    <w:t>-2</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A77AD7">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3.54</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E827D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7.0×10</w:t>
                  </w:r>
                  <w:r>
                    <w:rPr>
                      <w:rFonts w:hint="default" w:ascii="Times New Roman" w:hAnsi="Times New Roman" w:eastAsia="宋体" w:cs="Times New Roman"/>
                      <w:b w:val="0"/>
                      <w:bCs w:val="0"/>
                      <w:color w:val="auto"/>
                      <w:sz w:val="21"/>
                      <w:szCs w:val="21"/>
                      <w:vertAlign w:val="superscript"/>
                      <w:lang w:val="en-US" w:eastAsia="zh-CN"/>
                    </w:rPr>
                    <w:t>-2</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CD9AA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r>
            <w:tr w14:paraId="03FCD1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1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0410B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DA002有机废气排气筒</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00955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2.3</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900C6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2.6×10</w:t>
                  </w:r>
                  <w:r>
                    <w:rPr>
                      <w:rFonts w:hint="default" w:ascii="Times New Roman" w:hAnsi="Times New Roman" w:eastAsia="宋体" w:cs="Times New Roman"/>
                      <w:b w:val="0"/>
                      <w:bCs w:val="0"/>
                      <w:color w:val="auto"/>
                      <w:sz w:val="21"/>
                      <w:szCs w:val="21"/>
                      <w:vertAlign w:val="superscript"/>
                      <w:lang w:val="en-US" w:eastAsia="zh-CN"/>
                    </w:rPr>
                    <w:t>-2</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6D2D1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5.05</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D2504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5.8×10</w:t>
                  </w:r>
                  <w:r>
                    <w:rPr>
                      <w:rFonts w:hint="default" w:ascii="Times New Roman" w:hAnsi="Times New Roman" w:eastAsia="宋体" w:cs="Times New Roman"/>
                      <w:b w:val="0"/>
                      <w:bCs w:val="0"/>
                      <w:color w:val="auto"/>
                      <w:sz w:val="21"/>
                      <w:szCs w:val="21"/>
                      <w:vertAlign w:val="superscript"/>
                      <w:lang w:val="en-US" w:eastAsia="zh-CN"/>
                    </w:rPr>
                    <w:t>-2</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5A8EF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r>
            <w:tr w14:paraId="5A95FA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1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80705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DA003有机废气排</w:t>
                  </w:r>
                  <w:r>
                    <w:rPr>
                      <w:rFonts w:hint="eastAsia" w:cs="Times New Roman"/>
                      <w:b w:val="0"/>
                      <w:bCs w:val="0"/>
                      <w:color w:val="auto"/>
                      <w:sz w:val="21"/>
                      <w:szCs w:val="21"/>
                      <w:lang w:val="en-US" w:eastAsia="zh-CN"/>
                    </w:rPr>
                    <w:t>气筒</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68E41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1.9</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5A88B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3.7×10</w:t>
                  </w:r>
                  <w:r>
                    <w:rPr>
                      <w:rFonts w:hint="default" w:ascii="Times New Roman" w:hAnsi="Times New Roman" w:eastAsia="宋体" w:cs="Times New Roman"/>
                      <w:b w:val="0"/>
                      <w:bCs w:val="0"/>
                      <w:color w:val="auto"/>
                      <w:sz w:val="21"/>
                      <w:szCs w:val="21"/>
                      <w:vertAlign w:val="superscript"/>
                      <w:lang w:val="en-US" w:eastAsia="zh-CN"/>
                    </w:rPr>
                    <w:t>-2</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D7F29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1.64</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DE8917">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1.9×10</w:t>
                  </w:r>
                  <w:r>
                    <w:rPr>
                      <w:rFonts w:hint="default" w:ascii="Times New Roman" w:hAnsi="Times New Roman" w:eastAsia="宋体" w:cs="Times New Roman"/>
                      <w:b w:val="0"/>
                      <w:bCs w:val="0"/>
                      <w:color w:val="auto"/>
                      <w:sz w:val="21"/>
                      <w:szCs w:val="21"/>
                      <w:vertAlign w:val="superscript"/>
                      <w:lang w:val="en-US" w:eastAsia="zh-CN"/>
                    </w:rPr>
                    <w:t>-2</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FEB69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r>
            <w:tr w14:paraId="42868A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1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EE28C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DA004油烟排气筒</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3CD67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E6E2B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4710C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BF65A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c>
                <w:tcPr>
                  <w:tcW w:w="7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EF176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0.1</w:t>
                  </w:r>
                </w:p>
              </w:tc>
            </w:tr>
            <w:tr w14:paraId="730354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2F721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排放限值</w:t>
                  </w:r>
                </w:p>
              </w:tc>
              <w:tc>
                <w:tcPr>
                  <w:tcW w:w="7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514D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120</w:t>
                  </w:r>
                </w:p>
              </w:tc>
              <w:tc>
                <w:tcPr>
                  <w:tcW w:w="7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347B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2.9</w:t>
                  </w:r>
                </w:p>
              </w:tc>
              <w:tc>
                <w:tcPr>
                  <w:tcW w:w="7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62FD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80</w:t>
                  </w:r>
                </w:p>
              </w:tc>
              <w:tc>
                <w:tcPr>
                  <w:tcW w:w="7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41B1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c>
                <w:tcPr>
                  <w:tcW w:w="7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6E2B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2.0</w:t>
                  </w:r>
                </w:p>
              </w:tc>
            </w:tr>
            <w:tr w14:paraId="3886BE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D7D8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排放总量t/a</w:t>
                  </w:r>
                </w:p>
              </w:tc>
              <w:tc>
                <w:tcPr>
                  <w:tcW w:w="7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DDE43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c>
                <w:tcPr>
                  <w:tcW w:w="7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4E60C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0.72</w:t>
                  </w:r>
                </w:p>
              </w:tc>
              <w:tc>
                <w:tcPr>
                  <w:tcW w:w="7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1CE43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c>
                <w:tcPr>
                  <w:tcW w:w="7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1152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1.058 </w:t>
                  </w:r>
                </w:p>
              </w:tc>
              <w:tc>
                <w:tcPr>
                  <w:tcW w:w="7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4573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0.0013</w:t>
                  </w:r>
                </w:p>
              </w:tc>
            </w:tr>
          </w:tbl>
          <w:p w14:paraId="61436CE5">
            <w:pPr>
              <w:pStyle w:val="5"/>
              <w:pageBreakBefore w:val="0"/>
              <w:numPr>
                <w:ilvl w:val="3"/>
                <w:numId w:val="0"/>
              </w:numPr>
              <w:wordWrap w:val="0"/>
              <w:overflowPunct/>
              <w:bidi w:val="0"/>
              <w:ind w:firstLine="480" w:firstLineChars="200"/>
              <w:rPr>
                <w:rFonts w:hint="default" w:ascii="Times New Roman" w:hAnsi="Times New Roman" w:eastAsia="宋体" w:cs="Times New Roman"/>
                <w:b w:val="0"/>
                <w:color w:val="auto"/>
                <w:szCs w:val="24"/>
                <w:highlight w:val="none"/>
                <w:lang w:val="en-US" w:eastAsia="zh-CN"/>
              </w:rPr>
            </w:pPr>
            <w:r>
              <w:rPr>
                <w:rFonts w:hint="default" w:ascii="Times New Roman" w:hAnsi="Times New Roman" w:eastAsia="宋体" w:cs="Times New Roman"/>
                <w:b w:val="0"/>
                <w:color w:val="auto"/>
                <w:szCs w:val="24"/>
                <w:highlight w:val="none"/>
                <w:lang w:val="en-US" w:eastAsia="zh-CN"/>
              </w:rPr>
              <w:t>根据上表，本项目颗粒物达到广东省《大气污染物排放限值》</w:t>
            </w:r>
            <w:r>
              <w:rPr>
                <w:rFonts w:hint="eastAsia" w:cs="Times New Roman"/>
                <w:b w:val="0"/>
                <w:color w:val="auto"/>
                <w:szCs w:val="24"/>
                <w:highlight w:val="none"/>
                <w:lang w:val="en-US" w:eastAsia="zh-CN"/>
              </w:rPr>
              <w:t>（</w:t>
            </w:r>
            <w:r>
              <w:rPr>
                <w:rFonts w:hint="default" w:ascii="Times New Roman" w:hAnsi="Times New Roman" w:eastAsia="宋体" w:cs="Times New Roman"/>
                <w:b w:val="0"/>
                <w:color w:val="auto"/>
                <w:szCs w:val="24"/>
                <w:highlight w:val="none"/>
                <w:lang w:val="en-US" w:eastAsia="zh-CN"/>
              </w:rPr>
              <w:t>DB44/27-2001</w:t>
            </w:r>
            <w:r>
              <w:rPr>
                <w:rFonts w:hint="eastAsia" w:cs="Times New Roman"/>
                <w:b w:val="0"/>
                <w:color w:val="auto"/>
                <w:szCs w:val="24"/>
                <w:highlight w:val="none"/>
                <w:lang w:val="en-US" w:eastAsia="zh-CN"/>
              </w:rPr>
              <w:t>）</w:t>
            </w:r>
            <w:r>
              <w:rPr>
                <w:rFonts w:hint="default" w:ascii="Times New Roman" w:hAnsi="Times New Roman" w:eastAsia="宋体" w:cs="Times New Roman"/>
                <w:b w:val="0"/>
                <w:color w:val="auto"/>
                <w:szCs w:val="24"/>
                <w:highlight w:val="none"/>
                <w:lang w:val="en-US" w:eastAsia="zh-CN"/>
              </w:rPr>
              <w:t>第二时段二级排放标准限值；非甲烷总烃达到《固定污染源挥发性有机物综合排放标准》</w:t>
            </w:r>
            <w:r>
              <w:rPr>
                <w:rFonts w:hint="eastAsia" w:cs="Times New Roman"/>
                <w:b w:val="0"/>
                <w:color w:val="auto"/>
                <w:szCs w:val="24"/>
                <w:highlight w:val="none"/>
                <w:lang w:val="en-US" w:eastAsia="zh-CN"/>
              </w:rPr>
              <w:t>（</w:t>
            </w:r>
            <w:r>
              <w:rPr>
                <w:rFonts w:hint="default" w:ascii="Times New Roman" w:hAnsi="Times New Roman" w:eastAsia="宋体" w:cs="Times New Roman"/>
                <w:b w:val="0"/>
                <w:color w:val="auto"/>
                <w:szCs w:val="24"/>
                <w:highlight w:val="none"/>
                <w:lang w:val="en-US" w:eastAsia="zh-CN"/>
              </w:rPr>
              <w:t>DB44/2367-2022</w:t>
            </w:r>
            <w:r>
              <w:rPr>
                <w:rFonts w:hint="eastAsia" w:cs="Times New Roman"/>
                <w:b w:val="0"/>
                <w:color w:val="auto"/>
                <w:szCs w:val="24"/>
                <w:highlight w:val="none"/>
                <w:lang w:val="en-US" w:eastAsia="zh-CN"/>
              </w:rPr>
              <w:t>）</w:t>
            </w:r>
            <w:r>
              <w:rPr>
                <w:rFonts w:hint="default" w:ascii="Times New Roman" w:hAnsi="Times New Roman" w:eastAsia="宋体" w:cs="Times New Roman"/>
                <w:b w:val="0"/>
                <w:color w:val="auto"/>
                <w:szCs w:val="24"/>
                <w:highlight w:val="none"/>
                <w:lang w:val="en-US" w:eastAsia="zh-CN"/>
              </w:rPr>
              <w:t>表1挥发性有机物排放限值；油烟达到</w:t>
            </w:r>
            <w:r>
              <w:rPr>
                <w:rFonts w:hint="eastAsia" w:cs="Times New Roman"/>
                <w:b w:val="0"/>
                <w:color w:val="auto"/>
                <w:szCs w:val="24"/>
                <w:highlight w:val="none"/>
                <w:lang w:val="en-US" w:eastAsia="zh-CN"/>
              </w:rPr>
              <w:t>《饮食业油烟排放标准》（试行）（GB 18483-2001）</w:t>
            </w:r>
            <w:r>
              <w:rPr>
                <w:rFonts w:hint="default" w:ascii="Times New Roman" w:hAnsi="Times New Roman" w:eastAsia="宋体" w:cs="Times New Roman"/>
                <w:b w:val="0"/>
                <w:color w:val="auto"/>
                <w:szCs w:val="24"/>
                <w:highlight w:val="none"/>
                <w:lang w:val="en-US" w:eastAsia="zh-CN"/>
              </w:rPr>
              <w:t>限值。</w:t>
            </w:r>
          </w:p>
          <w:p w14:paraId="1D6CC4ED">
            <w:pPr>
              <w:pStyle w:val="5"/>
              <w:pageBreakBefore w:val="0"/>
              <w:numPr>
                <w:ilvl w:val="3"/>
                <w:numId w:val="0"/>
              </w:numPr>
              <w:wordWrap w:val="0"/>
              <w:overflowPunct/>
              <w:bidi w:val="0"/>
              <w:ind w:firstLine="480" w:firstLineChars="200"/>
              <w:rPr>
                <w:rFonts w:hint="default" w:ascii="Times New Roman" w:hAnsi="Times New Roman" w:eastAsia="宋体" w:cs="Times New Roman"/>
                <w:b/>
                <w:bCs w:val="0"/>
                <w:color w:val="auto"/>
                <w:szCs w:val="24"/>
                <w:highlight w:val="none"/>
                <w:lang w:val="en-US" w:eastAsia="zh-CN"/>
              </w:rPr>
            </w:pPr>
            <w:r>
              <w:rPr>
                <w:rFonts w:hint="default" w:ascii="Times New Roman" w:hAnsi="Times New Roman" w:eastAsia="宋体" w:cs="Times New Roman"/>
                <w:b/>
                <w:bCs w:val="0"/>
                <w:color w:val="auto"/>
                <w:szCs w:val="24"/>
                <w:highlight w:val="none"/>
                <w:lang w:val="en-US" w:eastAsia="zh-CN"/>
              </w:rPr>
              <w:t>无组织：</w:t>
            </w:r>
          </w:p>
          <w:p w14:paraId="5827208B">
            <w:pPr>
              <w:pStyle w:val="5"/>
              <w:pageBreakBefore w:val="0"/>
              <w:numPr>
                <w:ilvl w:val="3"/>
                <w:numId w:val="0"/>
              </w:numPr>
              <w:wordWrap w:val="0"/>
              <w:overflowPunct/>
              <w:bidi w:val="0"/>
              <w:ind w:firstLine="480" w:firstLineChars="200"/>
              <w:rPr>
                <w:rFonts w:hint="default" w:ascii="Times New Roman" w:hAnsi="Times New Roman" w:eastAsia="宋体" w:cs="Times New Roman"/>
                <w:b w:val="0"/>
                <w:color w:val="auto"/>
                <w:szCs w:val="24"/>
                <w:highlight w:val="none"/>
                <w:lang w:val="en-US" w:eastAsia="zh-CN"/>
              </w:rPr>
            </w:pPr>
            <w:r>
              <w:rPr>
                <w:rFonts w:hint="default" w:ascii="Times New Roman" w:hAnsi="Times New Roman" w:eastAsia="宋体" w:cs="Times New Roman"/>
                <w:b w:val="0"/>
                <w:color w:val="auto"/>
                <w:szCs w:val="24"/>
                <w:highlight w:val="none"/>
                <w:lang w:val="en-US" w:eastAsia="zh-CN"/>
              </w:rPr>
              <w:t>根据2024年2月22日建设项目委托广东粤北环境检测有限公司的检测报告（编号：粤北检测24022906号）：</w:t>
            </w:r>
          </w:p>
          <w:p w14:paraId="394FD103">
            <w:pPr>
              <w:pStyle w:val="19"/>
              <w:pageBreakBefore w:val="0"/>
              <w:numPr>
                <w:ilvl w:val="0"/>
                <w:numId w:val="6"/>
              </w:numPr>
              <w:wordWrap w:val="0"/>
              <w:overflowPunct/>
              <w:bidi w:val="0"/>
              <w:spacing w:line="240" w:lineRule="auto"/>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无组织废气监测、统计表</w:t>
            </w:r>
          </w:p>
          <w:tbl>
            <w:tblPr>
              <w:tblStyle w:val="3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669"/>
              <w:gridCol w:w="2166"/>
              <w:gridCol w:w="2168"/>
            </w:tblGrid>
            <w:tr w14:paraId="6539F1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292" w:type="pct"/>
                  <w:tcBorders>
                    <w:top w:val="single" w:color="000000" w:sz="4" w:space="0"/>
                    <w:left w:val="single" w:color="auto" w:sz="0" w:space="0"/>
                    <w:bottom w:val="single" w:color="000000" w:sz="4" w:space="0"/>
                    <w:right w:val="single" w:color="000000" w:sz="4" w:space="0"/>
                  </w:tcBorders>
                  <w:shd w:val="clear" w:color="auto" w:fill="auto"/>
                  <w:noWrap/>
                  <w:vAlign w:val="center"/>
                </w:tcPr>
                <w:p w14:paraId="7A43CD6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检测点位</w:t>
                  </w:r>
                </w:p>
              </w:tc>
              <w:tc>
                <w:tcPr>
                  <w:tcW w:w="13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6383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颗粒物</w:t>
                  </w:r>
                </w:p>
              </w:tc>
              <w:tc>
                <w:tcPr>
                  <w:tcW w:w="13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320C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非甲烷总烃</w:t>
                  </w:r>
                </w:p>
              </w:tc>
            </w:tr>
            <w:tr w14:paraId="096533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2200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上风向</w:t>
                  </w:r>
                </w:p>
              </w:tc>
              <w:tc>
                <w:tcPr>
                  <w:tcW w:w="13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86E0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0.073</w:t>
                  </w:r>
                </w:p>
              </w:tc>
              <w:tc>
                <w:tcPr>
                  <w:tcW w:w="13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69C3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0.17</w:t>
                  </w:r>
                </w:p>
              </w:tc>
            </w:tr>
            <w:tr w14:paraId="6F6F4A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1FF2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下风向1#</w:t>
                  </w:r>
                </w:p>
              </w:tc>
              <w:tc>
                <w:tcPr>
                  <w:tcW w:w="13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0C5E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0.182</w:t>
                  </w:r>
                </w:p>
              </w:tc>
              <w:tc>
                <w:tcPr>
                  <w:tcW w:w="13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0649A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0.31</w:t>
                  </w:r>
                </w:p>
              </w:tc>
            </w:tr>
            <w:tr w14:paraId="135665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E33A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下风向2#</w:t>
                  </w:r>
                </w:p>
              </w:tc>
              <w:tc>
                <w:tcPr>
                  <w:tcW w:w="13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FD4C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0.176</w:t>
                  </w:r>
                </w:p>
              </w:tc>
              <w:tc>
                <w:tcPr>
                  <w:tcW w:w="13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E9F9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0.52</w:t>
                  </w:r>
                </w:p>
              </w:tc>
            </w:tr>
            <w:tr w14:paraId="7AF4BC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A6FD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下风向3#</w:t>
                  </w:r>
                </w:p>
              </w:tc>
              <w:tc>
                <w:tcPr>
                  <w:tcW w:w="13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F4EE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0.195</w:t>
                  </w:r>
                </w:p>
              </w:tc>
              <w:tc>
                <w:tcPr>
                  <w:tcW w:w="13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C0C8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0.53</w:t>
                  </w:r>
                </w:p>
              </w:tc>
            </w:tr>
            <w:tr w14:paraId="642F2A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2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2AB6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标准限值</w:t>
                  </w:r>
                </w:p>
              </w:tc>
              <w:tc>
                <w:tcPr>
                  <w:tcW w:w="13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7276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1.0</w:t>
                  </w:r>
                </w:p>
              </w:tc>
              <w:tc>
                <w:tcPr>
                  <w:tcW w:w="13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F2E3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4.0</w:t>
                  </w:r>
                </w:p>
              </w:tc>
            </w:tr>
          </w:tbl>
          <w:p w14:paraId="68AFE9D3">
            <w:pPr>
              <w:pStyle w:val="5"/>
              <w:pageBreakBefore w:val="0"/>
              <w:numPr>
                <w:ilvl w:val="3"/>
                <w:numId w:val="0"/>
              </w:numPr>
              <w:wordWrap w:val="0"/>
              <w:overflowPunct/>
              <w:bidi w:val="0"/>
              <w:ind w:firstLine="480" w:firstLineChars="200"/>
              <w:rPr>
                <w:rFonts w:hint="default" w:ascii="Times New Roman" w:hAnsi="Times New Roman" w:eastAsia="宋体" w:cs="Times New Roman"/>
                <w:b w:val="0"/>
                <w:color w:val="auto"/>
                <w:szCs w:val="24"/>
                <w:highlight w:val="none"/>
                <w:lang w:val="en-US" w:eastAsia="zh-CN"/>
              </w:rPr>
            </w:pPr>
            <w:r>
              <w:rPr>
                <w:rFonts w:hint="default" w:ascii="Times New Roman" w:hAnsi="Times New Roman" w:eastAsia="宋体" w:cs="Times New Roman"/>
                <w:b w:val="0"/>
                <w:color w:val="auto"/>
                <w:szCs w:val="24"/>
                <w:highlight w:val="none"/>
                <w:lang w:val="en-US" w:eastAsia="zh-CN"/>
              </w:rPr>
              <w:t>根据上表，颗粒物、非甲烷总烃满足广东省《大气污染物排放限值》</w:t>
            </w:r>
            <w:r>
              <w:rPr>
                <w:rFonts w:hint="eastAsia" w:cs="Times New Roman"/>
                <w:b w:val="0"/>
                <w:color w:val="auto"/>
                <w:szCs w:val="24"/>
                <w:highlight w:val="none"/>
                <w:lang w:val="en-US" w:eastAsia="zh-CN"/>
              </w:rPr>
              <w:t>（</w:t>
            </w:r>
            <w:r>
              <w:rPr>
                <w:rFonts w:hint="default" w:ascii="Times New Roman" w:hAnsi="Times New Roman" w:eastAsia="宋体" w:cs="Times New Roman"/>
                <w:b w:val="0"/>
                <w:color w:val="auto"/>
                <w:szCs w:val="24"/>
                <w:highlight w:val="none"/>
                <w:lang w:val="en-US" w:eastAsia="zh-CN"/>
              </w:rPr>
              <w:t>DB 44/27-2001</w:t>
            </w:r>
            <w:r>
              <w:rPr>
                <w:rFonts w:hint="eastAsia" w:cs="Times New Roman"/>
                <w:b w:val="0"/>
                <w:color w:val="auto"/>
                <w:szCs w:val="24"/>
                <w:highlight w:val="none"/>
                <w:lang w:val="en-US" w:eastAsia="zh-CN"/>
              </w:rPr>
              <w:t>）</w:t>
            </w:r>
            <w:r>
              <w:rPr>
                <w:rFonts w:hint="default" w:ascii="Times New Roman" w:hAnsi="Times New Roman" w:eastAsia="宋体" w:cs="Times New Roman"/>
                <w:b w:val="0"/>
                <w:color w:val="auto"/>
                <w:szCs w:val="24"/>
                <w:highlight w:val="none"/>
                <w:lang w:val="en-US" w:eastAsia="zh-CN"/>
              </w:rPr>
              <w:t>第二时段无组织排放监控浓度限值。</w:t>
            </w:r>
          </w:p>
          <w:p w14:paraId="72D21A56">
            <w:pPr>
              <w:pStyle w:val="5"/>
              <w:pageBreakBefore w:val="0"/>
              <w:numPr>
                <w:ilvl w:val="3"/>
                <w:numId w:val="0"/>
              </w:numPr>
              <w:wordWrap w:val="0"/>
              <w:overflowPunct/>
              <w:bidi w:val="0"/>
              <w:ind w:firstLine="480" w:firstLineChars="200"/>
              <w:rPr>
                <w:rFonts w:hint="eastAsia" w:ascii="Times New Roman" w:hAnsi="Times New Roman" w:eastAsia="宋体" w:cs="Times New Roman"/>
                <w:b w:val="0"/>
                <w:color w:val="auto"/>
                <w:szCs w:val="24"/>
                <w:highlight w:val="none"/>
                <w:lang w:val="en-US" w:eastAsia="zh-CN"/>
              </w:rPr>
            </w:pPr>
            <w:r>
              <w:rPr>
                <w:rFonts w:hint="eastAsia" w:ascii="Times New Roman" w:hAnsi="Times New Roman" w:eastAsia="宋体" w:cs="Times New Roman"/>
                <w:b w:val="0"/>
                <w:color w:val="auto"/>
                <w:szCs w:val="24"/>
                <w:highlight w:val="none"/>
                <w:lang w:val="en-US" w:eastAsia="zh-CN"/>
              </w:rPr>
              <w:t>根据</w:t>
            </w:r>
            <w:r>
              <w:rPr>
                <w:rFonts w:hint="eastAsia" w:ascii="Times New Roman" w:hAnsi="Times New Roman" w:cs="Times New Roman"/>
                <w:b w:val="0"/>
                <w:color w:val="auto"/>
                <w:szCs w:val="24"/>
                <w:highlight w:val="none"/>
                <w:lang w:val="en-US" w:eastAsia="zh-CN"/>
              </w:rPr>
              <w:t>项目实际采取的收集措施（单层密闭负压+</w:t>
            </w:r>
            <w:r>
              <w:rPr>
                <w:rFonts w:hint="eastAsia" w:cs="Times New Roman"/>
                <w:b w:val="0"/>
                <w:color w:val="auto"/>
                <w:szCs w:val="24"/>
                <w:highlight w:val="none"/>
                <w:lang w:val="en-US" w:eastAsia="zh-CN"/>
              </w:rPr>
              <w:t>密闭</w:t>
            </w:r>
            <w:r>
              <w:rPr>
                <w:rFonts w:hint="eastAsia" w:ascii="Times New Roman" w:hAnsi="Times New Roman" w:cs="Times New Roman"/>
                <w:b w:val="0"/>
                <w:color w:val="auto"/>
                <w:szCs w:val="24"/>
                <w:highlight w:val="none"/>
                <w:lang w:val="en-US" w:eastAsia="zh-CN"/>
              </w:rPr>
              <w:t>罩收集），根据《广东省工业源挥发性有机物减排量核算方法（2023年修订版）》中废气收集集气效率参考值，集气效率为90%；实际采取的废气处理设施为气旋喷淋塔+二级活性炭吸附+脱附+催化燃烧，</w:t>
            </w:r>
            <w:r>
              <w:rPr>
                <w:rFonts w:hint="eastAsia" w:ascii="Times New Roman" w:hAnsi="Times New Roman" w:eastAsia="宋体" w:cs="Times New Roman"/>
                <w:b w:val="0"/>
                <w:color w:val="auto"/>
                <w:szCs w:val="24"/>
                <w:highlight w:val="none"/>
                <w:lang w:val="en-US" w:eastAsia="zh-CN"/>
              </w:rPr>
              <w:t>颗粒物、非甲烷总烃处理效率均为90%，以此反推颗粒物、非甲烷总烃无组织排放量为0.72t/a、1.058t/a。</w:t>
            </w:r>
          </w:p>
          <w:p w14:paraId="6CD8DADA">
            <w:pPr>
              <w:pStyle w:val="5"/>
              <w:pageBreakBefore w:val="0"/>
              <w:numPr>
                <w:ilvl w:val="3"/>
                <w:numId w:val="0"/>
              </w:numPr>
              <w:wordWrap w:val="0"/>
              <w:overflowPunct/>
              <w:bidi w:val="0"/>
              <w:ind w:firstLine="480" w:firstLineChars="200"/>
              <w:rPr>
                <w:rFonts w:hint="default" w:ascii="Times New Roman" w:hAnsi="Times New Roman" w:eastAsia="宋体" w:cs="Times New Roman"/>
                <w:b w:val="0"/>
                <w:color w:val="auto"/>
                <w:szCs w:val="24"/>
                <w:highlight w:val="none"/>
                <w:lang w:val="en-US" w:eastAsia="zh-CN"/>
              </w:rPr>
            </w:pPr>
            <w:r>
              <w:rPr>
                <w:rFonts w:hint="eastAsia" w:cs="Times New Roman"/>
                <w:b w:val="0"/>
                <w:color w:val="auto"/>
                <w:szCs w:val="24"/>
                <w:highlight w:val="none"/>
                <w:lang w:val="en-US" w:eastAsia="zh-CN"/>
              </w:rPr>
              <w:t>根据上述计算，</w:t>
            </w:r>
            <w:r>
              <w:rPr>
                <w:rFonts w:hint="eastAsia" w:ascii="Times New Roman" w:hAnsi="Times New Roman" w:eastAsia="宋体" w:cs="Times New Roman"/>
                <w:b w:val="0"/>
                <w:color w:val="auto"/>
                <w:szCs w:val="24"/>
                <w:highlight w:val="none"/>
                <w:lang w:val="en-US" w:eastAsia="zh-CN"/>
              </w:rPr>
              <w:t>原项目有机废气实际</w:t>
            </w:r>
            <w:r>
              <w:rPr>
                <w:rFonts w:hint="eastAsia" w:cs="Times New Roman"/>
                <w:b w:val="0"/>
                <w:color w:val="auto"/>
                <w:szCs w:val="24"/>
                <w:highlight w:val="none"/>
                <w:lang w:val="en-US" w:eastAsia="zh-CN"/>
              </w:rPr>
              <w:t>有组织排放量为1.058t/a，无组织排放量为1.058t/a，则原项目实际</w:t>
            </w:r>
            <w:r>
              <w:rPr>
                <w:rFonts w:hint="eastAsia" w:ascii="Times New Roman" w:hAnsi="Times New Roman" w:eastAsia="宋体" w:cs="Times New Roman"/>
                <w:b w:val="0"/>
                <w:color w:val="auto"/>
                <w:szCs w:val="24"/>
                <w:highlight w:val="none"/>
                <w:lang w:val="en-US" w:eastAsia="zh-CN"/>
              </w:rPr>
              <w:t>总排放量为2.116t/a，小于《广东沃府实业有限公司VOCs重点监管企业管理手册》改造后VOCs总量指标5.194t/a，满足总量要求。</w:t>
            </w:r>
          </w:p>
          <w:p w14:paraId="125E3B51">
            <w:pPr>
              <w:pStyle w:val="5"/>
              <w:pageBreakBefore w:val="0"/>
              <w:numPr>
                <w:ilvl w:val="3"/>
                <w:numId w:val="0"/>
              </w:numPr>
              <w:wordWrap w:val="0"/>
              <w:overflowPunct/>
              <w:bidi w:val="0"/>
              <w:ind w:firstLine="480" w:firstLineChars="200"/>
              <w:rPr>
                <w:rFonts w:hint="default" w:ascii="Times New Roman" w:hAnsi="Times New Roman" w:eastAsia="宋体" w:cs="Times New Roman"/>
                <w:b/>
                <w:bCs w:val="0"/>
                <w:color w:val="auto"/>
                <w:szCs w:val="24"/>
                <w:highlight w:val="none"/>
                <w:lang w:val="en-US" w:eastAsia="zh-CN"/>
              </w:rPr>
            </w:pPr>
            <w:r>
              <w:rPr>
                <w:rFonts w:hint="default" w:ascii="Times New Roman" w:hAnsi="Times New Roman" w:eastAsia="宋体" w:cs="Times New Roman"/>
                <w:b/>
                <w:bCs w:val="0"/>
                <w:color w:val="auto"/>
                <w:szCs w:val="24"/>
                <w:highlight w:val="none"/>
                <w:lang w:val="en-US" w:eastAsia="zh-CN"/>
              </w:rPr>
              <w:t>（3）噪声</w:t>
            </w:r>
          </w:p>
          <w:p w14:paraId="6068DC90">
            <w:pPr>
              <w:pStyle w:val="5"/>
              <w:pageBreakBefore w:val="0"/>
              <w:numPr>
                <w:ilvl w:val="3"/>
                <w:numId w:val="0"/>
              </w:numPr>
              <w:wordWrap w:val="0"/>
              <w:overflowPunct/>
              <w:bidi w:val="0"/>
              <w:ind w:firstLine="480" w:firstLineChars="200"/>
              <w:rPr>
                <w:rFonts w:hint="default" w:ascii="Times New Roman" w:hAnsi="Times New Roman" w:eastAsia="宋体" w:cs="Times New Roman"/>
                <w:b w:val="0"/>
                <w:color w:val="auto"/>
                <w:szCs w:val="24"/>
                <w:highlight w:val="none"/>
                <w:lang w:val="en-US" w:eastAsia="zh-CN"/>
              </w:rPr>
            </w:pPr>
            <w:r>
              <w:rPr>
                <w:rFonts w:hint="default" w:ascii="Times New Roman" w:hAnsi="Times New Roman" w:eastAsia="宋体" w:cs="Times New Roman"/>
                <w:b w:val="0"/>
                <w:color w:val="auto"/>
                <w:szCs w:val="24"/>
                <w:highlight w:val="none"/>
                <w:lang w:val="en-US" w:eastAsia="zh-CN"/>
              </w:rPr>
              <w:t>原项目的噪声主要来源于挤出生产线等生产设备以及抽排风机等，根据2024年10月31日建设项目委托广东粤北环境检测有限公司的检测报告（编号：粤北检测24111101号），具体监测结果见下表。</w:t>
            </w:r>
          </w:p>
          <w:p w14:paraId="596927C1">
            <w:pPr>
              <w:pStyle w:val="19"/>
              <w:pageBreakBefore w:val="0"/>
              <w:numPr>
                <w:ilvl w:val="0"/>
                <w:numId w:val="6"/>
              </w:numPr>
              <w:wordWrap w:val="0"/>
              <w:overflowPunct/>
              <w:bidi w:val="0"/>
              <w:spacing w:line="240" w:lineRule="auto"/>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厂界噪声监测结果表</w:t>
            </w:r>
          </w:p>
          <w:tbl>
            <w:tblPr>
              <w:tblStyle w:val="3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44"/>
              <w:gridCol w:w="2072"/>
              <w:gridCol w:w="920"/>
              <w:gridCol w:w="2182"/>
              <w:gridCol w:w="1788"/>
            </w:tblGrid>
            <w:tr w14:paraId="39BA64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70" w:hRule="atLeast"/>
              </w:trPr>
              <w:tc>
                <w:tcPr>
                  <w:tcW w:w="0" w:type="auto"/>
                  <w:tcBorders>
                    <w:top w:val="single" w:color="000000" w:sz="4" w:space="0"/>
                    <w:left w:val="single" w:color="auto" w:sz="0" w:space="0"/>
                    <w:bottom w:val="single" w:color="000000" w:sz="4" w:space="0"/>
                    <w:right w:val="single" w:color="000000" w:sz="4" w:space="0"/>
                  </w:tcBorders>
                  <w:shd w:val="clear" w:color="auto" w:fill="auto"/>
                  <w:vAlign w:val="center"/>
                </w:tcPr>
                <w:p w14:paraId="50D5A5B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日期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85F06D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检测点位</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6FEE0C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主要声源</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1AC591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检测结果 Leq,T [dB</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A)]</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57AE0F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标准限值（昼间）​</w:t>
                  </w:r>
                </w:p>
              </w:tc>
            </w:tr>
            <w:tr w14:paraId="204008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0" w:type="auto"/>
                  <w:vMerge w:val="restart"/>
                  <w:tcBorders>
                    <w:top w:val="single" w:color="000000" w:sz="4" w:space="0"/>
                    <w:left w:val="single" w:color="000000" w:sz="4" w:space="0"/>
                    <w:right w:val="single" w:color="000000" w:sz="4" w:space="0"/>
                  </w:tcBorders>
                  <w:shd w:val="clear" w:color="auto" w:fill="auto"/>
                  <w:vAlign w:val="center"/>
                </w:tcPr>
                <w:p w14:paraId="584F4A5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10月31日</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D68A08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项目北侧距厂界外1米处</w:t>
                  </w:r>
                </w:p>
              </w:tc>
              <w:tc>
                <w:tcPr>
                  <w:tcW w:w="0" w:type="auto"/>
                  <w:vMerge w:val="restart"/>
                  <w:tcBorders>
                    <w:top w:val="single" w:color="000000" w:sz="4" w:space="0"/>
                    <w:left w:val="single" w:color="000000" w:sz="4" w:space="0"/>
                    <w:right w:val="single" w:color="000000" w:sz="4" w:space="0"/>
                  </w:tcBorders>
                  <w:shd w:val="clear" w:color="auto" w:fill="auto"/>
                  <w:vAlign w:val="center"/>
                </w:tcPr>
                <w:p w14:paraId="1BC8FC16">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生产噪声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400832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55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D17B59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65</w:t>
                  </w:r>
                </w:p>
              </w:tc>
            </w:tr>
            <w:tr w14:paraId="2733E9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0" w:type="auto"/>
                  <w:vMerge w:val="continue"/>
                  <w:tcBorders>
                    <w:left w:val="single" w:color="000000" w:sz="4" w:space="0"/>
                    <w:right w:val="single" w:color="000000" w:sz="4" w:space="0"/>
                  </w:tcBorders>
                  <w:shd w:val="clear" w:color="auto" w:fill="auto"/>
                  <w:vAlign w:val="center"/>
                </w:tcPr>
                <w:p w14:paraId="4077182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59F4F9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项目东侧距厂界外1米处</w:t>
                  </w:r>
                </w:p>
              </w:tc>
              <w:tc>
                <w:tcPr>
                  <w:tcW w:w="0" w:type="auto"/>
                  <w:vMerge w:val="continue"/>
                  <w:tcBorders>
                    <w:left w:val="single" w:color="000000" w:sz="4" w:space="0"/>
                    <w:right w:val="single" w:color="000000" w:sz="4" w:space="0"/>
                  </w:tcBorders>
                  <w:shd w:val="clear" w:color="auto" w:fill="auto"/>
                  <w:vAlign w:val="center"/>
                </w:tcPr>
                <w:p w14:paraId="1B8BB6B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5E37B2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58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EDD1E3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65</w:t>
                  </w:r>
                </w:p>
              </w:tc>
            </w:tr>
            <w:tr w14:paraId="19CF84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0" w:type="auto"/>
                  <w:vMerge w:val="continue"/>
                  <w:tcBorders>
                    <w:left w:val="single" w:color="000000" w:sz="4" w:space="0"/>
                    <w:bottom w:val="single" w:color="000000" w:sz="4" w:space="0"/>
                    <w:right w:val="single" w:color="000000" w:sz="4" w:space="0"/>
                  </w:tcBorders>
                  <w:shd w:val="clear" w:color="auto" w:fill="auto"/>
                  <w:vAlign w:val="center"/>
                </w:tcPr>
                <w:p w14:paraId="3E3E97B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779AE7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项目南侧距厂界外1米处</w:t>
                  </w:r>
                </w:p>
              </w:tc>
              <w:tc>
                <w:tcPr>
                  <w:tcW w:w="0" w:type="auto"/>
                  <w:vMerge w:val="continue"/>
                  <w:tcBorders>
                    <w:left w:val="single" w:color="000000" w:sz="4" w:space="0"/>
                    <w:bottom w:val="single" w:color="000000" w:sz="4" w:space="0"/>
                    <w:right w:val="single" w:color="000000" w:sz="4" w:space="0"/>
                  </w:tcBorders>
                  <w:shd w:val="clear" w:color="auto" w:fill="auto"/>
                  <w:vAlign w:val="center"/>
                </w:tcPr>
                <w:p w14:paraId="388F477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76DD62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58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1A8EB1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65</w:t>
                  </w:r>
                </w:p>
              </w:tc>
            </w:tr>
          </w:tbl>
          <w:p w14:paraId="2EB48C1C">
            <w:pPr>
              <w:pStyle w:val="5"/>
              <w:pageBreakBefore w:val="0"/>
              <w:numPr>
                <w:ilvl w:val="3"/>
                <w:numId w:val="0"/>
              </w:numPr>
              <w:wordWrap w:val="0"/>
              <w:overflowPunct/>
              <w:bidi w:val="0"/>
              <w:ind w:firstLine="480" w:firstLineChars="200"/>
              <w:rPr>
                <w:rFonts w:hint="default" w:ascii="Times New Roman" w:hAnsi="Times New Roman" w:eastAsia="宋体" w:cs="Times New Roman"/>
                <w:b w:val="0"/>
                <w:color w:val="auto"/>
                <w:szCs w:val="24"/>
                <w:highlight w:val="none"/>
                <w:lang w:val="en-US" w:eastAsia="zh-CN"/>
              </w:rPr>
            </w:pPr>
            <w:r>
              <w:rPr>
                <w:rFonts w:hint="default" w:ascii="Times New Roman" w:hAnsi="Times New Roman" w:eastAsia="宋体" w:cs="Times New Roman"/>
                <w:b w:val="0"/>
                <w:color w:val="auto"/>
                <w:szCs w:val="24"/>
                <w:highlight w:val="none"/>
                <w:lang w:val="en-US" w:eastAsia="zh-CN"/>
              </w:rPr>
              <w:t>根据上表，厂界噪声满足《工业企业厂界环境噪声排放标准》（GB 12348-2008）中3类标准。</w:t>
            </w:r>
          </w:p>
          <w:p w14:paraId="13A1DD54">
            <w:pPr>
              <w:pStyle w:val="5"/>
              <w:pageBreakBefore w:val="0"/>
              <w:numPr>
                <w:ilvl w:val="3"/>
                <w:numId w:val="0"/>
              </w:numPr>
              <w:wordWrap w:val="0"/>
              <w:overflowPunct/>
              <w:bidi w:val="0"/>
              <w:ind w:firstLine="480" w:firstLineChars="200"/>
              <w:rPr>
                <w:rFonts w:hint="default" w:ascii="Times New Roman" w:hAnsi="Times New Roman" w:eastAsia="宋体" w:cs="Times New Roman"/>
                <w:b/>
                <w:bCs w:val="0"/>
                <w:color w:val="auto"/>
                <w:szCs w:val="24"/>
                <w:highlight w:val="none"/>
                <w:lang w:val="en-US" w:eastAsia="zh-CN"/>
              </w:rPr>
            </w:pPr>
            <w:r>
              <w:rPr>
                <w:rFonts w:hint="default" w:ascii="Times New Roman" w:hAnsi="Times New Roman" w:eastAsia="宋体" w:cs="Times New Roman"/>
                <w:b/>
                <w:bCs w:val="0"/>
                <w:color w:val="auto"/>
                <w:szCs w:val="24"/>
                <w:highlight w:val="none"/>
                <w:lang w:val="en-US" w:eastAsia="zh-CN"/>
              </w:rPr>
              <w:t>（4）固体废物</w:t>
            </w:r>
          </w:p>
          <w:p w14:paraId="7A92020F">
            <w:pPr>
              <w:pStyle w:val="5"/>
              <w:pageBreakBefore w:val="0"/>
              <w:numPr>
                <w:ilvl w:val="3"/>
                <w:numId w:val="0"/>
              </w:numPr>
              <w:wordWrap w:val="0"/>
              <w:overflowPunct/>
              <w:bidi w:val="0"/>
              <w:ind w:firstLine="480" w:firstLineChars="200"/>
              <w:rPr>
                <w:rFonts w:hint="default" w:ascii="Times New Roman" w:hAnsi="Times New Roman" w:eastAsia="宋体" w:cs="Times New Roman"/>
                <w:b w:val="0"/>
                <w:color w:val="auto"/>
                <w:szCs w:val="24"/>
                <w:highlight w:val="none"/>
                <w:lang w:val="en-US" w:eastAsia="zh-CN"/>
              </w:rPr>
            </w:pPr>
            <w:r>
              <w:rPr>
                <w:rFonts w:hint="default" w:ascii="Times New Roman" w:hAnsi="Times New Roman" w:eastAsia="宋体" w:cs="Times New Roman"/>
                <w:b w:val="0"/>
                <w:color w:val="auto"/>
                <w:szCs w:val="24"/>
                <w:highlight w:val="none"/>
                <w:lang w:val="en-US" w:eastAsia="zh-CN"/>
              </w:rPr>
              <w:t>原项目产生的固体废物主要有废塑料中的不可利用废物及包装物、生产过程挤出工序中定期更换的废网筛、有机废气处理装置产生的废活性炭、灰渣、废玻璃纤维过滤棉、生活垃圾等。</w:t>
            </w:r>
          </w:p>
          <w:p w14:paraId="7760A61E">
            <w:pPr>
              <w:pStyle w:val="19"/>
              <w:pageBreakBefore w:val="0"/>
              <w:numPr>
                <w:ilvl w:val="0"/>
                <w:numId w:val="6"/>
              </w:numPr>
              <w:wordWrap w:val="0"/>
              <w:overflowPunct/>
              <w:bidi w:val="0"/>
              <w:spacing w:line="240" w:lineRule="auto"/>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原项目固体废物产生量</w:t>
            </w:r>
          </w:p>
          <w:tbl>
            <w:tblPr>
              <w:tblStyle w:val="37"/>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706"/>
              <w:gridCol w:w="3425"/>
              <w:gridCol w:w="1873"/>
            </w:tblGrid>
            <w:tr w14:paraId="6445AA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90" w:type="pct"/>
                  <w:tcBorders>
                    <w:top w:val="single" w:color="000000" w:sz="4" w:space="0"/>
                    <w:left w:val="single" w:color="auto" w:sz="0" w:space="0"/>
                    <w:bottom w:val="single" w:color="000000" w:sz="4" w:space="0"/>
                    <w:right w:val="single" w:color="000000" w:sz="4" w:space="0"/>
                  </w:tcBorders>
                  <w:shd w:val="clear" w:color="auto" w:fill="auto"/>
                  <w:noWrap/>
                  <w:vAlign w:val="center"/>
                </w:tcPr>
                <w:p w14:paraId="04F738D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序号</w:t>
                  </w:r>
                </w:p>
              </w:tc>
              <w:tc>
                <w:tcPr>
                  <w:tcW w:w="2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9463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名称</w:t>
                  </w: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92B9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 xml:space="preserve">产生总量 </w:t>
                  </w:r>
                  <w:r>
                    <w:rPr>
                      <w:rFonts w:hint="eastAsia"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t/a)</w:t>
                  </w:r>
                </w:p>
              </w:tc>
            </w:tr>
            <w:tr w14:paraId="2CB77A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EB22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w:t>
                  </w:r>
                </w:p>
              </w:tc>
              <w:tc>
                <w:tcPr>
                  <w:tcW w:w="2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C372F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不可利用废物及包装物</w:t>
                  </w: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44E297">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280</w:t>
                  </w:r>
                </w:p>
              </w:tc>
            </w:tr>
            <w:tr w14:paraId="2F557D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E470A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w:t>
                  </w:r>
                </w:p>
              </w:tc>
              <w:tc>
                <w:tcPr>
                  <w:tcW w:w="2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5A2413">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废网筛</w:t>
                  </w: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96565">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0.2</w:t>
                  </w:r>
                  <w:r>
                    <w:rPr>
                      <w:rFonts w:hint="eastAsia" w:cs="Times New Roman"/>
                      <w:b w:val="0"/>
                      <w:bCs w:val="0"/>
                      <w:color w:val="auto"/>
                      <w:sz w:val="21"/>
                      <w:szCs w:val="21"/>
                      <w:lang w:val="en-US" w:eastAsia="zh-CN"/>
                    </w:rPr>
                    <w:t>15</w:t>
                  </w:r>
                </w:p>
              </w:tc>
            </w:tr>
            <w:tr w14:paraId="1AC3DD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7EA49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w:t>
                  </w:r>
                </w:p>
              </w:tc>
              <w:tc>
                <w:tcPr>
                  <w:tcW w:w="2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6EA4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废活性炭</w:t>
                  </w: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1AD5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0.46</w:t>
                  </w:r>
                </w:p>
              </w:tc>
            </w:tr>
            <w:tr w14:paraId="5124A2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81E6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w:t>
                  </w:r>
                </w:p>
              </w:tc>
              <w:tc>
                <w:tcPr>
                  <w:tcW w:w="2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7A4F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灰渣</w:t>
                  </w: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8BFF3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34.56</w:t>
                  </w:r>
                </w:p>
              </w:tc>
            </w:tr>
            <w:tr w14:paraId="572492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3A0CD">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5</w:t>
                  </w:r>
                </w:p>
              </w:tc>
              <w:tc>
                <w:tcPr>
                  <w:tcW w:w="2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164AD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废玻璃纤维过滤棉</w:t>
                  </w: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A70A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56.97</w:t>
                  </w:r>
                </w:p>
              </w:tc>
            </w:tr>
            <w:tr w14:paraId="18727C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A474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6</w:t>
                  </w:r>
                </w:p>
              </w:tc>
              <w:tc>
                <w:tcPr>
                  <w:tcW w:w="2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840D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生活垃圾</w:t>
                  </w: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33BFF">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29.9</w:t>
                  </w:r>
                </w:p>
              </w:tc>
            </w:tr>
            <w:tr w14:paraId="3EA8C5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BCD3A">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7</w:t>
                  </w:r>
                </w:p>
              </w:tc>
              <w:tc>
                <w:tcPr>
                  <w:tcW w:w="2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1E1F9">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废催化剂</w:t>
                  </w: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A898E">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1</w:t>
                  </w:r>
                </w:p>
              </w:tc>
            </w:tr>
          </w:tbl>
          <w:p w14:paraId="02810BAB">
            <w:pPr>
              <w:pStyle w:val="5"/>
              <w:pageBreakBefore w:val="0"/>
              <w:numPr>
                <w:ilvl w:val="3"/>
                <w:numId w:val="0"/>
              </w:numPr>
              <w:wordWrap w:val="0"/>
              <w:overflowPunct/>
              <w:bidi w:val="0"/>
              <w:ind w:firstLine="480" w:firstLineChars="200"/>
              <w:rPr>
                <w:rFonts w:hint="default" w:ascii="Times New Roman" w:hAnsi="Times New Roman" w:eastAsia="宋体" w:cs="Times New Roman"/>
                <w:b w:val="0"/>
                <w:color w:val="auto"/>
                <w:szCs w:val="24"/>
                <w:highlight w:val="none"/>
                <w:lang w:val="en-US" w:eastAsia="zh-CN"/>
              </w:rPr>
            </w:pPr>
            <w:r>
              <w:rPr>
                <w:rFonts w:hint="default" w:ascii="Times New Roman" w:hAnsi="Times New Roman" w:eastAsia="宋体" w:cs="Times New Roman"/>
                <w:b w:val="0"/>
                <w:color w:val="auto"/>
                <w:szCs w:val="24"/>
                <w:highlight w:val="none"/>
                <w:lang w:val="en-US" w:eastAsia="zh-CN"/>
              </w:rPr>
              <w:t>生活垃圾收集后交环卫部门清运处理；一般工业固体废物，经收集后交由物资回收单位妥善处理；危险废物收集后交由有资质的危废处理单位处理。</w:t>
            </w:r>
          </w:p>
          <w:p w14:paraId="27B9CF74">
            <w:pPr>
              <w:pStyle w:val="5"/>
              <w:pageBreakBefore w:val="0"/>
              <w:numPr>
                <w:ilvl w:val="3"/>
                <w:numId w:val="0"/>
              </w:numPr>
              <w:wordWrap w:val="0"/>
              <w:overflowPunct/>
              <w:bidi w:val="0"/>
              <w:ind w:firstLine="480" w:firstLineChars="200"/>
              <w:rPr>
                <w:rFonts w:hint="default" w:ascii="Times New Roman" w:hAnsi="Times New Roman" w:eastAsia="宋体" w:cs="Times New Roman"/>
                <w:b w:val="0"/>
                <w:color w:val="auto"/>
                <w:szCs w:val="24"/>
                <w:highlight w:val="none"/>
              </w:rPr>
            </w:pPr>
            <w:r>
              <w:rPr>
                <w:rFonts w:hint="default" w:ascii="Times New Roman" w:hAnsi="Times New Roman" w:eastAsia="宋体" w:cs="Times New Roman"/>
                <w:b w:val="0"/>
                <w:color w:val="auto"/>
                <w:szCs w:val="24"/>
                <w:highlight w:val="none"/>
                <w:lang w:val="en-US" w:eastAsia="zh-CN"/>
              </w:rPr>
              <w:t>现有工程运行至今未发生环境污染事件，也未收到投诉。本次环评要求建设单位在本项目建成后应按照要求逐一落实本报告提出的污染防治措施，并在运营过程中加强环保设施管理，保证各项污染物达标排放。</w:t>
            </w:r>
          </w:p>
        </w:tc>
      </w:tr>
    </w:tbl>
    <w:p w14:paraId="50528FE4">
      <w:pPr>
        <w:pageBreakBefore w:val="0"/>
        <w:wordWrap w:val="0"/>
        <w:overflowPunct/>
        <w:bidi w:val="0"/>
        <w:rPr>
          <w:rFonts w:hint="default" w:ascii="Times New Roman" w:hAnsi="Times New Roman" w:cs="Times New Roman"/>
          <w:color w:val="auto"/>
          <w:kern w:val="44"/>
          <w:sz w:val="30"/>
          <w:szCs w:val="30"/>
          <w:highlight w:val="none"/>
        </w:rPr>
      </w:pPr>
      <w:bookmarkStart w:id="36" w:name="_Toc29511"/>
      <w:r>
        <w:rPr>
          <w:rFonts w:hint="default" w:ascii="Times New Roman" w:hAnsi="Times New Roman" w:cs="Times New Roman"/>
          <w:color w:val="auto"/>
          <w:kern w:val="44"/>
          <w:sz w:val="30"/>
          <w:szCs w:val="30"/>
          <w:highlight w:val="none"/>
        </w:rPr>
        <w:br w:type="page"/>
      </w:r>
    </w:p>
    <w:p w14:paraId="2CD17071">
      <w:pPr>
        <w:pStyle w:val="2"/>
        <w:pageBreakBefore w:val="0"/>
        <w:numPr>
          <w:ilvl w:val="0"/>
          <w:numId w:val="0"/>
        </w:numPr>
        <w:wordWrap w:val="0"/>
        <w:overflowPunct/>
        <w:bidi w:val="0"/>
        <w:rPr>
          <w:rFonts w:hint="default" w:ascii="Times New Roman" w:hAnsi="Times New Roman" w:cs="Times New Roman"/>
          <w:color w:val="auto"/>
          <w:highlight w:val="none"/>
        </w:rPr>
      </w:pPr>
      <w:bookmarkStart w:id="37" w:name="_Toc18396"/>
      <w:r>
        <w:rPr>
          <w:rFonts w:hint="default" w:ascii="Times New Roman" w:hAnsi="Times New Roman" w:cs="Times New Roman"/>
          <w:color w:val="auto"/>
          <w:highlight w:val="none"/>
        </w:rPr>
        <w:t>三、区域环境质量现状、环境保护目标及评价标准</w:t>
      </w:r>
      <w:bookmarkEnd w:id="36"/>
      <w:bookmarkEnd w:id="37"/>
    </w:p>
    <w:tbl>
      <w:tblPr>
        <w:tblStyle w:val="3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8"/>
        <w:gridCol w:w="8110"/>
      </w:tblGrid>
      <w:tr w14:paraId="491DC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9" w:hRule="atLeast"/>
        </w:trPr>
        <w:tc>
          <w:tcPr>
            <w:tcW w:w="262" w:type="pct"/>
            <w:vAlign w:val="center"/>
          </w:tcPr>
          <w:p w14:paraId="276A7EA7">
            <w:pPr>
              <w:keepNext/>
              <w:keepLines w:val="0"/>
              <w:pageBreakBefore w:val="0"/>
              <w:widowControl/>
              <w:numPr>
                <w:ilvl w:val="1"/>
                <w:numId w:val="0"/>
              </w:numPr>
              <w:tabs>
                <w:tab w:val="left" w:pos="420"/>
              </w:tabs>
              <w:kinsoku/>
              <w:wordWrap w:val="0"/>
              <w:overflowPunct/>
              <w:topLinePunct w:val="0"/>
              <w:autoSpaceDE/>
              <w:autoSpaceDN/>
              <w:bidi w:val="0"/>
              <w:adjustRightInd/>
              <w:snapToGrid/>
              <w:textAlignment w:val="auto"/>
              <w:outlineLvl w:val="9"/>
              <w:rPr>
                <w:rFonts w:hint="default" w:ascii="Times New Roman" w:hAnsi="Times New Roman" w:cs="Times New Roman"/>
                <w:color w:val="auto"/>
                <w:highlight w:val="none"/>
              </w:rPr>
            </w:pPr>
            <w:bookmarkStart w:id="38" w:name="_Toc21642"/>
            <w:bookmarkStart w:id="39" w:name="_Toc14318"/>
            <w:bookmarkStart w:id="40" w:name="_Toc24283"/>
            <w:bookmarkStart w:id="41" w:name="_Toc21960"/>
            <w:bookmarkStart w:id="42" w:name="_Toc11366"/>
            <w:r>
              <w:rPr>
                <w:rFonts w:hint="default" w:ascii="Times New Roman" w:hAnsi="Times New Roman" w:cs="Times New Roman"/>
                <w:color w:val="auto"/>
                <w:highlight w:val="none"/>
              </w:rPr>
              <w:t>区域环境质量现状</w:t>
            </w:r>
            <w:bookmarkEnd w:id="38"/>
            <w:bookmarkEnd w:id="39"/>
            <w:bookmarkEnd w:id="40"/>
            <w:bookmarkEnd w:id="41"/>
            <w:bookmarkEnd w:id="42"/>
          </w:p>
        </w:tc>
        <w:tc>
          <w:tcPr>
            <w:tcW w:w="4737" w:type="pct"/>
          </w:tcPr>
          <w:p w14:paraId="3A8CABA6">
            <w:pPr>
              <w:pStyle w:val="4"/>
              <w:pageBreakBefore w:val="0"/>
              <w:numPr>
                <w:ilvl w:val="2"/>
                <w:numId w:val="0"/>
              </w:numPr>
              <w:wordWrap w:val="0"/>
              <w:overflowPunct/>
              <w:bidi w:val="0"/>
              <w:ind w:left="-2"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一、环境空气质量现状</w:t>
            </w:r>
          </w:p>
          <w:p w14:paraId="2C810F1D">
            <w:pPr>
              <w:pStyle w:val="43"/>
              <w:pageBreakBefore w:val="0"/>
              <w:wordWrap w:val="0"/>
              <w:overflowPunct/>
              <w:bidi w:val="0"/>
              <w:ind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（1）项目所在区域达标判定</w:t>
            </w:r>
          </w:p>
          <w:p w14:paraId="461ABC38">
            <w:pPr>
              <w:pStyle w:val="43"/>
              <w:pageBreakBefore w:val="0"/>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韶关市生态环境保护战略规划（2020-2035）》，本项目选址周围空气环境质量功能区划为二类功能区，因此项目所在区域环境空气质量执行国家《环境空气质量标准》（GB3095-2012）（2018修改单）中的二级标准。</w:t>
            </w:r>
          </w:p>
          <w:p w14:paraId="26DAF8F5">
            <w:pPr>
              <w:pStyle w:val="43"/>
              <w:pageBreakBefore w:val="0"/>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根据《乐昌市空气质量月报》（2024年1月~2024年12月），乐昌市各常规监测因子均可满足国家《环境空气质量标准》（GB3095-2012）（2018修改单）中的二级标准要求，本项目所在区域属于达标区，详见下表。</w:t>
            </w:r>
          </w:p>
          <w:p w14:paraId="4FAC121F">
            <w:pPr>
              <w:keepNext w:val="0"/>
              <w:keepLines w:val="0"/>
              <w:pageBreakBefore w:val="0"/>
              <w:widowControl w:val="0"/>
              <w:numPr>
                <w:ilvl w:val="0"/>
                <w:numId w:val="8"/>
              </w:numPr>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bCs/>
                <w:color w:val="auto"/>
                <w:sz w:val="21"/>
                <w:szCs w:val="21"/>
                <w:highlight w:val="none"/>
              </w:rPr>
            </w:pPr>
            <w:bookmarkStart w:id="43" w:name="_Toc944"/>
            <w:bookmarkStart w:id="44" w:name="_Toc19677"/>
            <w:bookmarkStart w:id="45" w:name="_Toc26003"/>
            <w:r>
              <w:rPr>
                <w:rFonts w:hint="default" w:ascii="Times New Roman" w:hAnsi="Times New Roman" w:cs="Times New Roman"/>
                <w:b/>
                <w:bCs/>
                <w:color w:val="auto"/>
                <w:sz w:val="21"/>
                <w:szCs w:val="21"/>
                <w:highlight w:val="none"/>
              </w:rPr>
              <w:t>区域空气质量现状评价表</w:t>
            </w:r>
          </w:p>
          <w:tbl>
            <w:tblPr>
              <w:tblStyle w:val="37"/>
              <w:tblW w:w="4998" w:type="pct"/>
              <w:tblInd w:w="10"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0" w:type="dxa"/>
                <w:bottom w:w="0" w:type="dxa"/>
                <w:right w:w="0" w:type="dxa"/>
              </w:tblCellMar>
            </w:tblPr>
            <w:tblGrid>
              <w:gridCol w:w="984"/>
              <w:gridCol w:w="2491"/>
              <w:gridCol w:w="1052"/>
              <w:gridCol w:w="1063"/>
              <w:gridCol w:w="1268"/>
              <w:gridCol w:w="1023"/>
            </w:tblGrid>
            <w:tr w14:paraId="18EEC27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777A2497">
                  <w:pPr>
                    <w:keepNext w:val="0"/>
                    <w:keepLines w:val="0"/>
                    <w:pageBreakBefore w:val="0"/>
                    <w:kinsoku/>
                    <w:wordWrap w:val="0"/>
                    <w:overflowPunct/>
                    <w:topLinePunct w:val="0"/>
                    <w:autoSpaceDE w:val="0"/>
                    <w:autoSpaceDN w:val="0"/>
                    <w:bidi w:val="0"/>
                    <w:adjustRightInd w:val="0"/>
                    <w:spacing w:line="240" w:lineRule="auto"/>
                    <w:jc w:val="center"/>
                    <w:rPr>
                      <w:rFonts w:hint="default" w:ascii="Times New Roman" w:hAnsi="Times New Roman" w:cs="Times New Roman"/>
                      <w:b w:val="0"/>
                      <w:bCs w:val="0"/>
                      <w:color w:val="auto"/>
                      <w:kern w:val="0"/>
                      <w:position w:val="-3"/>
                      <w:sz w:val="21"/>
                      <w:szCs w:val="21"/>
                      <w:highlight w:val="none"/>
                    </w:rPr>
                  </w:pPr>
                  <w:r>
                    <w:rPr>
                      <w:rFonts w:hint="default" w:ascii="Times New Roman" w:hAnsi="Times New Roman" w:cs="Times New Roman"/>
                      <w:b w:val="0"/>
                      <w:bCs w:val="0"/>
                      <w:color w:val="auto"/>
                      <w:kern w:val="0"/>
                      <w:position w:val="-3"/>
                      <w:sz w:val="21"/>
                      <w:szCs w:val="21"/>
                      <w:highlight w:val="none"/>
                    </w:rPr>
                    <w:t>污染物</w:t>
                  </w:r>
                </w:p>
              </w:tc>
              <w:tc>
                <w:tcPr>
                  <w:tcW w:w="1580" w:type="pct"/>
                  <w:vAlign w:val="center"/>
                </w:tcPr>
                <w:p w14:paraId="3E8E6F2C">
                  <w:pPr>
                    <w:keepNext w:val="0"/>
                    <w:keepLines w:val="0"/>
                    <w:pageBreakBefore w:val="0"/>
                    <w:kinsoku/>
                    <w:wordWrap w:val="0"/>
                    <w:overflowPunct/>
                    <w:topLinePunct w:val="0"/>
                    <w:autoSpaceDE w:val="0"/>
                    <w:autoSpaceDN w:val="0"/>
                    <w:bidi w:val="0"/>
                    <w:adjustRightInd w:val="0"/>
                    <w:spacing w:line="240" w:lineRule="auto"/>
                    <w:jc w:val="center"/>
                    <w:rPr>
                      <w:rFonts w:hint="default" w:ascii="Times New Roman" w:hAnsi="Times New Roman" w:cs="Times New Roman"/>
                      <w:b w:val="0"/>
                      <w:bCs w:val="0"/>
                      <w:color w:val="auto"/>
                      <w:kern w:val="0"/>
                      <w:position w:val="-3"/>
                      <w:sz w:val="21"/>
                      <w:szCs w:val="21"/>
                      <w:highlight w:val="none"/>
                    </w:rPr>
                  </w:pPr>
                  <w:r>
                    <w:rPr>
                      <w:rFonts w:hint="default" w:ascii="Times New Roman" w:hAnsi="Times New Roman" w:cs="Times New Roman"/>
                      <w:b w:val="0"/>
                      <w:bCs w:val="0"/>
                      <w:color w:val="auto"/>
                      <w:kern w:val="0"/>
                      <w:position w:val="-3"/>
                      <w:sz w:val="21"/>
                      <w:szCs w:val="21"/>
                      <w:highlight w:val="none"/>
                    </w:rPr>
                    <w:t>年评价指标</w:t>
                  </w:r>
                </w:p>
              </w:tc>
              <w:tc>
                <w:tcPr>
                  <w:tcW w:w="667" w:type="pct"/>
                  <w:vAlign w:val="center"/>
                </w:tcPr>
                <w:p w14:paraId="32B28BBE">
                  <w:pPr>
                    <w:keepNext w:val="0"/>
                    <w:keepLines w:val="0"/>
                    <w:pageBreakBefore w:val="0"/>
                    <w:kinsoku/>
                    <w:wordWrap w:val="0"/>
                    <w:overflowPunct/>
                    <w:topLinePunct w:val="0"/>
                    <w:autoSpaceDE w:val="0"/>
                    <w:autoSpaceDN w:val="0"/>
                    <w:bidi w:val="0"/>
                    <w:adjustRightInd w:val="0"/>
                    <w:spacing w:line="240" w:lineRule="auto"/>
                    <w:jc w:val="center"/>
                    <w:rPr>
                      <w:rFonts w:hint="default" w:ascii="Times New Roman" w:hAnsi="Times New Roman" w:cs="Times New Roman"/>
                      <w:b w:val="0"/>
                      <w:bCs w:val="0"/>
                      <w:color w:val="auto"/>
                      <w:kern w:val="0"/>
                      <w:position w:val="-3"/>
                      <w:sz w:val="21"/>
                      <w:szCs w:val="21"/>
                      <w:highlight w:val="none"/>
                    </w:rPr>
                  </w:pPr>
                  <w:r>
                    <w:rPr>
                      <w:rFonts w:hint="default" w:ascii="Times New Roman" w:hAnsi="Times New Roman" w:cs="Times New Roman"/>
                      <w:b w:val="0"/>
                      <w:bCs w:val="0"/>
                      <w:color w:val="auto"/>
                      <w:kern w:val="0"/>
                      <w:position w:val="-3"/>
                      <w:sz w:val="21"/>
                      <w:szCs w:val="21"/>
                      <w:highlight w:val="none"/>
                    </w:rPr>
                    <w:t>现状浓度</w:t>
                  </w:r>
                </w:p>
              </w:tc>
              <w:tc>
                <w:tcPr>
                  <w:tcW w:w="674" w:type="pct"/>
                  <w:vAlign w:val="center"/>
                </w:tcPr>
                <w:p w14:paraId="31984D3D">
                  <w:pPr>
                    <w:keepNext w:val="0"/>
                    <w:keepLines w:val="0"/>
                    <w:pageBreakBefore w:val="0"/>
                    <w:kinsoku/>
                    <w:wordWrap w:val="0"/>
                    <w:overflowPunct/>
                    <w:topLinePunct w:val="0"/>
                    <w:autoSpaceDE w:val="0"/>
                    <w:autoSpaceDN w:val="0"/>
                    <w:bidi w:val="0"/>
                    <w:adjustRightInd w:val="0"/>
                    <w:spacing w:line="240" w:lineRule="auto"/>
                    <w:jc w:val="center"/>
                    <w:rPr>
                      <w:rFonts w:hint="default" w:ascii="Times New Roman" w:hAnsi="Times New Roman" w:cs="Times New Roman"/>
                      <w:b w:val="0"/>
                      <w:bCs w:val="0"/>
                      <w:color w:val="auto"/>
                      <w:kern w:val="0"/>
                      <w:position w:val="-3"/>
                      <w:sz w:val="21"/>
                      <w:szCs w:val="21"/>
                      <w:highlight w:val="none"/>
                    </w:rPr>
                  </w:pPr>
                  <w:r>
                    <w:rPr>
                      <w:rFonts w:hint="default" w:ascii="Times New Roman" w:hAnsi="Times New Roman" w:cs="Times New Roman"/>
                      <w:b w:val="0"/>
                      <w:bCs w:val="0"/>
                      <w:color w:val="auto"/>
                      <w:kern w:val="0"/>
                      <w:position w:val="-3"/>
                      <w:sz w:val="21"/>
                      <w:szCs w:val="21"/>
                      <w:highlight w:val="none"/>
                    </w:rPr>
                    <w:t>标准值</w:t>
                  </w:r>
                </w:p>
              </w:tc>
              <w:tc>
                <w:tcPr>
                  <w:tcW w:w="804" w:type="pct"/>
                  <w:vAlign w:val="center"/>
                </w:tcPr>
                <w:p w14:paraId="6F192700">
                  <w:pPr>
                    <w:keepNext w:val="0"/>
                    <w:keepLines w:val="0"/>
                    <w:pageBreakBefore w:val="0"/>
                    <w:kinsoku/>
                    <w:wordWrap w:val="0"/>
                    <w:overflowPunct/>
                    <w:topLinePunct w:val="0"/>
                    <w:autoSpaceDE w:val="0"/>
                    <w:autoSpaceDN w:val="0"/>
                    <w:bidi w:val="0"/>
                    <w:adjustRightInd w:val="0"/>
                    <w:spacing w:line="240" w:lineRule="auto"/>
                    <w:jc w:val="center"/>
                    <w:rPr>
                      <w:rFonts w:hint="default" w:ascii="Times New Roman" w:hAnsi="Times New Roman" w:cs="Times New Roman"/>
                      <w:b w:val="0"/>
                      <w:bCs w:val="0"/>
                      <w:color w:val="auto"/>
                      <w:kern w:val="0"/>
                      <w:position w:val="-3"/>
                      <w:sz w:val="21"/>
                      <w:szCs w:val="21"/>
                      <w:highlight w:val="none"/>
                    </w:rPr>
                  </w:pPr>
                  <w:r>
                    <w:rPr>
                      <w:rFonts w:hint="default" w:ascii="Times New Roman" w:hAnsi="Times New Roman" w:cs="Times New Roman"/>
                      <w:b w:val="0"/>
                      <w:bCs w:val="0"/>
                      <w:color w:val="auto"/>
                      <w:kern w:val="0"/>
                      <w:position w:val="-3"/>
                      <w:sz w:val="21"/>
                      <w:szCs w:val="21"/>
                      <w:highlight w:val="none"/>
                    </w:rPr>
                    <w:t>占标率%</w:t>
                  </w:r>
                </w:p>
              </w:tc>
              <w:tc>
                <w:tcPr>
                  <w:tcW w:w="649" w:type="pct"/>
                  <w:vAlign w:val="center"/>
                </w:tcPr>
                <w:p w14:paraId="687EB232">
                  <w:pPr>
                    <w:keepNext w:val="0"/>
                    <w:keepLines w:val="0"/>
                    <w:pageBreakBefore w:val="0"/>
                    <w:kinsoku/>
                    <w:wordWrap w:val="0"/>
                    <w:overflowPunct/>
                    <w:topLinePunct w:val="0"/>
                    <w:autoSpaceDE w:val="0"/>
                    <w:autoSpaceDN w:val="0"/>
                    <w:bidi w:val="0"/>
                    <w:adjustRightInd w:val="0"/>
                    <w:spacing w:line="240" w:lineRule="auto"/>
                    <w:jc w:val="center"/>
                    <w:rPr>
                      <w:rFonts w:hint="default" w:ascii="Times New Roman" w:hAnsi="Times New Roman" w:cs="Times New Roman"/>
                      <w:b w:val="0"/>
                      <w:bCs w:val="0"/>
                      <w:color w:val="auto"/>
                      <w:kern w:val="0"/>
                      <w:position w:val="-3"/>
                      <w:sz w:val="21"/>
                      <w:szCs w:val="21"/>
                      <w:highlight w:val="none"/>
                    </w:rPr>
                  </w:pPr>
                  <w:r>
                    <w:rPr>
                      <w:rFonts w:hint="default" w:ascii="Times New Roman" w:hAnsi="Times New Roman" w:cs="Times New Roman"/>
                      <w:b w:val="0"/>
                      <w:bCs w:val="0"/>
                      <w:color w:val="auto"/>
                      <w:kern w:val="0"/>
                      <w:position w:val="-3"/>
                      <w:sz w:val="21"/>
                      <w:szCs w:val="21"/>
                      <w:highlight w:val="none"/>
                    </w:rPr>
                    <w:t>达标情况</w:t>
                  </w:r>
                </w:p>
              </w:tc>
            </w:tr>
            <w:tr w14:paraId="1881B77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0CF031C9">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vertAlign w:val="subscript"/>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580" w:type="pct"/>
                  <w:vAlign w:val="center"/>
                </w:tcPr>
                <w:p w14:paraId="06ACA4F3">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052" w:type="dxa"/>
                  <w:vAlign w:val="center"/>
                </w:tcPr>
                <w:p w14:paraId="5A9EDCFD">
                  <w:pPr>
                    <w:pStyle w:val="20"/>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eastAsia"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μ</w:t>
                  </w:r>
                  <w:r>
                    <w:rPr>
                      <w:rFonts w:hint="default" w:ascii="Times New Roman" w:hAnsi="Times New Roman" w:eastAsia="宋体" w:cs="Times New Roman"/>
                      <w:color w:val="auto"/>
                      <w:sz w:val="21"/>
                      <w:szCs w:val="21"/>
                      <w:highlight w:val="none"/>
                    </w:rPr>
                    <w:t>g/m</w:t>
                  </w:r>
                  <w:r>
                    <w:rPr>
                      <w:rFonts w:hint="default" w:ascii="Times New Roman" w:hAnsi="Times New Roman" w:eastAsia="宋体" w:cs="Times New Roman"/>
                      <w:color w:val="auto"/>
                      <w:sz w:val="21"/>
                      <w:szCs w:val="21"/>
                      <w:highlight w:val="none"/>
                      <w:vertAlign w:val="superscript"/>
                      <w:lang w:val="en-US" w:eastAsia="zh-CN"/>
                    </w:rPr>
                    <w:t>3</w:t>
                  </w:r>
                </w:p>
              </w:tc>
              <w:tc>
                <w:tcPr>
                  <w:tcW w:w="1063" w:type="dxa"/>
                  <w:vAlign w:val="center"/>
                </w:tcPr>
                <w:p w14:paraId="726EE88C">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60</w:t>
                  </w:r>
                  <w:r>
                    <w:rPr>
                      <w:rFonts w:hint="default" w:ascii="Times New Roman" w:hAnsi="Times New Roman" w:eastAsia="宋体" w:cs="Times New Roman"/>
                      <w:color w:val="auto"/>
                      <w:sz w:val="21"/>
                      <w:szCs w:val="21"/>
                      <w:highlight w:val="none"/>
                      <w:lang w:val="en-US" w:eastAsia="zh-CN"/>
                    </w:rPr>
                    <w:t>μ</w:t>
                  </w:r>
                  <w:r>
                    <w:rPr>
                      <w:rFonts w:hint="default" w:ascii="Times New Roman" w:hAnsi="Times New Roman" w:eastAsia="宋体" w:cs="Times New Roman"/>
                      <w:color w:val="auto"/>
                      <w:sz w:val="21"/>
                      <w:szCs w:val="21"/>
                      <w:highlight w:val="none"/>
                    </w:rPr>
                    <w:t>g/m</w:t>
                  </w:r>
                  <w:r>
                    <w:rPr>
                      <w:rFonts w:hint="default" w:ascii="Times New Roman" w:hAnsi="Times New Roman" w:eastAsia="宋体" w:cs="Times New Roman"/>
                      <w:color w:val="auto"/>
                      <w:sz w:val="21"/>
                      <w:szCs w:val="21"/>
                      <w:highlight w:val="none"/>
                      <w:vertAlign w:val="superscript"/>
                    </w:rPr>
                    <w:t>3</w:t>
                  </w:r>
                </w:p>
              </w:tc>
              <w:tc>
                <w:tcPr>
                  <w:tcW w:w="1436" w:type="dxa"/>
                  <w:vAlign w:val="center"/>
                </w:tcPr>
                <w:p w14:paraId="6F9D7560">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649" w:type="pct"/>
                  <w:vAlign w:val="center"/>
                </w:tcPr>
                <w:p w14:paraId="3A5F2A24">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306D3DE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2E6CC947">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p>
              </w:tc>
              <w:tc>
                <w:tcPr>
                  <w:tcW w:w="1580" w:type="pct"/>
                  <w:vAlign w:val="center"/>
                </w:tcPr>
                <w:p w14:paraId="79F52019">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052" w:type="dxa"/>
                  <w:vAlign w:val="center"/>
                </w:tcPr>
                <w:p w14:paraId="24E9E595">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12</w:t>
                  </w:r>
                  <w:r>
                    <w:rPr>
                      <w:rFonts w:hint="default" w:ascii="Times New Roman" w:hAnsi="Times New Roman" w:eastAsia="宋体" w:cs="Times New Roman"/>
                      <w:color w:val="auto"/>
                      <w:sz w:val="21"/>
                      <w:szCs w:val="21"/>
                      <w:highlight w:val="none"/>
                      <w:lang w:val="en-US" w:eastAsia="zh-CN"/>
                    </w:rPr>
                    <w:t>μ</w:t>
                  </w:r>
                  <w:r>
                    <w:rPr>
                      <w:rFonts w:hint="default" w:ascii="Times New Roman" w:hAnsi="Times New Roman" w:eastAsia="宋体" w:cs="Times New Roman"/>
                      <w:color w:val="auto"/>
                      <w:sz w:val="21"/>
                      <w:szCs w:val="21"/>
                      <w:highlight w:val="none"/>
                    </w:rPr>
                    <w:t>g/m</w:t>
                  </w:r>
                  <w:r>
                    <w:rPr>
                      <w:rFonts w:hint="default" w:ascii="Times New Roman" w:hAnsi="Times New Roman" w:eastAsia="宋体" w:cs="Times New Roman"/>
                      <w:color w:val="auto"/>
                      <w:sz w:val="21"/>
                      <w:szCs w:val="21"/>
                      <w:highlight w:val="none"/>
                      <w:vertAlign w:val="superscript"/>
                    </w:rPr>
                    <w:t>3</w:t>
                  </w:r>
                </w:p>
              </w:tc>
              <w:tc>
                <w:tcPr>
                  <w:tcW w:w="1063" w:type="dxa"/>
                  <w:vAlign w:val="center"/>
                </w:tcPr>
                <w:p w14:paraId="0D6344DC">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40</w:t>
                  </w:r>
                  <w:r>
                    <w:rPr>
                      <w:rFonts w:hint="default" w:ascii="Times New Roman" w:hAnsi="Times New Roman" w:eastAsia="宋体" w:cs="Times New Roman"/>
                      <w:color w:val="auto"/>
                      <w:sz w:val="21"/>
                      <w:szCs w:val="21"/>
                      <w:highlight w:val="none"/>
                      <w:lang w:val="en-US" w:eastAsia="zh-CN"/>
                    </w:rPr>
                    <w:t>μ</w:t>
                  </w:r>
                  <w:r>
                    <w:rPr>
                      <w:rFonts w:hint="default" w:ascii="Times New Roman" w:hAnsi="Times New Roman" w:eastAsia="宋体" w:cs="Times New Roman"/>
                      <w:color w:val="auto"/>
                      <w:sz w:val="21"/>
                      <w:szCs w:val="21"/>
                      <w:highlight w:val="none"/>
                    </w:rPr>
                    <w:t>g/m</w:t>
                  </w:r>
                  <w:r>
                    <w:rPr>
                      <w:rFonts w:hint="default" w:ascii="Times New Roman" w:hAnsi="Times New Roman" w:eastAsia="宋体" w:cs="Times New Roman"/>
                      <w:color w:val="auto"/>
                      <w:sz w:val="21"/>
                      <w:szCs w:val="21"/>
                      <w:highlight w:val="none"/>
                      <w:vertAlign w:val="superscript"/>
                    </w:rPr>
                    <w:t>3</w:t>
                  </w:r>
                </w:p>
              </w:tc>
              <w:tc>
                <w:tcPr>
                  <w:tcW w:w="1436" w:type="dxa"/>
                  <w:vAlign w:val="center"/>
                </w:tcPr>
                <w:p w14:paraId="4D8AF7A8">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w:t>
                  </w:r>
                </w:p>
              </w:tc>
              <w:tc>
                <w:tcPr>
                  <w:tcW w:w="649" w:type="pct"/>
                  <w:vAlign w:val="center"/>
                </w:tcPr>
                <w:p w14:paraId="0D87195E">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759D676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3E937DB8">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p>
              </w:tc>
              <w:tc>
                <w:tcPr>
                  <w:tcW w:w="1580" w:type="pct"/>
                  <w:vAlign w:val="center"/>
                </w:tcPr>
                <w:p w14:paraId="775128EE">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052" w:type="dxa"/>
                  <w:vAlign w:val="center"/>
                </w:tcPr>
                <w:p w14:paraId="6A88CCA9">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33</w:t>
                  </w:r>
                  <w:r>
                    <w:rPr>
                      <w:rFonts w:hint="default" w:ascii="Times New Roman" w:hAnsi="Times New Roman" w:eastAsia="宋体" w:cs="Times New Roman"/>
                      <w:color w:val="auto"/>
                      <w:sz w:val="21"/>
                      <w:szCs w:val="21"/>
                      <w:highlight w:val="none"/>
                      <w:lang w:val="en-US" w:eastAsia="zh-CN"/>
                    </w:rPr>
                    <w:t>μ</w:t>
                  </w:r>
                  <w:r>
                    <w:rPr>
                      <w:rFonts w:hint="default" w:ascii="Times New Roman" w:hAnsi="Times New Roman" w:eastAsia="宋体" w:cs="Times New Roman"/>
                      <w:color w:val="auto"/>
                      <w:sz w:val="21"/>
                      <w:szCs w:val="21"/>
                      <w:highlight w:val="none"/>
                    </w:rPr>
                    <w:t>g/m</w:t>
                  </w:r>
                  <w:r>
                    <w:rPr>
                      <w:rFonts w:hint="default" w:ascii="Times New Roman" w:hAnsi="Times New Roman" w:eastAsia="宋体" w:cs="Times New Roman"/>
                      <w:color w:val="auto"/>
                      <w:sz w:val="21"/>
                      <w:szCs w:val="21"/>
                      <w:highlight w:val="none"/>
                      <w:vertAlign w:val="superscript"/>
                    </w:rPr>
                    <w:t>3</w:t>
                  </w:r>
                </w:p>
              </w:tc>
              <w:tc>
                <w:tcPr>
                  <w:tcW w:w="1063" w:type="dxa"/>
                  <w:vAlign w:val="center"/>
                </w:tcPr>
                <w:p w14:paraId="0065433C">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70</w:t>
                  </w:r>
                  <w:r>
                    <w:rPr>
                      <w:rFonts w:hint="default" w:ascii="Times New Roman" w:hAnsi="Times New Roman" w:eastAsia="宋体" w:cs="Times New Roman"/>
                      <w:color w:val="auto"/>
                      <w:sz w:val="21"/>
                      <w:szCs w:val="21"/>
                      <w:highlight w:val="none"/>
                      <w:lang w:val="en-US" w:eastAsia="zh-CN"/>
                    </w:rPr>
                    <w:t>μ</w:t>
                  </w:r>
                  <w:r>
                    <w:rPr>
                      <w:rFonts w:hint="default" w:ascii="Times New Roman" w:hAnsi="Times New Roman" w:eastAsia="宋体" w:cs="Times New Roman"/>
                      <w:color w:val="auto"/>
                      <w:sz w:val="21"/>
                      <w:szCs w:val="21"/>
                      <w:highlight w:val="none"/>
                    </w:rPr>
                    <w:t>g/m</w:t>
                  </w:r>
                  <w:r>
                    <w:rPr>
                      <w:rFonts w:hint="default" w:ascii="Times New Roman" w:hAnsi="Times New Roman" w:eastAsia="宋体" w:cs="Times New Roman"/>
                      <w:color w:val="auto"/>
                      <w:sz w:val="21"/>
                      <w:szCs w:val="21"/>
                      <w:highlight w:val="none"/>
                      <w:vertAlign w:val="superscript"/>
                    </w:rPr>
                    <w:t>3</w:t>
                  </w:r>
                </w:p>
              </w:tc>
              <w:tc>
                <w:tcPr>
                  <w:tcW w:w="1436" w:type="dxa"/>
                  <w:vAlign w:val="center"/>
                </w:tcPr>
                <w:p w14:paraId="094C016F">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47.1</w:t>
                  </w:r>
                </w:p>
              </w:tc>
              <w:tc>
                <w:tcPr>
                  <w:tcW w:w="649" w:type="pct"/>
                  <w:vAlign w:val="center"/>
                </w:tcPr>
                <w:p w14:paraId="7ABADC66">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16523A2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2D96C352">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2.5</w:t>
                  </w:r>
                </w:p>
              </w:tc>
              <w:tc>
                <w:tcPr>
                  <w:tcW w:w="1580" w:type="pct"/>
                  <w:vAlign w:val="center"/>
                </w:tcPr>
                <w:p w14:paraId="70F9981D">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052" w:type="dxa"/>
                  <w:vAlign w:val="center"/>
                </w:tcPr>
                <w:p w14:paraId="36DB28B1">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21</w:t>
                  </w:r>
                  <w:r>
                    <w:rPr>
                      <w:rFonts w:hint="default" w:ascii="Times New Roman" w:hAnsi="Times New Roman" w:eastAsia="宋体" w:cs="Times New Roman"/>
                      <w:color w:val="auto"/>
                      <w:sz w:val="21"/>
                      <w:szCs w:val="21"/>
                      <w:highlight w:val="none"/>
                      <w:lang w:val="en-US" w:eastAsia="zh-CN"/>
                    </w:rPr>
                    <w:t>μ</w:t>
                  </w:r>
                  <w:r>
                    <w:rPr>
                      <w:rFonts w:hint="default" w:ascii="Times New Roman" w:hAnsi="Times New Roman" w:eastAsia="宋体" w:cs="Times New Roman"/>
                      <w:color w:val="auto"/>
                      <w:sz w:val="21"/>
                      <w:szCs w:val="21"/>
                      <w:highlight w:val="none"/>
                    </w:rPr>
                    <w:t>g/m</w:t>
                  </w:r>
                  <w:r>
                    <w:rPr>
                      <w:rFonts w:hint="default" w:ascii="Times New Roman" w:hAnsi="Times New Roman" w:eastAsia="宋体" w:cs="Times New Roman"/>
                      <w:color w:val="auto"/>
                      <w:sz w:val="21"/>
                      <w:szCs w:val="21"/>
                      <w:highlight w:val="none"/>
                      <w:vertAlign w:val="superscript"/>
                    </w:rPr>
                    <w:t>3</w:t>
                  </w:r>
                </w:p>
              </w:tc>
              <w:tc>
                <w:tcPr>
                  <w:tcW w:w="1063" w:type="dxa"/>
                  <w:vAlign w:val="center"/>
                </w:tcPr>
                <w:p w14:paraId="6522D92A">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35</w:t>
                  </w:r>
                  <w:r>
                    <w:rPr>
                      <w:rFonts w:hint="default" w:ascii="Times New Roman" w:hAnsi="Times New Roman" w:eastAsia="宋体" w:cs="Times New Roman"/>
                      <w:color w:val="auto"/>
                      <w:sz w:val="21"/>
                      <w:szCs w:val="21"/>
                      <w:highlight w:val="none"/>
                      <w:lang w:val="en-US" w:eastAsia="zh-CN"/>
                    </w:rPr>
                    <w:t>μ</w:t>
                  </w:r>
                  <w:r>
                    <w:rPr>
                      <w:rFonts w:hint="default" w:ascii="Times New Roman" w:hAnsi="Times New Roman" w:eastAsia="宋体" w:cs="Times New Roman"/>
                      <w:color w:val="auto"/>
                      <w:sz w:val="21"/>
                      <w:szCs w:val="21"/>
                      <w:highlight w:val="none"/>
                    </w:rPr>
                    <w:t>g/m</w:t>
                  </w:r>
                  <w:r>
                    <w:rPr>
                      <w:rFonts w:hint="default" w:ascii="Times New Roman" w:hAnsi="Times New Roman" w:eastAsia="宋体" w:cs="Times New Roman"/>
                      <w:color w:val="auto"/>
                      <w:sz w:val="21"/>
                      <w:szCs w:val="21"/>
                      <w:highlight w:val="none"/>
                      <w:vertAlign w:val="superscript"/>
                    </w:rPr>
                    <w:t>3</w:t>
                  </w:r>
                </w:p>
              </w:tc>
              <w:tc>
                <w:tcPr>
                  <w:tcW w:w="1436" w:type="dxa"/>
                  <w:vAlign w:val="center"/>
                </w:tcPr>
                <w:p w14:paraId="2358E3B5">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649" w:type="pct"/>
                  <w:vAlign w:val="center"/>
                </w:tcPr>
                <w:p w14:paraId="2D4CC989">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64BF1FE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0453582D">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w:t>
                  </w:r>
                </w:p>
              </w:tc>
              <w:tc>
                <w:tcPr>
                  <w:tcW w:w="1580" w:type="pct"/>
                  <w:vAlign w:val="center"/>
                </w:tcPr>
                <w:p w14:paraId="5A2C0872">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24小时均值第95百分位数</w:t>
                  </w:r>
                </w:p>
              </w:tc>
              <w:tc>
                <w:tcPr>
                  <w:tcW w:w="1052" w:type="dxa"/>
                  <w:vAlign w:val="center"/>
                </w:tcPr>
                <w:p w14:paraId="7BD520A2">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0.9</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p>
              </w:tc>
              <w:tc>
                <w:tcPr>
                  <w:tcW w:w="1063" w:type="dxa"/>
                  <w:vAlign w:val="center"/>
                </w:tcPr>
                <w:p w14:paraId="640518C5">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4mg/m</w:t>
                  </w:r>
                  <w:r>
                    <w:rPr>
                      <w:rFonts w:hint="default" w:ascii="Times New Roman" w:hAnsi="Times New Roman" w:eastAsia="宋体" w:cs="Times New Roman"/>
                      <w:color w:val="auto"/>
                      <w:sz w:val="21"/>
                      <w:szCs w:val="21"/>
                      <w:highlight w:val="none"/>
                      <w:vertAlign w:val="superscript"/>
                    </w:rPr>
                    <w:t>3</w:t>
                  </w:r>
                </w:p>
              </w:tc>
              <w:tc>
                <w:tcPr>
                  <w:tcW w:w="1436" w:type="dxa"/>
                  <w:vAlign w:val="center"/>
                </w:tcPr>
                <w:p w14:paraId="534FE257">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22.5</w:t>
                  </w:r>
                </w:p>
              </w:tc>
              <w:tc>
                <w:tcPr>
                  <w:tcW w:w="649" w:type="pct"/>
                  <w:vAlign w:val="center"/>
                </w:tcPr>
                <w:p w14:paraId="0452260E">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7588D15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32F1D5DF">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p>
              </w:tc>
              <w:tc>
                <w:tcPr>
                  <w:tcW w:w="1580" w:type="pct"/>
                  <w:vAlign w:val="center"/>
                </w:tcPr>
                <w:p w14:paraId="74D83CB7">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最大8小时值第90百分位数</w:t>
                  </w:r>
                </w:p>
              </w:tc>
              <w:tc>
                <w:tcPr>
                  <w:tcW w:w="1052" w:type="dxa"/>
                  <w:vAlign w:val="center"/>
                </w:tcPr>
                <w:p w14:paraId="641A28A5">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μ</w:t>
                  </w:r>
                  <w:r>
                    <w:rPr>
                      <w:rFonts w:hint="default" w:ascii="Times New Roman" w:hAnsi="Times New Roman" w:eastAsia="宋体" w:cs="Times New Roman"/>
                      <w:color w:val="auto"/>
                      <w:sz w:val="21"/>
                      <w:szCs w:val="21"/>
                      <w:highlight w:val="none"/>
                    </w:rPr>
                    <w:t>g/m</w:t>
                  </w:r>
                  <w:r>
                    <w:rPr>
                      <w:rFonts w:hint="default" w:ascii="Times New Roman" w:hAnsi="Times New Roman" w:eastAsia="宋体" w:cs="Times New Roman"/>
                      <w:color w:val="auto"/>
                      <w:sz w:val="21"/>
                      <w:szCs w:val="21"/>
                      <w:highlight w:val="none"/>
                      <w:vertAlign w:val="superscript"/>
                    </w:rPr>
                    <w:t>3</w:t>
                  </w:r>
                </w:p>
              </w:tc>
              <w:tc>
                <w:tcPr>
                  <w:tcW w:w="1063" w:type="dxa"/>
                  <w:vAlign w:val="center"/>
                </w:tcPr>
                <w:p w14:paraId="598B1B67">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160</w:t>
                  </w:r>
                  <w:r>
                    <w:rPr>
                      <w:rFonts w:hint="default" w:ascii="Times New Roman" w:hAnsi="Times New Roman" w:eastAsia="宋体" w:cs="Times New Roman"/>
                      <w:color w:val="auto"/>
                      <w:sz w:val="21"/>
                      <w:szCs w:val="21"/>
                      <w:highlight w:val="none"/>
                      <w:lang w:val="en-US" w:eastAsia="zh-CN"/>
                    </w:rPr>
                    <w:t>μ</w:t>
                  </w:r>
                  <w:r>
                    <w:rPr>
                      <w:rFonts w:hint="default" w:ascii="Times New Roman" w:hAnsi="Times New Roman" w:eastAsia="宋体" w:cs="Times New Roman"/>
                      <w:color w:val="auto"/>
                      <w:sz w:val="21"/>
                      <w:szCs w:val="21"/>
                      <w:highlight w:val="none"/>
                    </w:rPr>
                    <w:t>g/m</w:t>
                  </w:r>
                  <w:r>
                    <w:rPr>
                      <w:rFonts w:hint="default" w:ascii="Times New Roman" w:hAnsi="Times New Roman" w:eastAsia="宋体" w:cs="Times New Roman"/>
                      <w:color w:val="auto"/>
                      <w:sz w:val="21"/>
                      <w:szCs w:val="21"/>
                      <w:highlight w:val="none"/>
                      <w:vertAlign w:val="superscript"/>
                    </w:rPr>
                    <w:t>3</w:t>
                  </w:r>
                </w:p>
              </w:tc>
              <w:tc>
                <w:tcPr>
                  <w:tcW w:w="1436" w:type="dxa"/>
                  <w:vAlign w:val="center"/>
                </w:tcPr>
                <w:p w14:paraId="7F2EB564">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65.6</w:t>
                  </w:r>
                </w:p>
              </w:tc>
              <w:tc>
                <w:tcPr>
                  <w:tcW w:w="649" w:type="pct"/>
                  <w:vAlign w:val="center"/>
                </w:tcPr>
                <w:p w14:paraId="52E212FF">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bookmarkEnd w:id="43"/>
            <w:bookmarkEnd w:id="44"/>
            <w:bookmarkEnd w:id="45"/>
          </w:tbl>
          <w:p w14:paraId="5DC51CFB">
            <w:pPr>
              <w:keepNext w:val="0"/>
              <w:keepLines w:val="0"/>
              <w:pageBreakBefore w:val="0"/>
              <w:widowControl w:val="0"/>
              <w:kinsoku/>
              <w:wordWrap w:val="0"/>
              <w:overflowPunct/>
              <w:topLinePunct w:val="0"/>
              <w:autoSpaceDE/>
              <w:autoSpaceDN/>
              <w:bidi w:val="0"/>
              <w:adjustRightInd/>
              <w:snapToGrid/>
              <w:spacing w:before="156" w:beforeLines="50"/>
              <w:ind w:firstLine="480" w:firstLineChars="200"/>
              <w:jc w:val="left"/>
              <w:textAlignment w:val="auto"/>
              <w:rPr>
                <w:rFonts w:hint="default" w:ascii="Times New Roman" w:hAnsi="Times New Roman" w:cs="Times New Roman"/>
                <w:color w:val="auto"/>
                <w:highlight w:val="none"/>
              </w:rPr>
            </w:pPr>
            <w:r>
              <w:rPr>
                <w:rFonts w:hint="default" w:ascii="Times New Roman" w:hAnsi="Times New Roman" w:cs="Times New Roman"/>
                <w:b/>
                <w:bCs/>
                <w:color w:val="auto"/>
                <w:highlight w:val="none"/>
              </w:rPr>
              <w:t>（2）特征因子补充监测</w:t>
            </w:r>
          </w:p>
          <w:p w14:paraId="7BDF18B1">
            <w:pPr>
              <w:keepNext w:val="0"/>
              <w:keepLines w:val="0"/>
              <w:pageBreakBefore w:val="0"/>
              <w:widowControl/>
              <w:suppressLineNumbers w:val="0"/>
              <w:wordWrap w:val="0"/>
              <w:overflowPunct/>
              <w:bidi w:val="0"/>
              <w:ind w:firstLine="480" w:firstLineChars="200"/>
              <w:jc w:val="left"/>
              <w:rPr>
                <w:rFonts w:hint="default" w:ascii="Times New Roman" w:hAnsi="Times New Roman" w:cs="Times New Roman"/>
                <w:bCs/>
                <w:color w:val="auto"/>
                <w:szCs w:val="22"/>
                <w:highlight w:val="none"/>
              </w:rPr>
            </w:pPr>
            <w:r>
              <w:rPr>
                <w:rFonts w:hint="default" w:ascii="Times New Roman" w:hAnsi="Times New Roman" w:cs="Times New Roman"/>
                <w:bCs/>
                <w:color w:val="auto"/>
                <w:szCs w:val="22"/>
                <w:highlight w:val="none"/>
              </w:rPr>
              <w:t>为了进一步了解本项目所在区域的环境空气质量，本项目引用《乐昌产业转移工业园2022年度环境管理状况评估监测》（报告编号</w:t>
            </w:r>
            <w:r>
              <w:rPr>
                <w:rFonts w:hint="default" w:ascii="Times New Roman" w:hAnsi="Times New Roman" w:cs="Times New Roman"/>
                <w:bCs/>
                <w:color w:val="auto"/>
                <w:szCs w:val="22"/>
                <w:highlight w:val="none"/>
                <w:lang w:eastAsia="zh-CN"/>
              </w:rPr>
              <w:t>：</w:t>
            </w:r>
            <w:r>
              <w:rPr>
                <w:rFonts w:hint="default" w:ascii="Times New Roman" w:hAnsi="Times New Roman" w:cs="Times New Roman"/>
                <w:bCs/>
                <w:color w:val="auto"/>
                <w:szCs w:val="22"/>
                <w:highlight w:val="none"/>
              </w:rPr>
              <w:t>EM22121540）用于评价TSP现状。</w:t>
            </w:r>
            <w:r>
              <w:rPr>
                <w:rFonts w:hint="default" w:ascii="Times New Roman" w:hAnsi="Times New Roman" w:eastAsia="宋体" w:cs="Times New Roman"/>
                <w:color w:val="auto"/>
                <w:kern w:val="0"/>
                <w:sz w:val="24"/>
                <w:szCs w:val="24"/>
                <w:highlight w:val="none"/>
                <w:lang w:val="en-US" w:eastAsia="zh-CN" w:bidi="ar"/>
              </w:rPr>
              <w:t>深圳中检联检测有限公司</w:t>
            </w:r>
            <w:r>
              <w:rPr>
                <w:rFonts w:hint="default" w:ascii="Times New Roman" w:hAnsi="Times New Roman" w:cs="Times New Roman"/>
                <w:bCs/>
                <w:color w:val="auto"/>
                <w:szCs w:val="22"/>
                <w:highlight w:val="none"/>
                <w:lang w:eastAsia="zh-CN"/>
              </w:rPr>
              <w:t>于</w:t>
            </w:r>
            <w:r>
              <w:rPr>
                <w:rFonts w:hint="default" w:ascii="Times New Roman" w:hAnsi="Times New Roman" w:cs="Times New Roman"/>
                <w:color w:val="auto"/>
                <w:highlight w:val="none"/>
              </w:rPr>
              <w:t>2022年12月20日-2022年12月26</w:t>
            </w:r>
            <w:r>
              <w:rPr>
                <w:rFonts w:hint="eastAsia" w:cs="Times New Roman"/>
                <w:color w:val="auto"/>
                <w:highlight w:val="none"/>
                <w:lang w:val="en-US" w:eastAsia="zh-CN"/>
              </w:rPr>
              <w:t>日</w:t>
            </w:r>
            <w:r>
              <w:rPr>
                <w:rFonts w:hint="default" w:ascii="Times New Roman" w:hAnsi="Times New Roman" w:cs="Times New Roman"/>
                <w:color w:val="auto"/>
                <w:highlight w:val="none"/>
              </w:rPr>
              <w:t>在本项目东</w:t>
            </w:r>
            <w:r>
              <w:rPr>
                <w:rFonts w:hint="default" w:ascii="Times New Roman" w:hAnsi="Times New Roman" w:cs="Times New Roman"/>
                <w:color w:val="auto"/>
                <w:highlight w:val="none"/>
                <w:lang w:val="en-US" w:eastAsia="zh-CN"/>
              </w:rPr>
              <w:t>南</w:t>
            </w:r>
            <w:r>
              <w:rPr>
                <w:rFonts w:hint="default" w:ascii="Times New Roman" w:hAnsi="Times New Roman" w:cs="Times New Roman"/>
                <w:color w:val="auto"/>
                <w:highlight w:val="none"/>
              </w:rPr>
              <w:t>侧</w:t>
            </w:r>
            <w:r>
              <w:rPr>
                <w:rFonts w:hint="default" w:ascii="Times New Roman" w:hAnsi="Times New Roman" w:cs="Times New Roman"/>
                <w:color w:val="auto"/>
                <w:highlight w:val="none"/>
                <w:lang w:val="en-US" w:eastAsia="zh-CN"/>
              </w:rPr>
              <w:t>1650</w:t>
            </w:r>
            <w:r>
              <w:rPr>
                <w:rFonts w:hint="default" w:ascii="Times New Roman" w:hAnsi="Times New Roman" w:cs="Times New Roman"/>
                <w:color w:val="auto"/>
                <w:highlight w:val="none"/>
              </w:rPr>
              <w:t>m处G1付村地进行采样监测的监测数据，连续监测7天。</w:t>
            </w:r>
          </w:p>
          <w:p w14:paraId="55256CE6">
            <w:pPr>
              <w:pageBreakBefore w:val="0"/>
              <w:widowControl w:val="0"/>
              <w:kinsoku/>
              <w:wordWrap w:val="0"/>
              <w:overflowPunct/>
              <w:topLinePunct w:val="0"/>
              <w:bidi w:val="0"/>
              <w:ind w:firstLine="480" w:firstLineChars="200"/>
              <w:jc w:val="left"/>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Cs/>
                <w:color w:val="auto"/>
                <w:szCs w:val="22"/>
                <w:highlight w:val="none"/>
              </w:rPr>
              <w:t>根据《建设项目环境影响报告表编制技术指南（污染影响类）》（试行）：排放国家、地方环境空气质量标准中有标准限值要求的特征污染物时，引用建设项目周边5千米范围内近3年的现有监测数据。本项目需补充监测的特征污染因子为TSP。为了进一步了解本项目所在区域的环境空气质量，本项目引用《乐昌产业转移工业园2022年度环境管理状况评估监测》（报告编号</w:t>
            </w:r>
            <w:r>
              <w:rPr>
                <w:rFonts w:hint="default" w:ascii="Times New Roman" w:hAnsi="Times New Roman" w:cs="Times New Roman"/>
                <w:bCs/>
                <w:color w:val="auto"/>
                <w:szCs w:val="22"/>
                <w:highlight w:val="none"/>
                <w:lang w:eastAsia="zh-CN"/>
              </w:rPr>
              <w:t>：</w:t>
            </w:r>
            <w:r>
              <w:rPr>
                <w:rFonts w:hint="default" w:ascii="Times New Roman" w:hAnsi="Times New Roman" w:cs="Times New Roman"/>
                <w:bCs/>
                <w:color w:val="auto"/>
                <w:szCs w:val="22"/>
                <w:highlight w:val="none"/>
              </w:rPr>
              <w:t>EM22121540）用于评价TSP现状。本项目其他污染物补充监测点位基本信息见表3-2，其他污染物环境质量现状（监测结果）表3-3。</w:t>
            </w:r>
          </w:p>
          <w:p w14:paraId="6D3EB37F">
            <w:pPr>
              <w:keepNext w:val="0"/>
              <w:keepLines w:val="0"/>
              <w:pageBreakBefore w:val="0"/>
              <w:widowControl w:val="0"/>
              <w:numPr>
                <w:ilvl w:val="0"/>
                <w:numId w:val="8"/>
              </w:numPr>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bookmarkStart w:id="46" w:name="_Toc6616"/>
            <w:bookmarkStart w:id="47" w:name="_Toc17582"/>
            <w:bookmarkStart w:id="48" w:name="_Toc20439"/>
            <w:bookmarkStart w:id="49" w:name="_Toc8763"/>
            <w:bookmarkStart w:id="50" w:name="_Toc8230"/>
            <w:r>
              <w:rPr>
                <w:rFonts w:hint="default" w:ascii="Times New Roman" w:hAnsi="Times New Roman" w:eastAsia="宋体" w:cs="Times New Roman"/>
                <w:b/>
                <w:bCs/>
                <w:color w:val="auto"/>
                <w:sz w:val="21"/>
                <w:szCs w:val="21"/>
                <w:highlight w:val="none"/>
              </w:rPr>
              <w:t>其他污染物补充监测点位基本信息</w:t>
            </w:r>
            <w:bookmarkEnd w:id="46"/>
            <w:bookmarkEnd w:id="47"/>
            <w:bookmarkEnd w:id="48"/>
            <w:bookmarkEnd w:id="49"/>
            <w:bookmarkEnd w:id="50"/>
          </w:p>
          <w:tbl>
            <w:tblPr>
              <w:tblStyle w:val="38"/>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41"/>
              <w:gridCol w:w="1160"/>
              <w:gridCol w:w="1173"/>
              <w:gridCol w:w="602"/>
              <w:gridCol w:w="1768"/>
              <w:gridCol w:w="980"/>
              <w:gridCol w:w="1054"/>
            </w:tblGrid>
            <w:tr w14:paraId="5FBDE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724" w:type="pct"/>
                  <w:vMerge w:val="restart"/>
                  <w:shd w:val="clear" w:color="auto" w:fill="auto"/>
                  <w:vAlign w:val="center"/>
                </w:tcPr>
                <w:p w14:paraId="2DB36812">
                  <w:pPr>
                    <w:pStyle w:val="43"/>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监测点名称</w:t>
                  </w:r>
                </w:p>
              </w:tc>
              <w:tc>
                <w:tcPr>
                  <w:tcW w:w="1480" w:type="pct"/>
                  <w:gridSpan w:val="2"/>
                  <w:shd w:val="clear" w:color="auto" w:fill="auto"/>
                  <w:vAlign w:val="center"/>
                </w:tcPr>
                <w:p w14:paraId="7860C147">
                  <w:pPr>
                    <w:pStyle w:val="43"/>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监测点坐标/m</w:t>
                  </w:r>
                </w:p>
              </w:tc>
              <w:tc>
                <w:tcPr>
                  <w:tcW w:w="382" w:type="pct"/>
                  <w:vMerge w:val="restart"/>
                  <w:shd w:val="clear" w:color="auto" w:fill="auto"/>
                  <w:vAlign w:val="center"/>
                </w:tcPr>
                <w:p w14:paraId="6B69ED66">
                  <w:pPr>
                    <w:pStyle w:val="43"/>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监测因子</w:t>
                  </w:r>
                </w:p>
              </w:tc>
              <w:tc>
                <w:tcPr>
                  <w:tcW w:w="1122" w:type="pct"/>
                  <w:vMerge w:val="restart"/>
                  <w:shd w:val="clear" w:color="auto" w:fill="auto"/>
                  <w:vAlign w:val="center"/>
                </w:tcPr>
                <w:p w14:paraId="49111E26">
                  <w:pPr>
                    <w:pStyle w:val="43"/>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监测时段</w:t>
                  </w:r>
                </w:p>
              </w:tc>
              <w:tc>
                <w:tcPr>
                  <w:tcW w:w="622" w:type="pct"/>
                  <w:vMerge w:val="restart"/>
                  <w:shd w:val="clear" w:color="auto" w:fill="auto"/>
                  <w:vAlign w:val="center"/>
                </w:tcPr>
                <w:p w14:paraId="13541006">
                  <w:pPr>
                    <w:pStyle w:val="43"/>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相对厂址方位</w:t>
                  </w:r>
                </w:p>
              </w:tc>
              <w:tc>
                <w:tcPr>
                  <w:tcW w:w="668" w:type="pct"/>
                  <w:vMerge w:val="restart"/>
                  <w:shd w:val="clear" w:color="auto" w:fill="auto"/>
                  <w:vAlign w:val="center"/>
                </w:tcPr>
                <w:p w14:paraId="568684DE">
                  <w:pPr>
                    <w:pStyle w:val="43"/>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相对厂界距离/m</w:t>
                  </w:r>
                </w:p>
              </w:tc>
            </w:tr>
            <w:tr w14:paraId="6A36F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24" w:type="pct"/>
                  <w:vMerge w:val="continue"/>
                  <w:shd w:val="clear" w:color="auto" w:fill="auto"/>
                  <w:vAlign w:val="center"/>
                </w:tcPr>
                <w:p w14:paraId="139B3092">
                  <w:pPr>
                    <w:pStyle w:val="43"/>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val="0"/>
                      <w:bCs w:val="0"/>
                      <w:color w:val="auto"/>
                      <w:sz w:val="21"/>
                      <w:szCs w:val="21"/>
                      <w:highlight w:val="none"/>
                    </w:rPr>
                  </w:pPr>
                </w:p>
              </w:tc>
              <w:tc>
                <w:tcPr>
                  <w:tcW w:w="736" w:type="pct"/>
                  <w:shd w:val="clear" w:color="auto" w:fill="auto"/>
                  <w:vAlign w:val="center"/>
                </w:tcPr>
                <w:p w14:paraId="55E7A95F">
                  <w:pPr>
                    <w:pStyle w:val="43"/>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X</w:t>
                  </w:r>
                </w:p>
              </w:tc>
              <w:tc>
                <w:tcPr>
                  <w:tcW w:w="744" w:type="pct"/>
                  <w:shd w:val="clear" w:color="auto" w:fill="auto"/>
                  <w:vAlign w:val="center"/>
                </w:tcPr>
                <w:p w14:paraId="17A97C89">
                  <w:pPr>
                    <w:pStyle w:val="43"/>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Y</w:t>
                  </w:r>
                </w:p>
              </w:tc>
              <w:tc>
                <w:tcPr>
                  <w:tcW w:w="382" w:type="pct"/>
                  <w:vMerge w:val="continue"/>
                  <w:shd w:val="clear" w:color="auto" w:fill="auto"/>
                  <w:vAlign w:val="center"/>
                </w:tcPr>
                <w:p w14:paraId="3E405305">
                  <w:pPr>
                    <w:pStyle w:val="43"/>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val="0"/>
                      <w:bCs w:val="0"/>
                      <w:color w:val="auto"/>
                      <w:sz w:val="21"/>
                      <w:szCs w:val="21"/>
                      <w:highlight w:val="none"/>
                    </w:rPr>
                  </w:pPr>
                </w:p>
              </w:tc>
              <w:tc>
                <w:tcPr>
                  <w:tcW w:w="1122" w:type="pct"/>
                  <w:vMerge w:val="continue"/>
                  <w:shd w:val="clear" w:color="auto" w:fill="auto"/>
                  <w:vAlign w:val="center"/>
                </w:tcPr>
                <w:p w14:paraId="603DB200">
                  <w:pPr>
                    <w:pStyle w:val="43"/>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val="0"/>
                      <w:bCs w:val="0"/>
                      <w:color w:val="auto"/>
                      <w:sz w:val="21"/>
                      <w:szCs w:val="21"/>
                      <w:highlight w:val="none"/>
                    </w:rPr>
                  </w:pPr>
                </w:p>
              </w:tc>
              <w:tc>
                <w:tcPr>
                  <w:tcW w:w="622" w:type="pct"/>
                  <w:vMerge w:val="continue"/>
                  <w:shd w:val="clear" w:color="auto" w:fill="auto"/>
                  <w:vAlign w:val="center"/>
                </w:tcPr>
                <w:p w14:paraId="084807AA">
                  <w:pPr>
                    <w:pStyle w:val="43"/>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val="0"/>
                      <w:bCs w:val="0"/>
                      <w:color w:val="auto"/>
                      <w:sz w:val="21"/>
                      <w:szCs w:val="21"/>
                      <w:highlight w:val="none"/>
                    </w:rPr>
                  </w:pPr>
                </w:p>
              </w:tc>
              <w:tc>
                <w:tcPr>
                  <w:tcW w:w="668" w:type="pct"/>
                  <w:vMerge w:val="continue"/>
                  <w:shd w:val="clear" w:color="auto" w:fill="auto"/>
                  <w:vAlign w:val="center"/>
                </w:tcPr>
                <w:p w14:paraId="141A74A0">
                  <w:pPr>
                    <w:pStyle w:val="43"/>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val="0"/>
                      <w:bCs w:val="0"/>
                      <w:color w:val="auto"/>
                      <w:sz w:val="21"/>
                      <w:szCs w:val="21"/>
                      <w:highlight w:val="none"/>
                    </w:rPr>
                  </w:pPr>
                </w:p>
              </w:tc>
            </w:tr>
            <w:tr w14:paraId="5F1A3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24" w:type="pct"/>
                  <w:shd w:val="clear" w:color="auto" w:fill="auto"/>
                  <w:vAlign w:val="center"/>
                </w:tcPr>
                <w:p w14:paraId="55689361">
                  <w:pPr>
                    <w:pStyle w:val="43"/>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G1付村</w:t>
                  </w:r>
                </w:p>
              </w:tc>
              <w:tc>
                <w:tcPr>
                  <w:tcW w:w="736" w:type="pct"/>
                  <w:shd w:val="clear" w:color="auto" w:fill="auto"/>
                  <w:vAlign w:val="center"/>
                </w:tcPr>
                <w:p w14:paraId="47416554">
                  <w:pPr>
                    <w:pStyle w:val="43"/>
                    <w:pageBreakBefore w:val="0"/>
                    <w:widowControl w:val="0"/>
                    <w:kinsoku/>
                    <w:wordWrap w:val="0"/>
                    <w:overflowPunct/>
                    <w:topLinePunct w:val="0"/>
                    <w:bidi w:val="0"/>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113.4209907</w:t>
                  </w:r>
                </w:p>
              </w:tc>
              <w:tc>
                <w:tcPr>
                  <w:tcW w:w="744" w:type="pct"/>
                  <w:shd w:val="clear" w:color="auto" w:fill="auto"/>
                  <w:vAlign w:val="center"/>
                </w:tcPr>
                <w:p w14:paraId="6EB9C192">
                  <w:pPr>
                    <w:pStyle w:val="43"/>
                    <w:pageBreakBefore w:val="0"/>
                    <w:widowControl w:val="0"/>
                    <w:kinsoku/>
                    <w:wordWrap w:val="0"/>
                    <w:overflowPunct/>
                    <w:topLinePunct w:val="0"/>
                    <w:bidi w:val="0"/>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25.1260272</w:t>
                  </w:r>
                </w:p>
              </w:tc>
              <w:tc>
                <w:tcPr>
                  <w:tcW w:w="382" w:type="pct"/>
                  <w:shd w:val="clear" w:color="auto" w:fill="auto"/>
                  <w:vAlign w:val="center"/>
                </w:tcPr>
                <w:p w14:paraId="7E67CDA8">
                  <w:pPr>
                    <w:pStyle w:val="43"/>
                    <w:pageBreakBefore w:val="0"/>
                    <w:widowControl w:val="0"/>
                    <w:kinsoku/>
                    <w:wordWrap w:val="0"/>
                    <w:overflowPunct/>
                    <w:topLinePunct w:val="0"/>
                    <w:bidi w:val="0"/>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TSP</w:t>
                  </w:r>
                </w:p>
              </w:tc>
              <w:tc>
                <w:tcPr>
                  <w:tcW w:w="1122" w:type="pct"/>
                  <w:shd w:val="clear" w:color="auto" w:fill="auto"/>
                  <w:vAlign w:val="center"/>
                </w:tcPr>
                <w:p w14:paraId="0D65C7E0">
                  <w:pPr>
                    <w:pStyle w:val="43"/>
                    <w:pageBreakBefore w:val="0"/>
                    <w:widowControl w:val="0"/>
                    <w:kinsoku/>
                    <w:wordWrap w:val="0"/>
                    <w:overflowPunct/>
                    <w:topLinePunct w:val="0"/>
                    <w:bidi w:val="0"/>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2022年12月20日</w:t>
                  </w:r>
                  <w:r>
                    <w:rPr>
                      <w:rFonts w:hint="eastAsia" w:asci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2022年12月26日</w:t>
                  </w:r>
                </w:p>
              </w:tc>
              <w:tc>
                <w:tcPr>
                  <w:tcW w:w="622" w:type="pct"/>
                  <w:shd w:val="clear" w:color="auto" w:fill="auto"/>
                  <w:vAlign w:val="center"/>
                </w:tcPr>
                <w:p w14:paraId="2ECA0A17">
                  <w:pPr>
                    <w:pStyle w:val="43"/>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东南</w:t>
                  </w:r>
                </w:p>
              </w:tc>
              <w:tc>
                <w:tcPr>
                  <w:tcW w:w="668" w:type="pct"/>
                  <w:shd w:val="clear" w:color="auto" w:fill="auto"/>
                  <w:vAlign w:val="center"/>
                </w:tcPr>
                <w:p w14:paraId="347BD4B5">
                  <w:pPr>
                    <w:pStyle w:val="43"/>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1650</w:t>
                  </w:r>
                </w:p>
              </w:tc>
            </w:tr>
          </w:tbl>
          <w:p w14:paraId="4A219A1A">
            <w:pPr>
              <w:pageBreakBefore w:val="0"/>
              <w:widowControl w:val="0"/>
              <w:kinsoku/>
              <w:wordWrap w:val="0"/>
              <w:overflowPunct/>
              <w:topLinePunct w:val="0"/>
              <w:bidi w:val="0"/>
              <w:jc w:val="left"/>
              <w:textAlignment w:val="auto"/>
              <w:outlineLvl w:val="9"/>
              <w:rPr>
                <w:rFonts w:hint="default" w:ascii="Times New Roman" w:hAnsi="Times New Roman" w:cs="Times New Roman"/>
                <w:b/>
                <w:bCs/>
                <w:color w:val="auto"/>
                <w:sz w:val="21"/>
                <w:szCs w:val="21"/>
                <w:highlight w:val="none"/>
                <w:lang w:val="en-GB"/>
              </w:rPr>
            </w:pPr>
            <w:bookmarkStart w:id="51" w:name="_Toc4447"/>
            <w:bookmarkStart w:id="52" w:name="_Toc698"/>
            <w:bookmarkStart w:id="53" w:name="_Toc21557"/>
            <w:bookmarkStart w:id="54" w:name="_Toc21186"/>
            <w:bookmarkStart w:id="55" w:name="_Toc14154"/>
            <w:r>
              <w:rPr>
                <w:rFonts w:hint="default" w:ascii="Times New Roman" w:hAnsi="Times New Roman" w:cs="Times New Roman"/>
                <w:b/>
                <w:bCs/>
                <w:color w:val="auto"/>
                <w:sz w:val="21"/>
                <w:szCs w:val="21"/>
                <w:highlight w:val="none"/>
                <w:lang w:val="en-GB"/>
              </w:rPr>
              <w:t>注：设本</w:t>
            </w:r>
            <w:r>
              <w:rPr>
                <w:rFonts w:hint="default" w:ascii="Times New Roman" w:hAnsi="Times New Roman" w:cs="Times New Roman"/>
                <w:b/>
                <w:bCs/>
                <w:color w:val="auto"/>
                <w:sz w:val="21"/>
                <w:szCs w:val="21"/>
                <w:highlight w:val="none"/>
              </w:rPr>
              <w:t>项目中心坐标（X，Y）为（0，0）</w:t>
            </w:r>
            <w:bookmarkEnd w:id="51"/>
            <w:bookmarkEnd w:id="52"/>
            <w:bookmarkEnd w:id="53"/>
            <w:bookmarkEnd w:id="54"/>
            <w:bookmarkEnd w:id="55"/>
          </w:p>
          <w:p w14:paraId="195FD6BE">
            <w:pPr>
              <w:keepNext w:val="0"/>
              <w:keepLines w:val="0"/>
              <w:pageBreakBefore w:val="0"/>
              <w:widowControl w:val="0"/>
              <w:numPr>
                <w:ilvl w:val="0"/>
                <w:numId w:val="8"/>
              </w:numPr>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GB"/>
              </w:rPr>
            </w:pPr>
            <w:bookmarkStart w:id="56" w:name="_Toc24683"/>
            <w:bookmarkStart w:id="57" w:name="_Toc14846"/>
            <w:bookmarkStart w:id="58" w:name="_Toc24731"/>
            <w:bookmarkStart w:id="59" w:name="_Toc13955"/>
            <w:bookmarkStart w:id="60" w:name="_Toc8233"/>
            <w:r>
              <w:rPr>
                <w:rFonts w:hint="default" w:ascii="Times New Roman" w:hAnsi="Times New Roman" w:eastAsia="宋体" w:cs="Times New Roman"/>
                <w:b/>
                <w:bCs/>
                <w:color w:val="auto"/>
                <w:sz w:val="21"/>
                <w:szCs w:val="21"/>
                <w:highlight w:val="none"/>
                <w:lang w:val="en-GB"/>
              </w:rPr>
              <w:t>其他污染物环境质量现状（监测结果）表</w:t>
            </w:r>
            <w:bookmarkEnd w:id="56"/>
            <w:bookmarkEnd w:id="57"/>
            <w:bookmarkEnd w:id="58"/>
            <w:bookmarkEnd w:id="59"/>
            <w:bookmarkEnd w:id="60"/>
          </w:p>
          <w:tbl>
            <w:tblPr>
              <w:tblStyle w:val="3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57"/>
              <w:gridCol w:w="866"/>
              <w:gridCol w:w="892"/>
              <w:gridCol w:w="1112"/>
              <w:gridCol w:w="1321"/>
              <w:gridCol w:w="1085"/>
              <w:gridCol w:w="702"/>
              <w:gridCol w:w="743"/>
            </w:tblGrid>
            <w:tr w14:paraId="769BB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734" w:type="pct"/>
                  <w:vMerge w:val="restart"/>
                  <w:shd w:val="clear" w:color="auto" w:fill="auto"/>
                  <w:vAlign w:val="center"/>
                </w:tcPr>
                <w:p w14:paraId="7E16314F">
                  <w:pPr>
                    <w:pStyle w:val="12"/>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监测点位</w:t>
                  </w:r>
                </w:p>
              </w:tc>
              <w:tc>
                <w:tcPr>
                  <w:tcW w:w="549" w:type="pct"/>
                  <w:vMerge w:val="restart"/>
                  <w:shd w:val="clear" w:color="auto" w:fill="auto"/>
                  <w:vAlign w:val="center"/>
                </w:tcPr>
                <w:p w14:paraId="10AC6529">
                  <w:pPr>
                    <w:pStyle w:val="12"/>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污染物</w:t>
                  </w:r>
                </w:p>
              </w:tc>
              <w:tc>
                <w:tcPr>
                  <w:tcW w:w="566" w:type="pct"/>
                  <w:vMerge w:val="restart"/>
                  <w:shd w:val="clear" w:color="auto" w:fill="auto"/>
                  <w:vAlign w:val="center"/>
                </w:tcPr>
                <w:p w14:paraId="5116A838">
                  <w:pPr>
                    <w:pStyle w:val="12"/>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平均</w:t>
                  </w:r>
                </w:p>
                <w:p w14:paraId="021A21ED">
                  <w:pPr>
                    <w:pStyle w:val="12"/>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时间</w:t>
                  </w:r>
                </w:p>
              </w:tc>
              <w:tc>
                <w:tcPr>
                  <w:tcW w:w="705" w:type="pct"/>
                  <w:vMerge w:val="restart"/>
                  <w:shd w:val="clear" w:color="auto" w:fill="auto"/>
                  <w:vAlign w:val="center"/>
                </w:tcPr>
                <w:p w14:paraId="5E47646E">
                  <w:pPr>
                    <w:pStyle w:val="12"/>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评价标准/</w:t>
                  </w:r>
                  <w:r>
                    <w:rPr>
                      <w:rFonts w:hint="default" w:ascii="Times New Roman" w:hAnsi="Times New Roman" w:cs="Times New Roman"/>
                      <w:b w:val="0"/>
                      <w:bCs/>
                      <w:color w:val="auto"/>
                      <w:kern w:val="0"/>
                      <w:sz w:val="21"/>
                      <w:szCs w:val="21"/>
                      <w:highlight w:val="none"/>
                    </w:rPr>
                    <w:t>（μg/m</w:t>
                  </w:r>
                  <w:r>
                    <w:rPr>
                      <w:rFonts w:hint="default" w:ascii="Times New Roman" w:hAnsi="Times New Roman" w:cs="Times New Roman"/>
                      <w:b w:val="0"/>
                      <w:bCs/>
                      <w:color w:val="auto"/>
                      <w:kern w:val="0"/>
                      <w:sz w:val="21"/>
                      <w:szCs w:val="21"/>
                      <w:highlight w:val="none"/>
                      <w:vertAlign w:val="superscript"/>
                    </w:rPr>
                    <w:t>3</w:t>
                  </w:r>
                  <w:r>
                    <w:rPr>
                      <w:rFonts w:hint="default" w:ascii="Times New Roman" w:hAnsi="Times New Roman" w:cs="Times New Roman"/>
                      <w:b w:val="0"/>
                      <w:bCs/>
                      <w:color w:val="auto"/>
                      <w:kern w:val="0"/>
                      <w:sz w:val="21"/>
                      <w:szCs w:val="21"/>
                      <w:highlight w:val="none"/>
                    </w:rPr>
                    <w:t>）</w:t>
                  </w:r>
                </w:p>
              </w:tc>
              <w:tc>
                <w:tcPr>
                  <w:tcW w:w="838" w:type="pct"/>
                  <w:vMerge w:val="restart"/>
                  <w:shd w:val="clear" w:color="auto" w:fill="auto"/>
                  <w:vAlign w:val="center"/>
                </w:tcPr>
                <w:p w14:paraId="489428C0">
                  <w:pPr>
                    <w:pStyle w:val="12"/>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监测浓度范围/（</w:t>
                  </w:r>
                  <w:r>
                    <w:rPr>
                      <w:rFonts w:hint="default" w:ascii="Times New Roman" w:hAnsi="Times New Roman" w:cs="Times New Roman"/>
                      <w:b w:val="0"/>
                      <w:bCs/>
                      <w:color w:val="auto"/>
                      <w:kern w:val="0"/>
                      <w:sz w:val="21"/>
                      <w:szCs w:val="21"/>
                      <w:highlight w:val="none"/>
                    </w:rPr>
                    <w:t>mg/m</w:t>
                  </w:r>
                  <w:r>
                    <w:rPr>
                      <w:rFonts w:hint="default" w:ascii="Times New Roman" w:hAnsi="Times New Roman" w:cs="Times New Roman"/>
                      <w:b w:val="0"/>
                      <w:bCs/>
                      <w:color w:val="auto"/>
                      <w:kern w:val="0"/>
                      <w:sz w:val="21"/>
                      <w:szCs w:val="21"/>
                      <w:highlight w:val="none"/>
                      <w:vertAlign w:val="superscript"/>
                    </w:rPr>
                    <w:t>3</w:t>
                  </w:r>
                  <w:r>
                    <w:rPr>
                      <w:rFonts w:hint="default" w:ascii="Times New Roman" w:hAnsi="Times New Roman" w:cs="Times New Roman"/>
                      <w:b w:val="0"/>
                      <w:bCs/>
                      <w:color w:val="auto"/>
                      <w:sz w:val="21"/>
                      <w:szCs w:val="21"/>
                      <w:highlight w:val="none"/>
                    </w:rPr>
                    <w:t>）</w:t>
                  </w:r>
                </w:p>
              </w:tc>
              <w:tc>
                <w:tcPr>
                  <w:tcW w:w="688" w:type="pct"/>
                  <w:vMerge w:val="restart"/>
                  <w:shd w:val="clear" w:color="auto" w:fill="auto"/>
                  <w:vAlign w:val="center"/>
                </w:tcPr>
                <w:p w14:paraId="159327E1">
                  <w:pPr>
                    <w:pStyle w:val="12"/>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最大浓度占标率/%</w:t>
                  </w:r>
                </w:p>
              </w:tc>
              <w:tc>
                <w:tcPr>
                  <w:tcW w:w="445" w:type="pct"/>
                  <w:vMerge w:val="restart"/>
                  <w:shd w:val="clear" w:color="auto" w:fill="auto"/>
                  <w:vAlign w:val="center"/>
                </w:tcPr>
                <w:p w14:paraId="4FADC46B">
                  <w:pPr>
                    <w:pStyle w:val="12"/>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超标频率/%</w:t>
                  </w:r>
                </w:p>
              </w:tc>
              <w:tc>
                <w:tcPr>
                  <w:tcW w:w="471" w:type="pct"/>
                  <w:vMerge w:val="restart"/>
                  <w:shd w:val="clear" w:color="auto" w:fill="auto"/>
                  <w:vAlign w:val="center"/>
                </w:tcPr>
                <w:p w14:paraId="17DED402">
                  <w:pPr>
                    <w:pStyle w:val="12"/>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达标情况</w:t>
                  </w:r>
                </w:p>
              </w:tc>
            </w:tr>
            <w:tr w14:paraId="4DDC9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continue"/>
                  <w:shd w:val="clear" w:color="auto" w:fill="auto"/>
                  <w:vAlign w:val="center"/>
                </w:tcPr>
                <w:p w14:paraId="14ECA604">
                  <w:pPr>
                    <w:pStyle w:val="12"/>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val="0"/>
                      <w:bCs/>
                      <w:color w:val="auto"/>
                      <w:sz w:val="21"/>
                      <w:szCs w:val="21"/>
                      <w:highlight w:val="none"/>
                    </w:rPr>
                  </w:pPr>
                </w:p>
              </w:tc>
              <w:tc>
                <w:tcPr>
                  <w:tcW w:w="549" w:type="pct"/>
                  <w:vMerge w:val="continue"/>
                  <w:shd w:val="clear" w:color="auto" w:fill="auto"/>
                  <w:vAlign w:val="center"/>
                </w:tcPr>
                <w:p w14:paraId="090F84BF">
                  <w:pPr>
                    <w:pStyle w:val="12"/>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val="0"/>
                      <w:bCs/>
                      <w:color w:val="auto"/>
                      <w:sz w:val="21"/>
                      <w:szCs w:val="21"/>
                      <w:highlight w:val="none"/>
                    </w:rPr>
                  </w:pPr>
                </w:p>
              </w:tc>
              <w:tc>
                <w:tcPr>
                  <w:tcW w:w="566" w:type="pct"/>
                  <w:vMerge w:val="continue"/>
                  <w:shd w:val="clear" w:color="auto" w:fill="auto"/>
                  <w:vAlign w:val="center"/>
                </w:tcPr>
                <w:p w14:paraId="2AE42248">
                  <w:pPr>
                    <w:pStyle w:val="12"/>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val="0"/>
                      <w:bCs/>
                      <w:color w:val="auto"/>
                      <w:sz w:val="21"/>
                      <w:szCs w:val="21"/>
                      <w:highlight w:val="none"/>
                    </w:rPr>
                  </w:pPr>
                </w:p>
              </w:tc>
              <w:tc>
                <w:tcPr>
                  <w:tcW w:w="705" w:type="pct"/>
                  <w:vMerge w:val="continue"/>
                  <w:shd w:val="clear" w:color="auto" w:fill="auto"/>
                  <w:vAlign w:val="center"/>
                </w:tcPr>
                <w:p w14:paraId="46FDA9AF">
                  <w:pPr>
                    <w:pStyle w:val="12"/>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val="0"/>
                      <w:bCs/>
                      <w:color w:val="auto"/>
                      <w:sz w:val="21"/>
                      <w:szCs w:val="21"/>
                      <w:highlight w:val="none"/>
                    </w:rPr>
                  </w:pPr>
                </w:p>
              </w:tc>
              <w:tc>
                <w:tcPr>
                  <w:tcW w:w="838" w:type="pct"/>
                  <w:vMerge w:val="continue"/>
                  <w:shd w:val="clear" w:color="auto" w:fill="auto"/>
                  <w:vAlign w:val="center"/>
                </w:tcPr>
                <w:p w14:paraId="2BA872F8">
                  <w:pPr>
                    <w:pStyle w:val="12"/>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val="0"/>
                      <w:bCs/>
                      <w:color w:val="auto"/>
                      <w:sz w:val="21"/>
                      <w:szCs w:val="21"/>
                      <w:highlight w:val="none"/>
                    </w:rPr>
                  </w:pPr>
                </w:p>
              </w:tc>
              <w:tc>
                <w:tcPr>
                  <w:tcW w:w="688" w:type="pct"/>
                  <w:vMerge w:val="continue"/>
                  <w:shd w:val="clear" w:color="auto" w:fill="auto"/>
                  <w:vAlign w:val="center"/>
                </w:tcPr>
                <w:p w14:paraId="097CFDA4">
                  <w:pPr>
                    <w:pStyle w:val="12"/>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val="0"/>
                      <w:bCs/>
                      <w:color w:val="auto"/>
                      <w:sz w:val="21"/>
                      <w:szCs w:val="21"/>
                      <w:highlight w:val="none"/>
                    </w:rPr>
                  </w:pPr>
                </w:p>
              </w:tc>
              <w:tc>
                <w:tcPr>
                  <w:tcW w:w="445" w:type="pct"/>
                  <w:vMerge w:val="continue"/>
                  <w:shd w:val="clear" w:color="auto" w:fill="auto"/>
                  <w:vAlign w:val="center"/>
                </w:tcPr>
                <w:p w14:paraId="6950517D">
                  <w:pPr>
                    <w:pStyle w:val="12"/>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val="0"/>
                      <w:bCs/>
                      <w:color w:val="auto"/>
                      <w:sz w:val="21"/>
                      <w:szCs w:val="21"/>
                      <w:highlight w:val="none"/>
                    </w:rPr>
                  </w:pPr>
                </w:p>
              </w:tc>
              <w:tc>
                <w:tcPr>
                  <w:tcW w:w="471" w:type="pct"/>
                  <w:vMerge w:val="continue"/>
                  <w:shd w:val="clear" w:color="auto" w:fill="auto"/>
                  <w:vAlign w:val="center"/>
                </w:tcPr>
                <w:p w14:paraId="4CEB9942">
                  <w:pPr>
                    <w:pStyle w:val="12"/>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val="0"/>
                      <w:bCs/>
                      <w:color w:val="auto"/>
                      <w:sz w:val="21"/>
                      <w:szCs w:val="21"/>
                      <w:highlight w:val="none"/>
                    </w:rPr>
                  </w:pPr>
                </w:p>
              </w:tc>
            </w:tr>
            <w:tr w14:paraId="4D061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shd w:val="clear" w:color="auto" w:fill="auto"/>
                  <w:vAlign w:val="center"/>
                </w:tcPr>
                <w:p w14:paraId="353DEDF4">
                  <w:pPr>
                    <w:pStyle w:val="12"/>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G1付村</w:t>
                  </w:r>
                </w:p>
              </w:tc>
              <w:tc>
                <w:tcPr>
                  <w:tcW w:w="549" w:type="pct"/>
                  <w:shd w:val="clear" w:color="auto" w:fill="auto"/>
                  <w:vAlign w:val="center"/>
                </w:tcPr>
                <w:p w14:paraId="6603ED70">
                  <w:pPr>
                    <w:pStyle w:val="50"/>
                    <w:pageBreakBefore w:val="0"/>
                    <w:widowControl w:val="0"/>
                    <w:kinsoku/>
                    <w:wordWrap w:val="0"/>
                    <w:overflowPunct/>
                    <w:topLinePunct w:val="0"/>
                    <w:bidi w:val="0"/>
                    <w:spacing w:before="46" w:after="46" w:line="240" w:lineRule="auto"/>
                    <w:textAlignment w:val="auto"/>
                    <w:outlineLvl w:val="9"/>
                    <w:rPr>
                      <w:rFonts w:hint="default" w:ascii="Times New Roman" w:hAnsi="Times New Roman" w:cs="Times New Roman"/>
                      <w:bCs/>
                      <w:color w:val="auto"/>
                      <w:sz w:val="21"/>
                      <w:highlight w:val="none"/>
                    </w:rPr>
                  </w:pPr>
                  <w:r>
                    <w:rPr>
                      <w:rFonts w:hint="default" w:ascii="Times New Roman" w:hAnsi="Times New Roman" w:cs="Times New Roman"/>
                      <w:bCs/>
                      <w:color w:val="auto"/>
                      <w:sz w:val="21"/>
                      <w:highlight w:val="none"/>
                    </w:rPr>
                    <w:t>TSP</w:t>
                  </w:r>
                </w:p>
              </w:tc>
              <w:tc>
                <w:tcPr>
                  <w:tcW w:w="566" w:type="pct"/>
                  <w:shd w:val="clear" w:color="auto" w:fill="auto"/>
                  <w:vAlign w:val="center"/>
                </w:tcPr>
                <w:p w14:paraId="2895FF1D">
                  <w:pPr>
                    <w:pStyle w:val="50"/>
                    <w:pageBreakBefore w:val="0"/>
                    <w:widowControl w:val="0"/>
                    <w:kinsoku/>
                    <w:wordWrap w:val="0"/>
                    <w:overflowPunct/>
                    <w:topLinePunct w:val="0"/>
                    <w:bidi w:val="0"/>
                    <w:spacing w:before="46" w:after="46" w:line="240" w:lineRule="auto"/>
                    <w:textAlignment w:val="auto"/>
                    <w:outlineLvl w:val="9"/>
                    <w:rPr>
                      <w:rFonts w:hint="default" w:ascii="Times New Roman" w:hAnsi="Times New Roman" w:cs="Times New Roman"/>
                      <w:bCs/>
                      <w:color w:val="auto"/>
                      <w:sz w:val="21"/>
                      <w:highlight w:val="none"/>
                    </w:rPr>
                  </w:pPr>
                  <w:r>
                    <w:rPr>
                      <w:rFonts w:hint="default" w:ascii="Times New Roman" w:hAnsi="Times New Roman" w:cs="Times New Roman"/>
                      <w:bCs/>
                      <w:color w:val="auto"/>
                      <w:sz w:val="21"/>
                      <w:highlight w:val="none"/>
                    </w:rPr>
                    <w:t>日均值</w:t>
                  </w:r>
                </w:p>
              </w:tc>
              <w:tc>
                <w:tcPr>
                  <w:tcW w:w="705" w:type="pct"/>
                  <w:shd w:val="clear" w:color="auto" w:fill="auto"/>
                  <w:vAlign w:val="center"/>
                </w:tcPr>
                <w:p w14:paraId="22949E3D">
                  <w:pPr>
                    <w:pStyle w:val="50"/>
                    <w:pageBreakBefore w:val="0"/>
                    <w:widowControl w:val="0"/>
                    <w:kinsoku/>
                    <w:wordWrap w:val="0"/>
                    <w:overflowPunct/>
                    <w:topLinePunct w:val="0"/>
                    <w:bidi w:val="0"/>
                    <w:spacing w:before="46" w:after="46" w:line="240" w:lineRule="auto"/>
                    <w:textAlignment w:val="auto"/>
                    <w:outlineLvl w:val="9"/>
                    <w:rPr>
                      <w:rFonts w:hint="default" w:ascii="Times New Roman" w:hAnsi="Times New Roman" w:cs="Times New Roman"/>
                      <w:bCs/>
                      <w:color w:val="auto"/>
                      <w:sz w:val="21"/>
                      <w:highlight w:val="none"/>
                    </w:rPr>
                  </w:pPr>
                  <w:r>
                    <w:rPr>
                      <w:rFonts w:hint="default" w:ascii="Times New Roman" w:hAnsi="Times New Roman" w:cs="Times New Roman"/>
                      <w:bCs/>
                      <w:color w:val="auto"/>
                      <w:sz w:val="21"/>
                      <w:highlight w:val="none"/>
                    </w:rPr>
                    <w:t>300</w:t>
                  </w:r>
                </w:p>
              </w:tc>
              <w:tc>
                <w:tcPr>
                  <w:tcW w:w="838" w:type="pct"/>
                  <w:shd w:val="clear" w:color="auto" w:fill="auto"/>
                  <w:vAlign w:val="center"/>
                </w:tcPr>
                <w:p w14:paraId="5E8F45B0">
                  <w:pPr>
                    <w:pStyle w:val="12"/>
                    <w:pageBreakBefore w:val="0"/>
                    <w:widowControl w:val="0"/>
                    <w:kinsoku/>
                    <w:wordWrap w:val="0"/>
                    <w:overflowPunct/>
                    <w:topLinePunct w:val="0"/>
                    <w:bidi w:val="0"/>
                    <w:spacing w:line="240" w:lineRule="auto"/>
                    <w:ind w:firstLine="0" w:firstLineChars="0"/>
                    <w:jc w:val="center"/>
                    <w:textAlignment w:val="auto"/>
                    <w:outlineLvl w:val="9"/>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0.083~0.108</w:t>
                  </w:r>
                </w:p>
              </w:tc>
              <w:tc>
                <w:tcPr>
                  <w:tcW w:w="688" w:type="pct"/>
                  <w:shd w:val="clear" w:color="auto" w:fill="auto"/>
                  <w:vAlign w:val="center"/>
                </w:tcPr>
                <w:p w14:paraId="1881B677">
                  <w:pPr>
                    <w:pStyle w:val="12"/>
                    <w:pageBreakBefore w:val="0"/>
                    <w:widowControl w:val="0"/>
                    <w:kinsoku/>
                    <w:wordWrap w:val="0"/>
                    <w:overflowPunct/>
                    <w:topLinePunct w:val="0"/>
                    <w:bidi w:val="0"/>
                    <w:spacing w:line="240" w:lineRule="auto"/>
                    <w:ind w:firstLine="0" w:firstLineChars="0"/>
                    <w:jc w:val="center"/>
                    <w:textAlignment w:val="auto"/>
                    <w:outlineLvl w:val="9"/>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36</w:t>
                  </w:r>
                </w:p>
              </w:tc>
              <w:tc>
                <w:tcPr>
                  <w:tcW w:w="445" w:type="pct"/>
                  <w:shd w:val="clear" w:color="auto" w:fill="auto"/>
                  <w:vAlign w:val="center"/>
                </w:tcPr>
                <w:p w14:paraId="3F1C606D">
                  <w:pPr>
                    <w:pageBreakBefore w:val="0"/>
                    <w:widowControl w:val="0"/>
                    <w:kinsoku/>
                    <w:wordWrap w:val="0"/>
                    <w:overflowPunct/>
                    <w:topLinePunct w:val="0"/>
                    <w:bidi w:val="0"/>
                    <w:spacing w:line="240" w:lineRule="auto"/>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0</w:t>
                  </w:r>
                </w:p>
              </w:tc>
              <w:tc>
                <w:tcPr>
                  <w:tcW w:w="471" w:type="pct"/>
                  <w:shd w:val="clear" w:color="auto" w:fill="auto"/>
                  <w:vAlign w:val="center"/>
                </w:tcPr>
                <w:p w14:paraId="292275E3">
                  <w:pPr>
                    <w:pageBreakBefore w:val="0"/>
                    <w:widowControl w:val="0"/>
                    <w:kinsoku/>
                    <w:wordWrap w:val="0"/>
                    <w:overflowPunct/>
                    <w:topLinePunct w:val="0"/>
                    <w:bidi w:val="0"/>
                    <w:spacing w:line="240" w:lineRule="auto"/>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达标</w:t>
                  </w:r>
                </w:p>
              </w:tc>
            </w:tr>
          </w:tbl>
          <w:p w14:paraId="08EE134C">
            <w:pPr>
              <w:pageBreakBefore w:val="0"/>
              <w:widowControl w:val="0"/>
              <w:kinsoku/>
              <w:wordWrap w:val="0"/>
              <w:overflowPunct/>
              <w:topLinePunct w:val="0"/>
              <w:bidi w:val="0"/>
              <w:ind w:firstLine="48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bCs/>
                <w:color w:val="auto"/>
                <w:szCs w:val="22"/>
                <w:highlight w:val="none"/>
              </w:rPr>
              <w:t>监测结果表明，项目周围区域空气中，特征污染物TSP 24小时平均浓度可达到《环境空气质量标准》（GB3095-2012）及其修改单中二级标准要求。</w:t>
            </w:r>
          </w:p>
          <w:p w14:paraId="17A7E923">
            <w:pPr>
              <w:pageBreakBefore w:val="0"/>
              <w:widowControl w:val="0"/>
              <w:numPr>
                <w:ilvl w:val="2"/>
                <w:numId w:val="0"/>
              </w:numPr>
              <w:tabs>
                <w:tab w:val="left" w:pos="420"/>
              </w:tabs>
              <w:kinsoku/>
              <w:wordWrap w:val="0"/>
              <w:overflowPunct/>
              <w:topLinePunct w:val="0"/>
              <w:bidi w:val="0"/>
              <w:ind w:left="-2" w:firstLine="482"/>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二、水环境质量现状</w:t>
            </w:r>
          </w:p>
          <w:p w14:paraId="26D35E10">
            <w:pPr>
              <w:pageBreakBefore w:val="0"/>
              <w:wordWrap w:val="0"/>
              <w:overflowPunct/>
              <w:autoSpaceDE w:val="0"/>
              <w:autoSpaceDN w:val="0"/>
              <w:bidi w:val="0"/>
              <w:adjustRightInd w:val="0"/>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根据《广东省地表水环境功能区划》（粤环</w:t>
            </w:r>
            <w:r>
              <w:rPr>
                <w:rFonts w:hint="default" w:ascii="Times New Roman" w:hAnsi="Times New Roman" w:cs="Times New Roman"/>
                <w:color w:val="auto"/>
                <w:kern w:val="0"/>
                <w:highlight w:val="none"/>
              </w:rPr>
              <w:t>〔201</w:t>
            </w:r>
            <w:r>
              <w:rPr>
                <w:rFonts w:hint="default" w:ascii="Times New Roman" w:hAnsi="Times New Roman" w:cs="Times New Roman"/>
                <w:color w:val="auto"/>
                <w:kern w:val="0"/>
                <w:highlight w:val="none"/>
                <w:lang w:val="en-US" w:eastAsia="zh-CN"/>
              </w:rPr>
              <w:t>1</w:t>
            </w:r>
            <w:r>
              <w:rPr>
                <w:rFonts w:hint="default" w:ascii="Times New Roman" w:hAnsi="Times New Roman" w:cs="Times New Roman"/>
                <w:color w:val="auto"/>
                <w:kern w:val="0"/>
                <w:highlight w:val="none"/>
              </w:rPr>
              <w:t>〕</w:t>
            </w:r>
            <w:r>
              <w:rPr>
                <w:rFonts w:hint="default" w:ascii="Times New Roman" w:hAnsi="Times New Roman" w:cs="Times New Roman"/>
                <w:color w:val="auto"/>
                <w:highlight w:val="none"/>
              </w:rPr>
              <w:t>14号），本项目所在区域主要地表水及纳污水体为武江（乐昌城-犁市</w:t>
            </w:r>
            <w:r>
              <w:rPr>
                <w:rFonts w:hint="default" w:ascii="Times New Roman" w:hAnsi="Times New Roman" w:cs="Times New Roman"/>
                <w:color w:val="auto"/>
                <w:highlight w:val="none"/>
                <w:lang w:val="en-US" w:eastAsia="zh-CN"/>
              </w:rPr>
              <w:t>河段</w:t>
            </w:r>
            <w:r>
              <w:rPr>
                <w:rFonts w:hint="default" w:ascii="Times New Roman" w:hAnsi="Times New Roman" w:cs="Times New Roman"/>
                <w:color w:val="auto"/>
                <w:highlight w:val="none"/>
              </w:rPr>
              <w:t>），为</w:t>
            </w:r>
            <w:r>
              <w:rPr>
                <w:rFonts w:hint="eastAsia" w:cs="Times New Roman"/>
                <w:color w:val="auto"/>
                <w:highlight w:val="none"/>
                <w:lang w:eastAsia="zh-CN"/>
              </w:rPr>
              <w:t>Ⅲ</w:t>
            </w:r>
            <w:r>
              <w:rPr>
                <w:rFonts w:hint="default" w:ascii="Times New Roman" w:hAnsi="Times New Roman" w:cs="Times New Roman"/>
                <w:color w:val="auto"/>
                <w:highlight w:val="none"/>
              </w:rPr>
              <w:t>类水质功能区，执行《地表水环境质量标准》（GB3838-2002）中的</w:t>
            </w:r>
            <w:r>
              <w:rPr>
                <w:rFonts w:hint="eastAsia" w:cs="Times New Roman"/>
                <w:color w:val="auto"/>
                <w:highlight w:val="none"/>
                <w:lang w:eastAsia="zh-CN"/>
              </w:rPr>
              <w:t>Ⅲ</w:t>
            </w:r>
            <w:r>
              <w:rPr>
                <w:rFonts w:hint="default" w:ascii="Times New Roman" w:hAnsi="Times New Roman" w:cs="Times New Roman"/>
                <w:color w:val="auto"/>
                <w:highlight w:val="none"/>
              </w:rPr>
              <w:t>类标准。</w:t>
            </w:r>
          </w:p>
          <w:p w14:paraId="0B181C47">
            <w:pPr>
              <w:pageBreakBefore w:val="0"/>
              <w:wordWrap w:val="0"/>
              <w:overflowPunct/>
              <w:autoSpaceDE w:val="0"/>
              <w:autoSpaceDN w:val="0"/>
              <w:bidi w:val="0"/>
              <w:adjustRightInd w:val="0"/>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rPr>
              <w:t>根据《韶关市生态环境状况公报》</w:t>
            </w:r>
            <w:r>
              <w:rPr>
                <w:rFonts w:hint="default" w:ascii="Times New Roman" w:hAnsi="Times New Roman" w:cs="Times New Roman"/>
                <w:color w:val="auto"/>
                <w:lang w:eastAsia="zh-CN"/>
              </w:rPr>
              <w:t>（</w:t>
            </w:r>
            <w:r>
              <w:rPr>
                <w:rFonts w:hint="default" w:ascii="Times New Roman" w:hAnsi="Times New Roman" w:cs="Times New Roman"/>
                <w:color w:val="auto"/>
              </w:rPr>
              <w:t>2023年</w:t>
            </w:r>
            <w:r>
              <w:rPr>
                <w:rFonts w:hint="default" w:ascii="Times New Roman" w:hAnsi="Times New Roman" w:cs="Times New Roman"/>
                <w:color w:val="auto"/>
                <w:lang w:eastAsia="zh-CN"/>
              </w:rPr>
              <w:t>）</w:t>
            </w:r>
            <w:r>
              <w:rPr>
                <w:rFonts w:hint="default" w:ascii="Times New Roman" w:hAnsi="Times New Roman" w:cs="Times New Roman"/>
                <w:color w:val="auto"/>
              </w:rPr>
              <w:t>，2023年，韶关市1条主要江河</w:t>
            </w:r>
            <w:r>
              <w:rPr>
                <w:rFonts w:hint="default" w:ascii="Times New Roman" w:hAnsi="Times New Roman" w:cs="Times New Roman"/>
                <w:color w:val="auto"/>
                <w:lang w:eastAsia="zh-CN"/>
              </w:rPr>
              <w:t>（</w:t>
            </w:r>
            <w:r>
              <w:rPr>
                <w:rFonts w:hint="default" w:ascii="Times New Roman" w:hAnsi="Times New Roman" w:cs="Times New Roman"/>
                <w:color w:val="auto"/>
              </w:rPr>
              <w:t>北江、武江、浈江、南水河、墨江、锦江、马坝河、滃江、新丰江、横石水和大潭河</w:t>
            </w:r>
            <w:r>
              <w:rPr>
                <w:rFonts w:hint="default" w:ascii="Times New Roman" w:hAnsi="Times New Roman" w:cs="Times New Roman"/>
                <w:color w:val="auto"/>
                <w:lang w:eastAsia="zh-CN"/>
              </w:rPr>
              <w:t>）</w:t>
            </w:r>
            <w:r>
              <w:rPr>
                <w:rFonts w:hint="default" w:ascii="Times New Roman" w:hAnsi="Times New Roman" w:cs="Times New Roman"/>
                <w:color w:val="auto"/>
              </w:rPr>
              <w:t>34个市</w:t>
            </w:r>
            <w:r>
              <w:rPr>
                <w:rFonts w:hint="default" w:ascii="Times New Roman" w:hAnsi="Times New Roman" w:cs="Times New Roman"/>
                <w:color w:val="auto"/>
                <w:lang w:eastAsia="zh-CN"/>
              </w:rPr>
              <w:t>控</w:t>
            </w:r>
            <w:r>
              <w:rPr>
                <w:rFonts w:hint="default" w:ascii="Times New Roman" w:hAnsi="Times New Roman" w:cs="Times New Roman"/>
                <w:color w:val="auto"/>
              </w:rPr>
              <w:t>以上手工监测断面水质优良率为100%与2022年持平，其中</w:t>
            </w:r>
            <w:r>
              <w:rPr>
                <w:rFonts w:hint="default" w:ascii="Times New Roman" w:hAnsi="Times New Roman" w:cs="Times New Roman"/>
                <w:color w:val="auto"/>
                <w:highlight w:val="none"/>
              </w:rPr>
              <w:t>I</w:t>
            </w:r>
            <w:r>
              <w:rPr>
                <w:rFonts w:hint="default" w:ascii="Times New Roman" w:hAnsi="Times New Roman" w:cs="Times New Roman"/>
                <w:color w:val="auto"/>
              </w:rPr>
              <w:t>类比例为2.94%、</w:t>
            </w:r>
            <w:r>
              <w:rPr>
                <w:rFonts w:hint="eastAsia" w:cs="Times New Roman"/>
                <w:color w:val="auto"/>
                <w:lang w:eastAsia="zh-CN"/>
              </w:rPr>
              <w:t>Ⅱ类</w:t>
            </w:r>
            <w:r>
              <w:rPr>
                <w:rFonts w:hint="default" w:ascii="Times New Roman" w:hAnsi="Times New Roman" w:cs="Times New Roman"/>
                <w:color w:val="auto"/>
              </w:rPr>
              <w:t>比例为88.24%、</w:t>
            </w:r>
            <w:r>
              <w:rPr>
                <w:rFonts w:hint="eastAsia" w:cs="Times New Roman"/>
                <w:color w:val="auto"/>
                <w:lang w:eastAsia="zh-CN"/>
              </w:rPr>
              <w:t>Ⅲ</w:t>
            </w:r>
            <w:r>
              <w:rPr>
                <w:rFonts w:hint="default" w:ascii="Times New Roman" w:hAnsi="Times New Roman" w:cs="Times New Roman"/>
                <w:color w:val="auto"/>
              </w:rPr>
              <w:t>类比例为8.82%。</w:t>
            </w:r>
            <w:r>
              <w:rPr>
                <w:rFonts w:hint="default" w:ascii="Times New Roman" w:hAnsi="Times New Roman" w:cs="Times New Roman"/>
                <w:color w:val="auto"/>
                <w:highlight w:val="none"/>
              </w:rPr>
              <w:t>故项目所在地地表水环境质量现状良好。</w:t>
            </w:r>
          </w:p>
          <w:p w14:paraId="2B4BA80E">
            <w:pPr>
              <w:pStyle w:val="4"/>
              <w:pageBreakBefore w:val="0"/>
              <w:numPr>
                <w:ilvl w:val="2"/>
                <w:numId w:val="0"/>
              </w:numPr>
              <w:wordWrap w:val="0"/>
              <w:overflowPunct/>
              <w:bidi w:val="0"/>
              <w:ind w:left="-2"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三、声环境质量现状</w:t>
            </w:r>
          </w:p>
          <w:p w14:paraId="7BBCC014">
            <w:pPr>
              <w:pageBreakBefore w:val="0"/>
              <w:wordWrap w:val="0"/>
              <w:overflowPunct/>
              <w:bidi w:val="0"/>
              <w:ind w:firstLine="480" w:firstLineChars="20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项目所在地为工业园区内，执行《声环境质量标准》（GB3096—2008）3类标准（昼间65dB</w:t>
            </w:r>
            <w:r>
              <w:rPr>
                <w:rFonts w:hint="eastAsia" w:cs="Times New Roman"/>
                <w:color w:val="auto"/>
                <w:kern w:val="0"/>
                <w:highlight w:val="none"/>
                <w:lang w:eastAsia="zh-CN"/>
              </w:rPr>
              <w:t>（</w:t>
            </w:r>
            <w:r>
              <w:rPr>
                <w:rFonts w:hint="default" w:ascii="Times New Roman" w:hAnsi="Times New Roman" w:cs="Times New Roman"/>
                <w:color w:val="auto"/>
                <w:kern w:val="0"/>
                <w:highlight w:val="none"/>
              </w:rPr>
              <w:t>A)；夜间55dB</w:t>
            </w:r>
            <w:r>
              <w:rPr>
                <w:rFonts w:hint="eastAsia" w:cs="Times New Roman"/>
                <w:color w:val="auto"/>
                <w:kern w:val="0"/>
                <w:highlight w:val="none"/>
                <w:lang w:eastAsia="zh-CN"/>
              </w:rPr>
              <w:t>（</w:t>
            </w:r>
            <w:r>
              <w:rPr>
                <w:rFonts w:hint="default" w:ascii="Times New Roman" w:hAnsi="Times New Roman" w:cs="Times New Roman"/>
                <w:color w:val="auto"/>
                <w:kern w:val="0"/>
                <w:highlight w:val="none"/>
              </w:rPr>
              <w:t>A)）。</w:t>
            </w:r>
          </w:p>
          <w:p w14:paraId="4D67F990">
            <w:pPr>
              <w:pageBreakBefore w:val="0"/>
              <w:wordWrap w:val="0"/>
              <w:overflowPunct/>
              <w:bidi w:val="0"/>
              <w:ind w:firstLine="480" w:firstLineChars="200"/>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根据《建设项目环境影响报告表编制技术指南（污染影响类）（试行）》，</w:t>
            </w:r>
            <w:r>
              <w:rPr>
                <w:rFonts w:hint="default" w:ascii="Times New Roman" w:hAnsi="Times New Roman" w:cs="Times New Roman"/>
                <w:color w:val="auto"/>
                <w:kern w:val="0"/>
                <w:highlight w:val="none"/>
              </w:rPr>
              <w:t>本项目周边50米范围内无敏感点，故无需进行声环境质量现状监测与评价。</w:t>
            </w:r>
          </w:p>
          <w:p w14:paraId="4CB6A3F0">
            <w:pPr>
              <w:pStyle w:val="4"/>
              <w:pageBreakBefore w:val="0"/>
              <w:numPr>
                <w:ilvl w:val="2"/>
                <w:numId w:val="0"/>
              </w:numPr>
              <w:wordWrap w:val="0"/>
              <w:overflowPunct/>
              <w:bidi w:val="0"/>
              <w:ind w:left="-2"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四、地下水、土壤环境质量现状</w:t>
            </w:r>
          </w:p>
          <w:p w14:paraId="0E0B0BF0">
            <w:pPr>
              <w:pageBreakBefore w:val="0"/>
              <w:wordWrap w:val="0"/>
              <w:overflowPunct/>
              <w:autoSpaceDE w:val="0"/>
              <w:autoSpaceDN w:val="0"/>
              <w:bidi w:val="0"/>
              <w:adjustRightInd w:val="0"/>
              <w:ind w:firstLine="480" w:firstLineChars="200"/>
              <w:jc w:val="left"/>
              <w:rPr>
                <w:rFonts w:hint="default" w:ascii="Times New Roman" w:hAnsi="Times New Roman" w:cs="Times New Roman"/>
                <w:bCs/>
                <w:color w:val="auto"/>
                <w:kern w:val="28"/>
                <w:sz w:val="24"/>
                <w:highlight w:val="none"/>
                <w:lang w:eastAsia="zh-CN"/>
              </w:rPr>
            </w:pPr>
            <w:r>
              <w:rPr>
                <w:rFonts w:hint="default" w:ascii="Times New Roman" w:hAnsi="Times New Roman" w:cs="Times New Roman"/>
                <w:bCs/>
                <w:color w:val="auto"/>
                <w:kern w:val="28"/>
                <w:sz w:val="24"/>
                <w:highlight w:val="none"/>
              </w:rPr>
              <w:t>本项目</w:t>
            </w:r>
            <w:r>
              <w:rPr>
                <w:rFonts w:hint="default" w:ascii="Times New Roman" w:hAnsi="Times New Roman" w:cs="Times New Roman"/>
                <w:bCs/>
                <w:color w:val="auto"/>
                <w:kern w:val="28"/>
                <w:sz w:val="24"/>
                <w:highlight w:val="none"/>
                <w:lang w:eastAsia="zh-CN"/>
              </w:rPr>
              <w:t>生产车间</w:t>
            </w:r>
            <w:r>
              <w:rPr>
                <w:rFonts w:hint="default" w:ascii="Times New Roman" w:hAnsi="Times New Roman" w:cs="Times New Roman"/>
                <w:bCs/>
                <w:color w:val="auto"/>
                <w:kern w:val="28"/>
                <w:sz w:val="24"/>
                <w:highlight w:val="none"/>
              </w:rPr>
              <w:t>厂区内均已进行地面硬化，</w:t>
            </w:r>
            <w:r>
              <w:rPr>
                <w:rFonts w:hint="default" w:ascii="Times New Roman" w:hAnsi="Times New Roman" w:cs="Times New Roman"/>
                <w:bCs/>
                <w:color w:val="auto"/>
                <w:kern w:val="28"/>
                <w:sz w:val="24"/>
                <w:highlight w:val="none"/>
                <w:lang w:val="en-US" w:eastAsia="zh-CN"/>
              </w:rPr>
              <w:t>各厂房</w:t>
            </w:r>
            <w:r>
              <w:rPr>
                <w:rFonts w:hint="default" w:ascii="Times New Roman" w:hAnsi="Times New Roman" w:cs="Times New Roman"/>
                <w:bCs/>
                <w:color w:val="auto"/>
                <w:kern w:val="28"/>
                <w:sz w:val="24"/>
                <w:highlight w:val="none"/>
              </w:rPr>
              <w:t>作基础防渗，防渗层为至少lm厚粘土层（渗透系数≤10</w:t>
            </w:r>
            <w:r>
              <w:rPr>
                <w:rFonts w:hint="default" w:ascii="Times New Roman" w:hAnsi="Times New Roman" w:cs="Times New Roman"/>
                <w:bCs/>
                <w:color w:val="auto"/>
                <w:kern w:val="28"/>
                <w:sz w:val="24"/>
                <w:highlight w:val="none"/>
                <w:vertAlign w:val="superscript"/>
              </w:rPr>
              <w:t>-7</w:t>
            </w:r>
            <w:r>
              <w:rPr>
                <w:rFonts w:hint="default" w:ascii="Times New Roman" w:hAnsi="Times New Roman" w:cs="Times New Roman"/>
                <w:bCs/>
                <w:color w:val="auto"/>
                <w:kern w:val="28"/>
                <w:sz w:val="24"/>
                <w:highlight w:val="none"/>
              </w:rPr>
              <w:t>cm/s），或2mm厚高密度聚乙烯，或至少2mm厚的其他人工材料，渗透系数≤10</w:t>
            </w:r>
            <w:r>
              <w:rPr>
                <w:rFonts w:hint="default" w:ascii="Times New Roman" w:hAnsi="Times New Roman" w:cs="Times New Roman"/>
                <w:bCs/>
                <w:color w:val="auto"/>
                <w:kern w:val="28"/>
                <w:sz w:val="24"/>
                <w:highlight w:val="none"/>
                <w:vertAlign w:val="superscript"/>
              </w:rPr>
              <w:t>-10</w:t>
            </w:r>
            <w:r>
              <w:rPr>
                <w:rFonts w:hint="default" w:ascii="Times New Roman" w:hAnsi="Times New Roman" w:cs="Times New Roman"/>
                <w:bCs/>
                <w:color w:val="auto"/>
                <w:kern w:val="28"/>
                <w:sz w:val="24"/>
                <w:highlight w:val="none"/>
              </w:rPr>
              <w:t>cm/s；本项目液态</w:t>
            </w:r>
            <w:r>
              <w:rPr>
                <w:rFonts w:hint="default" w:ascii="Times New Roman" w:hAnsi="Times New Roman" w:cs="Times New Roman"/>
                <w:bCs/>
                <w:color w:val="auto"/>
                <w:kern w:val="28"/>
                <w:sz w:val="24"/>
                <w:highlight w:val="none"/>
                <w:lang w:eastAsia="zh-CN"/>
              </w:rPr>
              <w:t>原辅料</w:t>
            </w:r>
            <w:r>
              <w:rPr>
                <w:rFonts w:hint="default" w:ascii="Times New Roman" w:hAnsi="Times New Roman" w:cs="Times New Roman"/>
                <w:bCs/>
                <w:color w:val="auto"/>
                <w:kern w:val="28"/>
                <w:sz w:val="24"/>
                <w:highlight w:val="none"/>
              </w:rPr>
              <w:t>均储存在厂房设置的</w:t>
            </w:r>
            <w:r>
              <w:rPr>
                <w:rFonts w:hint="default" w:ascii="Times New Roman" w:hAnsi="Times New Roman" w:cs="Times New Roman"/>
                <w:bCs/>
                <w:color w:val="auto"/>
                <w:kern w:val="28"/>
                <w:sz w:val="24"/>
                <w:highlight w:val="none"/>
                <w:lang w:eastAsia="zh-CN"/>
              </w:rPr>
              <w:t>物料仓库</w:t>
            </w:r>
            <w:r>
              <w:rPr>
                <w:rFonts w:hint="default" w:ascii="Times New Roman" w:hAnsi="Times New Roman" w:cs="Times New Roman"/>
                <w:bCs/>
                <w:color w:val="auto"/>
                <w:kern w:val="28"/>
                <w:sz w:val="24"/>
                <w:highlight w:val="none"/>
              </w:rPr>
              <w:t>内，且出入口处设置围堰围挡，物料随用随取，不使用时密闭封存，厂界四周设置围墙围挡，仅保留厂区出入口</w:t>
            </w:r>
            <w:r>
              <w:rPr>
                <w:rFonts w:hint="default" w:ascii="Times New Roman" w:hAnsi="Times New Roman" w:cs="Times New Roman"/>
                <w:bCs/>
                <w:color w:val="auto"/>
                <w:kern w:val="28"/>
                <w:sz w:val="24"/>
                <w:highlight w:val="none"/>
                <w:lang w:eastAsia="zh-CN"/>
              </w:rPr>
              <w:t>。</w:t>
            </w:r>
          </w:p>
          <w:p w14:paraId="0485725A">
            <w:pPr>
              <w:pageBreakBefore w:val="0"/>
              <w:wordWrap w:val="0"/>
              <w:overflowPunct/>
              <w:autoSpaceDE w:val="0"/>
              <w:autoSpaceDN w:val="0"/>
              <w:bidi w:val="0"/>
              <w:adjustRightInd w:val="0"/>
              <w:ind w:firstLine="480" w:firstLineChars="200"/>
              <w:jc w:val="left"/>
              <w:rPr>
                <w:rFonts w:hint="default" w:ascii="Times New Roman" w:hAnsi="Times New Roman" w:cs="Times New Roman"/>
                <w:bCs/>
                <w:color w:val="auto"/>
                <w:kern w:val="28"/>
                <w:sz w:val="24"/>
                <w:highlight w:val="none"/>
                <w:lang w:eastAsia="zh-CN"/>
              </w:rPr>
            </w:pPr>
            <w:r>
              <w:rPr>
                <w:rFonts w:hint="default" w:ascii="Times New Roman" w:hAnsi="Times New Roman" w:cs="Times New Roman"/>
                <w:bCs/>
                <w:color w:val="auto"/>
                <w:kern w:val="28"/>
                <w:sz w:val="24"/>
                <w:highlight w:val="none"/>
                <w:lang w:val="en-US" w:eastAsia="zh-CN"/>
              </w:rPr>
              <w:t>本项目周边水体为东南侧3270</w:t>
            </w:r>
            <w:r>
              <w:rPr>
                <w:rFonts w:hint="default" w:ascii="Times New Roman" w:hAnsi="Times New Roman" w:cs="Times New Roman"/>
                <w:bCs/>
                <w:color w:val="auto"/>
                <w:kern w:val="28"/>
                <w:sz w:val="24"/>
                <w:highlight w:val="none"/>
              </w:rPr>
              <w:t>m</w:t>
            </w:r>
            <w:r>
              <w:rPr>
                <w:rFonts w:hint="default" w:ascii="Times New Roman" w:hAnsi="Times New Roman" w:cs="Times New Roman"/>
                <w:bCs/>
                <w:color w:val="auto"/>
                <w:kern w:val="28"/>
                <w:sz w:val="24"/>
                <w:highlight w:val="none"/>
                <w:lang w:val="en-US" w:eastAsia="zh-CN"/>
              </w:rPr>
              <w:t>处的廊田河</w:t>
            </w:r>
            <w:r>
              <w:rPr>
                <w:rFonts w:hint="default" w:ascii="Times New Roman" w:hAnsi="Times New Roman" w:cs="Times New Roman"/>
                <w:bCs/>
                <w:color w:val="auto"/>
                <w:kern w:val="28"/>
                <w:sz w:val="24"/>
                <w:highlight w:val="none"/>
              </w:rPr>
              <w:t>，</w:t>
            </w:r>
            <w:r>
              <w:rPr>
                <w:rFonts w:hint="default" w:ascii="Times New Roman" w:hAnsi="Times New Roman" w:cs="Times New Roman"/>
                <w:bCs/>
                <w:color w:val="auto"/>
                <w:kern w:val="28"/>
                <w:sz w:val="24"/>
                <w:highlight w:val="none"/>
                <w:lang w:val="en-US" w:eastAsia="zh-CN"/>
              </w:rPr>
              <w:t>在园区道路阻隔，重力引流情况下，本项目厂区内</w:t>
            </w:r>
            <w:r>
              <w:rPr>
                <w:rFonts w:hint="default" w:ascii="Times New Roman" w:hAnsi="Times New Roman" w:cs="Times New Roman"/>
                <w:bCs/>
                <w:color w:val="auto"/>
                <w:kern w:val="28"/>
                <w:sz w:val="24"/>
                <w:highlight w:val="none"/>
              </w:rPr>
              <w:t>地表径流</w:t>
            </w:r>
            <w:r>
              <w:rPr>
                <w:rFonts w:hint="default" w:ascii="Times New Roman" w:hAnsi="Times New Roman" w:cs="Times New Roman"/>
                <w:bCs/>
                <w:color w:val="auto"/>
                <w:kern w:val="28"/>
                <w:sz w:val="24"/>
                <w:highlight w:val="none"/>
                <w:lang w:val="en-US" w:eastAsia="zh-CN"/>
              </w:rPr>
              <w:t>无法</w:t>
            </w:r>
            <w:r>
              <w:rPr>
                <w:rFonts w:hint="default" w:ascii="Times New Roman" w:hAnsi="Times New Roman" w:cs="Times New Roman"/>
                <w:bCs/>
                <w:color w:val="auto"/>
                <w:kern w:val="28"/>
                <w:sz w:val="24"/>
                <w:highlight w:val="none"/>
              </w:rPr>
              <w:t>直接进入</w:t>
            </w:r>
            <w:r>
              <w:rPr>
                <w:rFonts w:hint="default" w:ascii="Times New Roman" w:hAnsi="Times New Roman" w:cs="Times New Roman"/>
                <w:bCs/>
                <w:color w:val="auto"/>
                <w:kern w:val="28"/>
                <w:sz w:val="24"/>
                <w:highlight w:val="none"/>
                <w:lang w:val="en-US" w:eastAsia="zh-CN"/>
              </w:rPr>
              <w:t>廊田河</w:t>
            </w:r>
            <w:r>
              <w:rPr>
                <w:rFonts w:hint="default" w:ascii="Times New Roman" w:hAnsi="Times New Roman" w:cs="Times New Roman"/>
                <w:bCs/>
                <w:color w:val="auto"/>
                <w:kern w:val="28"/>
                <w:sz w:val="24"/>
                <w:highlight w:val="none"/>
              </w:rPr>
              <w:t>水体中。因此</w:t>
            </w:r>
            <w:r>
              <w:rPr>
                <w:rFonts w:hint="default" w:ascii="Times New Roman" w:hAnsi="Times New Roman" w:cs="Times New Roman"/>
                <w:bCs/>
                <w:color w:val="auto"/>
                <w:kern w:val="28"/>
                <w:sz w:val="24"/>
                <w:highlight w:val="none"/>
                <w:lang w:val="en-US" w:eastAsia="zh-CN"/>
              </w:rPr>
              <w:t>无明显</w:t>
            </w:r>
            <w:r>
              <w:rPr>
                <w:rFonts w:hint="default" w:ascii="Times New Roman" w:hAnsi="Times New Roman" w:cs="Times New Roman"/>
                <w:bCs/>
                <w:color w:val="auto"/>
                <w:kern w:val="28"/>
                <w:sz w:val="24"/>
                <w:highlight w:val="none"/>
              </w:rPr>
              <w:t>地</w:t>
            </w:r>
            <w:r>
              <w:rPr>
                <w:rFonts w:hint="default" w:ascii="Times New Roman" w:hAnsi="Times New Roman" w:cs="Times New Roman"/>
                <w:bCs/>
                <w:color w:val="auto"/>
                <w:kern w:val="28"/>
                <w:sz w:val="24"/>
                <w:highlight w:val="none"/>
                <w:lang w:eastAsia="zh-CN"/>
              </w:rPr>
              <w:t>下</w:t>
            </w:r>
            <w:r>
              <w:rPr>
                <w:rFonts w:hint="default" w:ascii="Times New Roman" w:hAnsi="Times New Roman" w:cs="Times New Roman"/>
                <w:bCs/>
                <w:color w:val="auto"/>
                <w:kern w:val="28"/>
                <w:sz w:val="24"/>
                <w:highlight w:val="none"/>
              </w:rPr>
              <w:t>水、</w:t>
            </w:r>
            <w:r>
              <w:rPr>
                <w:rFonts w:hint="default" w:ascii="Times New Roman" w:hAnsi="Times New Roman" w:cs="Times New Roman"/>
                <w:bCs/>
                <w:color w:val="auto"/>
                <w:kern w:val="28"/>
                <w:sz w:val="24"/>
                <w:highlight w:val="none"/>
                <w:lang w:eastAsia="zh-CN"/>
              </w:rPr>
              <w:t>土壤</w:t>
            </w:r>
            <w:r>
              <w:rPr>
                <w:rFonts w:hint="default" w:ascii="Times New Roman" w:hAnsi="Times New Roman" w:cs="Times New Roman"/>
                <w:bCs/>
                <w:color w:val="auto"/>
                <w:kern w:val="28"/>
                <w:sz w:val="24"/>
                <w:highlight w:val="none"/>
              </w:rPr>
              <w:t>环境污染途径。其他区域均进行水泥地面硬底化。项目生产经营范围内具有一定的防腐防渗作用，可有效阻断污染物入渗土壤的途径，正常工况下不会对地下水、土壤环境造成显著不良影响，且占地范围内不具备监测条件。因此不存在地下水</w:t>
            </w:r>
            <w:r>
              <w:rPr>
                <w:rFonts w:hint="default" w:ascii="Times New Roman" w:hAnsi="Times New Roman" w:cs="Times New Roman"/>
                <w:bCs/>
                <w:color w:val="auto"/>
                <w:kern w:val="28"/>
                <w:sz w:val="24"/>
                <w:highlight w:val="none"/>
                <w:lang w:eastAsia="zh-CN"/>
              </w:rPr>
              <w:t>、土壤</w:t>
            </w:r>
            <w:r>
              <w:rPr>
                <w:rFonts w:hint="default" w:ascii="Times New Roman" w:hAnsi="Times New Roman" w:cs="Times New Roman"/>
                <w:bCs/>
                <w:color w:val="auto"/>
                <w:kern w:val="28"/>
                <w:sz w:val="24"/>
                <w:highlight w:val="none"/>
              </w:rPr>
              <w:t>环境污</w:t>
            </w:r>
            <w:r>
              <w:rPr>
                <w:rFonts w:hint="default" w:ascii="Times New Roman" w:hAnsi="Times New Roman" w:cs="Times New Roman"/>
                <w:bCs/>
                <w:color w:val="auto"/>
                <w:kern w:val="28"/>
                <w:sz w:val="24"/>
                <w:highlight w:val="none"/>
                <w:lang w:eastAsia="zh-CN"/>
              </w:rPr>
              <w:t>染。</w:t>
            </w:r>
          </w:p>
          <w:p w14:paraId="43FBE6C5">
            <w:pPr>
              <w:pStyle w:val="4"/>
              <w:pageBreakBefore w:val="0"/>
              <w:numPr>
                <w:ilvl w:val="2"/>
                <w:numId w:val="0"/>
              </w:numPr>
              <w:wordWrap w:val="0"/>
              <w:overflowPunct/>
              <w:bidi w:val="0"/>
              <w:ind w:left="-2"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五、生态环境质量现状</w:t>
            </w:r>
          </w:p>
          <w:p w14:paraId="5304E80D">
            <w:pPr>
              <w:pStyle w:val="4"/>
              <w:pageBreakBefore w:val="0"/>
              <w:numPr>
                <w:ilvl w:val="2"/>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b w:val="0"/>
                <w:bCs w:val="0"/>
                <w:color w:val="auto"/>
                <w:szCs w:val="32"/>
                <w:highlight w:val="none"/>
              </w:rPr>
              <w:t>本项目位于乐昌市乐昌产业转移工业园内，根据现场勘踏和调查，项目用地范围内不含生态环境保护目标，不需进行生态环境调查。</w:t>
            </w:r>
          </w:p>
        </w:tc>
      </w:tr>
      <w:tr w14:paraId="41E5E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 w:type="pct"/>
            <w:vAlign w:val="center"/>
          </w:tcPr>
          <w:p w14:paraId="7CDF1734">
            <w:pPr>
              <w:keepNext w:val="0"/>
              <w:keepLines w:val="0"/>
              <w:pageBreakBefore w:val="0"/>
              <w:widowControl w:val="0"/>
              <w:numPr>
                <w:ilvl w:val="1"/>
                <w:numId w:val="0"/>
              </w:numPr>
              <w:tabs>
                <w:tab w:val="left" w:pos="420"/>
              </w:tabs>
              <w:kinsoku/>
              <w:wordWrap w:val="0"/>
              <w:overflowPunct/>
              <w:topLinePunct w:val="0"/>
              <w:autoSpaceDE/>
              <w:autoSpaceDN/>
              <w:bidi w:val="0"/>
              <w:adjustRightInd/>
              <w:snapToGrid/>
              <w:spacing w:line="240" w:lineRule="auto"/>
              <w:textAlignment w:val="auto"/>
              <w:outlineLvl w:val="9"/>
              <w:rPr>
                <w:rFonts w:hint="default" w:ascii="Times New Roman" w:hAnsi="Times New Roman" w:cs="Times New Roman"/>
                <w:color w:val="auto"/>
                <w:highlight w:val="none"/>
              </w:rPr>
            </w:pPr>
            <w:bookmarkStart w:id="61" w:name="_Toc28375"/>
            <w:bookmarkStart w:id="62" w:name="_Toc241"/>
            <w:bookmarkStart w:id="63" w:name="_Toc14552"/>
            <w:bookmarkStart w:id="64" w:name="_Toc28582"/>
            <w:bookmarkStart w:id="65" w:name="_Toc31357"/>
            <w:bookmarkStart w:id="66" w:name="_Toc28210"/>
            <w:bookmarkStart w:id="67" w:name="_Toc7031"/>
            <w:bookmarkStart w:id="68" w:name="_Toc24022"/>
            <w:bookmarkStart w:id="69" w:name="_Toc461"/>
            <w:bookmarkStart w:id="70" w:name="_Toc728"/>
            <w:r>
              <w:rPr>
                <w:rFonts w:hint="default" w:ascii="Times New Roman" w:hAnsi="Times New Roman" w:cs="Times New Roman"/>
                <w:color w:val="auto"/>
                <w:highlight w:val="none"/>
              </w:rPr>
              <w:t>环境保护目标</w:t>
            </w:r>
            <w:bookmarkEnd w:id="61"/>
            <w:bookmarkEnd w:id="62"/>
            <w:bookmarkEnd w:id="63"/>
            <w:bookmarkEnd w:id="64"/>
            <w:bookmarkEnd w:id="65"/>
            <w:bookmarkEnd w:id="66"/>
            <w:bookmarkEnd w:id="67"/>
            <w:bookmarkEnd w:id="68"/>
            <w:bookmarkEnd w:id="69"/>
            <w:bookmarkEnd w:id="70"/>
          </w:p>
        </w:tc>
        <w:tc>
          <w:tcPr>
            <w:tcW w:w="4737" w:type="pct"/>
          </w:tcPr>
          <w:p w14:paraId="20684F5D">
            <w:pPr>
              <w:pStyle w:val="4"/>
              <w:pageBreakBefore w:val="0"/>
              <w:numPr>
                <w:ilvl w:val="2"/>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一、环境空气保护目标</w:t>
            </w:r>
          </w:p>
          <w:p w14:paraId="7AC0EF38">
            <w:pPr>
              <w:pageBreakBefore w:val="0"/>
              <w:wordWrap w:val="0"/>
              <w:overflowPunct/>
              <w:bidi w:val="0"/>
              <w:adjustRightInd w:val="0"/>
              <w:snapToGrid w:val="0"/>
              <w:ind w:firstLine="480" w:firstLineChars="200"/>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highlight w:val="none"/>
              </w:rPr>
              <w:t>根据现场调查</w:t>
            </w:r>
            <w:r>
              <w:rPr>
                <w:rFonts w:hint="default" w:ascii="Times New Roman" w:hAnsi="Times New Roman" w:cs="Times New Roman"/>
                <w:color w:val="auto"/>
                <w:highlight w:val="none"/>
                <w:lang w:val="en-US" w:eastAsia="zh-CN"/>
              </w:rPr>
              <w:t>，本项目边界周围500m范围内无民居、学校、医院、文物古迹、风景名胜区、自然保护区、水源保护区等环境保护目标，见附图5</w:t>
            </w:r>
            <w:r>
              <w:rPr>
                <w:rFonts w:hint="default" w:ascii="Times New Roman" w:hAnsi="Times New Roman" w:cs="Times New Roman"/>
                <w:color w:val="auto"/>
                <w:kern w:val="0"/>
                <w:szCs w:val="21"/>
                <w:highlight w:val="none"/>
                <w:lang w:eastAsia="zh-CN"/>
              </w:rPr>
              <w:t>。</w:t>
            </w:r>
          </w:p>
          <w:p w14:paraId="4B630249">
            <w:pPr>
              <w:pStyle w:val="4"/>
              <w:pageBreakBefore w:val="0"/>
              <w:numPr>
                <w:ilvl w:val="2"/>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二、声环境保护目标</w:t>
            </w:r>
          </w:p>
          <w:p w14:paraId="785844AF">
            <w:pPr>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color w:val="auto"/>
                <w:szCs w:val="32"/>
                <w:highlight w:val="none"/>
              </w:rPr>
              <w:t>本项目</w:t>
            </w:r>
            <w:r>
              <w:rPr>
                <w:rFonts w:hint="default" w:ascii="Times New Roman" w:hAnsi="Times New Roman" w:cs="Times New Roman"/>
                <w:color w:val="auto"/>
                <w:highlight w:val="none"/>
              </w:rPr>
              <w:t>厂界外50米范围内无声环境保护目标。</w:t>
            </w:r>
          </w:p>
          <w:p w14:paraId="26CAB4A5">
            <w:pPr>
              <w:pStyle w:val="4"/>
              <w:pageBreakBefore w:val="0"/>
              <w:numPr>
                <w:ilvl w:val="2"/>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三、地下水环境保护目标</w:t>
            </w:r>
          </w:p>
          <w:p w14:paraId="652F1CFA">
            <w:pPr>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color w:val="auto"/>
                <w:szCs w:val="32"/>
                <w:highlight w:val="none"/>
              </w:rPr>
              <w:t>本</w:t>
            </w:r>
            <w:r>
              <w:rPr>
                <w:rFonts w:hint="default" w:ascii="Times New Roman" w:hAnsi="Times New Roman" w:cs="Times New Roman"/>
                <w:color w:val="auto"/>
                <w:highlight w:val="none"/>
              </w:rPr>
              <w:t>项目厂界外500米范围内无地下水集中式饮用水水源和热水、矿泉水、温泉等特殊地下水资源。</w:t>
            </w:r>
          </w:p>
          <w:p w14:paraId="489FEC12">
            <w:pPr>
              <w:pStyle w:val="4"/>
              <w:pageBreakBefore w:val="0"/>
              <w:numPr>
                <w:ilvl w:val="2"/>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四、生态环境保护目标</w:t>
            </w:r>
          </w:p>
          <w:p w14:paraId="14340DEC">
            <w:pPr>
              <w:pageBreakBefore w:val="0"/>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保护本项目建设地块的生态环境，防止水土流失，使其能实现生态环境的良性循环，</w:t>
            </w:r>
            <w:r>
              <w:rPr>
                <w:rFonts w:hint="default" w:ascii="Times New Roman" w:hAnsi="Times New Roman" w:cs="Times New Roman"/>
                <w:color w:val="auto"/>
                <w:szCs w:val="32"/>
                <w:highlight w:val="none"/>
              </w:rPr>
              <w:t>不对现有的生态环境造成大面积的破坏。本项目所在区域</w:t>
            </w:r>
            <w:r>
              <w:rPr>
                <w:rFonts w:hint="default" w:ascii="Times New Roman" w:hAnsi="Times New Roman" w:cs="Times New Roman"/>
                <w:color w:val="auto"/>
                <w:highlight w:val="none"/>
              </w:rPr>
              <w:t>无生态环境保护目标。</w:t>
            </w:r>
          </w:p>
        </w:tc>
      </w:tr>
      <w:tr w14:paraId="3A285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8" w:hRule="atLeast"/>
        </w:trPr>
        <w:tc>
          <w:tcPr>
            <w:tcW w:w="262" w:type="pct"/>
            <w:vAlign w:val="center"/>
          </w:tcPr>
          <w:p w14:paraId="13069F7E">
            <w:pPr>
              <w:keepNext w:val="0"/>
              <w:keepLines w:val="0"/>
              <w:pageBreakBefore w:val="0"/>
              <w:widowControl w:val="0"/>
              <w:numPr>
                <w:ilvl w:val="1"/>
                <w:numId w:val="0"/>
              </w:numPr>
              <w:tabs>
                <w:tab w:val="left" w:pos="420"/>
              </w:tabs>
              <w:kinsoku/>
              <w:wordWrap w:val="0"/>
              <w:overflowPunct/>
              <w:topLinePunct w:val="0"/>
              <w:autoSpaceDE/>
              <w:autoSpaceDN/>
              <w:bidi w:val="0"/>
              <w:adjustRightInd/>
              <w:snapToGrid/>
              <w:spacing w:line="240" w:lineRule="auto"/>
              <w:textAlignment w:val="auto"/>
              <w:outlineLvl w:val="9"/>
              <w:rPr>
                <w:rFonts w:hint="default" w:ascii="Times New Roman" w:hAnsi="Times New Roman" w:cs="Times New Roman"/>
                <w:color w:val="auto"/>
                <w:highlight w:val="none"/>
              </w:rPr>
            </w:pPr>
            <w:bookmarkStart w:id="71" w:name="_Toc32736"/>
            <w:bookmarkStart w:id="72" w:name="_Toc27828"/>
            <w:bookmarkStart w:id="73" w:name="_Toc4596"/>
            <w:bookmarkStart w:id="74" w:name="_Toc8874"/>
            <w:bookmarkStart w:id="75" w:name="_Toc10187"/>
            <w:bookmarkStart w:id="76" w:name="_Toc24161"/>
            <w:bookmarkStart w:id="77" w:name="_Toc29246"/>
            <w:bookmarkStart w:id="78" w:name="_Toc14344"/>
            <w:bookmarkStart w:id="79" w:name="_Toc21959"/>
            <w:bookmarkStart w:id="80" w:name="_Toc2437"/>
            <w:r>
              <w:rPr>
                <w:rFonts w:hint="default" w:ascii="Times New Roman" w:hAnsi="Times New Roman" w:eastAsia="宋体" w:cs="Times New Roman"/>
                <w:color w:val="auto"/>
                <w:kern w:val="2"/>
                <w:sz w:val="24"/>
                <w:szCs w:val="24"/>
                <w:highlight w:val="none"/>
                <w:lang w:val="en-US" w:eastAsia="zh-CN" w:bidi="ar-SA"/>
              </w:rPr>
              <w:t>污染物排放控制标准</w:t>
            </w:r>
            <w:bookmarkEnd w:id="71"/>
            <w:bookmarkEnd w:id="72"/>
            <w:bookmarkEnd w:id="73"/>
            <w:bookmarkEnd w:id="74"/>
            <w:bookmarkEnd w:id="75"/>
            <w:bookmarkEnd w:id="76"/>
            <w:bookmarkEnd w:id="77"/>
            <w:bookmarkEnd w:id="78"/>
            <w:bookmarkEnd w:id="79"/>
            <w:bookmarkEnd w:id="80"/>
          </w:p>
        </w:tc>
        <w:tc>
          <w:tcPr>
            <w:tcW w:w="4737" w:type="pct"/>
          </w:tcPr>
          <w:p w14:paraId="25F243AA">
            <w:pPr>
              <w:keepNext/>
              <w:keepLines/>
              <w:pageBreakBefore w:val="0"/>
              <w:widowControl w:val="0"/>
              <w:numPr>
                <w:ilvl w:val="2"/>
                <w:numId w:val="0"/>
              </w:numPr>
              <w:wordWrap w:val="0"/>
              <w:overflowPunct/>
              <w:bidi w:val="0"/>
              <w:spacing w:line="360" w:lineRule="auto"/>
              <w:ind w:left="-2" w:leftChars="0" w:firstLine="482" w:firstLineChars="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一、废气排放标准</w:t>
            </w:r>
          </w:p>
          <w:p w14:paraId="4A99971A">
            <w:pPr>
              <w:keepNext/>
              <w:keepLines/>
              <w:pageBreakBefore w:val="0"/>
              <w:widowControl w:val="0"/>
              <w:numPr>
                <w:ilvl w:val="2"/>
                <w:numId w:val="0"/>
              </w:numPr>
              <w:wordWrap w:val="0"/>
              <w:overflowPunct/>
              <w:bidi w:val="0"/>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（2）运营期</w:t>
            </w:r>
          </w:p>
          <w:p w14:paraId="77284D4B">
            <w:pPr>
              <w:pageBreakBefore w:val="0"/>
              <w:wordWrap w:val="0"/>
              <w:overflowPunct/>
              <w:bidi w:val="0"/>
              <w:ind w:firstLine="480" w:firstLineChars="200"/>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val="en-US" w:eastAsia="zh-CN"/>
              </w:rPr>
              <w:t>颗粒物：</w:t>
            </w:r>
          </w:p>
          <w:p w14:paraId="097F7F48">
            <w:pPr>
              <w:pageBreakBefore w:val="0"/>
              <w:wordWrap w:val="0"/>
              <w:overflowPunct/>
              <w:bidi w:val="0"/>
              <w:ind w:firstLine="480" w:firstLineChars="200"/>
              <w:rPr>
                <w:rFonts w:hint="default" w:ascii="Times New Roman" w:hAnsi="Times New Roman" w:cs="Times New Roman"/>
                <w:color w:val="auto"/>
                <w:lang w:eastAsia="zh-CN"/>
              </w:rPr>
            </w:pPr>
            <w:r>
              <w:rPr>
                <w:rFonts w:hint="default" w:ascii="Times New Roman" w:hAnsi="Times New Roman" w:cs="Times New Roman"/>
                <w:color w:val="auto"/>
                <w:sz w:val="24"/>
                <w:lang w:val="en-US" w:eastAsia="zh-CN"/>
              </w:rPr>
              <w:t>本项目破碎粉尘执行《合成树脂工业污染物排放标准》（GB 31572-2015，含2024年修改单）表9企业边界大气污染物浓度限值；喷涂产生的漆雾颗粒物无组织执行广东省地方标准《大气污染物排放限值》（DB44/27-2001）第二时段无组织排放监控浓度限值。二者厂界颗粒物浓度限值相同，但因项目属于塑料制品业，优先执行行业标准，故项目厂界颗粒物最终执行</w:t>
            </w:r>
            <w:r>
              <w:rPr>
                <w:rFonts w:hint="eastAsia" w:cs="Times New Roman"/>
                <w:color w:val="auto"/>
                <w:sz w:val="24"/>
                <w:lang w:val="en-US" w:eastAsia="zh-CN"/>
              </w:rPr>
              <w:t>《合成树脂工业污染物排放标准》（GB 31572-2015，含2024年修改单）</w:t>
            </w:r>
            <w:r>
              <w:rPr>
                <w:rFonts w:hint="default" w:ascii="Times New Roman" w:hAnsi="Times New Roman" w:cs="Times New Roman"/>
                <w:color w:val="auto"/>
                <w:sz w:val="24"/>
                <w:lang w:val="en-US" w:eastAsia="zh-CN"/>
              </w:rPr>
              <w:t>表9企业边界大气污染物浓度限值</w:t>
            </w:r>
            <w:r>
              <w:rPr>
                <w:rFonts w:hint="default" w:ascii="Times New Roman" w:hAnsi="Times New Roman" w:cs="Times New Roman"/>
                <w:color w:val="auto"/>
                <w:lang w:eastAsia="zh-CN"/>
              </w:rPr>
              <w:t>；</w:t>
            </w:r>
          </w:p>
          <w:p w14:paraId="7F893FCE">
            <w:pPr>
              <w:pageBreakBefore w:val="0"/>
              <w:wordWrap w:val="0"/>
              <w:overflowPunct/>
              <w:bidi w:val="0"/>
              <w:ind w:firstLine="480" w:firstLineChars="200"/>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颗粒物有组织执行广东省《大气污染物排放限值》（DB44/27-2001</w:t>
            </w:r>
            <w:r>
              <w:rPr>
                <w:rFonts w:hint="eastAsia" w:cs="Times New Roman"/>
                <w:color w:val="auto"/>
                <w:lang w:eastAsia="zh-CN"/>
              </w:rPr>
              <w:t>）</w:t>
            </w:r>
            <w:r>
              <w:rPr>
                <w:rFonts w:hint="default" w:ascii="Times New Roman" w:hAnsi="Times New Roman" w:cs="Times New Roman"/>
                <w:color w:val="auto"/>
                <w:lang w:eastAsia="zh-CN"/>
              </w:rPr>
              <w:t>第二时段二级标准。</w:t>
            </w:r>
          </w:p>
          <w:p w14:paraId="469B0501">
            <w:pPr>
              <w:keepNext w:val="0"/>
              <w:keepLines w:val="0"/>
              <w:pageBreakBefore w:val="0"/>
              <w:suppressLineNumbers w:val="0"/>
              <w:tabs>
                <w:tab w:val="left" w:pos="2790"/>
              </w:tabs>
              <w:wordWrap w:val="0"/>
              <w:overflowPunct/>
              <w:bidi w:val="0"/>
              <w:spacing w:before="0" w:beforeAutospacing="0" w:after="0" w:afterAutospacing="0" w:line="360" w:lineRule="auto"/>
              <w:ind w:left="0" w:right="0" w:firstLine="480" w:firstLineChars="200"/>
              <w:rPr>
                <w:rFonts w:hint="default" w:ascii="Times New Roman" w:hAnsi="Times New Roman" w:eastAsia="宋体" w:cs="Times New Roman"/>
                <w:b/>
                <w:bCs/>
                <w:color w:val="auto"/>
                <w:sz w:val="24"/>
                <w:lang w:eastAsia="zh-CN"/>
              </w:rPr>
            </w:pPr>
            <w:r>
              <w:rPr>
                <w:rFonts w:hint="default" w:ascii="Times New Roman" w:hAnsi="Times New Roman" w:eastAsia="宋体" w:cs="Times New Roman"/>
                <w:b/>
                <w:bCs/>
                <w:color w:val="auto"/>
                <w:sz w:val="24"/>
              </w:rPr>
              <w:t>臭气浓度</w:t>
            </w:r>
            <w:r>
              <w:rPr>
                <w:rFonts w:hint="default" w:ascii="Times New Roman" w:hAnsi="Times New Roman" w:eastAsia="宋体" w:cs="Times New Roman"/>
                <w:b/>
                <w:bCs/>
                <w:color w:val="auto"/>
                <w:sz w:val="24"/>
                <w:lang w:eastAsia="zh-CN"/>
              </w:rPr>
              <w:t>：</w:t>
            </w:r>
          </w:p>
          <w:p w14:paraId="2AC474CD">
            <w:pPr>
              <w:keepNext w:val="0"/>
              <w:keepLines w:val="0"/>
              <w:pageBreakBefore w:val="0"/>
              <w:suppressLineNumbers w:val="0"/>
              <w:tabs>
                <w:tab w:val="left" w:pos="2790"/>
              </w:tabs>
              <w:wordWrap w:val="0"/>
              <w:overflowPunct/>
              <w:bidi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val="en-US" w:eastAsia="zh-CN"/>
              </w:rPr>
              <w:t>有组织排放</w:t>
            </w:r>
            <w:r>
              <w:rPr>
                <w:rFonts w:hint="default" w:ascii="Times New Roman" w:hAnsi="Times New Roman" w:eastAsia="宋体" w:cs="Times New Roman"/>
                <w:color w:val="auto"/>
                <w:sz w:val="24"/>
              </w:rPr>
              <w:t>执行《恶臭污染物排放标准》（GB14554-93）中</w:t>
            </w:r>
            <w:r>
              <w:rPr>
                <w:rFonts w:hint="default" w:ascii="Times New Roman" w:hAnsi="Times New Roman" w:eastAsia="宋体" w:cs="Times New Roman"/>
                <w:color w:val="auto"/>
                <w:sz w:val="24"/>
                <w:lang w:val="en-US" w:eastAsia="zh-CN"/>
              </w:rPr>
              <w:t>表2</w:t>
            </w:r>
            <w:r>
              <w:rPr>
                <w:rFonts w:hint="default" w:ascii="Times New Roman" w:hAnsi="Times New Roman" w:eastAsia="宋体" w:cs="Times New Roman"/>
                <w:color w:val="auto"/>
                <w:sz w:val="24"/>
              </w:rPr>
              <w:t>恶臭污染物排放标准值</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无组织排放执行表1恶臭污染物厂界标准值二级新扩改建标准</w:t>
            </w:r>
            <w:r>
              <w:rPr>
                <w:rFonts w:hint="default" w:ascii="Times New Roman" w:hAnsi="Times New Roman" w:cs="Times New Roman"/>
                <w:color w:val="auto"/>
                <w:sz w:val="24"/>
                <w:lang w:eastAsia="zh-CN"/>
              </w:rPr>
              <w:t>；</w:t>
            </w:r>
          </w:p>
          <w:p w14:paraId="12C2FB19">
            <w:pPr>
              <w:keepNext w:val="0"/>
              <w:keepLines w:val="0"/>
              <w:pageBreakBefore w:val="0"/>
              <w:suppressLineNumbers w:val="0"/>
              <w:tabs>
                <w:tab w:val="left" w:pos="2790"/>
              </w:tabs>
              <w:wordWrap w:val="0"/>
              <w:overflowPunct/>
              <w:bidi w:val="0"/>
              <w:spacing w:before="0" w:beforeAutospacing="0" w:after="0" w:afterAutospacing="0" w:line="360" w:lineRule="auto"/>
              <w:ind w:left="0" w:right="0" w:firstLine="480" w:firstLineChars="200"/>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val="en-US" w:eastAsia="zh-CN"/>
              </w:rPr>
              <w:t>有机废气：</w:t>
            </w:r>
          </w:p>
          <w:p w14:paraId="66114E35">
            <w:pPr>
              <w:keepNext w:val="0"/>
              <w:keepLines w:val="0"/>
              <w:pageBreakBefore w:val="0"/>
              <w:suppressLineNumbers w:val="0"/>
              <w:tabs>
                <w:tab w:val="left" w:pos="2790"/>
              </w:tabs>
              <w:wordWrap w:val="0"/>
              <w:overflowPunct/>
              <w:bidi w:val="0"/>
              <w:spacing w:before="0" w:beforeAutospacing="0" w:after="0" w:afterAutospacing="0" w:line="360" w:lineRule="auto"/>
              <w:ind w:left="0" w:right="0"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DA005：注塑产生的非甲烷总烃有组织执行《合成树脂工业污染物排放标准》（GB 31572-2015，含2024年修改单）表5污染物特别排放限值，无组织执行表9企业边界大气污染物浓度限值。</w:t>
            </w:r>
          </w:p>
          <w:p w14:paraId="4C6D9FA0">
            <w:pPr>
              <w:keepNext w:val="0"/>
              <w:keepLines w:val="0"/>
              <w:pageBreakBefore w:val="0"/>
              <w:suppressLineNumbers w:val="0"/>
              <w:tabs>
                <w:tab w:val="left" w:pos="2790"/>
              </w:tabs>
              <w:wordWrap w:val="0"/>
              <w:overflowPunct/>
              <w:bidi w:val="0"/>
              <w:spacing w:before="0" w:beforeAutospacing="0" w:after="0" w:afterAutospacing="0" w:line="360" w:lineRule="auto"/>
              <w:ind w:left="0" w:right="0"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val="en-US" w:eastAsia="zh-CN"/>
              </w:rPr>
              <w:t>DA006：喷涂产生的非甲烷总烃有组织</w:t>
            </w:r>
            <w:r>
              <w:rPr>
                <w:rFonts w:hint="default" w:ascii="Times New Roman" w:hAnsi="Times New Roman" w:eastAsia="宋体" w:cs="Times New Roman"/>
                <w:color w:val="auto"/>
                <w:sz w:val="24"/>
              </w:rPr>
              <w:t>执行广东省《固定污染源挥发性有机物综合排放标准》（DB44/2367-2022）</w:t>
            </w:r>
            <w:r>
              <w:rPr>
                <w:rFonts w:hint="default" w:ascii="Times New Roman" w:hAnsi="Times New Roman" w:cs="Times New Roman"/>
                <w:color w:val="auto"/>
                <w:sz w:val="24"/>
                <w:lang w:val="en-US" w:eastAsia="zh-CN"/>
              </w:rPr>
              <w:t>中</w:t>
            </w:r>
            <w:r>
              <w:rPr>
                <w:rFonts w:hint="default" w:ascii="Times New Roman" w:hAnsi="Times New Roman" w:eastAsia="宋体" w:cs="Times New Roman"/>
                <w:color w:val="auto"/>
                <w:sz w:val="24"/>
              </w:rPr>
              <w:t>表</w:t>
            </w:r>
            <w:r>
              <w:rPr>
                <w:rFonts w:hint="default" w:ascii="Times New Roman" w:hAnsi="Times New Roman" w:eastAsia="宋体" w:cs="Times New Roman"/>
                <w:color w:val="auto"/>
                <w:sz w:val="24"/>
                <w:lang w:val="en-US" w:eastAsia="zh-CN"/>
              </w:rPr>
              <w:t>1挥发性有机物排放限值要求</w:t>
            </w:r>
            <w:r>
              <w:rPr>
                <w:rFonts w:hint="default" w:ascii="Times New Roman" w:hAnsi="Times New Roman" w:cs="Times New Roman"/>
                <w:color w:val="auto"/>
                <w:sz w:val="24"/>
                <w:lang w:val="en-US" w:eastAsia="zh-CN"/>
              </w:rPr>
              <w:t>。</w:t>
            </w:r>
            <w:r>
              <w:rPr>
                <w:rFonts w:hint="default" w:ascii="Times New Roman" w:hAnsi="Times New Roman" w:eastAsia="宋体" w:cs="Times New Roman"/>
                <w:color w:val="auto"/>
                <w:sz w:val="24"/>
              </w:rPr>
              <w:t>厂区内</w:t>
            </w:r>
            <w:r>
              <w:rPr>
                <w:rFonts w:hint="default" w:ascii="Times New Roman" w:hAnsi="Times New Roman" w:cs="Times New Roman"/>
                <w:color w:val="auto"/>
                <w:sz w:val="24"/>
                <w:lang w:val="en-US" w:eastAsia="zh-CN"/>
              </w:rPr>
              <w:t>VOCs无组织排放监控点浓度</w:t>
            </w:r>
            <w:r>
              <w:rPr>
                <w:rFonts w:hint="default" w:ascii="Times New Roman" w:hAnsi="Times New Roman" w:eastAsia="宋体" w:cs="Times New Roman"/>
                <w:color w:val="auto"/>
                <w:sz w:val="24"/>
              </w:rPr>
              <w:t>执行表3厂区内VOCs无组织排放限值</w:t>
            </w:r>
            <w:r>
              <w:rPr>
                <w:rFonts w:hint="default" w:ascii="Times New Roman" w:hAnsi="Times New Roman" w:cs="Times New Roman"/>
                <w:color w:val="auto"/>
                <w:sz w:val="24"/>
                <w:lang w:eastAsia="zh-CN"/>
              </w:rPr>
              <w:t>。</w:t>
            </w:r>
          </w:p>
          <w:p w14:paraId="1BCF5F18">
            <w:pPr>
              <w:keepNext w:val="0"/>
              <w:keepLines w:val="0"/>
              <w:pageBreakBefore w:val="0"/>
              <w:widowControl w:val="0"/>
              <w:numPr>
                <w:ilvl w:val="0"/>
                <w:numId w:val="8"/>
              </w:numPr>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广东省《大气污染物排放限值》（DB44/27-2001）摘录</w:t>
            </w:r>
          </w:p>
          <w:tbl>
            <w:tblPr>
              <w:tblStyle w:val="37"/>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5"/>
              <w:gridCol w:w="3468"/>
              <w:gridCol w:w="3216"/>
            </w:tblGrid>
            <w:tr w14:paraId="5B19B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4" w:hRule="atLeast"/>
              </w:trPr>
              <w:tc>
                <w:tcPr>
                  <w:tcW w:w="0" w:type="auto"/>
                  <w:tcBorders>
                    <w:tl2br w:val="nil"/>
                    <w:tr2bl w:val="nil"/>
                  </w:tcBorders>
                  <w:noWrap/>
                  <w:vAlign w:val="center"/>
                </w:tcPr>
                <w:p w14:paraId="3FCA09C9">
                  <w:pPr>
                    <w:pageBreakBefore w:val="0"/>
                    <w:wordWrap w:val="0"/>
                    <w:overflowPunct/>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污染物</w:t>
                  </w:r>
                </w:p>
              </w:tc>
              <w:tc>
                <w:tcPr>
                  <w:tcW w:w="0" w:type="auto"/>
                  <w:tcBorders>
                    <w:tl2br w:val="nil"/>
                    <w:tr2bl w:val="nil"/>
                  </w:tcBorders>
                  <w:noWrap/>
                  <w:vAlign w:val="center"/>
                </w:tcPr>
                <w:p w14:paraId="3878AAEC">
                  <w:pPr>
                    <w:pageBreakBefore w:val="0"/>
                    <w:wordWrap w:val="0"/>
                    <w:overflowPunct/>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最高允许排放浓度</w:t>
                  </w:r>
                  <w:r>
                    <w:rPr>
                      <w:rFonts w:hint="default" w:ascii="Times New Roman" w:hAnsi="Times New Roman" w:eastAsia="宋体" w:cs="Times New Roman"/>
                      <w:b w:val="0"/>
                      <w:bCs w:val="0"/>
                      <w:color w:val="auto"/>
                      <w:sz w:val="21"/>
                      <w:szCs w:val="21"/>
                    </w:rPr>
                    <w:t>mg/m</w:t>
                  </w:r>
                  <w:r>
                    <w:rPr>
                      <w:rFonts w:hint="default" w:ascii="Times New Roman" w:hAnsi="Times New Roman" w:cs="Times New Roman"/>
                      <w:b w:val="0"/>
                      <w:bCs w:val="0"/>
                      <w:color w:val="auto"/>
                      <w:sz w:val="21"/>
                      <w:szCs w:val="21"/>
                      <w:vertAlign w:val="superscript"/>
                      <w:lang w:val="en-US" w:eastAsia="zh-CN"/>
                    </w:rPr>
                    <w:t>3</w:t>
                  </w:r>
                </w:p>
              </w:tc>
              <w:tc>
                <w:tcPr>
                  <w:tcW w:w="0" w:type="auto"/>
                  <w:tcBorders>
                    <w:tl2br w:val="nil"/>
                    <w:tr2bl w:val="nil"/>
                  </w:tcBorders>
                  <w:noWrap/>
                  <w:vAlign w:val="center"/>
                </w:tcPr>
                <w:p w14:paraId="7D7FCD43">
                  <w:pPr>
                    <w:pageBreakBefore w:val="0"/>
                    <w:wordWrap w:val="0"/>
                    <w:overflowPunct/>
                    <w:bidi w:val="0"/>
                    <w:spacing w:line="240" w:lineRule="auto"/>
                    <w:jc w:val="center"/>
                    <w:rPr>
                      <w:rFonts w:hint="default" w:ascii="Times New Roman" w:hAnsi="Times New Roman" w:eastAsia="宋体" w:cs="Times New Roman"/>
                      <w:b w:val="0"/>
                      <w:bCs w:val="0"/>
                      <w:color w:val="auto"/>
                      <w:sz w:val="21"/>
                      <w:szCs w:val="21"/>
                    </w:rPr>
                  </w:pPr>
                  <w:r>
                    <w:rPr>
                      <w:rFonts w:hint="default" w:ascii="Times New Roman" w:hAnsi="Times New Roman" w:cs="Times New Roman"/>
                      <w:b w:val="0"/>
                      <w:bCs w:val="0"/>
                      <w:color w:val="auto"/>
                      <w:sz w:val="21"/>
                      <w:szCs w:val="21"/>
                      <w:highlight w:val="none"/>
                      <w:lang w:val="en-US" w:eastAsia="zh-CN"/>
                    </w:rPr>
                    <w:t>最高允许排放速率kg/h</w:t>
                  </w:r>
                </w:p>
              </w:tc>
            </w:tr>
            <w:tr w14:paraId="11F5B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0" w:type="auto"/>
                  <w:tcBorders>
                    <w:tl2br w:val="nil"/>
                    <w:tr2bl w:val="nil"/>
                  </w:tcBorders>
                  <w:noWrap/>
                  <w:vAlign w:val="center"/>
                </w:tcPr>
                <w:p w14:paraId="14411385">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颗粒物</w:t>
                  </w:r>
                </w:p>
              </w:tc>
              <w:tc>
                <w:tcPr>
                  <w:tcW w:w="0" w:type="auto"/>
                  <w:tcBorders>
                    <w:tl2br w:val="nil"/>
                    <w:tr2bl w:val="nil"/>
                  </w:tcBorders>
                  <w:noWrap/>
                  <w:vAlign w:val="center"/>
                </w:tcPr>
                <w:p w14:paraId="7A577E8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120</w:t>
                  </w:r>
                </w:p>
              </w:tc>
              <w:tc>
                <w:tcPr>
                  <w:tcW w:w="0" w:type="auto"/>
                  <w:tcBorders>
                    <w:tl2br w:val="nil"/>
                    <w:tr2bl w:val="nil"/>
                  </w:tcBorders>
                  <w:noWrap/>
                  <w:vAlign w:val="center"/>
                </w:tcPr>
                <w:p w14:paraId="3D9F7192">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1.45</w:t>
                  </w:r>
                </w:p>
              </w:tc>
            </w:tr>
            <w:tr w14:paraId="5DAE8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0" w:type="auto"/>
                  <w:gridSpan w:val="3"/>
                  <w:tcBorders>
                    <w:tl2br w:val="nil"/>
                    <w:tr2bl w:val="nil"/>
                  </w:tcBorders>
                  <w:noWrap/>
                  <w:vAlign w:val="center"/>
                </w:tcPr>
                <w:p w14:paraId="445AEB29">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本项目厂房未满足高出周边200m距离内最高建筑物3m以上的要求，故最高允许排放速率折半计算</w:t>
                  </w:r>
                </w:p>
              </w:tc>
            </w:tr>
          </w:tbl>
          <w:p w14:paraId="6EFC2B46">
            <w:pPr>
              <w:keepNext w:val="0"/>
              <w:keepLines w:val="0"/>
              <w:pageBreakBefore w:val="0"/>
              <w:widowControl w:val="0"/>
              <w:numPr>
                <w:ilvl w:val="0"/>
                <w:numId w:val="8"/>
              </w:numPr>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恶臭污染物排放标准</w:t>
            </w:r>
          </w:p>
          <w:tbl>
            <w:tblPr>
              <w:tblStyle w:val="37"/>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9"/>
              <w:gridCol w:w="2626"/>
              <w:gridCol w:w="4234"/>
            </w:tblGrid>
            <w:tr w14:paraId="43C7E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48" w:type="pct"/>
                  <w:tcBorders>
                    <w:tl2br w:val="nil"/>
                    <w:tr2bl w:val="nil"/>
                  </w:tcBorders>
                  <w:noWrap/>
                  <w:vAlign w:val="center"/>
                </w:tcPr>
                <w:p w14:paraId="4168C484">
                  <w:pPr>
                    <w:pageBreakBefore w:val="0"/>
                    <w:wordWrap w:val="0"/>
                    <w:overflowPunct/>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污染物</w:t>
                  </w:r>
                </w:p>
              </w:tc>
              <w:tc>
                <w:tcPr>
                  <w:tcW w:w="1807" w:type="pct"/>
                  <w:tcBorders>
                    <w:tl2br w:val="nil"/>
                    <w:tr2bl w:val="nil"/>
                  </w:tcBorders>
                  <w:noWrap/>
                  <w:vAlign w:val="center"/>
                </w:tcPr>
                <w:p w14:paraId="4D8C1C56">
                  <w:pPr>
                    <w:pageBreakBefore w:val="0"/>
                    <w:wordWrap w:val="0"/>
                    <w:overflowPunct/>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表2恶臭污染物排放标准值</w:t>
                  </w:r>
                </w:p>
              </w:tc>
              <w:tc>
                <w:tcPr>
                  <w:tcW w:w="2343" w:type="pct"/>
                  <w:tcBorders>
                    <w:tl2br w:val="nil"/>
                    <w:tr2bl w:val="nil"/>
                  </w:tcBorders>
                  <w:noWrap/>
                  <w:vAlign w:val="center"/>
                </w:tcPr>
                <w:p w14:paraId="7AD18A02">
                  <w:pPr>
                    <w:pageBreakBefore w:val="0"/>
                    <w:wordWrap w:val="0"/>
                    <w:overflowPunct/>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rPr>
                    <w:t>表1恶臭污染物厂界标准值二级新扩改建标准</w:t>
                  </w:r>
                </w:p>
              </w:tc>
            </w:tr>
            <w:tr w14:paraId="0C92A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48" w:type="pct"/>
                  <w:tcBorders>
                    <w:tl2br w:val="nil"/>
                    <w:tr2bl w:val="nil"/>
                  </w:tcBorders>
                  <w:noWrap/>
                  <w:vAlign w:val="center"/>
                </w:tcPr>
                <w:p w14:paraId="77BCA0F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臭气浓度</w:t>
                  </w:r>
                </w:p>
              </w:tc>
              <w:tc>
                <w:tcPr>
                  <w:tcW w:w="1807" w:type="pct"/>
                  <w:tcBorders>
                    <w:tl2br w:val="nil"/>
                    <w:tr2bl w:val="nil"/>
                  </w:tcBorders>
                  <w:noWrap/>
                  <w:vAlign w:val="center"/>
                </w:tcPr>
                <w:p w14:paraId="711F687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2000（无量纲）</w:t>
                  </w:r>
                </w:p>
              </w:tc>
              <w:tc>
                <w:tcPr>
                  <w:tcW w:w="2343" w:type="pct"/>
                  <w:tcBorders>
                    <w:tl2br w:val="nil"/>
                    <w:tr2bl w:val="nil"/>
                  </w:tcBorders>
                  <w:noWrap/>
                  <w:vAlign w:val="center"/>
                </w:tcPr>
                <w:p w14:paraId="661316F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20（无量纲）</w:t>
                  </w:r>
                </w:p>
              </w:tc>
            </w:tr>
          </w:tbl>
          <w:p w14:paraId="65B17B76">
            <w:pPr>
              <w:keepNext w:val="0"/>
              <w:keepLines w:val="0"/>
              <w:pageBreakBefore w:val="0"/>
              <w:widowControl w:val="0"/>
              <w:numPr>
                <w:ilvl w:val="0"/>
                <w:numId w:val="8"/>
              </w:numPr>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 xml:space="preserve"> 广东省《固定污染源挥发性有机物综合排放标准》（DB44/2367-2022）摘录</w:t>
            </w:r>
          </w:p>
          <w:tbl>
            <w:tblPr>
              <w:tblStyle w:val="37"/>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
              <w:gridCol w:w="1996"/>
              <w:gridCol w:w="2720"/>
              <w:gridCol w:w="2258"/>
            </w:tblGrid>
            <w:tr w14:paraId="7B1A4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75" w:type="pct"/>
                  <w:tcBorders>
                    <w:tl2br w:val="nil"/>
                    <w:tr2bl w:val="nil"/>
                  </w:tcBorders>
                  <w:noWrap/>
                  <w:vAlign w:val="center"/>
                </w:tcPr>
                <w:p w14:paraId="36D3D69E">
                  <w:pPr>
                    <w:pageBreakBefore w:val="0"/>
                    <w:wordWrap w:val="0"/>
                    <w:overflowPunct/>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污染物</w:t>
                  </w:r>
                </w:p>
              </w:tc>
              <w:tc>
                <w:tcPr>
                  <w:tcW w:w="1266" w:type="pct"/>
                  <w:tcBorders>
                    <w:tl2br w:val="nil"/>
                    <w:tr2bl w:val="nil"/>
                  </w:tcBorders>
                  <w:noWrap/>
                  <w:vAlign w:val="center"/>
                </w:tcPr>
                <w:p w14:paraId="7AD9FAAB">
                  <w:pPr>
                    <w:pageBreakBefore w:val="0"/>
                    <w:wordWrap w:val="0"/>
                    <w:overflowPunct/>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排放限值</w:t>
                  </w:r>
                  <w:r>
                    <w:rPr>
                      <w:rFonts w:hint="default" w:ascii="Times New Roman" w:hAnsi="Times New Roman" w:eastAsia="宋体" w:cs="Times New Roman"/>
                      <w:b w:val="0"/>
                      <w:bCs w:val="0"/>
                      <w:color w:val="auto"/>
                      <w:sz w:val="21"/>
                      <w:szCs w:val="21"/>
                    </w:rPr>
                    <w:t>mg/m</w:t>
                  </w:r>
                  <w:r>
                    <w:rPr>
                      <w:rFonts w:hint="default" w:ascii="Times New Roman" w:hAnsi="Times New Roman" w:cs="Times New Roman"/>
                      <w:b w:val="0"/>
                      <w:bCs w:val="0"/>
                      <w:color w:val="auto"/>
                      <w:sz w:val="21"/>
                      <w:szCs w:val="21"/>
                      <w:vertAlign w:val="superscript"/>
                      <w:lang w:val="en-US" w:eastAsia="zh-CN"/>
                    </w:rPr>
                    <w:t>3</w:t>
                  </w:r>
                </w:p>
              </w:tc>
              <w:tc>
                <w:tcPr>
                  <w:tcW w:w="1725" w:type="pct"/>
                  <w:tcBorders>
                    <w:tl2br w:val="nil"/>
                    <w:tr2bl w:val="nil"/>
                  </w:tcBorders>
                  <w:noWrap/>
                  <w:vAlign w:val="center"/>
                </w:tcPr>
                <w:p w14:paraId="00EEFC45">
                  <w:pPr>
                    <w:pageBreakBefore w:val="0"/>
                    <w:wordWrap w:val="0"/>
                    <w:overflowPunct/>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限值含义</w:t>
                  </w:r>
                </w:p>
              </w:tc>
              <w:tc>
                <w:tcPr>
                  <w:tcW w:w="1432" w:type="pct"/>
                  <w:tcBorders>
                    <w:tl2br w:val="nil"/>
                    <w:tr2bl w:val="nil"/>
                  </w:tcBorders>
                  <w:noWrap/>
                  <w:vAlign w:val="center"/>
                </w:tcPr>
                <w:p w14:paraId="23F891E6">
                  <w:pPr>
                    <w:pageBreakBefore w:val="0"/>
                    <w:wordWrap w:val="0"/>
                    <w:overflowPunct/>
                    <w:bidi w:val="0"/>
                    <w:spacing w:line="240" w:lineRule="auto"/>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无组织排放监控位置</w:t>
                  </w:r>
                </w:p>
              </w:tc>
            </w:tr>
            <w:tr w14:paraId="410F2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75" w:type="pct"/>
                  <w:vMerge w:val="restart"/>
                  <w:tcBorders>
                    <w:tl2br w:val="nil"/>
                    <w:tr2bl w:val="nil"/>
                  </w:tcBorders>
                  <w:noWrap/>
                  <w:vAlign w:val="center"/>
                </w:tcPr>
                <w:p w14:paraId="0310D65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NMHC</w:t>
                  </w:r>
                </w:p>
              </w:tc>
              <w:tc>
                <w:tcPr>
                  <w:tcW w:w="1266" w:type="pct"/>
                  <w:tcBorders>
                    <w:tl2br w:val="nil"/>
                    <w:tr2bl w:val="nil"/>
                  </w:tcBorders>
                  <w:noWrap/>
                  <w:vAlign w:val="center"/>
                </w:tcPr>
                <w:p w14:paraId="63A7D0F8">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1725" w:type="pct"/>
                  <w:tcBorders>
                    <w:tl2br w:val="nil"/>
                    <w:tr2bl w:val="nil"/>
                  </w:tcBorders>
                  <w:noWrap/>
                  <w:vAlign w:val="center"/>
                </w:tcPr>
                <w:p w14:paraId="2540942A">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432" w:type="pct"/>
                  <w:tcBorders>
                    <w:tl2br w:val="nil"/>
                    <w:tr2bl w:val="nil"/>
                  </w:tcBorders>
                  <w:noWrap/>
                  <w:vAlign w:val="center"/>
                </w:tcPr>
                <w:p w14:paraId="3EB9A65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0520C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75" w:type="pct"/>
                  <w:vMerge w:val="continue"/>
                  <w:tcBorders>
                    <w:tl2br w:val="nil"/>
                    <w:tr2bl w:val="nil"/>
                  </w:tcBorders>
                  <w:noWrap/>
                  <w:vAlign w:val="center"/>
                </w:tcPr>
                <w:p w14:paraId="359BE54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266" w:type="pct"/>
                  <w:tcBorders>
                    <w:tl2br w:val="nil"/>
                    <w:tr2bl w:val="nil"/>
                  </w:tcBorders>
                  <w:noWrap/>
                  <w:vAlign w:val="center"/>
                </w:tcPr>
                <w:p w14:paraId="1D1B3C5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w:t>
                  </w:r>
                </w:p>
              </w:tc>
              <w:tc>
                <w:tcPr>
                  <w:tcW w:w="1725" w:type="pct"/>
                  <w:tcBorders>
                    <w:tl2br w:val="nil"/>
                    <w:tr2bl w:val="nil"/>
                  </w:tcBorders>
                  <w:noWrap/>
                  <w:vAlign w:val="center"/>
                </w:tcPr>
                <w:p w14:paraId="4B0DC802">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监控点处1h平均浓度值</w:t>
                  </w:r>
                </w:p>
              </w:tc>
              <w:tc>
                <w:tcPr>
                  <w:tcW w:w="1432" w:type="pct"/>
                  <w:vMerge w:val="restart"/>
                  <w:tcBorders>
                    <w:tl2br w:val="nil"/>
                    <w:tr2bl w:val="nil"/>
                  </w:tcBorders>
                  <w:noWrap/>
                  <w:vAlign w:val="center"/>
                </w:tcPr>
                <w:p w14:paraId="1152A21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在厂房外设置监控点</w:t>
                  </w:r>
                </w:p>
              </w:tc>
            </w:tr>
            <w:tr w14:paraId="354D6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75" w:type="pct"/>
                  <w:vMerge w:val="continue"/>
                  <w:tcBorders>
                    <w:tl2br w:val="nil"/>
                    <w:tr2bl w:val="nil"/>
                  </w:tcBorders>
                  <w:noWrap/>
                  <w:vAlign w:val="center"/>
                </w:tcPr>
                <w:p w14:paraId="546D9653">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p>
              </w:tc>
              <w:tc>
                <w:tcPr>
                  <w:tcW w:w="1266" w:type="pct"/>
                  <w:tcBorders>
                    <w:tl2br w:val="nil"/>
                    <w:tr2bl w:val="nil"/>
                  </w:tcBorders>
                  <w:noWrap/>
                  <w:vAlign w:val="center"/>
                </w:tcPr>
                <w:p w14:paraId="51E59D4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1725" w:type="pct"/>
                  <w:tcBorders>
                    <w:tl2br w:val="nil"/>
                    <w:tr2bl w:val="nil"/>
                  </w:tcBorders>
                  <w:noWrap/>
                  <w:vAlign w:val="center"/>
                </w:tcPr>
                <w:p w14:paraId="15CF1478">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监控点处任意一次浓度值</w:t>
                  </w:r>
                </w:p>
              </w:tc>
              <w:tc>
                <w:tcPr>
                  <w:tcW w:w="1432" w:type="pct"/>
                  <w:vMerge w:val="continue"/>
                  <w:tcBorders>
                    <w:tl2br w:val="nil"/>
                    <w:tr2bl w:val="nil"/>
                  </w:tcBorders>
                  <w:noWrap/>
                  <w:vAlign w:val="center"/>
                </w:tcPr>
                <w:p w14:paraId="78D69EE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bl>
          <w:p w14:paraId="2358D989">
            <w:pPr>
              <w:keepNext w:val="0"/>
              <w:keepLines w:val="0"/>
              <w:pageBreakBefore w:val="0"/>
              <w:widowControl w:val="0"/>
              <w:numPr>
                <w:ilvl w:val="0"/>
                <w:numId w:val="8"/>
              </w:numPr>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《合成树脂工业污染物排放标准》（GB 31572-2015，含2024年修改单）摘录</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86"/>
              <w:gridCol w:w="724"/>
              <w:gridCol w:w="1164"/>
              <w:gridCol w:w="1297"/>
              <w:gridCol w:w="866"/>
              <w:gridCol w:w="947"/>
            </w:tblGrid>
            <w:tr w14:paraId="3CCE0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5" w:hRule="atLeast"/>
                <w:jc w:val="center"/>
              </w:trPr>
              <w:tc>
                <w:tcPr>
                  <w:tcW w:w="0" w:type="auto"/>
                  <w:vMerge w:val="restart"/>
                  <w:noWrap w:val="0"/>
                  <w:vAlign w:val="center"/>
                </w:tcPr>
                <w:p w14:paraId="790176FA">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标准</w:t>
                  </w:r>
                </w:p>
              </w:tc>
              <w:tc>
                <w:tcPr>
                  <w:tcW w:w="0" w:type="auto"/>
                  <w:vMerge w:val="restart"/>
                  <w:noWrap w:val="0"/>
                  <w:vAlign w:val="center"/>
                </w:tcPr>
                <w:p w14:paraId="0D61FDE8">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w:t>
                  </w:r>
                </w:p>
              </w:tc>
              <w:tc>
                <w:tcPr>
                  <w:tcW w:w="0" w:type="auto"/>
                  <w:gridSpan w:val="2"/>
                  <w:noWrap w:val="0"/>
                  <w:vAlign w:val="center"/>
                </w:tcPr>
                <w:p w14:paraId="718579A5">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有组织排放</w:t>
                  </w:r>
                </w:p>
              </w:tc>
              <w:tc>
                <w:tcPr>
                  <w:tcW w:w="0" w:type="auto"/>
                  <w:gridSpan w:val="2"/>
                  <w:noWrap w:val="0"/>
                  <w:vAlign w:val="center"/>
                </w:tcPr>
                <w:p w14:paraId="241CD020">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无组织排放</w:t>
                  </w:r>
                </w:p>
              </w:tc>
            </w:tr>
            <w:tr w14:paraId="008E3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8" w:hRule="atLeast"/>
                <w:jc w:val="center"/>
              </w:trPr>
              <w:tc>
                <w:tcPr>
                  <w:tcW w:w="0" w:type="auto"/>
                  <w:vMerge w:val="continue"/>
                  <w:noWrap w:val="0"/>
                  <w:vAlign w:val="center"/>
                </w:tcPr>
                <w:p w14:paraId="08783EBF">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p>
              </w:tc>
              <w:tc>
                <w:tcPr>
                  <w:tcW w:w="0" w:type="auto"/>
                  <w:vMerge w:val="continue"/>
                  <w:noWrap w:val="0"/>
                  <w:vAlign w:val="center"/>
                </w:tcPr>
                <w:p w14:paraId="080B1D39">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p>
              </w:tc>
              <w:tc>
                <w:tcPr>
                  <w:tcW w:w="0" w:type="auto"/>
                  <w:noWrap w:val="0"/>
                  <w:vAlign w:val="center"/>
                </w:tcPr>
                <w:p w14:paraId="50135396">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最高允许排放浓度mg/m</w:t>
                  </w:r>
                  <w:r>
                    <w:rPr>
                      <w:rFonts w:hint="default" w:ascii="Times New Roman" w:hAnsi="Times New Roman" w:cs="Times New Roman"/>
                      <w:color w:val="auto"/>
                      <w:sz w:val="21"/>
                      <w:szCs w:val="21"/>
                      <w:highlight w:val="none"/>
                      <w:vertAlign w:val="superscript"/>
                      <w:lang w:val="en-US" w:eastAsia="zh-CN"/>
                    </w:rPr>
                    <w:t>3</w:t>
                  </w:r>
                </w:p>
              </w:tc>
              <w:tc>
                <w:tcPr>
                  <w:tcW w:w="0" w:type="auto"/>
                  <w:noWrap w:val="0"/>
                  <w:vAlign w:val="center"/>
                </w:tcPr>
                <w:p w14:paraId="47DEFB0D">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最高允许排放速率（kg/h）</w:t>
                  </w:r>
                </w:p>
              </w:tc>
              <w:tc>
                <w:tcPr>
                  <w:tcW w:w="0" w:type="auto"/>
                  <w:noWrap w:val="0"/>
                  <w:vAlign w:val="center"/>
                </w:tcPr>
                <w:p w14:paraId="48DA5869">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浓度限值mg/m</w:t>
                  </w:r>
                  <w:r>
                    <w:rPr>
                      <w:rFonts w:hint="default" w:ascii="Times New Roman" w:hAnsi="Times New Roman" w:cs="Times New Roman"/>
                      <w:color w:val="auto"/>
                      <w:sz w:val="21"/>
                      <w:szCs w:val="21"/>
                      <w:highlight w:val="none"/>
                      <w:vertAlign w:val="superscript"/>
                      <w:lang w:val="en-US" w:eastAsia="zh-CN"/>
                    </w:rPr>
                    <w:t>3</w:t>
                  </w:r>
                </w:p>
              </w:tc>
              <w:tc>
                <w:tcPr>
                  <w:tcW w:w="0" w:type="auto"/>
                  <w:noWrap w:val="0"/>
                  <w:vAlign w:val="center"/>
                </w:tcPr>
                <w:p w14:paraId="314E2668">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监控点</w:t>
                  </w:r>
                </w:p>
              </w:tc>
            </w:tr>
            <w:tr w14:paraId="75488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4" w:hRule="atLeast"/>
                <w:jc w:val="center"/>
              </w:trPr>
              <w:tc>
                <w:tcPr>
                  <w:tcW w:w="0" w:type="auto"/>
                  <w:vMerge w:val="restart"/>
                  <w:noWrap w:val="0"/>
                  <w:vAlign w:val="center"/>
                </w:tcPr>
                <w:p w14:paraId="6155D5A7">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《合成树脂工业污染物排放标准》（GB 31572-2015，含2024年修改单）</w:t>
                  </w:r>
                </w:p>
              </w:tc>
              <w:tc>
                <w:tcPr>
                  <w:tcW w:w="0" w:type="auto"/>
                  <w:noWrap w:val="0"/>
                  <w:vAlign w:val="center"/>
                </w:tcPr>
                <w:p w14:paraId="2DFBB504">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颗粒物</w:t>
                  </w:r>
                </w:p>
              </w:tc>
              <w:tc>
                <w:tcPr>
                  <w:tcW w:w="0" w:type="auto"/>
                  <w:noWrap w:val="0"/>
                  <w:vAlign w:val="center"/>
                </w:tcPr>
                <w:p w14:paraId="2667C677">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noWrap w:val="0"/>
                  <w:vAlign w:val="center"/>
                </w:tcPr>
                <w:p w14:paraId="46B60A01">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noWrap w:val="0"/>
                  <w:vAlign w:val="center"/>
                </w:tcPr>
                <w:p w14:paraId="638E6658">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c>
                <w:tcPr>
                  <w:tcW w:w="0" w:type="auto"/>
                  <w:vMerge w:val="restart"/>
                  <w:noWrap w:val="0"/>
                  <w:vAlign w:val="center"/>
                </w:tcPr>
                <w:p w14:paraId="6E118A8A">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周界外浓度最高点</w:t>
                  </w:r>
                </w:p>
              </w:tc>
            </w:tr>
            <w:tr w14:paraId="251B6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4" w:hRule="atLeast"/>
                <w:jc w:val="center"/>
              </w:trPr>
              <w:tc>
                <w:tcPr>
                  <w:tcW w:w="0" w:type="auto"/>
                  <w:vMerge w:val="continue"/>
                  <w:noWrap w:val="0"/>
                  <w:vAlign w:val="center"/>
                </w:tcPr>
                <w:p w14:paraId="55A833FF">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p>
              </w:tc>
              <w:tc>
                <w:tcPr>
                  <w:tcW w:w="0" w:type="auto"/>
                  <w:noWrap w:val="0"/>
                  <w:vAlign w:val="center"/>
                </w:tcPr>
                <w:p w14:paraId="5F5220CB">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非甲烷总烃</w:t>
                  </w:r>
                </w:p>
              </w:tc>
              <w:tc>
                <w:tcPr>
                  <w:tcW w:w="0" w:type="auto"/>
                  <w:noWrap w:val="0"/>
                  <w:vAlign w:val="center"/>
                </w:tcPr>
                <w:p w14:paraId="5C394B59">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60</w:t>
                  </w:r>
                </w:p>
              </w:tc>
              <w:tc>
                <w:tcPr>
                  <w:tcW w:w="0" w:type="auto"/>
                  <w:noWrap w:val="0"/>
                  <w:vAlign w:val="center"/>
                </w:tcPr>
                <w:p w14:paraId="054F1424">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noWrap w:val="0"/>
                  <w:vAlign w:val="center"/>
                </w:tcPr>
                <w:p w14:paraId="7C17AD2D">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4.0</w:t>
                  </w:r>
                </w:p>
              </w:tc>
              <w:tc>
                <w:tcPr>
                  <w:tcW w:w="0" w:type="auto"/>
                  <w:vMerge w:val="continue"/>
                  <w:noWrap w:val="0"/>
                  <w:vAlign w:val="center"/>
                </w:tcPr>
                <w:p w14:paraId="5988DD25">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p>
              </w:tc>
            </w:tr>
          </w:tbl>
          <w:p w14:paraId="5BECCE84">
            <w:pPr>
              <w:keepNext/>
              <w:keepLines/>
              <w:pageBreakBefore w:val="0"/>
              <w:widowControl w:val="0"/>
              <w:numPr>
                <w:ilvl w:val="2"/>
                <w:numId w:val="0"/>
              </w:numPr>
              <w:wordWrap w:val="0"/>
              <w:overflowPunct/>
              <w:bidi w:val="0"/>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二、废水排放标准</w:t>
            </w:r>
          </w:p>
          <w:p w14:paraId="48450011">
            <w:pPr>
              <w:keepNext/>
              <w:keepLines/>
              <w:pageBreakBefore w:val="0"/>
              <w:widowControl w:val="0"/>
              <w:numPr>
                <w:ilvl w:val="2"/>
                <w:numId w:val="0"/>
              </w:numPr>
              <w:wordWrap w:val="0"/>
              <w:overflowPunct/>
              <w:bidi w:val="0"/>
              <w:spacing w:line="360" w:lineRule="auto"/>
              <w:ind w:firstLine="480" w:firstLineChars="200"/>
              <w:jc w:val="both"/>
              <w:outlineLvl w:val="2"/>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rPr>
              <w:t>本</w:t>
            </w:r>
            <w:r>
              <w:rPr>
                <w:rFonts w:hint="default" w:ascii="Times New Roman" w:hAnsi="Times New Roman" w:cs="Times New Roman"/>
                <w:color w:val="auto"/>
                <w:highlight w:val="none"/>
                <w:lang w:val="en-US" w:eastAsia="zh-CN"/>
              </w:rPr>
              <w:t>次扩建项目不新增员工，不涉及新增废水排放。</w:t>
            </w:r>
          </w:p>
          <w:p w14:paraId="5F0BB955">
            <w:pPr>
              <w:keepNext/>
              <w:keepLines/>
              <w:pageBreakBefore w:val="0"/>
              <w:widowControl w:val="0"/>
              <w:numPr>
                <w:ilvl w:val="2"/>
                <w:numId w:val="0"/>
              </w:numPr>
              <w:wordWrap w:val="0"/>
              <w:overflowPunct/>
              <w:bidi w:val="0"/>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三、噪声排放标准</w:t>
            </w:r>
          </w:p>
          <w:p w14:paraId="73F7603C">
            <w:pPr>
              <w:pageBreakBefore w:val="0"/>
              <w:wordWrap w:val="0"/>
              <w:overflowPunct/>
              <w:bidi w:val="0"/>
              <w:ind w:firstLine="48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本项目厂界噪声排放执行《工业企业厂界环境噪声排放标准》（GB12348-2008）3类标准。</w:t>
            </w:r>
          </w:p>
          <w:p w14:paraId="312ED3A7">
            <w:pPr>
              <w:keepNext w:val="0"/>
              <w:keepLines w:val="0"/>
              <w:pageBreakBefore w:val="0"/>
              <w:widowControl w:val="0"/>
              <w:numPr>
                <w:ilvl w:val="0"/>
                <w:numId w:val="8"/>
              </w:numPr>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工业企业厂界环境噪声排放标准</w:t>
            </w:r>
          </w:p>
          <w:tbl>
            <w:tblPr>
              <w:tblStyle w:val="3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969"/>
              <w:gridCol w:w="1970"/>
              <w:gridCol w:w="1970"/>
              <w:gridCol w:w="1972"/>
            </w:tblGrid>
            <w:tr w14:paraId="7882AA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9" w:type="pct"/>
                  <w:noWrap/>
                  <w:vAlign w:val="center"/>
                </w:tcPr>
                <w:p w14:paraId="78B2C4F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val="0"/>
                      <w:bCs w:val="0"/>
                      <w:color w:val="auto"/>
                      <w:position w:val="-10"/>
                      <w:sz w:val="21"/>
                      <w:szCs w:val="21"/>
                      <w:highlight w:val="none"/>
                      <w:lang w:val="en-US" w:eastAsia="zh-CN" w:bidi="ar-SA"/>
                    </w:rPr>
                  </w:pPr>
                  <w:r>
                    <w:rPr>
                      <w:rFonts w:hint="default" w:ascii="Times New Roman" w:hAnsi="Times New Roman" w:eastAsia="宋体" w:cs="Times New Roman"/>
                      <w:b w:val="0"/>
                      <w:bCs w:val="0"/>
                      <w:color w:val="auto"/>
                      <w:position w:val="-10"/>
                      <w:sz w:val="21"/>
                      <w:szCs w:val="21"/>
                      <w:highlight w:val="none"/>
                      <w:lang w:val="en-US" w:eastAsia="zh-CN" w:bidi="ar-SA"/>
                    </w:rPr>
                    <w:t>污染物</w:t>
                  </w:r>
                </w:p>
              </w:tc>
              <w:tc>
                <w:tcPr>
                  <w:tcW w:w="1249" w:type="pct"/>
                  <w:tcBorders>
                    <w:right w:val="single" w:color="auto" w:sz="4" w:space="0"/>
                  </w:tcBorders>
                  <w:noWrap/>
                  <w:vAlign w:val="center"/>
                </w:tcPr>
                <w:p w14:paraId="2B48776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val="0"/>
                      <w:bCs w:val="0"/>
                      <w:color w:val="auto"/>
                      <w:position w:val="-10"/>
                      <w:sz w:val="21"/>
                      <w:szCs w:val="21"/>
                      <w:highlight w:val="none"/>
                      <w:lang w:val="en-US" w:eastAsia="zh-CN" w:bidi="ar-SA"/>
                    </w:rPr>
                  </w:pPr>
                  <w:r>
                    <w:rPr>
                      <w:rFonts w:hint="default" w:ascii="Times New Roman" w:hAnsi="Times New Roman" w:eastAsia="宋体" w:cs="Times New Roman"/>
                      <w:b w:val="0"/>
                      <w:bCs w:val="0"/>
                      <w:color w:val="auto"/>
                      <w:position w:val="-10"/>
                      <w:sz w:val="21"/>
                      <w:szCs w:val="21"/>
                      <w:highlight w:val="none"/>
                      <w:lang w:val="en-US" w:eastAsia="zh-CN" w:bidi="ar-SA"/>
                    </w:rPr>
                    <w:t>昼间</w:t>
                  </w:r>
                </w:p>
              </w:tc>
              <w:tc>
                <w:tcPr>
                  <w:tcW w:w="1249" w:type="pct"/>
                  <w:tcBorders>
                    <w:left w:val="single" w:color="auto" w:sz="4" w:space="0"/>
                  </w:tcBorders>
                  <w:noWrap/>
                  <w:vAlign w:val="center"/>
                </w:tcPr>
                <w:p w14:paraId="5140567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val="0"/>
                      <w:bCs w:val="0"/>
                      <w:color w:val="auto"/>
                      <w:position w:val="-10"/>
                      <w:sz w:val="21"/>
                      <w:szCs w:val="21"/>
                      <w:highlight w:val="none"/>
                      <w:lang w:val="en-US" w:eastAsia="zh-CN" w:bidi="ar-SA"/>
                    </w:rPr>
                  </w:pPr>
                  <w:r>
                    <w:rPr>
                      <w:rFonts w:hint="default" w:ascii="Times New Roman" w:hAnsi="Times New Roman" w:eastAsia="宋体" w:cs="Times New Roman"/>
                      <w:b w:val="0"/>
                      <w:bCs w:val="0"/>
                      <w:color w:val="auto"/>
                      <w:position w:val="-10"/>
                      <w:sz w:val="21"/>
                      <w:szCs w:val="21"/>
                      <w:highlight w:val="none"/>
                      <w:lang w:val="en-US" w:eastAsia="zh-CN" w:bidi="ar-SA"/>
                    </w:rPr>
                    <w:t>夜间</w:t>
                  </w:r>
                </w:p>
              </w:tc>
              <w:tc>
                <w:tcPr>
                  <w:tcW w:w="1250" w:type="pct"/>
                  <w:tcBorders>
                    <w:left w:val="single" w:color="auto" w:sz="4" w:space="0"/>
                  </w:tcBorders>
                  <w:noWrap/>
                  <w:vAlign w:val="center"/>
                </w:tcPr>
                <w:p w14:paraId="40E9975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val="0"/>
                      <w:bCs w:val="0"/>
                      <w:color w:val="auto"/>
                      <w:position w:val="-10"/>
                      <w:sz w:val="21"/>
                      <w:szCs w:val="21"/>
                      <w:highlight w:val="none"/>
                      <w:lang w:val="en-US" w:eastAsia="zh-CN" w:bidi="ar-SA"/>
                    </w:rPr>
                  </w:pPr>
                  <w:r>
                    <w:rPr>
                      <w:rFonts w:hint="default" w:ascii="Times New Roman" w:hAnsi="Times New Roman" w:eastAsia="宋体" w:cs="Times New Roman"/>
                      <w:b w:val="0"/>
                      <w:bCs w:val="0"/>
                      <w:color w:val="auto"/>
                      <w:position w:val="-10"/>
                      <w:sz w:val="21"/>
                      <w:szCs w:val="21"/>
                      <w:highlight w:val="none"/>
                      <w:lang w:val="en-US" w:eastAsia="zh-CN" w:bidi="ar-SA"/>
                    </w:rPr>
                    <w:t>单位</w:t>
                  </w:r>
                </w:p>
              </w:tc>
            </w:tr>
            <w:tr w14:paraId="658C68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9" w:type="pct"/>
                  <w:noWrap/>
                  <w:vAlign w:val="center"/>
                </w:tcPr>
                <w:p w14:paraId="684CE63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厂界噪声</w:t>
                  </w:r>
                </w:p>
              </w:tc>
              <w:tc>
                <w:tcPr>
                  <w:tcW w:w="1249" w:type="pct"/>
                  <w:noWrap/>
                  <w:vAlign w:val="center"/>
                </w:tcPr>
                <w:p w14:paraId="4844B03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65</w:t>
                  </w:r>
                </w:p>
              </w:tc>
              <w:tc>
                <w:tcPr>
                  <w:tcW w:w="1249" w:type="pct"/>
                  <w:noWrap/>
                  <w:vAlign w:val="center"/>
                </w:tcPr>
                <w:p w14:paraId="0442681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55</w:t>
                  </w:r>
                </w:p>
              </w:tc>
              <w:tc>
                <w:tcPr>
                  <w:tcW w:w="1250" w:type="pct"/>
                  <w:noWrap/>
                  <w:vAlign w:val="center"/>
                </w:tcPr>
                <w:p w14:paraId="78BE6F6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dB</w:t>
                  </w:r>
                  <w:r>
                    <w:rPr>
                      <w:rFonts w:hint="eastAsia" w:cs="Times New Roman"/>
                      <w:color w:val="auto"/>
                      <w:position w:val="-10"/>
                      <w:sz w:val="21"/>
                      <w:szCs w:val="21"/>
                      <w:highlight w:val="none"/>
                      <w:lang w:val="en-US" w:eastAsia="zh-CN" w:bidi="ar-SA"/>
                    </w:rPr>
                    <w:t>（</w:t>
                  </w:r>
                  <w:r>
                    <w:rPr>
                      <w:rFonts w:hint="default" w:ascii="Times New Roman" w:hAnsi="Times New Roman" w:eastAsia="宋体" w:cs="Times New Roman"/>
                      <w:color w:val="auto"/>
                      <w:position w:val="-10"/>
                      <w:sz w:val="21"/>
                      <w:szCs w:val="21"/>
                      <w:highlight w:val="none"/>
                      <w:lang w:val="en-US" w:eastAsia="zh-CN" w:bidi="ar-SA"/>
                    </w:rPr>
                    <w:t>A</w:t>
                  </w:r>
                  <w:r>
                    <w:rPr>
                      <w:rFonts w:hint="eastAsia" w:cs="Times New Roman"/>
                      <w:color w:val="auto"/>
                      <w:position w:val="-10"/>
                      <w:sz w:val="21"/>
                      <w:szCs w:val="21"/>
                      <w:highlight w:val="none"/>
                      <w:lang w:val="en-US" w:eastAsia="zh-CN" w:bidi="ar-SA"/>
                    </w:rPr>
                    <w:t>)</w:t>
                  </w:r>
                </w:p>
              </w:tc>
            </w:tr>
          </w:tbl>
          <w:p w14:paraId="34476976">
            <w:pPr>
              <w:keepNext/>
              <w:keepLines/>
              <w:pageBreakBefore w:val="0"/>
              <w:widowControl w:val="0"/>
              <w:numPr>
                <w:ilvl w:val="2"/>
                <w:numId w:val="0"/>
              </w:numPr>
              <w:wordWrap w:val="0"/>
              <w:overflowPunct/>
              <w:bidi w:val="0"/>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四、固体废物污染控制标准</w:t>
            </w:r>
          </w:p>
          <w:p w14:paraId="64A72BEC">
            <w:pPr>
              <w:keepNext w:val="0"/>
              <w:keepLines w:val="0"/>
              <w:pageBreakBefore w:val="0"/>
              <w:widowControl/>
              <w:suppressLineNumbers w:val="0"/>
              <w:kinsoku/>
              <w:wordWrap w:val="0"/>
              <w:overflowPunct/>
              <w:topLinePunct w:val="0"/>
              <w:autoSpaceDE/>
              <w:autoSpaceDN/>
              <w:bidi w:val="0"/>
              <w:adjustRightInd/>
              <w:snapToGrid/>
              <w:ind w:firstLine="456" w:firstLineChars="200"/>
              <w:jc w:val="left"/>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pacing w:val="-6"/>
                <w:highlight w:val="none"/>
              </w:rPr>
              <w:t>一般工业固体废物在厂内采用库房或包装工具贮存，贮存过程应满足相应防渗漏、防雨淋、防扬尘等环境保护要求；危险废物贮存过程执行《危险废物贮存污染控制标准》（GB18597-2023）。</w:t>
            </w:r>
          </w:p>
        </w:tc>
      </w:tr>
      <w:tr w14:paraId="0CFEB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 w:type="pct"/>
            <w:vAlign w:val="center"/>
          </w:tcPr>
          <w:p w14:paraId="11F8FF38">
            <w:pPr>
              <w:keepNext/>
              <w:keepLines w:val="0"/>
              <w:pageBreakBefore w:val="0"/>
              <w:widowControl/>
              <w:numPr>
                <w:ilvl w:val="1"/>
                <w:numId w:val="0"/>
              </w:numPr>
              <w:tabs>
                <w:tab w:val="left" w:pos="420"/>
              </w:tabs>
              <w:kinsoku/>
              <w:wordWrap w:val="0"/>
              <w:overflowPunct/>
              <w:topLinePunct w:val="0"/>
              <w:autoSpaceDE/>
              <w:autoSpaceDN/>
              <w:bidi w:val="0"/>
              <w:adjustRightInd/>
              <w:snapToGrid/>
              <w:spacing w:line="240" w:lineRule="auto"/>
              <w:textAlignment w:val="auto"/>
              <w:outlineLvl w:val="9"/>
              <w:rPr>
                <w:rFonts w:hint="default" w:ascii="Times New Roman" w:hAnsi="Times New Roman" w:cs="Times New Roman"/>
                <w:color w:val="auto"/>
                <w:highlight w:val="none"/>
              </w:rPr>
            </w:pPr>
            <w:bookmarkStart w:id="81" w:name="_Toc4557"/>
            <w:bookmarkStart w:id="82" w:name="_Toc18024"/>
            <w:bookmarkStart w:id="83" w:name="_Toc7590"/>
            <w:bookmarkStart w:id="84" w:name="_Toc23450"/>
            <w:bookmarkStart w:id="85" w:name="_Toc31892"/>
            <w:bookmarkStart w:id="86" w:name="_Toc10891"/>
            <w:bookmarkStart w:id="87" w:name="_Toc3077"/>
            <w:bookmarkStart w:id="88" w:name="_Toc9431"/>
            <w:bookmarkStart w:id="89" w:name="_Toc8863"/>
            <w:bookmarkStart w:id="90" w:name="_Toc8540"/>
            <w:r>
              <w:rPr>
                <w:rFonts w:hint="default" w:ascii="Times New Roman" w:hAnsi="Times New Roman" w:cs="Times New Roman"/>
                <w:color w:val="auto"/>
                <w:highlight w:val="none"/>
              </w:rPr>
              <w:t>总量控制指标</w:t>
            </w:r>
            <w:bookmarkEnd w:id="81"/>
            <w:bookmarkEnd w:id="82"/>
            <w:bookmarkEnd w:id="83"/>
            <w:bookmarkEnd w:id="84"/>
            <w:bookmarkEnd w:id="85"/>
            <w:bookmarkEnd w:id="86"/>
            <w:bookmarkEnd w:id="87"/>
            <w:bookmarkEnd w:id="88"/>
            <w:bookmarkEnd w:id="89"/>
            <w:bookmarkEnd w:id="90"/>
          </w:p>
        </w:tc>
        <w:tc>
          <w:tcPr>
            <w:tcW w:w="4737" w:type="pct"/>
          </w:tcPr>
          <w:p w14:paraId="36C28661">
            <w:pPr>
              <w:pStyle w:val="4"/>
              <w:pageBreakBefore w:val="0"/>
              <w:numPr>
                <w:ilvl w:val="2"/>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一、水污染物排放总量控制指标</w:t>
            </w:r>
          </w:p>
          <w:p w14:paraId="1098E99F">
            <w:pPr>
              <w:pageBreakBefore w:val="0"/>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建设单位应根据本项目的废水和废气等污染物的排放量，向上级主管部门和环保部门申请各项目污染物排放总量控制指标。</w:t>
            </w:r>
          </w:p>
          <w:p w14:paraId="0D41C280">
            <w:pPr>
              <w:pStyle w:val="90"/>
              <w:pageBreakBefore w:val="0"/>
              <w:widowControl/>
              <w:wordWrap w:val="0"/>
              <w:overflowPunct/>
              <w:bidi w:val="0"/>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（1）废水总量控制指标</w:t>
            </w:r>
          </w:p>
          <w:p w14:paraId="0383CAFA">
            <w:pPr>
              <w:pageBreakBefore w:val="0"/>
              <w:widowControl/>
              <w:wordWrap w:val="0"/>
              <w:overflowPunct/>
              <w:bidi w:val="0"/>
              <w:ind w:firstLine="480" w:firstLineChars="200"/>
              <w:jc w:val="left"/>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项目不涉及新增废水排放</w:t>
            </w:r>
            <w:r>
              <w:rPr>
                <w:rFonts w:hint="default" w:ascii="Times New Roman" w:hAnsi="Times New Roman" w:cs="Times New Roman"/>
                <w:color w:val="auto"/>
                <w:highlight w:val="none"/>
                <w:lang w:eastAsia="zh-CN"/>
              </w:rPr>
              <w:t>。</w:t>
            </w:r>
          </w:p>
          <w:p w14:paraId="6EBD3B06">
            <w:pPr>
              <w:pStyle w:val="90"/>
              <w:pageBreakBefore w:val="0"/>
              <w:widowControl/>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（2）废气总量控制指标</w:t>
            </w:r>
          </w:p>
          <w:p w14:paraId="6CC2A3D4">
            <w:pPr>
              <w:pageBreakBefore w:val="0"/>
              <w:widowControl/>
              <w:wordWrap w:val="0"/>
              <w:overflowPunct/>
              <w:bidi w:val="0"/>
              <w:ind w:firstLine="480" w:firstLineChars="200"/>
              <w:jc w:val="left"/>
              <w:rPr>
                <w:rFonts w:hint="default" w:ascii="Times New Roman" w:hAnsi="Times New Roman" w:cs="Times New Roman"/>
                <w:color w:val="auto"/>
                <w:kern w:val="0"/>
                <w:highlight w:val="none"/>
                <w:lang w:val="en-US" w:eastAsia="zh-CN" w:bidi="ar"/>
              </w:rPr>
            </w:pPr>
            <w:r>
              <w:rPr>
                <w:rFonts w:hint="default" w:ascii="Times New Roman" w:hAnsi="Times New Roman" w:cs="Times New Roman"/>
                <w:color w:val="auto"/>
                <w:kern w:val="0"/>
                <w:highlight w:val="none"/>
                <w:lang w:val="en-US" w:eastAsia="zh-CN" w:bidi="ar"/>
              </w:rPr>
              <w:t>根据</w:t>
            </w:r>
            <w:r>
              <w:rPr>
                <w:rFonts w:hint="eastAsia" w:cs="Times New Roman"/>
                <w:color w:val="auto"/>
                <w:kern w:val="0"/>
                <w:highlight w:val="none"/>
                <w:lang w:val="en-US" w:eastAsia="zh-CN" w:bidi="ar"/>
              </w:rPr>
              <w:t>上文</w:t>
            </w:r>
            <w:r>
              <w:rPr>
                <w:rFonts w:hint="default" w:ascii="Times New Roman" w:hAnsi="Times New Roman" w:cs="Times New Roman"/>
                <w:color w:val="auto"/>
                <w:kern w:val="0"/>
                <w:highlight w:val="none"/>
                <w:lang w:val="en-US" w:eastAsia="zh-CN" w:bidi="ar"/>
              </w:rPr>
              <w:t>计算，原项目有机废气实际有组织排放量为1.058t/a，无组织排放量为1.058t/a，则原项目实际总排放量为2.116t/a，小于《广东沃府实业有限公司VOCs重点监管企业管理手册》改造后VOCs总量指标5.194t/a，满足总量要求。</w:t>
            </w:r>
          </w:p>
          <w:p w14:paraId="7AFB0A5C">
            <w:pPr>
              <w:pageBreakBefore w:val="0"/>
              <w:widowControl/>
              <w:wordWrap w:val="0"/>
              <w:overflowPunct/>
              <w:bidi w:val="0"/>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val="en-US" w:eastAsia="zh-CN" w:bidi="ar"/>
              </w:rPr>
              <w:t>本次扩建项目建成后</w:t>
            </w:r>
            <w:r>
              <w:rPr>
                <w:rFonts w:hint="eastAsia" w:cs="Times New Roman"/>
                <w:color w:val="auto"/>
                <w:kern w:val="0"/>
                <w:highlight w:val="none"/>
                <w:lang w:val="en-US" w:eastAsia="zh-CN" w:bidi="ar"/>
              </w:rPr>
              <w:t>有机废气</w:t>
            </w:r>
            <w:r>
              <w:rPr>
                <w:rFonts w:hint="default" w:ascii="Times New Roman" w:hAnsi="Times New Roman" w:cs="Times New Roman"/>
                <w:color w:val="auto"/>
                <w:kern w:val="0"/>
                <w:highlight w:val="none"/>
                <w:lang w:val="en-US" w:eastAsia="zh-CN" w:bidi="ar"/>
              </w:rPr>
              <w:t>新增排放量</w:t>
            </w:r>
            <w:r>
              <w:rPr>
                <w:rFonts w:hint="eastAsia" w:cs="Times New Roman"/>
                <w:color w:val="auto"/>
                <w:kern w:val="0"/>
                <w:highlight w:val="none"/>
                <w:lang w:val="en-US" w:eastAsia="zh-CN" w:bidi="ar"/>
              </w:rPr>
              <w:t>为2.380t/a，根据《广东省生态环境厅关于做好重点行业建设项目挥发性有机物总量指标管理工作的通知》（粤环发〔2019〕2号），有机废气等量替代需向韶关市生态环境局乐昌分局申请分配</w:t>
            </w:r>
            <w:r>
              <w:rPr>
                <w:rFonts w:hint="default" w:ascii="Times New Roman" w:hAnsi="Times New Roman" w:cs="Times New Roman"/>
                <w:color w:val="auto"/>
                <w:kern w:val="0"/>
                <w:highlight w:val="none"/>
                <w:lang w:val="en-US" w:eastAsia="zh-CN" w:bidi="ar"/>
              </w:rPr>
              <w:t>。</w:t>
            </w:r>
          </w:p>
          <w:p w14:paraId="016CC328">
            <w:pPr>
              <w:pStyle w:val="4"/>
              <w:pageBreakBefore w:val="0"/>
              <w:numPr>
                <w:ilvl w:val="2"/>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三、固体废物排放总量控制指标</w:t>
            </w:r>
          </w:p>
          <w:p w14:paraId="115D078B">
            <w:pPr>
              <w:pStyle w:val="4"/>
              <w:pageBreakBefore w:val="0"/>
              <w:numPr>
                <w:ilvl w:val="2"/>
                <w:numId w:val="0"/>
              </w:numPr>
              <w:wordWrap w:val="0"/>
              <w:overflowPunct/>
              <w:bidi w:val="0"/>
              <w:ind w:firstLine="480" w:firstLineChars="200"/>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 xml:space="preserve">本项目固体废物不自行处理排放，不设置固体废物总量控制指标。 </w:t>
            </w:r>
          </w:p>
        </w:tc>
      </w:tr>
    </w:tbl>
    <w:p w14:paraId="53555514">
      <w:pPr>
        <w:pStyle w:val="2"/>
        <w:pageBreakBefore w:val="0"/>
        <w:wordWrap w:val="0"/>
        <w:overflowPunct/>
        <w:bidi w:val="0"/>
        <w:rPr>
          <w:rFonts w:hint="default" w:ascii="Times New Roman" w:hAnsi="Times New Roman" w:cs="Times New Roman"/>
          <w:color w:val="auto"/>
          <w:highlight w:val="none"/>
        </w:rPr>
        <w:sectPr>
          <w:footerReference r:id="rId7" w:type="default"/>
          <w:pgSz w:w="11906" w:h="16838"/>
          <w:pgMar w:top="1440" w:right="1797" w:bottom="1440" w:left="1797" w:header="851" w:footer="680" w:gutter="0"/>
          <w:pgBorders>
            <w:top w:val="none" w:sz="0" w:space="0"/>
            <w:left w:val="none" w:sz="0" w:space="0"/>
            <w:bottom w:val="none" w:sz="0" w:space="0"/>
            <w:right w:val="none" w:sz="0" w:space="0"/>
          </w:pgBorders>
          <w:pgNumType w:fmt="decimal" w:start="1"/>
          <w:cols w:space="720" w:num="1"/>
          <w:docGrid w:type="linesAndChars" w:linePitch="312" w:charSpace="0"/>
        </w:sectPr>
      </w:pPr>
    </w:p>
    <w:p w14:paraId="7927FE33">
      <w:pPr>
        <w:pStyle w:val="2"/>
        <w:pageBreakBefore w:val="0"/>
        <w:numPr>
          <w:ilvl w:val="0"/>
          <w:numId w:val="0"/>
        </w:numPr>
        <w:wordWrap w:val="0"/>
        <w:overflowPunct/>
        <w:bidi w:val="0"/>
        <w:rPr>
          <w:rFonts w:hint="default" w:ascii="Times New Roman" w:hAnsi="Times New Roman" w:cs="Times New Roman"/>
          <w:color w:val="auto"/>
          <w:highlight w:val="none"/>
        </w:rPr>
      </w:pPr>
      <w:bookmarkStart w:id="91" w:name="_Toc214"/>
      <w:bookmarkStart w:id="92" w:name="_Toc32008"/>
      <w:r>
        <w:rPr>
          <w:rFonts w:hint="default" w:ascii="Times New Roman" w:hAnsi="Times New Roman" w:cs="Times New Roman"/>
          <w:color w:val="auto"/>
          <w:highlight w:val="none"/>
        </w:rPr>
        <w:t>四、主要环境影响和保护措施</w:t>
      </w:r>
      <w:bookmarkEnd w:id="91"/>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2"/>
        <w:gridCol w:w="8046"/>
      </w:tblGrid>
      <w:tr w14:paraId="38985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5" w:hRule="atLeast"/>
        </w:trPr>
        <w:tc>
          <w:tcPr>
            <w:tcW w:w="482" w:type="dxa"/>
            <w:vAlign w:val="center"/>
          </w:tcPr>
          <w:p w14:paraId="4507E74E">
            <w:pPr>
              <w:pageBreakBefore w:val="0"/>
              <w:numPr>
                <w:ilvl w:val="1"/>
                <w:numId w:val="0"/>
              </w:numPr>
              <w:tabs>
                <w:tab w:val="left" w:pos="420"/>
              </w:tabs>
              <w:wordWrap w:val="0"/>
              <w:overflowPunct/>
              <w:bidi w:val="0"/>
              <w:outlineLvl w:val="9"/>
              <w:rPr>
                <w:rFonts w:hint="default" w:ascii="Times New Roman" w:hAnsi="Times New Roman" w:cs="Times New Roman"/>
                <w:color w:val="auto"/>
                <w:highlight w:val="none"/>
              </w:rPr>
            </w:pPr>
            <w:bookmarkStart w:id="93" w:name="_Toc30266"/>
            <w:bookmarkStart w:id="94" w:name="_Toc22339"/>
            <w:bookmarkStart w:id="95" w:name="_Toc7895"/>
            <w:bookmarkStart w:id="96" w:name="_Toc3227"/>
            <w:bookmarkStart w:id="97" w:name="_Toc25142"/>
            <w:bookmarkStart w:id="98" w:name="_Toc25331"/>
            <w:bookmarkStart w:id="99" w:name="_Toc18588"/>
            <w:r>
              <w:rPr>
                <w:rFonts w:hint="default" w:ascii="Times New Roman" w:hAnsi="Times New Roman" w:cs="Times New Roman"/>
                <w:color w:val="auto"/>
                <w:highlight w:val="none"/>
              </w:rPr>
              <w:t>施工期环境保护措施</w:t>
            </w:r>
            <w:bookmarkEnd w:id="93"/>
            <w:bookmarkEnd w:id="94"/>
            <w:bookmarkEnd w:id="95"/>
            <w:bookmarkEnd w:id="96"/>
            <w:bookmarkEnd w:id="97"/>
            <w:bookmarkEnd w:id="98"/>
            <w:bookmarkEnd w:id="99"/>
          </w:p>
        </w:tc>
        <w:tc>
          <w:tcPr>
            <w:tcW w:w="8046" w:type="dxa"/>
            <w:vAlign w:val="center"/>
          </w:tcPr>
          <w:p w14:paraId="16539D99">
            <w:pPr>
              <w:pStyle w:val="12"/>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本项目使用已建成厂房，无需进行土建工程，仅在原有厂房内进行简单的设备安装，施工期间污染轻微不会对周围环境产生影响。</w:t>
            </w:r>
          </w:p>
        </w:tc>
      </w:tr>
    </w:tbl>
    <w:p w14:paraId="5F530627">
      <w:pPr>
        <w:pageBreakBefore w:val="0"/>
        <w:wordWrap w:val="0"/>
        <w:overflowPunct/>
        <w:bidi w:val="0"/>
        <w:rPr>
          <w:rFonts w:hint="default" w:ascii="Times New Roman" w:hAnsi="Times New Roman" w:eastAsia="宋体" w:cs="Times New Roman"/>
          <w:color w:val="auto"/>
          <w:highlight w:val="none"/>
        </w:rPr>
      </w:pPr>
    </w:p>
    <w:p w14:paraId="2B633D41">
      <w:pPr>
        <w:pageBreakBefore w:val="0"/>
        <w:wordWrap w:val="0"/>
        <w:overflowPunct/>
        <w:bidi w:val="0"/>
        <w:rPr>
          <w:rFonts w:hint="default" w:ascii="Times New Roman" w:hAnsi="Times New Roman" w:eastAsia="宋体" w:cs="Times New Roman"/>
          <w:color w:val="auto"/>
          <w:highlight w:val="none"/>
        </w:rPr>
        <w:sectPr>
          <w:pgSz w:w="11906" w:h="16838"/>
          <w:pgMar w:top="1440" w:right="1797" w:bottom="1440" w:left="1797"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tbl>
      <w:tblPr>
        <w:tblStyle w:val="3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13712"/>
      </w:tblGrid>
      <w:tr w14:paraId="17CB5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4" w:hRule="atLeast"/>
        </w:trPr>
        <w:tc>
          <w:tcPr>
            <w:tcW w:w="133" w:type="pct"/>
            <w:vAlign w:val="center"/>
          </w:tcPr>
          <w:p w14:paraId="19562EA6">
            <w:pPr>
              <w:pageBreakBefore w:val="0"/>
              <w:numPr>
                <w:ilvl w:val="1"/>
                <w:numId w:val="0"/>
              </w:numPr>
              <w:tabs>
                <w:tab w:val="left" w:pos="420"/>
              </w:tabs>
              <w:wordWrap w:val="0"/>
              <w:overflowPunct/>
              <w:bidi w:val="0"/>
              <w:outlineLvl w:val="9"/>
              <w:rPr>
                <w:rFonts w:hint="default" w:ascii="Times New Roman" w:hAnsi="Times New Roman" w:cs="Times New Roman"/>
                <w:color w:val="auto"/>
                <w:highlight w:val="none"/>
              </w:rPr>
            </w:pPr>
            <w:bookmarkStart w:id="100" w:name="_Toc12228"/>
            <w:bookmarkStart w:id="101" w:name="_Toc8375"/>
            <w:bookmarkStart w:id="102" w:name="_Toc14651"/>
            <w:bookmarkStart w:id="103" w:name="_Toc15252"/>
            <w:bookmarkStart w:id="104" w:name="_Toc665"/>
            <w:bookmarkStart w:id="105" w:name="_Toc29600"/>
            <w:bookmarkStart w:id="106" w:name="_Toc20905"/>
            <w:r>
              <w:rPr>
                <w:rFonts w:hint="default" w:ascii="Times New Roman" w:hAnsi="Times New Roman" w:cs="Times New Roman"/>
                <w:color w:val="auto"/>
                <w:highlight w:val="none"/>
              </w:rPr>
              <w:t>运营期环境影响和保护措施</w:t>
            </w:r>
            <w:bookmarkEnd w:id="100"/>
            <w:bookmarkEnd w:id="101"/>
            <w:bookmarkEnd w:id="102"/>
            <w:bookmarkEnd w:id="103"/>
            <w:bookmarkEnd w:id="104"/>
            <w:bookmarkEnd w:id="105"/>
            <w:bookmarkEnd w:id="106"/>
          </w:p>
        </w:tc>
        <w:tc>
          <w:tcPr>
            <w:tcW w:w="4866" w:type="pct"/>
            <w:vAlign w:val="center"/>
          </w:tcPr>
          <w:p w14:paraId="29DACBF6">
            <w:pPr>
              <w:pStyle w:val="5"/>
              <w:pageBreakBefore w:val="0"/>
              <w:numPr>
                <w:ilvl w:val="3"/>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一、废气</w:t>
            </w:r>
          </w:p>
          <w:p w14:paraId="7D911441">
            <w:pPr>
              <w:pStyle w:val="25"/>
              <w:pageBreakBefore w:val="0"/>
              <w:numPr>
                <w:ilvl w:val="0"/>
                <w:numId w:val="0"/>
              </w:numPr>
              <w:tabs>
                <w:tab w:val="left" w:pos="0"/>
              </w:tabs>
              <w:wordWrap w:val="0"/>
              <w:overflowPunct/>
              <w:bidi w:val="0"/>
              <w:spacing w:after="0" w:line="360" w:lineRule="auto"/>
              <w:ind w:left="0" w:leftChars="0" w:firstLine="420" w:firstLineChars="0"/>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cs="Times New Roman"/>
                <w:b/>
                <w:bCs/>
                <w:color w:val="auto"/>
                <w:kern w:val="2"/>
                <w:sz w:val="24"/>
                <w:szCs w:val="24"/>
                <w:lang w:val="en-US" w:eastAsia="zh-CN" w:bidi="ar-SA"/>
              </w:rPr>
              <w:t>1、污染源排放汇总</w:t>
            </w:r>
          </w:p>
          <w:p w14:paraId="55F00FF3">
            <w:pPr>
              <w:pStyle w:val="25"/>
              <w:pageBreakBefore w:val="0"/>
              <w:numPr>
                <w:ilvl w:val="0"/>
                <w:numId w:val="0"/>
              </w:numPr>
              <w:tabs>
                <w:tab w:val="left" w:pos="0"/>
              </w:tabs>
              <w:wordWrap w:val="0"/>
              <w:overflowPunct/>
              <w:bidi w:val="0"/>
              <w:spacing w:after="0" w:line="360" w:lineRule="auto"/>
              <w:ind w:left="0" w:leftChars="0" w:firstLine="420" w:firstLineChars="0"/>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cs="Times New Roman"/>
                <w:b w:val="0"/>
                <w:bCs w:val="0"/>
                <w:color w:val="auto"/>
                <w:kern w:val="2"/>
                <w:sz w:val="24"/>
                <w:szCs w:val="24"/>
                <w:lang w:val="en-US" w:eastAsia="zh-CN" w:bidi="ar-SA"/>
              </w:rPr>
              <w:t>本次扩建</w:t>
            </w:r>
            <w:r>
              <w:rPr>
                <w:rFonts w:hint="default" w:ascii="Times New Roman" w:hAnsi="Times New Roman" w:eastAsia="宋体" w:cs="Times New Roman"/>
                <w:b w:val="0"/>
                <w:bCs w:val="0"/>
                <w:color w:val="auto"/>
                <w:kern w:val="2"/>
                <w:sz w:val="24"/>
                <w:szCs w:val="24"/>
                <w:lang w:val="en-US" w:eastAsia="zh-CN" w:bidi="ar-SA"/>
              </w:rPr>
              <w:t>项目废气污染物排放情况、污染源源强核算结果及相关参数见下列一览表</w:t>
            </w:r>
          </w:p>
          <w:p w14:paraId="2EF5BCC8">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rPr>
            </w:pPr>
            <w:r>
              <w:rPr>
                <w:rFonts w:hint="default" w:ascii="Times New Roman" w:hAnsi="Times New Roman" w:cs="Times New Roman"/>
                <w:b/>
                <w:color w:val="auto"/>
              </w:rPr>
              <w:t xml:space="preserve"> 废气污染源源强核算结果及相关参数一览表</w:t>
            </w:r>
          </w:p>
          <w:tbl>
            <w:tblPr>
              <w:tblStyle w:val="38"/>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74"/>
              <w:gridCol w:w="594"/>
              <w:gridCol w:w="1783"/>
              <w:gridCol w:w="828"/>
              <w:gridCol w:w="979"/>
              <w:gridCol w:w="963"/>
              <w:gridCol w:w="809"/>
              <w:gridCol w:w="680"/>
              <w:gridCol w:w="1033"/>
              <w:gridCol w:w="526"/>
              <w:gridCol w:w="591"/>
              <w:gridCol w:w="534"/>
              <w:gridCol w:w="977"/>
              <w:gridCol w:w="869"/>
              <w:gridCol w:w="963"/>
              <w:gridCol w:w="578"/>
            </w:tblGrid>
            <w:tr w14:paraId="4878B0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7" w:type="pct"/>
                  <w:gridSpan w:val="2"/>
                  <w:vMerge w:val="restart"/>
                  <w:vAlign w:val="center"/>
                </w:tcPr>
                <w:p w14:paraId="0F62E222">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产污环节</w:t>
                  </w:r>
                </w:p>
              </w:tc>
              <w:tc>
                <w:tcPr>
                  <w:tcW w:w="661" w:type="pct"/>
                  <w:vMerge w:val="restart"/>
                  <w:vAlign w:val="center"/>
                </w:tcPr>
                <w:p w14:paraId="001F8F61">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污染物种类</w:t>
                  </w:r>
                </w:p>
              </w:tc>
              <w:tc>
                <w:tcPr>
                  <w:tcW w:w="1027" w:type="pct"/>
                  <w:gridSpan w:val="3"/>
                  <w:vAlign w:val="center"/>
                </w:tcPr>
                <w:p w14:paraId="119985DA">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lang w:eastAsia="zh-CN"/>
                    </w:rPr>
                    <w:t>污染物产生量和浓度</w:t>
                  </w:r>
                </w:p>
              </w:tc>
              <w:tc>
                <w:tcPr>
                  <w:tcW w:w="300" w:type="pct"/>
                  <w:vMerge w:val="restart"/>
                  <w:vAlign w:val="center"/>
                </w:tcPr>
                <w:p w14:paraId="2917252D">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排放</w:t>
                  </w:r>
                </w:p>
                <w:p w14:paraId="22D4A86A">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形式</w:t>
                  </w:r>
                </w:p>
              </w:tc>
              <w:tc>
                <w:tcPr>
                  <w:tcW w:w="1247" w:type="pct"/>
                  <w:gridSpan w:val="5"/>
                  <w:vAlign w:val="center"/>
                </w:tcPr>
                <w:p w14:paraId="29C49572">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lang w:eastAsia="zh-CN"/>
                    </w:rPr>
                    <w:t>治理设施</w:t>
                  </w:r>
                </w:p>
              </w:tc>
              <w:tc>
                <w:tcPr>
                  <w:tcW w:w="1041" w:type="pct"/>
                  <w:gridSpan w:val="3"/>
                  <w:vAlign w:val="center"/>
                </w:tcPr>
                <w:p w14:paraId="2FC3AB81">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污染物排放情况</w:t>
                  </w:r>
                </w:p>
              </w:tc>
              <w:tc>
                <w:tcPr>
                  <w:tcW w:w="214" w:type="pct"/>
                  <w:vMerge w:val="restart"/>
                  <w:vAlign w:val="center"/>
                </w:tcPr>
                <w:p w14:paraId="259B694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排放时间</w:t>
                  </w:r>
                </w:p>
                <w:p w14:paraId="5E42DE81">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h/a</w:t>
                  </w:r>
                </w:p>
              </w:tc>
            </w:tr>
            <w:tr w14:paraId="16654F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7" w:type="pct"/>
                  <w:gridSpan w:val="2"/>
                  <w:vMerge w:val="continue"/>
                  <w:vAlign w:val="center"/>
                </w:tcPr>
                <w:p w14:paraId="3DCB8B8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661" w:type="pct"/>
                  <w:vMerge w:val="continue"/>
                  <w:vAlign w:val="center"/>
                </w:tcPr>
                <w:p w14:paraId="4457655B">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p>
              </w:tc>
              <w:tc>
                <w:tcPr>
                  <w:tcW w:w="307" w:type="pct"/>
                  <w:vAlign w:val="center"/>
                </w:tcPr>
                <w:p w14:paraId="48DCE5D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产生量</w:t>
                  </w:r>
                </w:p>
                <w:p w14:paraId="28610F94">
                  <w:pPr>
                    <w:pageBreakBefore w:val="0"/>
                    <w:wordWrap w:val="0"/>
                    <w:overflowPunct/>
                    <w:bidi w:val="0"/>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val="en-US" w:eastAsia="zh-CN"/>
                    </w:rPr>
                    <w:t>t/a</w:t>
                  </w:r>
                </w:p>
              </w:tc>
              <w:tc>
                <w:tcPr>
                  <w:tcW w:w="363" w:type="pct"/>
                  <w:vAlign w:val="center"/>
                </w:tcPr>
                <w:p w14:paraId="6ABF671C">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产生速率</w:t>
                  </w:r>
                </w:p>
                <w:p w14:paraId="206CF1F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kg/h</w:t>
                  </w:r>
                </w:p>
              </w:tc>
              <w:tc>
                <w:tcPr>
                  <w:tcW w:w="356" w:type="pct"/>
                  <w:vAlign w:val="center"/>
                </w:tcPr>
                <w:p w14:paraId="36B0D9B0">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产生浓度</w:t>
                  </w:r>
                </w:p>
                <w:p w14:paraId="32D7513B">
                  <w:pPr>
                    <w:pageBreakBefore w:val="0"/>
                    <w:wordWrap w:val="0"/>
                    <w:overflowPunct/>
                    <w:bidi w:val="0"/>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val="en-US" w:eastAsia="zh-CN"/>
                    </w:rPr>
                    <w:t>mg/m</w:t>
                  </w:r>
                  <w:r>
                    <w:rPr>
                      <w:rFonts w:hint="default" w:ascii="Times New Roman" w:hAnsi="Times New Roman" w:cs="Times New Roman"/>
                      <w:b w:val="0"/>
                      <w:bCs/>
                      <w:color w:val="auto"/>
                      <w:sz w:val="21"/>
                      <w:szCs w:val="21"/>
                      <w:highlight w:val="none"/>
                      <w:vertAlign w:val="superscript"/>
                      <w:lang w:val="en-US" w:eastAsia="zh-CN"/>
                    </w:rPr>
                    <w:t>3</w:t>
                  </w:r>
                </w:p>
              </w:tc>
              <w:tc>
                <w:tcPr>
                  <w:tcW w:w="300" w:type="pct"/>
                  <w:vMerge w:val="continue"/>
                  <w:vAlign w:val="center"/>
                </w:tcPr>
                <w:p w14:paraId="6B7BE7C1">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p>
              </w:tc>
              <w:tc>
                <w:tcPr>
                  <w:tcW w:w="252" w:type="pct"/>
                  <w:vAlign w:val="center"/>
                </w:tcPr>
                <w:p w14:paraId="2A280B0B">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风量</w:t>
                  </w:r>
                </w:p>
                <w:p w14:paraId="05B9ACD1">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val="en-US" w:eastAsia="zh-CN"/>
                    </w:rPr>
                    <w:t>m</w:t>
                  </w:r>
                  <w:r>
                    <w:rPr>
                      <w:rFonts w:hint="default" w:ascii="Times New Roman" w:hAnsi="Times New Roman" w:cs="Times New Roman"/>
                      <w:b w:val="0"/>
                      <w:bCs/>
                      <w:color w:val="auto"/>
                      <w:sz w:val="21"/>
                      <w:szCs w:val="21"/>
                      <w:highlight w:val="none"/>
                      <w:vertAlign w:val="superscript"/>
                      <w:lang w:val="en-US" w:eastAsia="zh-CN"/>
                    </w:rPr>
                    <w:t>3</w:t>
                  </w:r>
                  <w:r>
                    <w:rPr>
                      <w:rFonts w:hint="default" w:ascii="Times New Roman" w:hAnsi="Times New Roman" w:cs="Times New Roman"/>
                      <w:b w:val="0"/>
                      <w:bCs/>
                      <w:color w:val="auto"/>
                      <w:sz w:val="21"/>
                      <w:szCs w:val="21"/>
                      <w:highlight w:val="none"/>
                      <w:lang w:val="en-US" w:eastAsia="zh-CN"/>
                    </w:rPr>
                    <w:t>/h</w:t>
                  </w:r>
                </w:p>
              </w:tc>
              <w:tc>
                <w:tcPr>
                  <w:tcW w:w="383" w:type="pct"/>
                  <w:vAlign w:val="center"/>
                </w:tcPr>
                <w:p w14:paraId="14995E83">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处理工艺</w:t>
                  </w:r>
                </w:p>
              </w:tc>
              <w:tc>
                <w:tcPr>
                  <w:tcW w:w="195" w:type="pct"/>
                  <w:vAlign w:val="center"/>
                </w:tcPr>
                <w:p w14:paraId="1A293DB3">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收集</w:t>
                  </w:r>
                </w:p>
                <w:p w14:paraId="0C5ACAB7">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效率</w:t>
                  </w:r>
                </w:p>
              </w:tc>
              <w:tc>
                <w:tcPr>
                  <w:tcW w:w="219" w:type="pct"/>
                  <w:vAlign w:val="center"/>
                </w:tcPr>
                <w:p w14:paraId="68A5DCCF">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处理</w:t>
                  </w:r>
                </w:p>
                <w:p w14:paraId="57AAD7E8">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效率</w:t>
                  </w:r>
                </w:p>
              </w:tc>
              <w:tc>
                <w:tcPr>
                  <w:tcW w:w="197" w:type="pct"/>
                  <w:vAlign w:val="center"/>
                </w:tcPr>
                <w:p w14:paraId="56AEF88B">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是否</w:t>
                  </w:r>
                </w:p>
                <w:p w14:paraId="52E48DE6">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可行</w:t>
                  </w:r>
                </w:p>
                <w:p w14:paraId="6C9601D7">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技术</w:t>
                  </w:r>
                </w:p>
              </w:tc>
              <w:tc>
                <w:tcPr>
                  <w:tcW w:w="362" w:type="pct"/>
                  <w:vAlign w:val="center"/>
                </w:tcPr>
                <w:p w14:paraId="4A5DEAF8">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排放量</w:t>
                  </w:r>
                </w:p>
                <w:p w14:paraId="24055A81">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rPr>
                  </w:pPr>
                  <w:r>
                    <w:rPr>
                      <w:rFonts w:hint="default" w:ascii="Times New Roman" w:hAnsi="Times New Roman" w:cs="Times New Roman"/>
                      <w:b w:val="0"/>
                      <w:bCs/>
                      <w:color w:val="auto"/>
                      <w:sz w:val="21"/>
                      <w:szCs w:val="21"/>
                      <w:highlight w:val="none"/>
                      <w:lang w:val="en-US" w:eastAsia="zh-CN"/>
                    </w:rPr>
                    <w:t>t/a</w:t>
                  </w:r>
                </w:p>
              </w:tc>
              <w:tc>
                <w:tcPr>
                  <w:tcW w:w="322" w:type="pct"/>
                  <w:vAlign w:val="center"/>
                </w:tcPr>
                <w:p w14:paraId="385D8D60">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排放速率</w:t>
                  </w:r>
                </w:p>
                <w:p w14:paraId="02904947">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kg/h</w:t>
                  </w:r>
                </w:p>
              </w:tc>
              <w:tc>
                <w:tcPr>
                  <w:tcW w:w="356" w:type="pct"/>
                  <w:vAlign w:val="center"/>
                </w:tcPr>
                <w:p w14:paraId="281CBE2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排放浓度</w:t>
                  </w:r>
                </w:p>
                <w:p w14:paraId="7DAC8E6B">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lang w:val="en-US" w:eastAsia="zh-CN"/>
                    </w:rPr>
                    <w:t>mg/m</w:t>
                  </w:r>
                  <w:r>
                    <w:rPr>
                      <w:rFonts w:hint="default" w:ascii="Times New Roman" w:hAnsi="Times New Roman" w:cs="Times New Roman"/>
                      <w:b w:val="0"/>
                      <w:bCs/>
                      <w:color w:val="auto"/>
                      <w:sz w:val="21"/>
                      <w:szCs w:val="21"/>
                      <w:highlight w:val="none"/>
                      <w:vertAlign w:val="superscript"/>
                      <w:lang w:val="en-US" w:eastAsia="zh-CN"/>
                    </w:rPr>
                    <w:t>3</w:t>
                  </w:r>
                </w:p>
              </w:tc>
              <w:tc>
                <w:tcPr>
                  <w:tcW w:w="214" w:type="pct"/>
                  <w:vMerge w:val="continue"/>
                  <w:vAlign w:val="center"/>
                </w:tcPr>
                <w:p w14:paraId="54D6DD2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p>
              </w:tc>
            </w:tr>
            <w:tr w14:paraId="791298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87" w:type="pct"/>
                  <w:vMerge w:val="restart"/>
                  <w:vAlign w:val="center"/>
                </w:tcPr>
                <w:p w14:paraId="7B7C62C5">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DA005</w:t>
                  </w:r>
                </w:p>
              </w:tc>
              <w:tc>
                <w:tcPr>
                  <w:tcW w:w="219" w:type="pct"/>
                  <w:vMerge w:val="restart"/>
                  <w:vAlign w:val="center"/>
                </w:tcPr>
                <w:p w14:paraId="2776B535">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 xml:space="preserve"> 注塑</w:t>
                  </w:r>
                </w:p>
              </w:tc>
              <w:tc>
                <w:tcPr>
                  <w:tcW w:w="661" w:type="pct"/>
                  <w:vAlign w:val="center"/>
                </w:tcPr>
                <w:p w14:paraId="722AAE9E">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非甲烷总烃</w:t>
                  </w:r>
                </w:p>
              </w:tc>
              <w:tc>
                <w:tcPr>
                  <w:tcW w:w="307" w:type="pct"/>
                  <w:vAlign w:val="center"/>
                </w:tcPr>
                <w:p w14:paraId="2B50BE10">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4.32 </w:t>
                  </w:r>
                </w:p>
              </w:tc>
              <w:tc>
                <w:tcPr>
                  <w:tcW w:w="363" w:type="pct"/>
                  <w:vAlign w:val="center"/>
                </w:tcPr>
                <w:p w14:paraId="497A1DA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0.60 </w:t>
                  </w:r>
                </w:p>
              </w:tc>
              <w:tc>
                <w:tcPr>
                  <w:tcW w:w="356" w:type="pct"/>
                  <w:vAlign w:val="center"/>
                </w:tcPr>
                <w:p w14:paraId="08016DD7">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24.00 </w:t>
                  </w:r>
                </w:p>
              </w:tc>
              <w:tc>
                <w:tcPr>
                  <w:tcW w:w="300" w:type="pct"/>
                  <w:vMerge w:val="restart"/>
                  <w:vAlign w:val="center"/>
                </w:tcPr>
                <w:p w14:paraId="53E75F13">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有组织</w:t>
                  </w:r>
                </w:p>
              </w:tc>
              <w:tc>
                <w:tcPr>
                  <w:tcW w:w="252" w:type="pct"/>
                  <w:vMerge w:val="restart"/>
                  <w:vAlign w:val="center"/>
                </w:tcPr>
                <w:p w14:paraId="6BE203E0">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000</w:t>
                  </w:r>
                </w:p>
              </w:tc>
              <w:tc>
                <w:tcPr>
                  <w:tcW w:w="383" w:type="pct"/>
                  <w:vMerge w:val="restart"/>
                  <w:vAlign w:val="center"/>
                </w:tcPr>
                <w:p w14:paraId="61ECE07F">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二级活性炭吸附装置</w:t>
                  </w:r>
                </w:p>
              </w:tc>
              <w:tc>
                <w:tcPr>
                  <w:tcW w:w="195" w:type="pct"/>
                  <w:vAlign w:val="center"/>
                </w:tcPr>
                <w:p w14:paraId="10E0C38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cs="Times New Roman"/>
                      <w:i w:val="0"/>
                      <w:iCs w:val="0"/>
                      <w:color w:val="auto"/>
                      <w:kern w:val="0"/>
                      <w:sz w:val="21"/>
                      <w:szCs w:val="21"/>
                      <w:u w:val="none"/>
                      <w:lang w:val="en-US" w:eastAsia="zh-CN" w:bidi="ar"/>
                    </w:rPr>
                    <w:t>8</w:t>
                  </w:r>
                  <w:r>
                    <w:rPr>
                      <w:rFonts w:hint="default" w:ascii="Times New Roman" w:hAnsi="Times New Roman" w:eastAsia="宋体" w:cs="Times New Roman"/>
                      <w:i w:val="0"/>
                      <w:iCs w:val="0"/>
                      <w:color w:val="auto"/>
                      <w:kern w:val="0"/>
                      <w:sz w:val="21"/>
                      <w:szCs w:val="21"/>
                      <w:u w:val="none"/>
                      <w:lang w:val="en-US" w:eastAsia="zh-CN" w:bidi="ar"/>
                    </w:rPr>
                    <w:t>0%</w:t>
                  </w:r>
                </w:p>
              </w:tc>
              <w:tc>
                <w:tcPr>
                  <w:tcW w:w="219" w:type="pct"/>
                  <w:vAlign w:val="center"/>
                </w:tcPr>
                <w:p w14:paraId="3A7DCB2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80%</w:t>
                  </w:r>
                </w:p>
              </w:tc>
              <w:tc>
                <w:tcPr>
                  <w:tcW w:w="197" w:type="pct"/>
                  <w:vMerge w:val="restart"/>
                  <w:vAlign w:val="center"/>
                </w:tcPr>
                <w:p w14:paraId="1486F1A2">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是</w:t>
                  </w:r>
                </w:p>
              </w:tc>
              <w:tc>
                <w:tcPr>
                  <w:tcW w:w="362" w:type="pct"/>
                  <w:vAlign w:val="center"/>
                </w:tcPr>
                <w:p w14:paraId="62E59C1C">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0.86 </w:t>
                  </w:r>
                </w:p>
              </w:tc>
              <w:tc>
                <w:tcPr>
                  <w:tcW w:w="322" w:type="pct"/>
                  <w:vAlign w:val="center"/>
                </w:tcPr>
                <w:p w14:paraId="3DA354B0">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0.12 </w:t>
                  </w:r>
                </w:p>
              </w:tc>
              <w:tc>
                <w:tcPr>
                  <w:tcW w:w="356" w:type="pct"/>
                  <w:vAlign w:val="center"/>
                </w:tcPr>
                <w:p w14:paraId="4066B06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4.80 </w:t>
                  </w:r>
                </w:p>
              </w:tc>
              <w:tc>
                <w:tcPr>
                  <w:tcW w:w="214" w:type="pct"/>
                  <w:vAlign w:val="center"/>
                </w:tcPr>
                <w:p w14:paraId="4D5099D2">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7200</w:t>
                  </w:r>
                </w:p>
              </w:tc>
            </w:tr>
            <w:tr w14:paraId="209059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87" w:type="pct"/>
                  <w:vMerge w:val="continue"/>
                  <w:vAlign w:val="center"/>
                </w:tcPr>
                <w:p w14:paraId="63325BBD">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p>
              </w:tc>
              <w:tc>
                <w:tcPr>
                  <w:tcW w:w="219" w:type="pct"/>
                  <w:vMerge w:val="continue"/>
                  <w:vAlign w:val="center"/>
                </w:tcPr>
                <w:p w14:paraId="781BF011">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p>
              </w:tc>
              <w:tc>
                <w:tcPr>
                  <w:tcW w:w="661" w:type="pct"/>
                  <w:vAlign w:val="center"/>
                </w:tcPr>
                <w:p w14:paraId="637876AE">
                  <w:pPr>
                    <w:pageBreakBefore w:val="0"/>
                    <w:wordWrap w:val="0"/>
                    <w:overflowPunct/>
                    <w:bidi w:val="0"/>
                    <w:spacing w:line="240" w:lineRule="auto"/>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臭气浓度</w:t>
                  </w:r>
                </w:p>
              </w:tc>
              <w:tc>
                <w:tcPr>
                  <w:tcW w:w="307" w:type="pct"/>
                  <w:vAlign w:val="center"/>
                </w:tcPr>
                <w:p w14:paraId="4974A25D">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363" w:type="pct"/>
                  <w:vAlign w:val="center"/>
                </w:tcPr>
                <w:p w14:paraId="2856751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356" w:type="pct"/>
                  <w:vAlign w:val="center"/>
                </w:tcPr>
                <w:p w14:paraId="38BF257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300" w:type="pct"/>
                  <w:vMerge w:val="continue"/>
                  <w:vAlign w:val="center"/>
                </w:tcPr>
                <w:p w14:paraId="66C7B767">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52" w:type="pct"/>
                  <w:vMerge w:val="continue"/>
                  <w:vAlign w:val="center"/>
                </w:tcPr>
                <w:p w14:paraId="31760DFD">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383" w:type="pct"/>
                  <w:vMerge w:val="continue"/>
                  <w:vAlign w:val="center"/>
                </w:tcPr>
                <w:p w14:paraId="18F6545E">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195" w:type="pct"/>
                  <w:vAlign w:val="center"/>
                </w:tcPr>
                <w:p w14:paraId="2250A64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219" w:type="pct"/>
                  <w:vAlign w:val="center"/>
                </w:tcPr>
                <w:p w14:paraId="1887DB39">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197" w:type="pct"/>
                  <w:vMerge w:val="continue"/>
                  <w:vAlign w:val="center"/>
                </w:tcPr>
                <w:p w14:paraId="7E3B25F5">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362" w:type="pct"/>
                  <w:vAlign w:val="center"/>
                </w:tcPr>
                <w:p w14:paraId="37E02059">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322" w:type="pct"/>
                  <w:vAlign w:val="center"/>
                </w:tcPr>
                <w:p w14:paraId="6E6FF06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356" w:type="pct"/>
                  <w:vAlign w:val="center"/>
                </w:tcPr>
                <w:p w14:paraId="0325E6E7">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214" w:type="pct"/>
                  <w:vAlign w:val="center"/>
                </w:tcPr>
                <w:p w14:paraId="3B0D3B4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7200</w:t>
                  </w:r>
                </w:p>
              </w:tc>
            </w:tr>
            <w:tr w14:paraId="40FDAB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287" w:type="pct"/>
                  <w:vMerge w:val="restart"/>
                  <w:vAlign w:val="center"/>
                </w:tcPr>
                <w:p w14:paraId="1007ACD1">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DA006</w:t>
                  </w:r>
                </w:p>
              </w:tc>
              <w:tc>
                <w:tcPr>
                  <w:tcW w:w="219" w:type="pct"/>
                  <w:vMerge w:val="restart"/>
                  <w:vAlign w:val="center"/>
                </w:tcPr>
                <w:p w14:paraId="02C0A5D1">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喷涂</w:t>
                  </w:r>
                </w:p>
              </w:tc>
              <w:tc>
                <w:tcPr>
                  <w:tcW w:w="661" w:type="pct"/>
                  <w:vAlign w:val="center"/>
                </w:tcPr>
                <w:p w14:paraId="2FFA3254">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307" w:type="pct"/>
                  <w:vAlign w:val="center"/>
                </w:tcPr>
                <w:p w14:paraId="1C375CC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2.974 </w:t>
                  </w:r>
                </w:p>
              </w:tc>
              <w:tc>
                <w:tcPr>
                  <w:tcW w:w="363" w:type="pct"/>
                  <w:vAlign w:val="center"/>
                </w:tcPr>
                <w:p w14:paraId="4D8C041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1.239 </w:t>
                  </w:r>
                </w:p>
              </w:tc>
              <w:tc>
                <w:tcPr>
                  <w:tcW w:w="356" w:type="pct"/>
                  <w:vAlign w:val="center"/>
                </w:tcPr>
                <w:p w14:paraId="69BDB6FE">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56.332 </w:t>
                  </w:r>
                </w:p>
              </w:tc>
              <w:tc>
                <w:tcPr>
                  <w:tcW w:w="300" w:type="pct"/>
                  <w:vMerge w:val="restart"/>
                  <w:vAlign w:val="center"/>
                </w:tcPr>
                <w:p w14:paraId="09803902">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有组织</w:t>
                  </w:r>
                </w:p>
              </w:tc>
              <w:tc>
                <w:tcPr>
                  <w:tcW w:w="252" w:type="pct"/>
                  <w:vMerge w:val="restart"/>
                  <w:vAlign w:val="center"/>
                </w:tcPr>
                <w:p w14:paraId="4BCB4C8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22000</w:t>
                  </w:r>
                </w:p>
              </w:tc>
              <w:tc>
                <w:tcPr>
                  <w:tcW w:w="383" w:type="pct"/>
                  <w:vMerge w:val="restart"/>
                  <w:vAlign w:val="center"/>
                </w:tcPr>
                <w:p w14:paraId="6FFCE4F7">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水喷淋+干式过滤器+二级活性炭</w:t>
                  </w:r>
                </w:p>
              </w:tc>
              <w:tc>
                <w:tcPr>
                  <w:tcW w:w="195" w:type="pct"/>
                  <w:vAlign w:val="center"/>
                </w:tcPr>
                <w:p w14:paraId="5B34B06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219" w:type="pct"/>
                  <w:vAlign w:val="center"/>
                </w:tcPr>
                <w:p w14:paraId="06DC5499">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99%</w:t>
                  </w:r>
                </w:p>
              </w:tc>
              <w:tc>
                <w:tcPr>
                  <w:tcW w:w="197" w:type="pct"/>
                  <w:vMerge w:val="restart"/>
                  <w:vAlign w:val="center"/>
                </w:tcPr>
                <w:p w14:paraId="58EA0669">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是</w:t>
                  </w:r>
                </w:p>
              </w:tc>
              <w:tc>
                <w:tcPr>
                  <w:tcW w:w="362" w:type="pct"/>
                  <w:vAlign w:val="center"/>
                </w:tcPr>
                <w:p w14:paraId="24222C6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0.030 </w:t>
                  </w:r>
                </w:p>
              </w:tc>
              <w:tc>
                <w:tcPr>
                  <w:tcW w:w="322" w:type="pct"/>
                  <w:vAlign w:val="center"/>
                </w:tcPr>
                <w:p w14:paraId="6613A43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0.012 </w:t>
                  </w:r>
                </w:p>
              </w:tc>
              <w:tc>
                <w:tcPr>
                  <w:tcW w:w="356" w:type="pct"/>
                  <w:vAlign w:val="center"/>
                </w:tcPr>
                <w:p w14:paraId="7AC1D7F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0.563 </w:t>
                  </w:r>
                </w:p>
              </w:tc>
              <w:tc>
                <w:tcPr>
                  <w:tcW w:w="214" w:type="pct"/>
                  <w:vAlign w:val="center"/>
                </w:tcPr>
                <w:p w14:paraId="3FEE8A5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2400</w:t>
                  </w:r>
                </w:p>
              </w:tc>
            </w:tr>
            <w:tr w14:paraId="5CF9F4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2" w:hRule="atLeast"/>
                <w:jc w:val="center"/>
              </w:trPr>
              <w:tc>
                <w:tcPr>
                  <w:tcW w:w="287" w:type="pct"/>
                  <w:vMerge w:val="continue"/>
                  <w:vAlign w:val="center"/>
                </w:tcPr>
                <w:p w14:paraId="6BEFE404">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p>
              </w:tc>
              <w:tc>
                <w:tcPr>
                  <w:tcW w:w="219" w:type="pct"/>
                  <w:vMerge w:val="continue"/>
                  <w:vAlign w:val="center"/>
                </w:tcPr>
                <w:p w14:paraId="7CA6BF2F">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p>
              </w:tc>
              <w:tc>
                <w:tcPr>
                  <w:tcW w:w="661" w:type="pct"/>
                  <w:vAlign w:val="center"/>
                </w:tcPr>
                <w:p w14:paraId="2A974DDD">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307" w:type="pct"/>
                  <w:vAlign w:val="center"/>
                </w:tcPr>
                <w:p w14:paraId="44FD22B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1.400 </w:t>
                  </w:r>
                </w:p>
              </w:tc>
              <w:tc>
                <w:tcPr>
                  <w:tcW w:w="363" w:type="pct"/>
                  <w:vAlign w:val="center"/>
                </w:tcPr>
                <w:p w14:paraId="647ABFD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0.583 </w:t>
                  </w:r>
                </w:p>
              </w:tc>
              <w:tc>
                <w:tcPr>
                  <w:tcW w:w="356" w:type="pct"/>
                  <w:vAlign w:val="center"/>
                </w:tcPr>
                <w:p w14:paraId="1EEB7632">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26.518 </w:t>
                  </w:r>
                </w:p>
              </w:tc>
              <w:tc>
                <w:tcPr>
                  <w:tcW w:w="300" w:type="pct"/>
                  <w:vMerge w:val="continue"/>
                  <w:vAlign w:val="center"/>
                </w:tcPr>
                <w:p w14:paraId="14EC107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52" w:type="pct"/>
                  <w:vMerge w:val="continue"/>
                  <w:vAlign w:val="center"/>
                </w:tcPr>
                <w:p w14:paraId="18EC8D1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383" w:type="pct"/>
                  <w:vMerge w:val="continue"/>
                  <w:vAlign w:val="center"/>
                </w:tcPr>
                <w:p w14:paraId="2518B58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95" w:type="pct"/>
                  <w:vAlign w:val="center"/>
                </w:tcPr>
                <w:p w14:paraId="382FB97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219" w:type="pct"/>
                  <w:vAlign w:val="center"/>
                </w:tcPr>
                <w:p w14:paraId="19BEC2E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197" w:type="pct"/>
                  <w:vMerge w:val="continue"/>
                  <w:vAlign w:val="center"/>
                </w:tcPr>
                <w:p w14:paraId="60C26D0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362" w:type="pct"/>
                  <w:vAlign w:val="center"/>
                </w:tcPr>
                <w:p w14:paraId="4922ED82">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0.280 </w:t>
                  </w:r>
                </w:p>
              </w:tc>
              <w:tc>
                <w:tcPr>
                  <w:tcW w:w="322" w:type="pct"/>
                  <w:vAlign w:val="center"/>
                </w:tcPr>
                <w:p w14:paraId="1F99848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0.117 </w:t>
                  </w:r>
                </w:p>
              </w:tc>
              <w:tc>
                <w:tcPr>
                  <w:tcW w:w="356" w:type="pct"/>
                  <w:vAlign w:val="center"/>
                </w:tcPr>
                <w:p w14:paraId="284CAD1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5.304 </w:t>
                  </w:r>
                </w:p>
              </w:tc>
              <w:tc>
                <w:tcPr>
                  <w:tcW w:w="214" w:type="pct"/>
                  <w:vAlign w:val="center"/>
                </w:tcPr>
                <w:p w14:paraId="150B37A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2400</w:t>
                  </w:r>
                </w:p>
              </w:tc>
            </w:tr>
            <w:tr w14:paraId="5BB2AB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87" w:type="pct"/>
                  <w:vMerge w:val="continue"/>
                  <w:vAlign w:val="center"/>
                </w:tcPr>
                <w:p w14:paraId="23ED88BD">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p>
              </w:tc>
              <w:tc>
                <w:tcPr>
                  <w:tcW w:w="219" w:type="pct"/>
                  <w:vMerge w:val="continue"/>
                  <w:vAlign w:val="center"/>
                </w:tcPr>
                <w:p w14:paraId="4D13089A">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p>
              </w:tc>
              <w:tc>
                <w:tcPr>
                  <w:tcW w:w="661" w:type="pct"/>
                  <w:vAlign w:val="center"/>
                </w:tcPr>
                <w:p w14:paraId="31ECA02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Cs/>
                      <w:color w:val="auto"/>
                      <w:sz w:val="21"/>
                      <w:szCs w:val="21"/>
                      <w:highlight w:val="none"/>
                      <w:lang w:eastAsia="zh-CN"/>
                    </w:rPr>
                    <w:t>臭气浓度</w:t>
                  </w:r>
                </w:p>
              </w:tc>
              <w:tc>
                <w:tcPr>
                  <w:tcW w:w="307" w:type="pct"/>
                  <w:vAlign w:val="center"/>
                </w:tcPr>
                <w:p w14:paraId="72DA869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363" w:type="pct"/>
                  <w:vAlign w:val="center"/>
                </w:tcPr>
                <w:p w14:paraId="606C2D8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356" w:type="pct"/>
                  <w:vAlign w:val="center"/>
                </w:tcPr>
                <w:p w14:paraId="2919422E">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300" w:type="pct"/>
                  <w:vMerge w:val="continue"/>
                  <w:vAlign w:val="center"/>
                </w:tcPr>
                <w:p w14:paraId="19E4B498">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lang w:val="en-US" w:eastAsia="zh-CN"/>
                    </w:rPr>
                  </w:pPr>
                </w:p>
              </w:tc>
              <w:tc>
                <w:tcPr>
                  <w:tcW w:w="252" w:type="pct"/>
                  <w:vMerge w:val="continue"/>
                  <w:vAlign w:val="center"/>
                </w:tcPr>
                <w:p w14:paraId="1C498E29">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lang w:val="en-US" w:eastAsia="zh-CN"/>
                    </w:rPr>
                  </w:pPr>
                </w:p>
              </w:tc>
              <w:tc>
                <w:tcPr>
                  <w:tcW w:w="383" w:type="pct"/>
                  <w:vMerge w:val="continue"/>
                  <w:vAlign w:val="center"/>
                </w:tcPr>
                <w:p w14:paraId="6737909F">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rPr>
                  </w:pPr>
                </w:p>
              </w:tc>
              <w:tc>
                <w:tcPr>
                  <w:tcW w:w="195" w:type="pct"/>
                  <w:vAlign w:val="center"/>
                </w:tcPr>
                <w:p w14:paraId="1CF7FEB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w:t>
                  </w:r>
                </w:p>
              </w:tc>
              <w:tc>
                <w:tcPr>
                  <w:tcW w:w="219" w:type="pct"/>
                  <w:vAlign w:val="center"/>
                </w:tcPr>
                <w:p w14:paraId="73E24AB7">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w:t>
                  </w:r>
                </w:p>
              </w:tc>
              <w:tc>
                <w:tcPr>
                  <w:tcW w:w="197" w:type="pct"/>
                  <w:vMerge w:val="continue"/>
                  <w:vAlign w:val="center"/>
                </w:tcPr>
                <w:p w14:paraId="4024B504">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lang w:val="en-US" w:eastAsia="zh-CN"/>
                    </w:rPr>
                  </w:pPr>
                </w:p>
              </w:tc>
              <w:tc>
                <w:tcPr>
                  <w:tcW w:w="362" w:type="pct"/>
                  <w:vAlign w:val="center"/>
                </w:tcPr>
                <w:p w14:paraId="0494F0B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322" w:type="pct"/>
                  <w:vAlign w:val="center"/>
                </w:tcPr>
                <w:p w14:paraId="4EBBD7B7">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356" w:type="pct"/>
                  <w:vAlign w:val="center"/>
                </w:tcPr>
                <w:p w14:paraId="22FC3FD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214" w:type="pct"/>
                  <w:vAlign w:val="center"/>
                </w:tcPr>
                <w:p w14:paraId="50ADC83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2400</w:t>
                  </w:r>
                </w:p>
              </w:tc>
            </w:tr>
            <w:tr w14:paraId="4514BB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07" w:type="pct"/>
                  <w:gridSpan w:val="2"/>
                  <w:vAlign w:val="center"/>
                </w:tcPr>
                <w:p w14:paraId="3F05CBE9">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破碎</w:t>
                  </w:r>
                </w:p>
              </w:tc>
              <w:tc>
                <w:tcPr>
                  <w:tcW w:w="661" w:type="pct"/>
                  <w:vAlign w:val="center"/>
                </w:tcPr>
                <w:p w14:paraId="650ED0FD">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颗粒物</w:t>
                  </w:r>
                </w:p>
              </w:tc>
              <w:tc>
                <w:tcPr>
                  <w:tcW w:w="307" w:type="pct"/>
                  <w:vAlign w:val="center"/>
                </w:tcPr>
                <w:p w14:paraId="466144F7">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0.0375</w:t>
                  </w:r>
                </w:p>
              </w:tc>
              <w:tc>
                <w:tcPr>
                  <w:tcW w:w="363" w:type="pct"/>
                  <w:vAlign w:val="center"/>
                </w:tcPr>
                <w:p w14:paraId="6624951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0.0417</w:t>
                  </w:r>
                </w:p>
              </w:tc>
              <w:tc>
                <w:tcPr>
                  <w:tcW w:w="356" w:type="pct"/>
                  <w:vAlign w:val="center"/>
                </w:tcPr>
                <w:p w14:paraId="51D0396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300" w:type="pct"/>
                  <w:vAlign w:val="center"/>
                </w:tcPr>
                <w:p w14:paraId="12CC9EF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无组织</w:t>
                  </w:r>
                </w:p>
              </w:tc>
              <w:tc>
                <w:tcPr>
                  <w:tcW w:w="252" w:type="pct"/>
                  <w:vAlign w:val="center"/>
                </w:tcPr>
                <w:p w14:paraId="720832A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383" w:type="pct"/>
                  <w:vAlign w:val="center"/>
                </w:tcPr>
                <w:p w14:paraId="6AE40A7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lang w:val="en-US"/>
                    </w:rPr>
                  </w:pPr>
                  <w:r>
                    <w:rPr>
                      <w:rFonts w:hint="default" w:ascii="Times New Roman" w:hAnsi="Times New Roman" w:eastAsia="宋体" w:cs="Times New Roman"/>
                      <w:i w:val="0"/>
                      <w:iCs w:val="0"/>
                      <w:color w:val="auto"/>
                      <w:kern w:val="0"/>
                      <w:sz w:val="21"/>
                      <w:szCs w:val="21"/>
                      <w:u w:val="none"/>
                      <w:lang w:val="en-US" w:eastAsia="zh-CN" w:bidi="ar"/>
                    </w:rPr>
                    <w:t>/</w:t>
                  </w:r>
                </w:p>
              </w:tc>
              <w:tc>
                <w:tcPr>
                  <w:tcW w:w="195" w:type="pct"/>
                  <w:vAlign w:val="center"/>
                </w:tcPr>
                <w:p w14:paraId="4464E76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lang w:val="en-US"/>
                    </w:rPr>
                  </w:pPr>
                  <w:r>
                    <w:rPr>
                      <w:rFonts w:hint="default" w:ascii="Times New Roman" w:hAnsi="Times New Roman" w:eastAsia="宋体" w:cs="Times New Roman"/>
                      <w:i w:val="0"/>
                      <w:iCs w:val="0"/>
                      <w:color w:val="auto"/>
                      <w:kern w:val="0"/>
                      <w:sz w:val="21"/>
                      <w:szCs w:val="21"/>
                      <w:u w:val="none"/>
                      <w:lang w:val="en-US" w:eastAsia="zh-CN" w:bidi="ar"/>
                    </w:rPr>
                    <w:t>/</w:t>
                  </w:r>
                </w:p>
              </w:tc>
              <w:tc>
                <w:tcPr>
                  <w:tcW w:w="219" w:type="pct"/>
                  <w:vAlign w:val="center"/>
                </w:tcPr>
                <w:p w14:paraId="74A8A22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lang w:val="en-US"/>
                    </w:rPr>
                  </w:pPr>
                  <w:r>
                    <w:rPr>
                      <w:rFonts w:hint="default" w:ascii="Times New Roman" w:hAnsi="Times New Roman" w:eastAsia="宋体" w:cs="Times New Roman"/>
                      <w:i w:val="0"/>
                      <w:iCs w:val="0"/>
                      <w:color w:val="auto"/>
                      <w:kern w:val="0"/>
                      <w:sz w:val="21"/>
                      <w:szCs w:val="21"/>
                      <w:u w:val="none"/>
                      <w:lang w:val="en-US" w:eastAsia="zh-CN" w:bidi="ar"/>
                    </w:rPr>
                    <w:t>/</w:t>
                  </w:r>
                </w:p>
              </w:tc>
              <w:tc>
                <w:tcPr>
                  <w:tcW w:w="197" w:type="pct"/>
                  <w:vMerge w:val="restart"/>
                  <w:vAlign w:val="center"/>
                </w:tcPr>
                <w:p w14:paraId="7024A30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362" w:type="pct"/>
                  <w:vAlign w:val="center"/>
                </w:tcPr>
                <w:p w14:paraId="4F240C5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0.0375</w:t>
                  </w:r>
                </w:p>
              </w:tc>
              <w:tc>
                <w:tcPr>
                  <w:tcW w:w="322" w:type="pct"/>
                  <w:vAlign w:val="center"/>
                </w:tcPr>
                <w:p w14:paraId="3DF3C4E9">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0.0417</w:t>
                  </w:r>
                </w:p>
              </w:tc>
              <w:tc>
                <w:tcPr>
                  <w:tcW w:w="356" w:type="pct"/>
                  <w:vAlign w:val="center"/>
                </w:tcPr>
                <w:p w14:paraId="79275BA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214" w:type="pct"/>
                  <w:vAlign w:val="center"/>
                </w:tcPr>
                <w:p w14:paraId="0875F41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900</w:t>
                  </w:r>
                </w:p>
              </w:tc>
            </w:tr>
            <w:tr w14:paraId="0019EA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07" w:type="pct"/>
                  <w:gridSpan w:val="2"/>
                  <w:vAlign w:val="center"/>
                </w:tcPr>
                <w:p w14:paraId="704D7D5C">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注塑</w:t>
                  </w:r>
                </w:p>
              </w:tc>
              <w:tc>
                <w:tcPr>
                  <w:tcW w:w="661" w:type="pct"/>
                  <w:vAlign w:val="center"/>
                </w:tcPr>
                <w:p w14:paraId="50C6596E">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非甲烷总烃</w:t>
                  </w:r>
                </w:p>
              </w:tc>
              <w:tc>
                <w:tcPr>
                  <w:tcW w:w="307" w:type="pct"/>
                  <w:vAlign w:val="center"/>
                </w:tcPr>
                <w:p w14:paraId="721987D9">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1.08 </w:t>
                  </w:r>
                </w:p>
              </w:tc>
              <w:tc>
                <w:tcPr>
                  <w:tcW w:w="363" w:type="pct"/>
                  <w:vAlign w:val="center"/>
                </w:tcPr>
                <w:p w14:paraId="4F05D66E">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0.15 </w:t>
                  </w:r>
                </w:p>
              </w:tc>
              <w:tc>
                <w:tcPr>
                  <w:tcW w:w="356" w:type="pct"/>
                  <w:vAlign w:val="center"/>
                </w:tcPr>
                <w:p w14:paraId="452A074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p>
              </w:tc>
              <w:tc>
                <w:tcPr>
                  <w:tcW w:w="300" w:type="pct"/>
                  <w:vAlign w:val="center"/>
                </w:tcPr>
                <w:p w14:paraId="62B3A355">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无组织</w:t>
                  </w:r>
                </w:p>
              </w:tc>
              <w:tc>
                <w:tcPr>
                  <w:tcW w:w="252" w:type="pct"/>
                  <w:vAlign w:val="center"/>
                </w:tcPr>
                <w:p w14:paraId="3028916F">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p>
              </w:tc>
              <w:tc>
                <w:tcPr>
                  <w:tcW w:w="383" w:type="pct"/>
                  <w:vAlign w:val="center"/>
                </w:tcPr>
                <w:p w14:paraId="2BD8D9EB">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p>
              </w:tc>
              <w:tc>
                <w:tcPr>
                  <w:tcW w:w="195" w:type="pct"/>
                  <w:vAlign w:val="center"/>
                </w:tcPr>
                <w:p w14:paraId="285EA872">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p>
              </w:tc>
              <w:tc>
                <w:tcPr>
                  <w:tcW w:w="219" w:type="pct"/>
                  <w:vAlign w:val="center"/>
                </w:tcPr>
                <w:p w14:paraId="2E36B77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p>
              </w:tc>
              <w:tc>
                <w:tcPr>
                  <w:tcW w:w="197" w:type="pct"/>
                  <w:vMerge w:val="continue"/>
                  <w:vAlign w:val="center"/>
                </w:tcPr>
                <w:p w14:paraId="3092733A">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362" w:type="pct"/>
                  <w:vAlign w:val="center"/>
                </w:tcPr>
                <w:p w14:paraId="0FDF731E">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1.08 </w:t>
                  </w:r>
                </w:p>
              </w:tc>
              <w:tc>
                <w:tcPr>
                  <w:tcW w:w="322" w:type="pct"/>
                  <w:vAlign w:val="center"/>
                </w:tcPr>
                <w:p w14:paraId="080EB1C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0.15 </w:t>
                  </w:r>
                </w:p>
              </w:tc>
              <w:tc>
                <w:tcPr>
                  <w:tcW w:w="356" w:type="pct"/>
                  <w:vAlign w:val="center"/>
                </w:tcPr>
                <w:p w14:paraId="4D79D9B7">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p>
              </w:tc>
              <w:tc>
                <w:tcPr>
                  <w:tcW w:w="214" w:type="pct"/>
                  <w:vAlign w:val="center"/>
                </w:tcPr>
                <w:p w14:paraId="4908B58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7200</w:t>
                  </w:r>
                </w:p>
              </w:tc>
            </w:tr>
            <w:tr w14:paraId="0EE2EA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07" w:type="pct"/>
                  <w:gridSpan w:val="2"/>
                  <w:vMerge w:val="restart"/>
                  <w:vAlign w:val="center"/>
                </w:tcPr>
                <w:p w14:paraId="3F73E77D">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喷涂</w:t>
                  </w:r>
                </w:p>
              </w:tc>
              <w:tc>
                <w:tcPr>
                  <w:tcW w:w="661" w:type="pct"/>
                  <w:vAlign w:val="center"/>
                </w:tcPr>
                <w:p w14:paraId="3033EB50">
                  <w:pPr>
                    <w:pageBreakBefore w:val="0"/>
                    <w:wordWrap w:val="0"/>
                    <w:overflowPunct/>
                    <w:bidi w:val="0"/>
                    <w:spacing w:line="240" w:lineRule="auto"/>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highlight w:val="none"/>
                      <w:lang w:val="en-US" w:eastAsia="zh-CN"/>
                    </w:rPr>
                    <w:t>颗粒物</w:t>
                  </w:r>
                </w:p>
              </w:tc>
              <w:tc>
                <w:tcPr>
                  <w:tcW w:w="307" w:type="pct"/>
                  <w:vAlign w:val="center"/>
                </w:tcPr>
                <w:p w14:paraId="776D9C92">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0.330 </w:t>
                  </w:r>
                </w:p>
              </w:tc>
              <w:tc>
                <w:tcPr>
                  <w:tcW w:w="363" w:type="pct"/>
                  <w:vAlign w:val="center"/>
                </w:tcPr>
                <w:p w14:paraId="26C5DD1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0.138 </w:t>
                  </w:r>
                </w:p>
              </w:tc>
              <w:tc>
                <w:tcPr>
                  <w:tcW w:w="356" w:type="pct"/>
                  <w:vAlign w:val="center"/>
                </w:tcPr>
                <w:p w14:paraId="30942F9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0" w:type="pct"/>
                  <w:vAlign w:val="center"/>
                </w:tcPr>
                <w:p w14:paraId="2401D7A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无组织</w:t>
                  </w:r>
                </w:p>
              </w:tc>
              <w:tc>
                <w:tcPr>
                  <w:tcW w:w="252" w:type="pct"/>
                  <w:vAlign w:val="center"/>
                </w:tcPr>
                <w:p w14:paraId="0523A73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83" w:type="pct"/>
                  <w:vAlign w:val="center"/>
                </w:tcPr>
                <w:p w14:paraId="1D27338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95" w:type="pct"/>
                  <w:vAlign w:val="center"/>
                </w:tcPr>
                <w:p w14:paraId="20F9FD13">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19" w:type="pct"/>
                  <w:vAlign w:val="center"/>
                </w:tcPr>
                <w:p w14:paraId="633BD6B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97" w:type="pct"/>
                  <w:vMerge w:val="continue"/>
                  <w:vAlign w:val="center"/>
                </w:tcPr>
                <w:p w14:paraId="5771EEF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362" w:type="pct"/>
                  <w:vAlign w:val="center"/>
                </w:tcPr>
                <w:p w14:paraId="091A21FE">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0.330 </w:t>
                  </w:r>
                </w:p>
              </w:tc>
              <w:tc>
                <w:tcPr>
                  <w:tcW w:w="322" w:type="pct"/>
                  <w:vAlign w:val="center"/>
                </w:tcPr>
                <w:p w14:paraId="70B0B43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0.138 </w:t>
                  </w:r>
                </w:p>
              </w:tc>
              <w:tc>
                <w:tcPr>
                  <w:tcW w:w="356" w:type="pct"/>
                  <w:vAlign w:val="center"/>
                </w:tcPr>
                <w:p w14:paraId="227DFFEE">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14" w:type="pct"/>
                  <w:vAlign w:val="center"/>
                </w:tcPr>
                <w:p w14:paraId="48F4C07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2400</w:t>
                  </w:r>
                </w:p>
              </w:tc>
            </w:tr>
            <w:tr w14:paraId="681DCD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07" w:type="pct"/>
                  <w:gridSpan w:val="2"/>
                  <w:vMerge w:val="continue"/>
                  <w:vAlign w:val="center"/>
                </w:tcPr>
                <w:p w14:paraId="7D09D2D4">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p>
              </w:tc>
              <w:tc>
                <w:tcPr>
                  <w:tcW w:w="661" w:type="pct"/>
                  <w:vAlign w:val="center"/>
                </w:tcPr>
                <w:p w14:paraId="061FF32C">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307" w:type="pct"/>
                  <w:vAlign w:val="center"/>
                </w:tcPr>
                <w:p w14:paraId="24A9B610">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0.156 </w:t>
                  </w:r>
                </w:p>
              </w:tc>
              <w:tc>
                <w:tcPr>
                  <w:tcW w:w="363" w:type="pct"/>
                  <w:vAlign w:val="center"/>
                </w:tcPr>
                <w:p w14:paraId="5C295DB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0.065 </w:t>
                  </w:r>
                </w:p>
              </w:tc>
              <w:tc>
                <w:tcPr>
                  <w:tcW w:w="356" w:type="pct"/>
                  <w:vAlign w:val="center"/>
                </w:tcPr>
                <w:p w14:paraId="1586569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0" w:type="pct"/>
                  <w:vAlign w:val="center"/>
                </w:tcPr>
                <w:p w14:paraId="0A90A4B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无组织</w:t>
                  </w:r>
                </w:p>
              </w:tc>
              <w:tc>
                <w:tcPr>
                  <w:tcW w:w="252" w:type="pct"/>
                  <w:vAlign w:val="center"/>
                </w:tcPr>
                <w:p w14:paraId="6CC69DB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83" w:type="pct"/>
                  <w:vAlign w:val="center"/>
                </w:tcPr>
                <w:p w14:paraId="32061D2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95" w:type="pct"/>
                  <w:vAlign w:val="center"/>
                </w:tcPr>
                <w:p w14:paraId="2DBBA13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19" w:type="pct"/>
                  <w:vAlign w:val="center"/>
                </w:tcPr>
                <w:p w14:paraId="1D2D7D4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97" w:type="pct"/>
                  <w:vMerge w:val="continue"/>
                  <w:vAlign w:val="center"/>
                </w:tcPr>
                <w:p w14:paraId="154B489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362" w:type="pct"/>
                  <w:vAlign w:val="center"/>
                </w:tcPr>
                <w:p w14:paraId="1B96A5C3">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0.156 </w:t>
                  </w:r>
                </w:p>
              </w:tc>
              <w:tc>
                <w:tcPr>
                  <w:tcW w:w="322" w:type="pct"/>
                  <w:vAlign w:val="center"/>
                </w:tcPr>
                <w:p w14:paraId="6B8CF543">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0.065 </w:t>
                  </w:r>
                </w:p>
              </w:tc>
              <w:tc>
                <w:tcPr>
                  <w:tcW w:w="356" w:type="pct"/>
                  <w:vAlign w:val="center"/>
                </w:tcPr>
                <w:p w14:paraId="0699A1CC">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14" w:type="pct"/>
                  <w:vAlign w:val="center"/>
                </w:tcPr>
                <w:p w14:paraId="4F04E30C">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2400</w:t>
                  </w:r>
                </w:p>
              </w:tc>
            </w:tr>
            <w:tr w14:paraId="0B1211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07" w:type="pct"/>
                  <w:gridSpan w:val="2"/>
                  <w:vAlign w:val="center"/>
                </w:tcPr>
                <w:p w14:paraId="499E836D">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注塑、喷涂</w:t>
                  </w:r>
                </w:p>
              </w:tc>
              <w:tc>
                <w:tcPr>
                  <w:tcW w:w="661" w:type="pct"/>
                  <w:vAlign w:val="center"/>
                </w:tcPr>
                <w:p w14:paraId="4A3AEA04">
                  <w:pPr>
                    <w:pageBreakBefore w:val="0"/>
                    <w:wordWrap w:val="0"/>
                    <w:overflowPunct/>
                    <w:bidi w:val="0"/>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eastAsia="zh-CN"/>
                    </w:rPr>
                    <w:t>臭气浓度</w:t>
                  </w:r>
                </w:p>
              </w:tc>
              <w:tc>
                <w:tcPr>
                  <w:tcW w:w="307" w:type="pct"/>
                  <w:vAlign w:val="center"/>
                </w:tcPr>
                <w:p w14:paraId="70C38497">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363" w:type="pct"/>
                  <w:vAlign w:val="center"/>
                </w:tcPr>
                <w:p w14:paraId="712BECAE">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356" w:type="pct"/>
                  <w:vAlign w:val="center"/>
                </w:tcPr>
                <w:p w14:paraId="7BBE9597">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300" w:type="pct"/>
                  <w:vAlign w:val="center"/>
                </w:tcPr>
                <w:p w14:paraId="1EB4EBA1">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无组织</w:t>
                  </w:r>
                </w:p>
              </w:tc>
              <w:tc>
                <w:tcPr>
                  <w:tcW w:w="252" w:type="pct"/>
                  <w:vAlign w:val="center"/>
                </w:tcPr>
                <w:p w14:paraId="4F314015">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p>
              </w:tc>
              <w:tc>
                <w:tcPr>
                  <w:tcW w:w="383" w:type="pct"/>
                  <w:vAlign w:val="center"/>
                </w:tcPr>
                <w:p w14:paraId="7511FB3E">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p>
              </w:tc>
              <w:tc>
                <w:tcPr>
                  <w:tcW w:w="195" w:type="pct"/>
                  <w:vAlign w:val="center"/>
                </w:tcPr>
                <w:p w14:paraId="19514402">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219" w:type="pct"/>
                  <w:vAlign w:val="center"/>
                </w:tcPr>
                <w:p w14:paraId="4512F04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197" w:type="pct"/>
                  <w:vMerge w:val="continue"/>
                  <w:vAlign w:val="center"/>
                </w:tcPr>
                <w:p w14:paraId="3D5360A5">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362" w:type="pct"/>
                  <w:vAlign w:val="center"/>
                </w:tcPr>
                <w:p w14:paraId="5F03AFA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少量</w:t>
                  </w:r>
                </w:p>
              </w:tc>
              <w:tc>
                <w:tcPr>
                  <w:tcW w:w="322" w:type="pct"/>
                  <w:vAlign w:val="center"/>
                </w:tcPr>
                <w:p w14:paraId="2C5F07B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356" w:type="pct"/>
                  <w:vAlign w:val="center"/>
                </w:tcPr>
                <w:p w14:paraId="1BE83672">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214" w:type="pct"/>
                  <w:vAlign w:val="center"/>
                </w:tcPr>
                <w:p w14:paraId="30B492B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7200</w:t>
                  </w:r>
                </w:p>
              </w:tc>
            </w:tr>
          </w:tbl>
          <w:p w14:paraId="1C643533">
            <w:pPr>
              <w:pStyle w:val="25"/>
              <w:pageBreakBefore w:val="0"/>
              <w:numPr>
                <w:ilvl w:val="0"/>
                <w:numId w:val="0"/>
              </w:numPr>
              <w:tabs>
                <w:tab w:val="left" w:pos="0"/>
              </w:tabs>
              <w:wordWrap w:val="0"/>
              <w:overflowPunct/>
              <w:bidi w:val="0"/>
              <w:spacing w:after="0" w:line="360" w:lineRule="auto"/>
              <w:ind w:left="0" w:leftChars="0" w:firstLine="420" w:firstLineChars="0"/>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cs="Times New Roman"/>
                <w:b/>
                <w:bCs/>
                <w:color w:val="auto"/>
                <w:kern w:val="2"/>
                <w:sz w:val="24"/>
                <w:szCs w:val="24"/>
                <w:lang w:val="en-US" w:eastAsia="zh-CN" w:bidi="ar-SA"/>
              </w:rPr>
              <w:t>2、废气排放口基本情况</w:t>
            </w:r>
          </w:p>
          <w:p w14:paraId="0A139926">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rPr>
            </w:pPr>
            <w:r>
              <w:rPr>
                <w:rFonts w:hint="default" w:ascii="Times New Roman" w:hAnsi="Times New Roman" w:cs="Times New Roman"/>
                <w:b/>
                <w:color w:val="auto"/>
              </w:rPr>
              <w:t>废气排放口基本情况一览表</w:t>
            </w:r>
          </w:p>
          <w:tbl>
            <w:tblPr>
              <w:tblStyle w:val="38"/>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53"/>
              <w:gridCol w:w="621"/>
              <w:gridCol w:w="754"/>
              <w:gridCol w:w="905"/>
              <w:gridCol w:w="754"/>
              <w:gridCol w:w="769"/>
              <w:gridCol w:w="708"/>
              <w:gridCol w:w="491"/>
              <w:gridCol w:w="580"/>
              <w:gridCol w:w="491"/>
              <w:gridCol w:w="356"/>
              <w:gridCol w:w="6304"/>
            </w:tblGrid>
            <w:tr w14:paraId="68100F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97" w:hRule="atLeast"/>
                <w:jc w:val="center"/>
              </w:trPr>
              <w:tc>
                <w:tcPr>
                  <w:tcW w:w="0" w:type="auto"/>
                  <w:vMerge w:val="restart"/>
                  <w:vAlign w:val="center"/>
                </w:tcPr>
                <w:p w14:paraId="7296E8FD">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eastAsia="宋体" w:cs="Times New Roman"/>
                      <w:b w:val="0"/>
                      <w:bCs/>
                      <w:color w:val="auto"/>
                      <w:sz w:val="21"/>
                      <w:szCs w:val="21"/>
                      <w:highlight w:val="none"/>
                      <w:lang w:eastAsia="zh-CN"/>
                    </w:rPr>
                    <w:t>排放口类型</w:t>
                  </w:r>
                </w:p>
              </w:tc>
              <w:tc>
                <w:tcPr>
                  <w:tcW w:w="0" w:type="auto"/>
                  <w:vMerge w:val="restart"/>
                  <w:vAlign w:val="center"/>
                </w:tcPr>
                <w:p w14:paraId="336C3792">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产污环节</w:t>
                  </w:r>
                </w:p>
              </w:tc>
              <w:tc>
                <w:tcPr>
                  <w:tcW w:w="0" w:type="auto"/>
                  <w:vMerge w:val="restart"/>
                  <w:vAlign w:val="center"/>
                </w:tcPr>
                <w:p w14:paraId="5BA22FC9">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排放口名称</w:t>
                  </w:r>
                </w:p>
                <w:p w14:paraId="52A03B1B">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及编号</w:t>
                  </w:r>
                </w:p>
              </w:tc>
              <w:tc>
                <w:tcPr>
                  <w:tcW w:w="0" w:type="auto"/>
                  <w:vMerge w:val="restart"/>
                  <w:vAlign w:val="center"/>
                </w:tcPr>
                <w:p w14:paraId="30624329">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设计风量</w:t>
                  </w:r>
                  <w:r>
                    <w:rPr>
                      <w:rFonts w:hint="default" w:ascii="Times New Roman" w:hAnsi="Times New Roman" w:cs="Times New Roman"/>
                      <w:b w:val="0"/>
                      <w:bCs/>
                      <w:color w:val="auto"/>
                      <w:sz w:val="21"/>
                      <w:szCs w:val="21"/>
                      <w:highlight w:val="none"/>
                      <w:lang w:val="en-US" w:eastAsia="zh-CN"/>
                    </w:rPr>
                    <w:t>m</w:t>
                  </w:r>
                  <w:r>
                    <w:rPr>
                      <w:rFonts w:hint="default" w:ascii="Times New Roman" w:hAnsi="Times New Roman" w:cs="Times New Roman"/>
                      <w:b w:val="0"/>
                      <w:bCs/>
                      <w:color w:val="auto"/>
                      <w:sz w:val="21"/>
                      <w:szCs w:val="21"/>
                      <w:highlight w:val="none"/>
                      <w:vertAlign w:val="superscript"/>
                      <w:lang w:val="en-US" w:eastAsia="zh-CN"/>
                    </w:rPr>
                    <w:t>3</w:t>
                  </w:r>
                  <w:r>
                    <w:rPr>
                      <w:rFonts w:hint="default" w:ascii="Times New Roman" w:hAnsi="Times New Roman" w:cs="Times New Roman"/>
                      <w:b w:val="0"/>
                      <w:bCs/>
                      <w:color w:val="auto"/>
                      <w:sz w:val="21"/>
                      <w:szCs w:val="21"/>
                      <w:highlight w:val="none"/>
                      <w:lang w:val="en-US" w:eastAsia="zh-CN"/>
                    </w:rPr>
                    <w:t>/h</w:t>
                  </w:r>
                </w:p>
              </w:tc>
              <w:tc>
                <w:tcPr>
                  <w:tcW w:w="0" w:type="auto"/>
                  <w:vMerge w:val="restart"/>
                  <w:vAlign w:val="center"/>
                </w:tcPr>
                <w:p w14:paraId="5B55E292">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污染物</w:t>
                  </w:r>
                </w:p>
              </w:tc>
              <w:tc>
                <w:tcPr>
                  <w:tcW w:w="0" w:type="auto"/>
                  <w:gridSpan w:val="2"/>
                  <w:vAlign w:val="center"/>
                </w:tcPr>
                <w:p w14:paraId="4FFDB7E7">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排放口地理坐标</w:t>
                  </w:r>
                </w:p>
              </w:tc>
              <w:tc>
                <w:tcPr>
                  <w:tcW w:w="0" w:type="auto"/>
                  <w:vMerge w:val="restart"/>
                  <w:vAlign w:val="center"/>
                </w:tcPr>
                <w:p w14:paraId="4643C7BA">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高度m</w:t>
                  </w:r>
                </w:p>
              </w:tc>
              <w:tc>
                <w:tcPr>
                  <w:tcW w:w="0" w:type="auto"/>
                  <w:vMerge w:val="restart"/>
                  <w:vAlign w:val="center"/>
                </w:tcPr>
                <w:p w14:paraId="55672110">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流速</w:t>
                  </w:r>
                  <w:r>
                    <w:rPr>
                      <w:rFonts w:hint="default" w:ascii="Times New Roman" w:hAnsi="Times New Roman" w:cs="Times New Roman"/>
                      <w:b w:val="0"/>
                      <w:bCs/>
                      <w:color w:val="auto"/>
                      <w:sz w:val="21"/>
                      <w:szCs w:val="21"/>
                      <w:highlight w:val="none"/>
                      <w:lang w:val="en-US" w:eastAsia="zh-CN"/>
                    </w:rPr>
                    <w:t>m/s</w:t>
                  </w:r>
                </w:p>
              </w:tc>
              <w:tc>
                <w:tcPr>
                  <w:tcW w:w="0" w:type="auto"/>
                  <w:vMerge w:val="restart"/>
                  <w:vAlign w:val="center"/>
                </w:tcPr>
                <w:p w14:paraId="5E57BA33">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eastAsia="宋体" w:cs="Times New Roman"/>
                      <w:b w:val="0"/>
                      <w:bCs/>
                      <w:color w:val="auto"/>
                      <w:sz w:val="21"/>
                      <w:szCs w:val="21"/>
                      <w:highlight w:val="none"/>
                      <w:lang w:eastAsia="zh-CN"/>
                    </w:rPr>
                    <w:t>内径m</w:t>
                  </w:r>
                </w:p>
              </w:tc>
              <w:tc>
                <w:tcPr>
                  <w:tcW w:w="0" w:type="auto"/>
                  <w:vMerge w:val="restart"/>
                  <w:vAlign w:val="center"/>
                </w:tcPr>
                <w:p w14:paraId="04C313FF">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温度</w:t>
                  </w:r>
                </w:p>
                <w:p w14:paraId="2D5F3A02">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w:t>
                  </w:r>
                </w:p>
              </w:tc>
              <w:tc>
                <w:tcPr>
                  <w:tcW w:w="0" w:type="auto"/>
                  <w:vMerge w:val="restart"/>
                  <w:vAlign w:val="center"/>
                </w:tcPr>
                <w:p w14:paraId="75A1F94B">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执行标准</w:t>
                  </w:r>
                </w:p>
              </w:tc>
            </w:tr>
            <w:tr w14:paraId="71C5DD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87" w:hRule="atLeast"/>
                <w:jc w:val="center"/>
              </w:trPr>
              <w:tc>
                <w:tcPr>
                  <w:tcW w:w="0" w:type="auto"/>
                  <w:vMerge w:val="continue"/>
                  <w:vAlign w:val="center"/>
                </w:tcPr>
                <w:p w14:paraId="73802152">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06347CAB">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4CD2A4FD">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4E15F1C8">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76ADC9A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Align w:val="center"/>
                </w:tcPr>
                <w:p w14:paraId="0C8EA9DF">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经度</w:t>
                  </w:r>
                </w:p>
              </w:tc>
              <w:tc>
                <w:tcPr>
                  <w:tcW w:w="0" w:type="auto"/>
                  <w:vAlign w:val="center"/>
                </w:tcPr>
                <w:p w14:paraId="61DDBBC0">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纬度</w:t>
                  </w:r>
                </w:p>
              </w:tc>
              <w:tc>
                <w:tcPr>
                  <w:tcW w:w="0" w:type="auto"/>
                  <w:vMerge w:val="continue"/>
                  <w:vAlign w:val="center"/>
                </w:tcPr>
                <w:p w14:paraId="200047C3">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54AF5B71">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0E273DAF">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2B0AC3CF">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305EC232">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p>
              </w:tc>
            </w:tr>
            <w:tr w14:paraId="48E618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0" w:hRule="atLeast"/>
                <w:jc w:val="center"/>
              </w:trPr>
              <w:tc>
                <w:tcPr>
                  <w:tcW w:w="0" w:type="auto"/>
                  <w:vMerge w:val="restart"/>
                  <w:vAlign w:val="center"/>
                </w:tcPr>
                <w:p w14:paraId="3F4822E5">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一般排放口</w:t>
                  </w:r>
                </w:p>
              </w:tc>
              <w:tc>
                <w:tcPr>
                  <w:tcW w:w="0" w:type="auto"/>
                  <w:vMerge w:val="restart"/>
                  <w:vAlign w:val="center"/>
                </w:tcPr>
                <w:p w14:paraId="680C514B">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注塑</w:t>
                  </w:r>
                  <w:r>
                    <w:rPr>
                      <w:rFonts w:hint="default" w:ascii="Times New Roman" w:hAnsi="Times New Roman" w:cs="Times New Roman"/>
                      <w:bCs/>
                      <w:color w:val="auto"/>
                      <w:sz w:val="21"/>
                      <w:szCs w:val="21"/>
                      <w:highlight w:val="none"/>
                      <w:lang w:eastAsia="zh-CN"/>
                    </w:rPr>
                    <w:t>工序</w:t>
                  </w:r>
                </w:p>
              </w:tc>
              <w:tc>
                <w:tcPr>
                  <w:tcW w:w="0" w:type="auto"/>
                  <w:vMerge w:val="restart"/>
                  <w:vAlign w:val="center"/>
                </w:tcPr>
                <w:p w14:paraId="2A284DC5">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DA005</w:t>
                  </w:r>
                </w:p>
              </w:tc>
              <w:tc>
                <w:tcPr>
                  <w:tcW w:w="0" w:type="auto"/>
                  <w:vMerge w:val="restart"/>
                  <w:vAlign w:val="center"/>
                </w:tcPr>
                <w:p w14:paraId="1F7E9659">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25000</w:t>
                  </w:r>
                </w:p>
              </w:tc>
              <w:tc>
                <w:tcPr>
                  <w:tcW w:w="0" w:type="auto"/>
                  <w:vAlign w:val="center"/>
                </w:tcPr>
                <w:p w14:paraId="1535850B">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非甲烷总烃</w:t>
                  </w:r>
                </w:p>
              </w:tc>
              <w:tc>
                <w:tcPr>
                  <w:tcW w:w="0" w:type="auto"/>
                  <w:vMerge w:val="restart"/>
                  <w:vAlign w:val="center"/>
                </w:tcPr>
                <w:p w14:paraId="0920B3E1">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val="en-US" w:eastAsia="zh-CN"/>
                    </w:rPr>
                    <w:t>113.404591°</w:t>
                  </w:r>
                </w:p>
              </w:tc>
              <w:tc>
                <w:tcPr>
                  <w:tcW w:w="0" w:type="auto"/>
                  <w:vMerge w:val="restart"/>
                  <w:vAlign w:val="center"/>
                </w:tcPr>
                <w:p w14:paraId="7767BC9B">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25.130914°</w:t>
                  </w:r>
                </w:p>
              </w:tc>
              <w:tc>
                <w:tcPr>
                  <w:tcW w:w="0" w:type="auto"/>
                  <w:vMerge w:val="restart"/>
                  <w:vAlign w:val="center"/>
                </w:tcPr>
                <w:p w14:paraId="4CA6F081">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15</w:t>
                  </w:r>
                </w:p>
              </w:tc>
              <w:tc>
                <w:tcPr>
                  <w:tcW w:w="0" w:type="auto"/>
                  <w:vMerge w:val="restart"/>
                  <w:vAlign w:val="center"/>
                </w:tcPr>
                <w:p w14:paraId="4517A3C6">
                  <w:pPr>
                    <w:keepNext w:val="0"/>
                    <w:keepLines w:val="0"/>
                    <w:pageBreakBefore w:val="0"/>
                    <w:widowControl/>
                    <w:suppressLineNumbers w:val="0"/>
                    <w:wordWrap w:val="0"/>
                    <w:overflowPunct/>
                    <w:bidi w:val="0"/>
                    <w:jc w:val="center"/>
                    <w:textAlignment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13.82</w:t>
                  </w:r>
                </w:p>
              </w:tc>
              <w:tc>
                <w:tcPr>
                  <w:tcW w:w="0" w:type="auto"/>
                  <w:vMerge w:val="restart"/>
                  <w:vAlign w:val="center"/>
                </w:tcPr>
                <w:p w14:paraId="0727EBF7">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0.8</w:t>
                  </w:r>
                </w:p>
              </w:tc>
              <w:tc>
                <w:tcPr>
                  <w:tcW w:w="0" w:type="auto"/>
                  <w:vMerge w:val="restart"/>
                  <w:vAlign w:val="center"/>
                </w:tcPr>
                <w:p w14:paraId="1B86C74C">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25</w:t>
                  </w:r>
                </w:p>
              </w:tc>
              <w:tc>
                <w:tcPr>
                  <w:tcW w:w="0" w:type="auto"/>
                  <w:vAlign w:val="center"/>
                </w:tcPr>
                <w:p w14:paraId="789DB4CC">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《合成树脂工业污染物排放标准》（GB 31572-2015，含2024年修改单）表5污染物特别排放限值</w:t>
                  </w:r>
                </w:p>
              </w:tc>
            </w:tr>
            <w:tr w14:paraId="6F83A3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0" w:type="auto"/>
                  <w:vMerge w:val="continue"/>
                  <w:vAlign w:val="center"/>
                </w:tcPr>
                <w:p w14:paraId="6EA02B6B">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5887208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14F54E68">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38301D7A">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Align w:val="center"/>
                </w:tcPr>
                <w:p w14:paraId="0403C58B">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臭气浓度</w:t>
                  </w:r>
                </w:p>
              </w:tc>
              <w:tc>
                <w:tcPr>
                  <w:tcW w:w="0" w:type="auto"/>
                  <w:vMerge w:val="continue"/>
                  <w:vAlign w:val="center"/>
                </w:tcPr>
                <w:p w14:paraId="1E7A010F">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18F93513">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18B93795">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1F871930">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0D5F2EBF">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6BD913CC">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Align w:val="center"/>
                </w:tcPr>
                <w:p w14:paraId="31973F22">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《恶臭污染物排放标准》（GB14554-93）表2 恶臭污染物排放标准值</w:t>
                  </w:r>
                </w:p>
              </w:tc>
            </w:tr>
            <w:tr w14:paraId="1A70D4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0" w:type="auto"/>
                  <w:vMerge w:val="restart"/>
                  <w:vAlign w:val="center"/>
                </w:tcPr>
                <w:p w14:paraId="0032C44D">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一般排放口</w:t>
                  </w:r>
                </w:p>
              </w:tc>
              <w:tc>
                <w:tcPr>
                  <w:tcW w:w="0" w:type="auto"/>
                  <w:vMerge w:val="restart"/>
                  <w:vAlign w:val="center"/>
                </w:tcPr>
                <w:p w14:paraId="31B1682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喷涂工序</w:t>
                  </w:r>
                </w:p>
              </w:tc>
              <w:tc>
                <w:tcPr>
                  <w:tcW w:w="0" w:type="auto"/>
                  <w:vMerge w:val="restart"/>
                  <w:vAlign w:val="center"/>
                </w:tcPr>
                <w:p w14:paraId="2C4178D3">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DA006</w:t>
                  </w:r>
                </w:p>
              </w:tc>
              <w:tc>
                <w:tcPr>
                  <w:tcW w:w="0" w:type="auto"/>
                  <w:vMerge w:val="restart"/>
                  <w:vAlign w:val="center"/>
                </w:tcPr>
                <w:p w14:paraId="4B083E2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22000</w:t>
                  </w:r>
                </w:p>
              </w:tc>
              <w:tc>
                <w:tcPr>
                  <w:tcW w:w="0" w:type="auto"/>
                  <w:vAlign w:val="center"/>
                </w:tcPr>
                <w:p w14:paraId="7BF4AD98">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0" w:type="auto"/>
                  <w:vMerge w:val="restart"/>
                  <w:vAlign w:val="center"/>
                </w:tcPr>
                <w:p w14:paraId="62D2D742">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val="en-US" w:eastAsia="zh-CN"/>
                    </w:rPr>
                    <w:t>113.404470°</w:t>
                  </w:r>
                </w:p>
              </w:tc>
              <w:tc>
                <w:tcPr>
                  <w:tcW w:w="0" w:type="auto"/>
                  <w:vMerge w:val="restart"/>
                  <w:vAlign w:val="center"/>
                </w:tcPr>
                <w:p w14:paraId="59DAD08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val="en-US" w:eastAsia="zh-CN"/>
                    </w:rPr>
                    <w:t>25.130145°</w:t>
                  </w:r>
                </w:p>
              </w:tc>
              <w:tc>
                <w:tcPr>
                  <w:tcW w:w="0" w:type="auto"/>
                  <w:vMerge w:val="restart"/>
                  <w:vAlign w:val="center"/>
                </w:tcPr>
                <w:p w14:paraId="61053DE1">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val="en-US" w:eastAsia="zh-CN"/>
                    </w:rPr>
                    <w:t>15</w:t>
                  </w:r>
                </w:p>
              </w:tc>
              <w:tc>
                <w:tcPr>
                  <w:tcW w:w="0" w:type="auto"/>
                  <w:vMerge w:val="restart"/>
                  <w:vAlign w:val="center"/>
                </w:tcPr>
                <w:p w14:paraId="3F1C95E1">
                  <w:pPr>
                    <w:keepNext w:val="0"/>
                    <w:keepLines w:val="0"/>
                    <w:pageBreakBefore w:val="0"/>
                    <w:widowControl/>
                    <w:suppressLineNumbers w:val="0"/>
                    <w:wordWrap w:val="0"/>
                    <w:overflowPunct/>
                    <w:bidi w:val="0"/>
                    <w:jc w:val="center"/>
                    <w:textAlignment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12.16</w:t>
                  </w:r>
                </w:p>
              </w:tc>
              <w:tc>
                <w:tcPr>
                  <w:tcW w:w="0" w:type="auto"/>
                  <w:vMerge w:val="restart"/>
                  <w:vAlign w:val="center"/>
                </w:tcPr>
                <w:p w14:paraId="4349454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0.4</w:t>
                  </w:r>
                </w:p>
              </w:tc>
              <w:tc>
                <w:tcPr>
                  <w:tcW w:w="0" w:type="auto"/>
                  <w:vAlign w:val="center"/>
                </w:tcPr>
                <w:p w14:paraId="50A67330">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25</w:t>
                  </w:r>
                </w:p>
              </w:tc>
              <w:tc>
                <w:tcPr>
                  <w:tcW w:w="0" w:type="auto"/>
                  <w:vAlign w:val="center"/>
                </w:tcPr>
                <w:p w14:paraId="7C306C1C">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广东省《大气污染物排放限值》（DB44/27-2001</w:t>
                  </w:r>
                  <w:r>
                    <w:rPr>
                      <w:rFonts w:hint="eastAsia" w:cs="Times New Roman"/>
                      <w:b w:val="0"/>
                      <w:bCs/>
                      <w:color w:val="auto"/>
                      <w:sz w:val="21"/>
                      <w:szCs w:val="21"/>
                      <w:highlight w:val="none"/>
                      <w:lang w:eastAsia="zh-CN"/>
                    </w:rPr>
                    <w:t>）</w:t>
                  </w:r>
                  <w:r>
                    <w:rPr>
                      <w:rFonts w:hint="default" w:ascii="Times New Roman" w:hAnsi="Times New Roman" w:cs="Times New Roman"/>
                      <w:b w:val="0"/>
                      <w:bCs/>
                      <w:color w:val="auto"/>
                      <w:sz w:val="21"/>
                      <w:szCs w:val="21"/>
                      <w:highlight w:val="none"/>
                    </w:rPr>
                    <w:t>第二时段二级标准</w:t>
                  </w:r>
                </w:p>
              </w:tc>
            </w:tr>
            <w:tr w14:paraId="1A794F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0" w:type="auto"/>
                  <w:vMerge w:val="continue"/>
                  <w:vAlign w:val="center"/>
                </w:tcPr>
                <w:p w14:paraId="5AFE6FEA">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53F58BF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p>
              </w:tc>
              <w:tc>
                <w:tcPr>
                  <w:tcW w:w="0" w:type="auto"/>
                  <w:vMerge w:val="continue"/>
                  <w:vAlign w:val="center"/>
                </w:tcPr>
                <w:p w14:paraId="022D8DD7">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p>
              </w:tc>
              <w:tc>
                <w:tcPr>
                  <w:tcW w:w="0" w:type="auto"/>
                  <w:vMerge w:val="continue"/>
                  <w:vAlign w:val="center"/>
                </w:tcPr>
                <w:p w14:paraId="4568B1D0">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p>
              </w:tc>
              <w:tc>
                <w:tcPr>
                  <w:tcW w:w="0" w:type="auto"/>
                  <w:vAlign w:val="center"/>
                </w:tcPr>
                <w:p w14:paraId="081D3782">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0" w:type="auto"/>
                  <w:vMerge w:val="continue"/>
                  <w:vAlign w:val="center"/>
                </w:tcPr>
                <w:p w14:paraId="4F0FF00D">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5A85DFD5">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6BDCFBC6">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p>
              </w:tc>
              <w:tc>
                <w:tcPr>
                  <w:tcW w:w="0" w:type="auto"/>
                  <w:vMerge w:val="continue"/>
                  <w:vAlign w:val="center"/>
                </w:tcPr>
                <w:p w14:paraId="226C7917">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p>
              </w:tc>
              <w:tc>
                <w:tcPr>
                  <w:tcW w:w="0" w:type="auto"/>
                  <w:vMerge w:val="continue"/>
                  <w:vAlign w:val="center"/>
                </w:tcPr>
                <w:p w14:paraId="6EB8629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p>
              </w:tc>
              <w:tc>
                <w:tcPr>
                  <w:tcW w:w="0" w:type="auto"/>
                  <w:vAlign w:val="center"/>
                </w:tcPr>
                <w:p w14:paraId="27BFC6D2">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25</w:t>
                  </w:r>
                </w:p>
              </w:tc>
              <w:tc>
                <w:tcPr>
                  <w:tcW w:w="0" w:type="auto"/>
                  <w:vAlign w:val="center"/>
                </w:tcPr>
                <w:p w14:paraId="40A428D3">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广东省《固定污染源挥发性有机物综合排放标准》（DB44/2367-2022）中表1挥发性有机物排放限值要求</w:t>
                  </w:r>
                </w:p>
              </w:tc>
            </w:tr>
            <w:tr w14:paraId="12564A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0" w:type="auto"/>
                  <w:vMerge w:val="continue"/>
                  <w:vAlign w:val="center"/>
                </w:tcPr>
                <w:p w14:paraId="5BE20837">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14174228">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p>
              </w:tc>
              <w:tc>
                <w:tcPr>
                  <w:tcW w:w="0" w:type="auto"/>
                  <w:vMerge w:val="continue"/>
                  <w:vAlign w:val="center"/>
                </w:tcPr>
                <w:p w14:paraId="145BD860">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p>
              </w:tc>
              <w:tc>
                <w:tcPr>
                  <w:tcW w:w="0" w:type="auto"/>
                  <w:vMerge w:val="continue"/>
                  <w:vAlign w:val="center"/>
                </w:tcPr>
                <w:p w14:paraId="3B3FDD85">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p>
              </w:tc>
              <w:tc>
                <w:tcPr>
                  <w:tcW w:w="0" w:type="auto"/>
                  <w:vAlign w:val="center"/>
                </w:tcPr>
                <w:p w14:paraId="72DCBE8C">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Cs/>
                      <w:color w:val="auto"/>
                      <w:sz w:val="21"/>
                      <w:szCs w:val="21"/>
                      <w:highlight w:val="none"/>
                      <w:lang w:eastAsia="zh-CN"/>
                    </w:rPr>
                    <w:t>臭气浓度</w:t>
                  </w:r>
                </w:p>
              </w:tc>
              <w:tc>
                <w:tcPr>
                  <w:tcW w:w="0" w:type="auto"/>
                  <w:vMerge w:val="continue"/>
                  <w:vAlign w:val="center"/>
                </w:tcPr>
                <w:p w14:paraId="54AAA345">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66F889C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0" w:type="auto"/>
                  <w:vMerge w:val="continue"/>
                  <w:vAlign w:val="center"/>
                </w:tcPr>
                <w:p w14:paraId="3C79EBE2">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p>
              </w:tc>
              <w:tc>
                <w:tcPr>
                  <w:tcW w:w="0" w:type="auto"/>
                  <w:vMerge w:val="continue"/>
                  <w:vAlign w:val="center"/>
                </w:tcPr>
                <w:p w14:paraId="3E5FA3DF">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p>
              </w:tc>
              <w:tc>
                <w:tcPr>
                  <w:tcW w:w="0" w:type="auto"/>
                  <w:vMerge w:val="continue"/>
                  <w:vAlign w:val="center"/>
                </w:tcPr>
                <w:p w14:paraId="536EDF4B">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p>
              </w:tc>
              <w:tc>
                <w:tcPr>
                  <w:tcW w:w="0" w:type="auto"/>
                  <w:vAlign w:val="center"/>
                </w:tcPr>
                <w:p w14:paraId="11B15963">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25</w:t>
                  </w:r>
                </w:p>
              </w:tc>
              <w:tc>
                <w:tcPr>
                  <w:tcW w:w="0" w:type="auto"/>
                  <w:vAlign w:val="center"/>
                </w:tcPr>
                <w:p w14:paraId="61F65AC7">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《恶臭污染物排放标准》（GB14554-93）表2 恶臭污染物排放标准值</w:t>
                  </w:r>
                </w:p>
              </w:tc>
            </w:tr>
          </w:tbl>
          <w:p w14:paraId="32009A3B">
            <w:pPr>
              <w:pStyle w:val="25"/>
              <w:pageBreakBefore w:val="0"/>
              <w:numPr>
                <w:ilvl w:val="0"/>
                <w:numId w:val="0"/>
              </w:numPr>
              <w:tabs>
                <w:tab w:val="left" w:pos="0"/>
              </w:tabs>
              <w:wordWrap w:val="0"/>
              <w:overflowPunct/>
              <w:bidi w:val="0"/>
              <w:spacing w:after="0" w:line="360" w:lineRule="auto"/>
              <w:ind w:left="0" w:leftChars="0" w:firstLine="420" w:firstLineChars="0"/>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cs="Times New Roman"/>
                <w:b/>
                <w:bCs/>
                <w:color w:val="auto"/>
                <w:kern w:val="2"/>
                <w:sz w:val="24"/>
                <w:szCs w:val="24"/>
                <w:lang w:val="en-US" w:eastAsia="zh-CN" w:bidi="ar-SA"/>
              </w:rPr>
              <w:t>3、监测要求</w:t>
            </w:r>
          </w:p>
          <w:p w14:paraId="0F02F08E">
            <w:pPr>
              <w:pStyle w:val="25"/>
              <w:pageBreakBefore w:val="0"/>
              <w:numPr>
                <w:ilvl w:val="0"/>
                <w:numId w:val="0"/>
              </w:numPr>
              <w:tabs>
                <w:tab w:val="left" w:pos="0"/>
              </w:tabs>
              <w:wordWrap w:val="0"/>
              <w:overflowPunct/>
              <w:bidi w:val="0"/>
              <w:spacing w:after="0" w:line="360" w:lineRule="auto"/>
              <w:ind w:left="0" w:leftChars="0" w:firstLine="420" w:firstLineChars="0"/>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cs="Times New Roman"/>
                <w:b w:val="0"/>
                <w:bCs w:val="0"/>
                <w:color w:val="auto"/>
                <w:kern w:val="2"/>
                <w:sz w:val="24"/>
                <w:szCs w:val="24"/>
                <w:lang w:val="en-US" w:eastAsia="zh-CN" w:bidi="ar-SA"/>
              </w:rPr>
              <w:t>参考</w:t>
            </w:r>
            <w:r>
              <w:rPr>
                <w:rFonts w:hint="default" w:ascii="Times New Roman" w:hAnsi="Times New Roman" w:eastAsia="宋体" w:cs="Times New Roman"/>
                <w:b w:val="0"/>
                <w:bCs w:val="0"/>
                <w:color w:val="auto"/>
                <w:kern w:val="2"/>
                <w:sz w:val="24"/>
                <w:szCs w:val="24"/>
                <w:lang w:val="en-US" w:eastAsia="zh-CN" w:bidi="ar-SA"/>
              </w:rPr>
              <w:t>《排污单位自行监测技术指南 总则》（HJ819-2017）、《排污许可证申请与核发技术规范 橡胶和塑料制品工业》（HJ1122—2020）</w:t>
            </w:r>
            <w:r>
              <w:rPr>
                <w:rFonts w:hint="eastAsia" w:cs="Times New Roman"/>
                <w:b w:val="0"/>
                <w:bCs w:val="0"/>
                <w:color w:val="auto"/>
                <w:kern w:val="2"/>
                <w:sz w:val="24"/>
                <w:szCs w:val="24"/>
                <w:lang w:val="en-US" w:eastAsia="zh-CN" w:bidi="ar-SA"/>
              </w:rPr>
              <w:t>、《排污单位自行监测技术指南 橡胶和塑料制品（HJ 1207—2021）》</w:t>
            </w:r>
            <w:r>
              <w:rPr>
                <w:rFonts w:hint="default" w:ascii="Times New Roman" w:hAnsi="Times New Roman" w:eastAsia="宋体" w:cs="Times New Roman"/>
                <w:b w:val="0"/>
                <w:bCs w:val="0"/>
                <w:color w:val="auto"/>
                <w:kern w:val="2"/>
                <w:sz w:val="24"/>
                <w:szCs w:val="24"/>
                <w:lang w:val="en-US" w:eastAsia="zh-CN" w:bidi="ar-SA"/>
              </w:rPr>
              <w:t>，并结合项目运营期间污染排放特点，项目运营期废气监测计划如下表所示：</w:t>
            </w:r>
          </w:p>
          <w:p w14:paraId="1DAECBE0">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rPr>
            </w:pPr>
            <w:r>
              <w:rPr>
                <w:rFonts w:hint="default" w:ascii="Times New Roman" w:hAnsi="Times New Roman" w:cs="Times New Roman"/>
                <w:b/>
                <w:color w:val="auto"/>
              </w:rPr>
              <w:t>废气监测计划表</w:t>
            </w:r>
          </w:p>
          <w:tbl>
            <w:tblPr>
              <w:tblStyle w:val="38"/>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626"/>
              <w:gridCol w:w="1715"/>
              <w:gridCol w:w="1521"/>
              <w:gridCol w:w="8619"/>
            </w:tblGrid>
            <w:tr w14:paraId="5B9353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Align w:val="center"/>
                </w:tcPr>
                <w:p w14:paraId="32AA670A">
                  <w:pPr>
                    <w:pageBreakBefore w:val="0"/>
                    <w:wordWrap w:val="0"/>
                    <w:overflowPunct/>
                    <w:bidi w:val="0"/>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监测点位</w:t>
                  </w:r>
                </w:p>
              </w:tc>
              <w:tc>
                <w:tcPr>
                  <w:tcW w:w="636" w:type="pct"/>
                  <w:vAlign w:val="center"/>
                </w:tcPr>
                <w:p w14:paraId="13F943B6">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监测因子</w:t>
                  </w:r>
                </w:p>
              </w:tc>
              <w:tc>
                <w:tcPr>
                  <w:tcW w:w="564" w:type="pct"/>
                  <w:vAlign w:val="center"/>
                </w:tcPr>
                <w:p w14:paraId="72A99464">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监测频次</w:t>
                  </w:r>
                </w:p>
              </w:tc>
              <w:tc>
                <w:tcPr>
                  <w:tcW w:w="3196" w:type="pct"/>
                  <w:vAlign w:val="center"/>
                </w:tcPr>
                <w:p w14:paraId="2572C349">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执行标准</w:t>
                  </w:r>
                </w:p>
              </w:tc>
            </w:tr>
            <w:tr w14:paraId="26A291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03" w:type="pct"/>
                  <w:vMerge w:val="restart"/>
                  <w:vAlign w:val="center"/>
                </w:tcPr>
                <w:p w14:paraId="7848E3D0">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DA005</w:t>
                  </w:r>
                </w:p>
              </w:tc>
              <w:tc>
                <w:tcPr>
                  <w:tcW w:w="636" w:type="pct"/>
                  <w:vAlign w:val="center"/>
                </w:tcPr>
                <w:p w14:paraId="49F0B0FF">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NMHC</w:t>
                  </w:r>
                </w:p>
              </w:tc>
              <w:tc>
                <w:tcPr>
                  <w:tcW w:w="564" w:type="pct"/>
                  <w:vAlign w:val="center"/>
                </w:tcPr>
                <w:p w14:paraId="5BBEFC80">
                  <w:pPr>
                    <w:pStyle w:val="123"/>
                    <w:pageBreakBefore w:val="0"/>
                    <w:wordWrap w:val="0"/>
                    <w:overflowPunct/>
                    <w:bidi w:val="0"/>
                    <w:spacing w:line="240" w:lineRule="auto"/>
                    <w:ind w:firstLine="0" w:firstLineChars="0"/>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color w:val="auto"/>
                      <w:sz w:val="21"/>
                      <w:szCs w:val="21"/>
                    </w:rPr>
                    <w:t>1次/</w:t>
                  </w:r>
                  <w:r>
                    <w:rPr>
                      <w:rFonts w:hint="eastAsia" w:ascii="Times New Roman" w:hAnsi="Times New Roman" w:cs="Times New Roman"/>
                      <w:color w:val="auto"/>
                      <w:sz w:val="21"/>
                      <w:szCs w:val="21"/>
                      <w:lang w:val="en-US" w:eastAsia="zh-CN"/>
                    </w:rPr>
                    <w:t>半</w:t>
                  </w:r>
                  <w:r>
                    <w:rPr>
                      <w:rFonts w:hint="default" w:ascii="Times New Roman" w:hAnsi="Times New Roman" w:cs="Times New Roman"/>
                      <w:color w:val="auto"/>
                      <w:sz w:val="21"/>
                      <w:szCs w:val="21"/>
                    </w:rPr>
                    <w:t>年</w:t>
                  </w:r>
                </w:p>
              </w:tc>
              <w:tc>
                <w:tcPr>
                  <w:tcW w:w="3196" w:type="pct"/>
                  <w:vAlign w:val="center"/>
                </w:tcPr>
                <w:p w14:paraId="3BF4A183">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rPr>
                    <w:t>《合成树脂工业污染物排放标准》（GB 31572-2015，含2024年修改单）表5污染物特别排放限值</w:t>
                  </w:r>
                </w:p>
              </w:tc>
            </w:tr>
            <w:tr w14:paraId="5598C8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0C40BF6C">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eastAsia="zh-CN"/>
                    </w:rPr>
                  </w:pPr>
                </w:p>
              </w:tc>
              <w:tc>
                <w:tcPr>
                  <w:tcW w:w="636" w:type="pct"/>
                  <w:vAlign w:val="center"/>
                </w:tcPr>
                <w:p w14:paraId="54ADA84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臭气浓度</w:t>
                  </w:r>
                </w:p>
              </w:tc>
              <w:tc>
                <w:tcPr>
                  <w:tcW w:w="564" w:type="pct"/>
                  <w:vAlign w:val="center"/>
                </w:tcPr>
                <w:p w14:paraId="436C3AD0">
                  <w:pPr>
                    <w:pStyle w:val="123"/>
                    <w:pageBreakBefore w:val="0"/>
                    <w:wordWrap w:val="0"/>
                    <w:overflowPunct/>
                    <w:bidi w:val="0"/>
                    <w:spacing w:line="240" w:lineRule="auto"/>
                    <w:ind w:firstLine="0" w:firstLineChars="0"/>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color w:val="auto"/>
                      <w:sz w:val="21"/>
                      <w:szCs w:val="21"/>
                    </w:rPr>
                    <w:t>1次/年</w:t>
                  </w:r>
                </w:p>
              </w:tc>
              <w:tc>
                <w:tcPr>
                  <w:tcW w:w="3196" w:type="pct"/>
                  <w:vAlign w:val="center"/>
                </w:tcPr>
                <w:p w14:paraId="2483AA2F">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rPr>
                    <w:t>《恶臭污染物排放标准》（GB14554-93）表2 恶臭污染物排放标准值</w:t>
                  </w:r>
                </w:p>
              </w:tc>
            </w:tr>
            <w:tr w14:paraId="4D2548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03" w:type="pct"/>
                  <w:vMerge w:val="restart"/>
                  <w:vAlign w:val="center"/>
                </w:tcPr>
                <w:p w14:paraId="7023936B">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DA006</w:t>
                  </w:r>
                </w:p>
              </w:tc>
              <w:tc>
                <w:tcPr>
                  <w:tcW w:w="636" w:type="pct"/>
                  <w:vAlign w:val="center"/>
                </w:tcPr>
                <w:p w14:paraId="4F2F5B98">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val="en-US" w:eastAsia="zh-CN"/>
                    </w:rPr>
                    <w:t>颗粒物</w:t>
                  </w:r>
                </w:p>
              </w:tc>
              <w:tc>
                <w:tcPr>
                  <w:tcW w:w="564" w:type="pct"/>
                  <w:vAlign w:val="center"/>
                </w:tcPr>
                <w:p w14:paraId="36154B6D">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8619" w:type="dxa"/>
                  <w:vAlign w:val="center"/>
                </w:tcPr>
                <w:p w14:paraId="47FC0B53">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rPr>
                    <w:t>广东省《大气污染物排放限值》（DB44/27-2001</w:t>
                  </w:r>
                  <w:r>
                    <w:rPr>
                      <w:rFonts w:hint="eastAsia" w:cs="Times New Roman"/>
                      <w:b w:val="0"/>
                      <w:bCs/>
                      <w:color w:val="auto"/>
                      <w:sz w:val="21"/>
                      <w:szCs w:val="21"/>
                      <w:highlight w:val="none"/>
                      <w:lang w:eastAsia="zh-CN"/>
                    </w:rPr>
                    <w:t>）</w:t>
                  </w:r>
                  <w:r>
                    <w:rPr>
                      <w:rFonts w:hint="default" w:ascii="Times New Roman" w:hAnsi="Times New Roman" w:cs="Times New Roman"/>
                      <w:b w:val="0"/>
                      <w:bCs/>
                      <w:color w:val="auto"/>
                      <w:sz w:val="21"/>
                      <w:szCs w:val="21"/>
                      <w:highlight w:val="none"/>
                    </w:rPr>
                    <w:t>第二时段二级标准</w:t>
                  </w:r>
                </w:p>
              </w:tc>
            </w:tr>
            <w:tr w14:paraId="2CAC3B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4A719CA6">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p>
              </w:tc>
              <w:tc>
                <w:tcPr>
                  <w:tcW w:w="636" w:type="pct"/>
                  <w:vAlign w:val="center"/>
                </w:tcPr>
                <w:p w14:paraId="74E004F9">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非甲烷总烃</w:t>
                  </w:r>
                </w:p>
              </w:tc>
              <w:tc>
                <w:tcPr>
                  <w:tcW w:w="564" w:type="pct"/>
                  <w:vAlign w:val="center"/>
                </w:tcPr>
                <w:p w14:paraId="1C687B7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color w:val="auto"/>
                      <w:sz w:val="21"/>
                      <w:szCs w:val="21"/>
                    </w:rPr>
                    <w:t>1次/</w:t>
                  </w:r>
                  <w:r>
                    <w:rPr>
                      <w:rFonts w:hint="eastAsia" w:ascii="Times New Roman" w:hAnsi="Times New Roman" w:cs="Times New Roman"/>
                      <w:color w:val="auto"/>
                      <w:sz w:val="21"/>
                      <w:szCs w:val="21"/>
                      <w:lang w:val="en-US" w:eastAsia="zh-CN"/>
                    </w:rPr>
                    <w:t>半</w:t>
                  </w:r>
                  <w:r>
                    <w:rPr>
                      <w:rFonts w:hint="default" w:ascii="Times New Roman" w:hAnsi="Times New Roman" w:cs="Times New Roman"/>
                      <w:color w:val="auto"/>
                      <w:sz w:val="21"/>
                      <w:szCs w:val="21"/>
                    </w:rPr>
                    <w:t>年</w:t>
                  </w:r>
                </w:p>
              </w:tc>
              <w:tc>
                <w:tcPr>
                  <w:tcW w:w="8619" w:type="dxa"/>
                  <w:vAlign w:val="center"/>
                </w:tcPr>
                <w:p w14:paraId="532B64B8">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广东省《固定污染源挥发性有机物综合排放标准》（DB44/2367-2022）中表1挥发性有机物排放限值要求</w:t>
                  </w:r>
                </w:p>
              </w:tc>
            </w:tr>
            <w:tr w14:paraId="347D55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7CB86433">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p>
              </w:tc>
              <w:tc>
                <w:tcPr>
                  <w:tcW w:w="636" w:type="pct"/>
                  <w:vAlign w:val="center"/>
                </w:tcPr>
                <w:p w14:paraId="59C3250D">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臭气浓度</w:t>
                  </w:r>
                </w:p>
              </w:tc>
              <w:tc>
                <w:tcPr>
                  <w:tcW w:w="564" w:type="pct"/>
                  <w:vAlign w:val="center"/>
                </w:tcPr>
                <w:p w14:paraId="61FBB677">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8619" w:type="dxa"/>
                  <w:vAlign w:val="center"/>
                </w:tcPr>
                <w:p w14:paraId="27D0822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《恶臭污染物排放标准》（GB14554-93）表2 恶臭污染物排放标准值</w:t>
                  </w:r>
                </w:p>
              </w:tc>
            </w:tr>
            <w:tr w14:paraId="446CFB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Align w:val="center"/>
                </w:tcPr>
                <w:p w14:paraId="157FF6B1">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厂区上风向界外（1个监测点）</w:t>
                  </w:r>
                </w:p>
              </w:tc>
              <w:tc>
                <w:tcPr>
                  <w:tcW w:w="636" w:type="pct"/>
                  <w:vMerge w:val="restart"/>
                  <w:vAlign w:val="center"/>
                </w:tcPr>
                <w:p w14:paraId="19C085C1">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颗粒物、非甲烷总烃、臭气浓度</w:t>
                  </w:r>
                </w:p>
              </w:tc>
              <w:tc>
                <w:tcPr>
                  <w:tcW w:w="564" w:type="pct"/>
                  <w:vAlign w:val="center"/>
                </w:tcPr>
                <w:p w14:paraId="41F7E266">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3196" w:type="pct"/>
                  <w:vMerge w:val="restart"/>
                  <w:vAlign w:val="center"/>
                </w:tcPr>
                <w:p w14:paraId="5EBDA119">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eastAsia="宋体" w:cs="Times New Roman"/>
                      <w:color w:val="auto"/>
                      <w:kern w:val="0"/>
                      <w:sz w:val="21"/>
                      <w:szCs w:val="21"/>
                      <w:lang w:val="en-US" w:eastAsia="zh-CN" w:bidi="ar"/>
                    </w:rPr>
                    <w:t>恶臭执行《恶臭污染物排放标准》（GB14554-93）二级标准新改扩建厂界标准值</w:t>
                  </w:r>
                  <w:r>
                    <w:rPr>
                      <w:rFonts w:hint="default" w:ascii="Times New Roman" w:hAnsi="Times New Roman" w:cs="Times New Roman"/>
                      <w:color w:val="auto"/>
                      <w:kern w:val="0"/>
                      <w:sz w:val="21"/>
                      <w:szCs w:val="21"/>
                      <w:lang w:val="en-US" w:eastAsia="zh-CN" w:bidi="ar"/>
                    </w:rPr>
                    <w:t>；颗粒物、非甲烷总烃无组织执行《合成树脂工业污染物排放标准》（GB 31572-2015，含2024年修改单）表9企业边界大气污染物浓度限值</w:t>
                  </w:r>
                </w:p>
              </w:tc>
            </w:tr>
            <w:tr w14:paraId="26779D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03" w:type="pct"/>
                  <w:vAlign w:val="center"/>
                </w:tcPr>
                <w:p w14:paraId="12C97F70">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厂区下风向界外（3个监测点）</w:t>
                  </w:r>
                </w:p>
              </w:tc>
              <w:tc>
                <w:tcPr>
                  <w:tcW w:w="636" w:type="pct"/>
                  <w:vMerge w:val="continue"/>
                  <w:vAlign w:val="center"/>
                </w:tcPr>
                <w:p w14:paraId="4562609A">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p>
              </w:tc>
              <w:tc>
                <w:tcPr>
                  <w:tcW w:w="564" w:type="pct"/>
                  <w:vAlign w:val="center"/>
                </w:tcPr>
                <w:p w14:paraId="20E2909D">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3196" w:type="pct"/>
                  <w:vMerge w:val="continue"/>
                  <w:vAlign w:val="center"/>
                </w:tcPr>
                <w:p w14:paraId="74C1FE9C">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r>
            <w:tr w14:paraId="0F97F0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Align w:val="center"/>
                </w:tcPr>
                <w:p w14:paraId="3624A932">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eastAsia="zh-CN"/>
                    </w:rPr>
                    <w:t>厂区</w:t>
                  </w:r>
                  <w:r>
                    <w:rPr>
                      <w:rFonts w:hint="default" w:ascii="Times New Roman" w:hAnsi="Times New Roman" w:cs="Times New Roman"/>
                      <w:bCs/>
                      <w:color w:val="auto"/>
                      <w:sz w:val="21"/>
                      <w:szCs w:val="21"/>
                      <w:highlight w:val="none"/>
                      <w:lang w:val="en-US" w:eastAsia="zh-CN"/>
                    </w:rPr>
                    <w:t>内</w:t>
                  </w:r>
                </w:p>
                <w:p w14:paraId="1E36CA14">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（1个监测点）</w:t>
                  </w:r>
                </w:p>
              </w:tc>
              <w:tc>
                <w:tcPr>
                  <w:tcW w:w="636" w:type="pct"/>
                  <w:vAlign w:val="center"/>
                </w:tcPr>
                <w:p w14:paraId="4F5983C8">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NMHC</w:t>
                  </w:r>
                </w:p>
              </w:tc>
              <w:tc>
                <w:tcPr>
                  <w:tcW w:w="564" w:type="pct"/>
                  <w:vAlign w:val="center"/>
                </w:tcPr>
                <w:p w14:paraId="69C99D30">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3196" w:type="pct"/>
                  <w:vAlign w:val="center"/>
                </w:tcPr>
                <w:p w14:paraId="3322B38B">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广东省《固定污染源挥发性有机物综合排放标准》（DB44/2367-2022）中表3厂区内VOCs无组织排放限值。</w:t>
                  </w:r>
                </w:p>
              </w:tc>
            </w:tr>
          </w:tbl>
          <w:p w14:paraId="42A3C1E8">
            <w:pPr>
              <w:pStyle w:val="12"/>
              <w:pageBreakBefore w:val="0"/>
              <w:wordWrap w:val="0"/>
              <w:overflowPunct/>
              <w:bidi w:val="0"/>
              <w:ind w:firstLine="480"/>
              <w:rPr>
                <w:rFonts w:hint="default" w:ascii="Times New Roman" w:hAnsi="Times New Roman" w:cs="Times New Roman"/>
                <w:color w:val="auto"/>
                <w:kern w:val="0"/>
                <w:highlight w:val="none"/>
                <w:lang w:bidi="ar"/>
              </w:rPr>
            </w:pPr>
          </w:p>
        </w:tc>
      </w:tr>
    </w:tbl>
    <w:p w14:paraId="45645697">
      <w:pPr>
        <w:pageBreakBefore w:val="0"/>
        <w:wordWrap w:val="0"/>
        <w:overflowPunct/>
        <w:bidi w:val="0"/>
        <w:rPr>
          <w:rFonts w:hint="default" w:ascii="Times New Roman" w:hAnsi="Times New Roman" w:eastAsia="宋体" w:cs="Times New Roman"/>
          <w:color w:val="auto"/>
          <w:highlight w:val="none"/>
        </w:rPr>
        <w:sectPr>
          <w:pgSz w:w="16838" w:h="11906" w:orient="landscape"/>
          <w:pgMar w:top="1797" w:right="1440" w:bottom="1797" w:left="1440"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tbl>
      <w:tblPr>
        <w:tblStyle w:val="3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
        <w:gridCol w:w="8075"/>
      </w:tblGrid>
      <w:tr w14:paraId="25F3D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9" w:hRule="atLeast"/>
        </w:trPr>
        <w:tc>
          <w:tcPr>
            <w:tcW w:w="188" w:type="pct"/>
            <w:vAlign w:val="center"/>
          </w:tcPr>
          <w:p w14:paraId="0EA948CF">
            <w:pPr>
              <w:pageBreakBefore w:val="0"/>
              <w:numPr>
                <w:ilvl w:val="1"/>
                <w:numId w:val="0"/>
              </w:numPr>
              <w:tabs>
                <w:tab w:val="left" w:pos="420"/>
              </w:tabs>
              <w:wordWrap w:val="0"/>
              <w:overflowPunct/>
              <w:bidi w:val="0"/>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运营期环境影响和保护措施</w:t>
            </w:r>
          </w:p>
        </w:tc>
        <w:tc>
          <w:tcPr>
            <w:tcW w:w="4811" w:type="pct"/>
            <w:vAlign w:val="center"/>
          </w:tcPr>
          <w:p w14:paraId="044CF444">
            <w:pPr>
              <w:pStyle w:val="25"/>
              <w:pageBreakBefore w:val="0"/>
              <w:numPr>
                <w:ilvl w:val="0"/>
                <w:numId w:val="0"/>
              </w:numPr>
              <w:tabs>
                <w:tab w:val="left" w:pos="0"/>
              </w:tabs>
              <w:wordWrap w:val="0"/>
              <w:overflowPunct/>
              <w:bidi w:val="0"/>
              <w:spacing w:after="0" w:line="360" w:lineRule="auto"/>
              <w:ind w:left="0" w:leftChars="0" w:firstLine="420" w:firstLineChars="0"/>
              <w:rPr>
                <w:rFonts w:hint="default" w:ascii="Times New Roman" w:hAnsi="Times New Roman" w:cs="Times New Roman"/>
                <w:color w:val="auto"/>
                <w:sz w:val="24"/>
              </w:rPr>
            </w:pPr>
            <w:r>
              <w:rPr>
                <w:rFonts w:hint="default" w:ascii="Times New Roman" w:hAnsi="Times New Roman" w:eastAsia="宋体" w:cs="Times New Roman"/>
                <w:b/>
                <w:bCs/>
                <w:color w:val="auto"/>
                <w:kern w:val="2"/>
                <w:sz w:val="24"/>
                <w:szCs w:val="24"/>
                <w:lang w:val="en-US" w:eastAsia="zh-CN" w:bidi="ar-SA"/>
              </w:rPr>
              <w:t>4、</w:t>
            </w:r>
            <w:r>
              <w:rPr>
                <w:rFonts w:hint="default" w:ascii="Times New Roman" w:hAnsi="Times New Roman" w:cs="Times New Roman"/>
                <w:b/>
                <w:bCs/>
                <w:color w:val="auto"/>
                <w:sz w:val="24"/>
              </w:rPr>
              <w:t>废气污染源源强核算分析</w:t>
            </w:r>
          </w:p>
          <w:p w14:paraId="2EF31BB4">
            <w:pPr>
              <w:pageBreakBefore w:val="0"/>
              <w:wordWrap w:val="0"/>
              <w:overflowPunct/>
              <w:bidi w:val="0"/>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1</w:t>
            </w:r>
            <w:r>
              <w:rPr>
                <w:rFonts w:hint="default" w:ascii="Times New Roman" w:hAnsi="Times New Roman" w:cs="Times New Roman"/>
                <w:color w:val="auto"/>
                <w:sz w:val="24"/>
                <w:lang w:eastAsia="zh-CN"/>
              </w:rPr>
              <w:t>）破碎粉尘</w:t>
            </w:r>
          </w:p>
          <w:p w14:paraId="4DCB62F3">
            <w:pPr>
              <w:pageBreakBefore w:val="0"/>
              <w:wordWrap w:val="0"/>
              <w:overflowPunct/>
              <w:bidi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rPr>
              <w:t>项目边角料和不合格品经碎料机破碎后作为原料回用于注塑生产，在破碎过程中产生粉尘，主要污染物为颗粒物。根据建设单位提供的资料，边角料和不合格品约为产品产量的5%，项目塑料制品年产量为</w:t>
            </w:r>
            <w:r>
              <w:rPr>
                <w:rFonts w:hint="default" w:ascii="Times New Roman" w:hAnsi="Times New Roman" w:cs="Times New Roman"/>
                <w:color w:val="auto"/>
                <w:sz w:val="24"/>
                <w:lang w:val="en-US" w:eastAsia="zh-CN"/>
              </w:rPr>
              <w:t>2000</w:t>
            </w:r>
            <w:r>
              <w:rPr>
                <w:rFonts w:hint="default" w:ascii="Times New Roman" w:hAnsi="Times New Roman" w:cs="Times New Roman"/>
                <w:color w:val="auto"/>
                <w:sz w:val="24"/>
              </w:rPr>
              <w:t>t/a，则边角料、不合格产品产生量约为</w:t>
            </w:r>
            <w:r>
              <w:rPr>
                <w:rFonts w:hint="default" w:ascii="Times New Roman" w:hAnsi="Times New Roman" w:cs="Times New Roman"/>
                <w:color w:val="auto"/>
                <w:sz w:val="24"/>
                <w:lang w:val="en-US" w:eastAsia="zh-CN"/>
              </w:rPr>
              <w:t>100</w:t>
            </w:r>
            <w:r>
              <w:rPr>
                <w:rFonts w:hint="default" w:ascii="Times New Roman" w:hAnsi="Times New Roman" w:cs="Times New Roman"/>
                <w:color w:val="auto"/>
                <w:sz w:val="24"/>
              </w:rPr>
              <w:t>t/a。参照《4220 非金属废料和碎屑加工处理行业系数手册》，破碎粉尘产生系数以375g/t原料计，则破碎粉尘产生量为0.</w:t>
            </w:r>
            <w:r>
              <w:rPr>
                <w:rFonts w:hint="default" w:ascii="Times New Roman" w:hAnsi="Times New Roman" w:cs="Times New Roman"/>
                <w:color w:val="auto"/>
                <w:sz w:val="24"/>
                <w:lang w:val="en-US" w:eastAsia="zh-CN"/>
              </w:rPr>
              <w:t>0375</w:t>
            </w:r>
            <w:r>
              <w:rPr>
                <w:rFonts w:hint="default" w:ascii="Times New Roman" w:hAnsi="Times New Roman" w:cs="Times New Roman"/>
                <w:color w:val="auto"/>
                <w:sz w:val="24"/>
              </w:rPr>
              <w:t>t/a，破碎工段为间歇运行，每天</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rPr>
              <w:t>h，年运行</w:t>
            </w:r>
            <w:r>
              <w:rPr>
                <w:rFonts w:hint="default" w:ascii="Times New Roman" w:hAnsi="Times New Roman" w:cs="Times New Roman"/>
                <w:color w:val="auto"/>
                <w:sz w:val="24"/>
                <w:lang w:val="en-US" w:eastAsia="zh-CN"/>
              </w:rPr>
              <w:t>900</w:t>
            </w:r>
            <w:r>
              <w:rPr>
                <w:rFonts w:hint="default" w:ascii="Times New Roman" w:hAnsi="Times New Roman" w:cs="Times New Roman"/>
                <w:color w:val="auto"/>
                <w:sz w:val="24"/>
              </w:rPr>
              <w:t>h。</w:t>
            </w:r>
            <w:r>
              <w:rPr>
                <w:rFonts w:hint="default" w:ascii="Times New Roman" w:hAnsi="Times New Roman" w:cs="Times New Roman"/>
                <w:color w:val="auto"/>
                <w:sz w:val="24"/>
                <w:lang w:val="en-US" w:eastAsia="zh-CN"/>
              </w:rPr>
              <w:t>破碎粉尘产生量极少，直接在车间内无组织排放，排放速率为0.0417kg/h。</w:t>
            </w:r>
          </w:p>
          <w:p w14:paraId="7FB86FD3">
            <w:pPr>
              <w:pageBreakBefore w:val="0"/>
              <w:wordWrap w:val="0"/>
              <w:overflowPunct/>
              <w:bidi w:val="0"/>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有机废气</w:t>
            </w:r>
          </w:p>
          <w:p w14:paraId="41D8E921">
            <w:pPr>
              <w:pageBreakBefore w:val="0"/>
              <w:wordWrap w:val="0"/>
              <w:overflowPunct/>
              <w:bidi w:val="0"/>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lang w:eastAsia="zh-CN"/>
              </w:rPr>
              <w:t>①</w:t>
            </w:r>
            <w:r>
              <w:rPr>
                <w:rFonts w:hint="default" w:ascii="Times New Roman" w:hAnsi="Times New Roman" w:cs="Times New Roman"/>
                <w:color w:val="auto"/>
                <w:sz w:val="24"/>
                <w:lang w:val="en-US" w:eastAsia="zh-CN"/>
              </w:rPr>
              <w:t>注塑</w:t>
            </w:r>
            <w:r>
              <w:rPr>
                <w:rFonts w:hint="default" w:ascii="Times New Roman" w:hAnsi="Times New Roman" w:cs="Times New Roman"/>
                <w:color w:val="auto"/>
                <w:sz w:val="24"/>
              </w:rPr>
              <w:t>工序</w:t>
            </w:r>
          </w:p>
          <w:p w14:paraId="463DE2B8">
            <w:pPr>
              <w:pStyle w:val="119"/>
              <w:keepNext w:val="0"/>
              <w:keepLines w:val="0"/>
              <w:pageBreakBefore w:val="0"/>
              <w:widowControl w:val="0"/>
              <w:kinsoku/>
              <w:wordWrap w:val="0"/>
              <w:overflowPunct/>
              <w:topLinePunct w:val="0"/>
              <w:autoSpaceDE/>
              <w:autoSpaceDN/>
              <w:bidi w:val="0"/>
              <w:adjustRightInd/>
              <w:snapToGrid w:val="0"/>
              <w:spacing w:before="0" w:after="0"/>
              <w:ind w:right="0" w:firstLine="480"/>
              <w:jc w:val="both"/>
              <w:textAlignment w:val="auto"/>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pacing w:val="-4"/>
                <w:sz w:val="24"/>
                <w:lang w:val="en-US" w:eastAsia="zh-CN"/>
              </w:rPr>
              <w:t>项目生产的产品主要为塑料制品，</w:t>
            </w:r>
            <w:r>
              <w:rPr>
                <w:rFonts w:hint="default" w:ascii="Times New Roman" w:hAnsi="Times New Roman" w:cs="Times New Roman"/>
                <w:color w:val="auto"/>
                <w:kern w:val="2"/>
                <w:szCs w:val="24"/>
              </w:rPr>
              <w:t>根据《排放源统计调查产排污核算方法和系数手册》中《292 塑料制品行业系数手册》，注塑工段挥发性有机物产生系数为2.7kg/t-产品，</w:t>
            </w:r>
            <w:r>
              <w:rPr>
                <w:rFonts w:hint="default" w:ascii="Times New Roman" w:hAnsi="Times New Roman" w:cs="Times New Roman"/>
                <w:color w:val="auto"/>
                <w:kern w:val="2"/>
                <w:szCs w:val="24"/>
                <w:lang w:val="en-US" w:eastAsia="zh-CN"/>
              </w:rPr>
              <w:t>本</w:t>
            </w:r>
            <w:r>
              <w:rPr>
                <w:rFonts w:hint="default" w:ascii="Times New Roman" w:hAnsi="Times New Roman" w:cs="Times New Roman"/>
                <w:color w:val="auto"/>
                <w:kern w:val="2"/>
                <w:szCs w:val="24"/>
              </w:rPr>
              <w:t>项目年产塑料</w:t>
            </w:r>
            <w:r>
              <w:rPr>
                <w:rFonts w:hint="default" w:ascii="Times New Roman" w:hAnsi="Times New Roman" w:cs="Times New Roman"/>
                <w:color w:val="auto"/>
                <w:kern w:val="2"/>
                <w:szCs w:val="24"/>
                <w:lang w:val="en-US" w:eastAsia="zh-CN"/>
              </w:rPr>
              <w:t>制品</w:t>
            </w:r>
            <w:r>
              <w:rPr>
                <w:rFonts w:hint="default" w:ascii="Times New Roman" w:hAnsi="Times New Roman" w:cs="Times New Roman"/>
                <w:color w:val="auto"/>
                <w:kern w:val="2"/>
                <w:szCs w:val="24"/>
              </w:rPr>
              <w:t>共</w:t>
            </w:r>
            <w:r>
              <w:rPr>
                <w:rFonts w:hint="default" w:ascii="Times New Roman" w:hAnsi="Times New Roman" w:cs="Times New Roman"/>
                <w:color w:val="auto"/>
                <w:kern w:val="2"/>
                <w:szCs w:val="24"/>
                <w:lang w:val="en-US" w:eastAsia="zh-CN"/>
              </w:rPr>
              <w:t>20</w:t>
            </w:r>
            <w:r>
              <w:rPr>
                <w:rFonts w:hint="default" w:ascii="Times New Roman" w:hAnsi="Times New Roman" w:cs="Times New Roman"/>
                <w:color w:val="auto"/>
                <w:kern w:val="2"/>
                <w:szCs w:val="24"/>
              </w:rPr>
              <w:t>00t/a，则注塑</w:t>
            </w:r>
            <w:r>
              <w:rPr>
                <w:rFonts w:hint="default" w:ascii="Times New Roman" w:hAnsi="Times New Roman" w:cs="Times New Roman"/>
                <w:color w:val="auto"/>
                <w:kern w:val="2"/>
                <w:szCs w:val="24"/>
                <w:lang w:val="en-US" w:eastAsia="zh-CN"/>
              </w:rPr>
              <w:t>工序</w:t>
            </w:r>
            <w:r>
              <w:rPr>
                <w:rFonts w:hint="default" w:ascii="Times New Roman" w:hAnsi="Times New Roman" w:cs="Times New Roman"/>
                <w:color w:val="auto"/>
                <w:kern w:val="2"/>
                <w:szCs w:val="24"/>
              </w:rPr>
              <w:t>非甲烷总烃产生量为</w:t>
            </w:r>
            <w:r>
              <w:rPr>
                <w:rFonts w:hint="default" w:ascii="Times New Roman" w:hAnsi="Times New Roman" w:cs="Times New Roman"/>
                <w:color w:val="auto"/>
                <w:kern w:val="2"/>
                <w:szCs w:val="24"/>
                <w:lang w:val="en-US" w:eastAsia="zh-CN"/>
              </w:rPr>
              <w:t>5.4</w:t>
            </w:r>
            <w:r>
              <w:rPr>
                <w:rFonts w:hint="default" w:ascii="Times New Roman" w:hAnsi="Times New Roman" w:cs="Times New Roman"/>
                <w:color w:val="auto"/>
                <w:kern w:val="2"/>
                <w:szCs w:val="24"/>
              </w:rPr>
              <w:t>t/a。</w:t>
            </w:r>
            <w:r>
              <w:rPr>
                <w:rFonts w:hint="default" w:ascii="Times New Roman" w:hAnsi="Times New Roman" w:cs="Times New Roman"/>
                <w:color w:val="auto"/>
                <w:spacing w:val="-4"/>
                <w:sz w:val="24"/>
              </w:rPr>
              <w:t>塑料颗粒</w:t>
            </w:r>
            <w:r>
              <w:rPr>
                <w:rFonts w:hint="default" w:ascii="Times New Roman" w:hAnsi="Times New Roman" w:cs="Times New Roman"/>
                <w:color w:val="auto"/>
                <w:sz w:val="24"/>
              </w:rPr>
              <w:t>熔融温度低于塑料原料分解温度</w:t>
            </w:r>
            <w:r>
              <w:rPr>
                <w:rFonts w:hint="default" w:ascii="Times New Roman" w:hAnsi="Times New Roman" w:cs="Times New Roman"/>
                <w:color w:val="auto"/>
                <w:sz w:val="24"/>
                <w:lang w:eastAsia="zh-CN"/>
              </w:rPr>
              <w:t>（</w:t>
            </w:r>
            <w:r>
              <w:rPr>
                <w:rFonts w:hint="default" w:ascii="Times New Roman" w:hAnsi="Times New Roman" w:cs="Times New Roman"/>
                <w:color w:val="auto"/>
                <w:spacing w:val="-4"/>
                <w:sz w:val="24"/>
              </w:rPr>
              <w:t>PP塑料粒</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不产生热解废气，产生的污染物主要为塑料加热挥发的塑料单体。</w:t>
            </w:r>
            <w:r>
              <w:rPr>
                <w:rFonts w:hint="default" w:ascii="Times New Roman" w:hAnsi="Times New Roman" w:cs="Times New Roman"/>
                <w:color w:val="auto"/>
                <w:spacing w:val="-4"/>
                <w:sz w:val="24"/>
                <w:lang w:val="en-US" w:eastAsia="zh-CN"/>
              </w:rPr>
              <w:t>项目注塑加热温度在塑料颗粒适用范围，均不会分解产生热分解废气，可忽略不计，后续不做进一步分析。</w:t>
            </w:r>
          </w:p>
          <w:p w14:paraId="547A24CF">
            <w:pPr>
              <w:pStyle w:val="119"/>
              <w:keepNext w:val="0"/>
              <w:keepLines w:val="0"/>
              <w:pageBreakBefore w:val="0"/>
              <w:widowControl w:val="0"/>
              <w:kinsoku/>
              <w:wordWrap w:val="0"/>
              <w:overflowPunct/>
              <w:topLinePunct w:val="0"/>
              <w:autoSpaceDE/>
              <w:autoSpaceDN/>
              <w:bidi w:val="0"/>
              <w:adjustRightInd/>
              <w:snapToGrid w:val="0"/>
              <w:spacing w:before="0" w:after="0"/>
              <w:ind w:right="0" w:firstLine="480"/>
              <w:jc w:val="both"/>
              <w:textAlignment w:val="auto"/>
              <w:rPr>
                <w:rFonts w:hint="default" w:ascii="Times New Roman" w:hAnsi="Times New Roman" w:eastAsia="宋体" w:cs="Times New Roman"/>
                <w:color w:val="auto"/>
                <w:spacing w:val="-4"/>
                <w:sz w:val="24"/>
                <w:lang w:val="en-US" w:eastAsia="zh-CN"/>
              </w:rPr>
            </w:pPr>
            <w:r>
              <w:rPr>
                <w:rFonts w:hint="default" w:ascii="Times New Roman" w:hAnsi="Times New Roman" w:eastAsia="宋体" w:cs="Times New Roman"/>
                <w:color w:val="auto"/>
                <w:spacing w:val="-4"/>
                <w:sz w:val="24"/>
                <w:lang w:val="en-US" w:eastAsia="zh-CN"/>
              </w:rPr>
              <w:t>项目注塑生产过程中会产生挥发性有机物（以非甲烷总烃表征），本项目注塑废气收集后引入“二级活性炭”处理，处理后经15m排气筒DA005排放。</w:t>
            </w:r>
          </w:p>
          <w:p w14:paraId="10A25897">
            <w:pPr>
              <w:pStyle w:val="119"/>
              <w:keepNext w:val="0"/>
              <w:keepLines w:val="0"/>
              <w:pageBreakBefore w:val="0"/>
              <w:widowControl w:val="0"/>
              <w:kinsoku/>
              <w:wordWrap w:val="0"/>
              <w:overflowPunct/>
              <w:topLinePunct w:val="0"/>
              <w:autoSpaceDE/>
              <w:autoSpaceDN/>
              <w:bidi w:val="0"/>
              <w:adjustRightInd/>
              <w:snapToGrid w:val="0"/>
              <w:spacing w:before="0" w:after="0"/>
              <w:ind w:right="0" w:firstLine="480"/>
              <w:jc w:val="both"/>
              <w:textAlignment w:val="auto"/>
              <w:rPr>
                <w:rFonts w:hint="default" w:ascii="Times New Roman" w:hAnsi="Times New Roman" w:eastAsia="宋体" w:cs="Times New Roman"/>
                <w:color w:val="auto"/>
                <w:spacing w:val="-4"/>
                <w:sz w:val="24"/>
                <w:lang w:val="en-US" w:eastAsia="zh-CN"/>
              </w:rPr>
            </w:pPr>
            <w:r>
              <w:rPr>
                <w:rFonts w:hint="default" w:ascii="Times New Roman" w:hAnsi="Times New Roman" w:eastAsia="宋体" w:cs="Times New Roman"/>
                <w:color w:val="auto"/>
                <w:spacing w:val="-4"/>
                <w:sz w:val="24"/>
                <w:lang w:val="en-US" w:eastAsia="zh-CN"/>
              </w:rPr>
              <w:t>本项目注塑机产污口拟设包围型的密闭装置，</w:t>
            </w:r>
            <w:r>
              <w:rPr>
                <w:rFonts w:hint="eastAsia" w:cs="Times New Roman"/>
                <w:color w:val="auto"/>
                <w:spacing w:val="-4"/>
                <w:sz w:val="24"/>
                <w:lang w:val="en-US" w:eastAsia="zh-CN"/>
              </w:rPr>
              <w:t>仅保留进风口</w:t>
            </w:r>
            <w:r>
              <w:rPr>
                <w:rFonts w:hint="default" w:ascii="Times New Roman" w:hAnsi="Times New Roman" w:eastAsia="宋体" w:cs="Times New Roman"/>
                <w:color w:val="auto"/>
                <w:spacing w:val="-4"/>
                <w:sz w:val="24"/>
                <w:lang w:val="en-US" w:eastAsia="zh-CN"/>
              </w:rPr>
              <w:t>，根据《三废处理工程技术手册—废气卷》中</w:t>
            </w:r>
            <w:r>
              <w:rPr>
                <w:rFonts w:hint="eastAsia" w:cs="Times New Roman"/>
                <w:color w:val="auto"/>
                <w:spacing w:val="-4"/>
                <w:sz w:val="24"/>
                <w:lang w:val="en-US" w:eastAsia="zh-CN"/>
              </w:rPr>
              <w:t>整体密闭罩</w:t>
            </w:r>
            <w:r>
              <w:rPr>
                <w:rFonts w:hint="default" w:ascii="Times New Roman" w:hAnsi="Times New Roman" w:eastAsia="宋体" w:cs="Times New Roman"/>
                <w:color w:val="auto"/>
                <w:spacing w:val="-4"/>
                <w:sz w:val="24"/>
                <w:lang w:val="en-US" w:eastAsia="zh-CN"/>
              </w:rPr>
              <w:t>风量计算公式：</w:t>
            </w:r>
          </w:p>
          <w:p w14:paraId="793BDEA7">
            <w:pPr>
              <w:pStyle w:val="34"/>
              <w:pageBreakBefore w:val="0"/>
              <w:widowControl w:val="0"/>
              <w:wordWrap w:val="0"/>
              <w:overflowPunct/>
              <w:autoSpaceDE w:val="0"/>
              <w:autoSpaceDN w:val="0"/>
              <w:bidi w:val="0"/>
              <w:adjustRightInd w:val="0"/>
              <w:spacing w:before="0" w:beforeAutospacing="0" w:after="0" w:afterAutospacing="0" w:line="440" w:lineRule="exact"/>
              <w:ind w:firstLine="480"/>
              <w:jc w:val="center"/>
              <w:rPr>
                <w:rFonts w:hint="default" w:ascii="Times New Roman" w:hAnsi="Times New Roman" w:eastAsia="宋体" w:cs="Times New Roman"/>
                <w:color w:val="auto"/>
                <w:szCs w:val="24"/>
                <w:vertAlign w:val="superscript"/>
                <w:lang w:val="en-US" w:eastAsia="zh-CN"/>
              </w:rPr>
            </w:pPr>
            <w:r>
              <w:rPr>
                <w:rFonts w:hint="default" w:ascii="Times New Roman" w:hAnsi="Times New Roman" w:cs="Times New Roman"/>
                <w:color w:val="auto"/>
              </w:rPr>
              <w:t>Q=</w:t>
            </w:r>
            <w:r>
              <w:rPr>
                <w:rFonts w:hint="eastAsia" w:cs="Times New Roman"/>
                <w:color w:val="auto"/>
                <w:lang w:val="en-US" w:eastAsia="zh-CN"/>
              </w:rPr>
              <w:t>FV</w:t>
            </w:r>
          </w:p>
          <w:p w14:paraId="6A97A9CE">
            <w:pPr>
              <w:pStyle w:val="34"/>
              <w:pageBreakBefore w:val="0"/>
              <w:widowControl w:val="0"/>
              <w:wordWrap w:val="0"/>
              <w:overflowPunct/>
              <w:bidi w:val="0"/>
              <w:spacing w:before="120" w:beforeLines="50" w:beforeAutospacing="0" w:after="0" w:afterAutospacing="0" w:line="360" w:lineRule="auto"/>
              <w:ind w:firstLine="480" w:firstLineChars="200"/>
              <w:contextualSpacing/>
              <w:jc w:val="both"/>
              <w:rPr>
                <w:rFonts w:hint="default" w:ascii="Times New Roman" w:hAnsi="Times New Roman" w:cs="Times New Roman"/>
                <w:color w:val="auto"/>
                <w:szCs w:val="24"/>
              </w:rPr>
            </w:pPr>
            <w:r>
              <w:rPr>
                <w:rFonts w:hint="default" w:ascii="Times New Roman" w:hAnsi="Times New Roman" w:cs="Times New Roman"/>
                <w:color w:val="auto"/>
                <w:kern w:val="2"/>
              </w:rPr>
              <w:t>式中：Q---</w:t>
            </w:r>
            <w:r>
              <w:rPr>
                <w:rFonts w:hint="eastAsia" w:cs="Times New Roman"/>
                <w:color w:val="auto"/>
                <w:kern w:val="2"/>
                <w:lang w:val="en-US" w:eastAsia="zh-CN"/>
              </w:rPr>
              <w:t>排气</w:t>
            </w:r>
            <w:r>
              <w:rPr>
                <w:rFonts w:hint="default" w:ascii="Times New Roman" w:hAnsi="Times New Roman" w:cs="Times New Roman"/>
                <w:color w:val="auto"/>
                <w:kern w:val="2"/>
              </w:rPr>
              <w:t>量，m³/</w:t>
            </w:r>
            <w:r>
              <w:rPr>
                <w:rFonts w:hint="eastAsia" w:cs="Times New Roman"/>
                <w:color w:val="auto"/>
                <w:kern w:val="2"/>
                <w:lang w:val="en-US" w:eastAsia="zh-CN"/>
              </w:rPr>
              <w:t>s</w:t>
            </w:r>
            <w:r>
              <w:rPr>
                <w:rFonts w:hint="default" w:ascii="Times New Roman" w:hAnsi="Times New Roman" w:cs="Times New Roman"/>
                <w:color w:val="auto"/>
                <w:kern w:val="2"/>
              </w:rPr>
              <w:t>；</w:t>
            </w:r>
          </w:p>
          <w:p w14:paraId="59F6D565">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eastAsia" w:cs="Times New Roman"/>
                <w:color w:val="auto"/>
                <w:sz w:val="24"/>
                <w:lang w:val="en-US" w:eastAsia="zh-CN"/>
              </w:rPr>
              <w:t>F</w:t>
            </w:r>
            <w:r>
              <w:rPr>
                <w:rFonts w:hint="default" w:ascii="Times New Roman" w:hAnsi="Times New Roman" w:cs="Times New Roman"/>
                <w:color w:val="auto"/>
                <w:sz w:val="24"/>
              </w:rPr>
              <w:t>---</w:t>
            </w:r>
            <w:r>
              <w:rPr>
                <w:rFonts w:hint="eastAsia" w:cs="Times New Roman"/>
                <w:color w:val="auto"/>
                <w:sz w:val="24"/>
                <w:lang w:val="en-US" w:eastAsia="zh-CN"/>
              </w:rPr>
              <w:t>缝隙面积</w:t>
            </w:r>
            <w:r>
              <w:rPr>
                <w:rFonts w:hint="default" w:ascii="Times New Roman" w:hAnsi="Times New Roman" w:cs="Times New Roman"/>
                <w:color w:val="auto"/>
                <w:sz w:val="24"/>
              </w:rPr>
              <w:t>，m</w:t>
            </w:r>
            <w:r>
              <w:rPr>
                <w:rFonts w:hint="eastAsia" w:cs="Times New Roman"/>
                <w:color w:val="auto"/>
                <w:sz w:val="24"/>
                <w:vertAlign w:val="superscript"/>
                <w:lang w:val="en-US" w:eastAsia="zh-CN"/>
              </w:rPr>
              <w:t>2</w:t>
            </w:r>
            <w:r>
              <w:rPr>
                <w:rFonts w:hint="eastAsia" w:cs="Times New Roman"/>
                <w:color w:val="auto"/>
                <w:sz w:val="24"/>
                <w:vertAlign w:val="baseline"/>
                <w:lang w:val="en-US" w:eastAsia="zh-CN"/>
              </w:rPr>
              <w:t>，本项目单个密闭罩缝隙面积约为0.03m</w:t>
            </w:r>
            <w:r>
              <w:rPr>
                <w:rFonts w:hint="eastAsia" w:cs="Times New Roman"/>
                <w:color w:val="auto"/>
                <w:sz w:val="24"/>
                <w:vertAlign w:val="superscript"/>
                <w:lang w:val="en-US" w:eastAsia="zh-CN"/>
              </w:rPr>
              <w:t>2</w:t>
            </w:r>
            <w:r>
              <w:rPr>
                <w:rFonts w:hint="default" w:ascii="Times New Roman" w:hAnsi="Times New Roman" w:cs="Times New Roman"/>
                <w:color w:val="auto"/>
                <w:sz w:val="24"/>
              </w:rPr>
              <w:t>；</w:t>
            </w:r>
          </w:p>
          <w:p w14:paraId="5393933E">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eastAsia" w:cs="Times New Roman"/>
                <w:color w:val="auto"/>
                <w:sz w:val="24"/>
                <w:lang w:val="en-US" w:eastAsia="zh-CN"/>
              </w:rPr>
              <w:t>V</w:t>
            </w:r>
            <w:r>
              <w:rPr>
                <w:rFonts w:hint="default" w:ascii="Times New Roman" w:hAnsi="Times New Roman" w:cs="Times New Roman"/>
                <w:color w:val="auto"/>
                <w:sz w:val="24"/>
              </w:rPr>
              <w:t>---</w:t>
            </w:r>
            <w:r>
              <w:rPr>
                <w:rFonts w:hint="eastAsia" w:cs="Times New Roman"/>
                <w:color w:val="auto"/>
                <w:sz w:val="24"/>
                <w:lang w:val="en-US" w:eastAsia="zh-CN"/>
              </w:rPr>
              <w:t>缝隙风速，近似5m/s</w:t>
            </w:r>
            <w:r>
              <w:rPr>
                <w:rFonts w:hint="default" w:ascii="Times New Roman" w:hAnsi="Times New Roman" w:cs="Times New Roman"/>
                <w:color w:val="auto"/>
                <w:sz w:val="24"/>
              </w:rPr>
              <w:t>；</w:t>
            </w:r>
          </w:p>
          <w:p w14:paraId="557E4C2C">
            <w:pPr>
              <w:pageBreakBefore w:val="0"/>
              <w:wordWrap w:val="0"/>
              <w:overflowPunct/>
              <w:bidi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本项目设有</w:t>
            </w:r>
            <w:r>
              <w:rPr>
                <w:rFonts w:hint="default" w:ascii="Times New Roman" w:hAnsi="Times New Roman" w:cs="Times New Roman"/>
                <w:color w:val="auto"/>
                <w:sz w:val="24"/>
                <w:lang w:val="en-US" w:eastAsia="zh-CN"/>
              </w:rPr>
              <w:t>40</w:t>
            </w:r>
            <w:r>
              <w:rPr>
                <w:rFonts w:hint="default" w:ascii="Times New Roman" w:hAnsi="Times New Roman" w:cs="Times New Roman"/>
                <w:color w:val="auto"/>
                <w:sz w:val="24"/>
              </w:rPr>
              <w:t>台</w:t>
            </w:r>
            <w:r>
              <w:rPr>
                <w:rFonts w:hint="eastAsia" w:cs="Times New Roman"/>
                <w:color w:val="auto"/>
                <w:sz w:val="24"/>
                <w:lang w:val="en-US" w:eastAsia="zh-CN"/>
              </w:rPr>
              <w:t>注塑</w:t>
            </w:r>
            <w:r>
              <w:rPr>
                <w:rFonts w:hint="default" w:ascii="Times New Roman" w:hAnsi="Times New Roman" w:cs="Times New Roman"/>
                <w:color w:val="auto"/>
                <w:sz w:val="24"/>
              </w:rPr>
              <w:t>机，每台设备产污口</w:t>
            </w:r>
            <w:r>
              <w:rPr>
                <w:rFonts w:hint="eastAsia" w:cs="Times New Roman"/>
                <w:color w:val="auto"/>
                <w:sz w:val="24"/>
                <w:lang w:val="en-US" w:eastAsia="zh-CN"/>
              </w:rPr>
              <w:t>均</w:t>
            </w:r>
            <w:r>
              <w:rPr>
                <w:rFonts w:hint="default" w:ascii="Times New Roman" w:hAnsi="Times New Roman" w:cs="Times New Roman"/>
                <w:color w:val="auto"/>
                <w:sz w:val="24"/>
              </w:rPr>
              <w:t>拟设1个</w:t>
            </w:r>
            <w:r>
              <w:rPr>
                <w:rFonts w:hint="eastAsia" w:cs="Times New Roman"/>
                <w:color w:val="auto"/>
                <w:sz w:val="24"/>
                <w:lang w:val="en-US" w:eastAsia="zh-CN"/>
              </w:rPr>
              <w:t>密闭</w:t>
            </w:r>
            <w:r>
              <w:rPr>
                <w:rFonts w:hint="default" w:ascii="Times New Roman" w:hAnsi="Times New Roman" w:cs="Times New Roman"/>
                <w:color w:val="auto"/>
                <w:sz w:val="24"/>
              </w:rPr>
              <w:t>罩，合计拟设4</w:t>
            </w:r>
            <w:r>
              <w:rPr>
                <w:rFonts w:hint="default" w:ascii="Times New Roman" w:hAnsi="Times New Roman" w:cs="Times New Roman"/>
                <w:color w:val="auto"/>
                <w:sz w:val="24"/>
                <w:lang w:val="en-US" w:eastAsia="zh-CN"/>
              </w:rPr>
              <w:t>0</w:t>
            </w:r>
            <w:r>
              <w:rPr>
                <w:rFonts w:hint="default" w:ascii="Times New Roman" w:hAnsi="Times New Roman" w:cs="Times New Roman"/>
                <w:color w:val="auto"/>
                <w:sz w:val="24"/>
              </w:rPr>
              <w:t>个</w:t>
            </w:r>
            <w:r>
              <w:rPr>
                <w:rFonts w:hint="eastAsia" w:cs="Times New Roman"/>
                <w:color w:val="auto"/>
                <w:sz w:val="24"/>
                <w:lang w:val="en-US" w:eastAsia="zh-CN"/>
              </w:rPr>
              <w:t>密闭</w:t>
            </w:r>
            <w:r>
              <w:rPr>
                <w:rFonts w:hint="default" w:ascii="Times New Roman" w:hAnsi="Times New Roman" w:cs="Times New Roman"/>
                <w:color w:val="auto"/>
                <w:sz w:val="24"/>
              </w:rPr>
              <w:t>罩。根据上述公式计算得</w:t>
            </w:r>
            <w:r>
              <w:rPr>
                <w:rFonts w:hint="eastAsia" w:cs="Times New Roman"/>
                <w:caps/>
                <w:color w:val="auto"/>
                <w:sz w:val="24"/>
                <w:lang w:val="en-US" w:eastAsia="zh-CN"/>
              </w:rPr>
              <w:t>密闭</w:t>
            </w:r>
            <w:r>
              <w:rPr>
                <w:rFonts w:hint="default" w:ascii="Times New Roman" w:hAnsi="Times New Roman" w:cs="Times New Roman"/>
                <w:caps/>
                <w:color w:val="auto"/>
                <w:sz w:val="24"/>
              </w:rPr>
              <w:t>罩</w:t>
            </w:r>
            <w:r>
              <w:rPr>
                <w:rFonts w:hint="default" w:ascii="Times New Roman" w:hAnsi="Times New Roman" w:cs="Times New Roman"/>
                <w:color w:val="auto"/>
                <w:sz w:val="24"/>
              </w:rPr>
              <w:t>合计总风量为</w:t>
            </w:r>
            <w:r>
              <w:rPr>
                <w:rFonts w:hint="eastAsia" w:cs="Times New Roman"/>
                <w:color w:val="auto"/>
                <w:sz w:val="24"/>
                <w:lang w:val="en-US" w:eastAsia="zh-CN"/>
              </w:rPr>
              <w:t>540</w:t>
            </w:r>
            <w:r>
              <w:rPr>
                <w:rFonts w:hint="default" w:ascii="Times New Roman" w:hAnsi="Times New Roman" w:cs="Times New Roman"/>
                <w:color w:val="auto"/>
                <w:sz w:val="24"/>
              </w:rPr>
              <w:t>*4</w:t>
            </w:r>
            <w:r>
              <w:rPr>
                <w:rFonts w:hint="default" w:ascii="Times New Roman" w:hAnsi="Times New Roman" w:cs="Times New Roman"/>
                <w:color w:val="auto"/>
                <w:sz w:val="24"/>
                <w:lang w:val="en-US" w:eastAsia="zh-CN"/>
              </w:rPr>
              <w:t>0</w:t>
            </w:r>
            <w:r>
              <w:rPr>
                <w:rFonts w:hint="default" w:ascii="Times New Roman" w:hAnsi="Times New Roman" w:cs="Times New Roman"/>
                <w:color w:val="auto"/>
                <w:sz w:val="24"/>
              </w:rPr>
              <w:t>=</w:t>
            </w:r>
            <w:r>
              <w:rPr>
                <w:rFonts w:hint="eastAsia" w:cs="Times New Roman"/>
                <w:color w:val="auto"/>
                <w:sz w:val="24"/>
                <w:lang w:val="en-US" w:eastAsia="zh-CN"/>
              </w:rPr>
              <w:t>21600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/h。考虑到漏风等损失因素，故本项目废气处理系统风量为25000m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w:t>
            </w:r>
          </w:p>
          <w:p w14:paraId="0359C0DB">
            <w:pPr>
              <w:pStyle w:val="20"/>
              <w:pageBreakBefore w:val="0"/>
              <w:wordWrap w:val="0"/>
              <w:overflowPunct/>
              <w:bidi w:val="0"/>
              <w:spacing w:line="360" w:lineRule="auto"/>
              <w:ind w:firstLine="480" w:firstLineChars="200"/>
              <w:rPr>
                <w:rFonts w:hint="default" w:ascii="Times New Roman" w:hAnsi="Times New Roman" w:cs="Times New Roman"/>
                <w:color w:val="auto"/>
                <w:szCs w:val="24"/>
              </w:rPr>
            </w:pPr>
            <w:r>
              <w:rPr>
                <w:rFonts w:hint="default" w:ascii="Times New Roman" w:hAnsi="Times New Roman" w:cs="Times New Roman"/>
                <w:color w:val="auto"/>
              </w:rPr>
              <w:t>参考《广东省生态环境厅关于印发工业源挥发性有机物和氮氧化物减排量核算方法的通知》（粤环函〔2023〕538号）表3.3-2废气收集集气效率参考值，“全密封设备/空间-单层密闭正压，VOCs产生源设置在密闭车间内，所有开口处，包括人员或物料进出口处呈正压，且无明显泄漏点，对应的集气效率为80%”，项目在注塑机废气产污口拟设</w:t>
            </w:r>
            <w:r>
              <w:rPr>
                <w:rFonts w:hint="eastAsia" w:cs="Times New Roman"/>
                <w:color w:val="auto"/>
                <w:lang w:val="en-US" w:eastAsia="zh-CN"/>
              </w:rPr>
              <w:t>密闭</w:t>
            </w:r>
            <w:r>
              <w:rPr>
                <w:rFonts w:hint="default" w:ascii="Times New Roman" w:hAnsi="Times New Roman" w:cs="Times New Roman"/>
                <w:color w:val="auto"/>
              </w:rPr>
              <w:t>罩收集，且注塑机设置在密闭车间内，废气均呈正压收集。参考《三废处理工程技术手册废气卷》第十七章净化系统的设计表17-1可知，一般作业室换气次数为6次/h，项目注塑区域围蔽面积约为1000m</w:t>
            </w:r>
            <w:r>
              <w:rPr>
                <w:rFonts w:hint="default" w:ascii="Times New Roman" w:hAnsi="Times New Roman" w:cs="Times New Roman"/>
                <w:color w:val="auto"/>
                <w:vertAlign w:val="superscript"/>
              </w:rPr>
              <w:t>2</w:t>
            </w:r>
            <w:r>
              <w:rPr>
                <w:rFonts w:hint="default" w:ascii="Times New Roman" w:hAnsi="Times New Roman" w:cs="Times New Roman"/>
                <w:color w:val="auto"/>
              </w:rPr>
              <w:t>，则围蔽区域风量为：Q=1000m</w:t>
            </w:r>
            <w:r>
              <w:rPr>
                <w:rFonts w:hint="default" w:ascii="Times New Roman" w:hAnsi="Times New Roman" w:cs="Times New Roman"/>
                <w:color w:val="auto"/>
                <w:vertAlign w:val="superscript"/>
              </w:rPr>
              <w:t>2</w:t>
            </w:r>
            <w:r>
              <w:rPr>
                <w:rFonts w:hint="default" w:ascii="Times New Roman" w:hAnsi="Times New Roman" w:cs="Times New Roman"/>
                <w:color w:val="auto"/>
              </w:rPr>
              <w:t>*4m*6=24000m</w:t>
            </w:r>
            <w:r>
              <w:rPr>
                <w:rFonts w:hint="default" w:ascii="Times New Roman" w:hAnsi="Times New Roman" w:cs="Times New Roman"/>
                <w:color w:val="auto"/>
                <w:vertAlign w:val="superscript"/>
              </w:rPr>
              <w:t>3</w:t>
            </w:r>
            <w:r>
              <w:rPr>
                <w:rFonts w:hint="default" w:ascii="Times New Roman" w:hAnsi="Times New Roman" w:cs="Times New Roman"/>
                <w:color w:val="auto"/>
              </w:rPr>
              <w:t>/h。项目废气处理系统风量</w:t>
            </w:r>
            <w:r>
              <w:rPr>
                <w:rFonts w:hint="default" w:ascii="Times New Roman" w:hAnsi="Times New Roman" w:cs="Times New Roman"/>
                <w:color w:val="auto"/>
                <w:szCs w:val="24"/>
              </w:rPr>
              <w:t>为25000m</w:t>
            </w:r>
            <w:r>
              <w:rPr>
                <w:rFonts w:hint="default" w:ascii="Times New Roman" w:hAnsi="Times New Roman" w:cs="Times New Roman"/>
                <w:color w:val="auto"/>
                <w:szCs w:val="24"/>
                <w:vertAlign w:val="superscript"/>
              </w:rPr>
              <w:t>3</w:t>
            </w:r>
            <w:r>
              <w:rPr>
                <w:rFonts w:hint="default" w:ascii="Times New Roman" w:hAnsi="Times New Roman" w:cs="Times New Roman"/>
                <w:color w:val="auto"/>
                <w:szCs w:val="24"/>
              </w:rPr>
              <w:t>/h，符合密闭空间换气要求。因此，项目废气收集效率可达80%。</w:t>
            </w:r>
          </w:p>
          <w:p w14:paraId="5192CE45">
            <w:pPr>
              <w:pStyle w:val="20"/>
              <w:pageBreakBefore w:val="0"/>
              <w:wordWrap w:val="0"/>
              <w:overflowPunct/>
              <w:bidi w:val="0"/>
              <w:spacing w:line="360" w:lineRule="auto"/>
              <w:ind w:firstLine="480" w:firstLineChars="200"/>
              <w:rPr>
                <w:rFonts w:hint="default" w:ascii="Times New Roman" w:hAnsi="Times New Roman" w:cs="Times New Roman"/>
                <w:color w:val="auto"/>
                <w:szCs w:val="24"/>
              </w:rPr>
            </w:pPr>
            <w:r>
              <w:rPr>
                <w:rFonts w:hint="default" w:ascii="Times New Roman" w:hAnsi="Times New Roman" w:cs="Times New Roman"/>
                <w:color w:val="auto"/>
              </w:rPr>
              <w:t>参考《广东省家具行业挥发性有机化合物废气治理技术指南》（粤环〔2013〕79号）中对有机废气治理设施的治理效率可得，吸附法处理效率为50</w:t>
            </w:r>
            <w:r>
              <w:rPr>
                <w:rFonts w:hint="eastAsia" w:cs="Times New Roman"/>
                <w:color w:val="auto"/>
                <w:lang w:eastAsia="zh-CN"/>
              </w:rPr>
              <w:t>%～</w:t>
            </w:r>
            <w:r>
              <w:rPr>
                <w:rFonts w:hint="default" w:ascii="Times New Roman" w:hAnsi="Times New Roman" w:cs="Times New Roman"/>
                <w:color w:val="auto"/>
              </w:rPr>
              <w:t>80%（本报告一级活性炭处理效率取60%，二级活性炭处理效率取50%），项目采取两级活性炭串联方式，当存在两种或两种以上治理设施联合治理时，治理效率可按公式η=1-（1-η1）×（1-η2）...（1-ηn）进行计算，则本项目废气处理工艺对有机废气总处理效率合计为1-（1</w:t>
            </w:r>
            <w:r>
              <w:rPr>
                <w:rFonts w:hint="eastAsia" w:cs="Times New Roman"/>
                <w:color w:val="auto"/>
                <w:lang w:eastAsia="zh-CN"/>
              </w:rPr>
              <w:t>%～</w:t>
            </w:r>
            <w:r>
              <w:rPr>
                <w:rFonts w:hint="default" w:ascii="Times New Roman" w:hAnsi="Times New Roman" w:cs="Times New Roman"/>
                <w:color w:val="auto"/>
              </w:rPr>
              <w:t>60%）×（1</w:t>
            </w:r>
            <w:r>
              <w:rPr>
                <w:rFonts w:hint="eastAsia" w:cs="Times New Roman"/>
                <w:color w:val="auto"/>
                <w:lang w:eastAsia="zh-CN"/>
              </w:rPr>
              <w:t>%～</w:t>
            </w:r>
            <w:r>
              <w:rPr>
                <w:rFonts w:hint="default" w:ascii="Times New Roman" w:hAnsi="Times New Roman" w:cs="Times New Roman"/>
                <w:color w:val="auto"/>
              </w:rPr>
              <w:t>50%）=80%。</w:t>
            </w:r>
          </w:p>
          <w:p w14:paraId="1A3DBC4B">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rPr>
            </w:pPr>
            <w:r>
              <w:rPr>
                <w:rFonts w:hint="default" w:ascii="Times New Roman" w:hAnsi="Times New Roman" w:cs="Times New Roman"/>
                <w:b/>
                <w:color w:val="auto"/>
              </w:rPr>
              <w:t>本项目注塑吹瓶废气产排情况</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2"/>
              <w:gridCol w:w="819"/>
              <w:gridCol w:w="842"/>
              <w:gridCol w:w="1030"/>
              <w:gridCol w:w="1036"/>
              <w:gridCol w:w="842"/>
              <w:gridCol w:w="1031"/>
              <w:gridCol w:w="1037"/>
            </w:tblGrid>
            <w:tr w14:paraId="3ED06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gridSpan w:val="2"/>
                  <w:vMerge w:val="restart"/>
                  <w:tcBorders>
                    <w:top w:val="single" w:color="000000" w:sz="4" w:space="0"/>
                    <w:left w:val="single" w:color="auto" w:sz="0" w:space="0"/>
                    <w:bottom w:val="single" w:color="000000" w:sz="4" w:space="0"/>
                    <w:right w:val="single" w:color="000000" w:sz="4" w:space="0"/>
                  </w:tcBorders>
                  <w:noWrap w:val="0"/>
                  <w:vAlign w:val="center"/>
                </w:tcPr>
                <w:p w14:paraId="3E87C50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污染物</w:t>
                  </w:r>
                </w:p>
              </w:tc>
              <w:tc>
                <w:tcPr>
                  <w:tcW w:w="0" w:type="auto"/>
                  <w:gridSpan w:val="3"/>
                  <w:tcBorders>
                    <w:top w:val="single" w:color="000000" w:sz="4" w:space="0"/>
                    <w:left w:val="single" w:color="000000" w:sz="4" w:space="0"/>
                    <w:bottom w:val="single" w:color="000000" w:sz="4" w:space="0"/>
                    <w:right w:val="single" w:color="000000" w:sz="4" w:space="0"/>
                  </w:tcBorders>
                  <w:noWrap w:val="0"/>
                  <w:vAlign w:val="center"/>
                </w:tcPr>
                <w:p w14:paraId="5F05AA1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产生情况</w:t>
                  </w:r>
                </w:p>
              </w:tc>
              <w:tc>
                <w:tcPr>
                  <w:tcW w:w="0" w:type="auto"/>
                  <w:gridSpan w:val="3"/>
                  <w:tcBorders>
                    <w:top w:val="single" w:color="000000" w:sz="4" w:space="0"/>
                    <w:left w:val="single" w:color="000000" w:sz="4" w:space="0"/>
                    <w:bottom w:val="single" w:color="000000" w:sz="4" w:space="0"/>
                    <w:right w:val="single" w:color="000000" w:sz="4" w:space="0"/>
                  </w:tcBorders>
                  <w:noWrap w:val="0"/>
                  <w:vAlign w:val="center"/>
                </w:tcPr>
                <w:p w14:paraId="6D26086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排放情况</w:t>
                  </w:r>
                </w:p>
              </w:tc>
            </w:tr>
            <w:tr w14:paraId="1EF11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1CE88D8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872DD67">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产生量</w:t>
                  </w:r>
                  <w:r>
                    <w:rPr>
                      <w:rFonts w:hint="default" w:ascii="Times New Roman" w:hAnsi="Times New Roman" w:cs="Times New Roman"/>
                      <w:b w:val="0"/>
                      <w:bCs/>
                      <w:color w:val="auto"/>
                      <w:sz w:val="21"/>
                      <w:szCs w:val="21"/>
                      <w:highlight w:val="none"/>
                      <w:lang w:val="en-US" w:eastAsia="zh-CN"/>
                    </w:rPr>
                    <w:t>t/a</w:t>
                  </w:r>
                </w:p>
              </w:tc>
              <w:tc>
                <w:tcPr>
                  <w:tcW w:w="1030" w:type="dxa"/>
                  <w:tcBorders>
                    <w:top w:val="single" w:color="000000" w:sz="4" w:space="0"/>
                    <w:left w:val="single" w:color="000000" w:sz="4" w:space="0"/>
                    <w:bottom w:val="single" w:color="000000" w:sz="4" w:space="0"/>
                    <w:right w:val="single" w:color="000000" w:sz="4" w:space="0"/>
                  </w:tcBorders>
                  <w:noWrap w:val="0"/>
                  <w:vAlign w:val="center"/>
                </w:tcPr>
                <w:p w14:paraId="338201DC">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产生速率</w:t>
                  </w:r>
                  <w:r>
                    <w:rPr>
                      <w:rFonts w:hint="default" w:ascii="Times New Roman" w:hAnsi="Times New Roman" w:cs="Times New Roman"/>
                      <w:b w:val="0"/>
                      <w:bCs/>
                      <w:color w:val="auto"/>
                      <w:sz w:val="21"/>
                      <w:szCs w:val="21"/>
                      <w:highlight w:val="none"/>
                      <w:lang w:val="en-US" w:eastAsia="zh-CN"/>
                    </w:rPr>
                    <w:t>kg/h</w:t>
                  </w:r>
                </w:p>
              </w:tc>
              <w:tc>
                <w:tcPr>
                  <w:tcW w:w="1036" w:type="dxa"/>
                  <w:tcBorders>
                    <w:top w:val="single" w:color="000000" w:sz="4" w:space="0"/>
                    <w:left w:val="single" w:color="000000" w:sz="4" w:space="0"/>
                    <w:bottom w:val="single" w:color="000000" w:sz="4" w:space="0"/>
                    <w:right w:val="single" w:color="000000" w:sz="4" w:space="0"/>
                  </w:tcBorders>
                  <w:noWrap w:val="0"/>
                  <w:vAlign w:val="center"/>
                </w:tcPr>
                <w:p w14:paraId="63AE9C20">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产生浓度</w:t>
                  </w:r>
                  <w:r>
                    <w:rPr>
                      <w:rFonts w:hint="default" w:ascii="Times New Roman" w:hAnsi="Times New Roman" w:cs="Times New Roman"/>
                      <w:b w:val="0"/>
                      <w:bCs/>
                      <w:color w:val="auto"/>
                      <w:sz w:val="21"/>
                      <w:szCs w:val="21"/>
                      <w:highlight w:val="none"/>
                      <w:lang w:val="en-US" w:eastAsia="zh-CN"/>
                    </w:rPr>
                    <w:t>mg/m</w:t>
                  </w:r>
                  <w:r>
                    <w:rPr>
                      <w:rFonts w:hint="default" w:ascii="Times New Roman" w:hAnsi="Times New Roman" w:cs="Times New Roman"/>
                      <w:b w:val="0"/>
                      <w:bCs/>
                      <w:color w:val="auto"/>
                      <w:sz w:val="21"/>
                      <w:szCs w:val="21"/>
                      <w:highlight w:val="none"/>
                      <w:vertAlign w:val="superscript"/>
                      <w:lang w:val="en-US" w:eastAsia="zh-CN"/>
                    </w:rPr>
                    <w:t>3</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AB5197A">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排放量</w:t>
                  </w:r>
                  <w:r>
                    <w:rPr>
                      <w:rFonts w:hint="default" w:ascii="Times New Roman" w:hAnsi="Times New Roman" w:cs="Times New Roman"/>
                      <w:b w:val="0"/>
                      <w:bCs/>
                      <w:color w:val="auto"/>
                      <w:sz w:val="21"/>
                      <w:szCs w:val="21"/>
                      <w:highlight w:val="none"/>
                      <w:lang w:val="en-US" w:eastAsia="zh-CN"/>
                    </w:rPr>
                    <w:t>t/a</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7961507">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排放速率</w:t>
                  </w:r>
                  <w:r>
                    <w:rPr>
                      <w:rFonts w:hint="default" w:ascii="Times New Roman" w:hAnsi="Times New Roman" w:cs="Times New Roman"/>
                      <w:b w:val="0"/>
                      <w:bCs/>
                      <w:color w:val="auto"/>
                      <w:sz w:val="21"/>
                      <w:szCs w:val="21"/>
                      <w:highlight w:val="none"/>
                      <w:lang w:val="en-US" w:eastAsia="zh-CN"/>
                    </w:rPr>
                    <w:t>kg/h</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49A4938">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排放浓度</w:t>
                  </w:r>
                  <w:r>
                    <w:rPr>
                      <w:rFonts w:hint="default" w:ascii="Times New Roman" w:hAnsi="Times New Roman" w:cs="Times New Roman"/>
                      <w:b w:val="0"/>
                      <w:bCs/>
                      <w:color w:val="auto"/>
                      <w:sz w:val="21"/>
                      <w:szCs w:val="21"/>
                      <w:highlight w:val="none"/>
                      <w:lang w:val="en-US" w:eastAsia="zh-CN"/>
                    </w:rPr>
                    <w:t>mg/m</w:t>
                  </w:r>
                  <w:r>
                    <w:rPr>
                      <w:rFonts w:hint="default" w:ascii="Times New Roman" w:hAnsi="Times New Roman" w:cs="Times New Roman"/>
                      <w:b w:val="0"/>
                      <w:bCs/>
                      <w:color w:val="auto"/>
                      <w:sz w:val="21"/>
                      <w:szCs w:val="21"/>
                      <w:highlight w:val="none"/>
                      <w:vertAlign w:val="superscript"/>
                      <w:lang w:val="en-US" w:eastAsia="zh-CN"/>
                    </w:rPr>
                    <w:t>3</w:t>
                  </w:r>
                </w:p>
              </w:tc>
            </w:tr>
            <w:tr w14:paraId="20A41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0" w:type="auto"/>
                  <w:vMerge w:val="restart"/>
                  <w:tcBorders>
                    <w:top w:val="single" w:color="000000" w:sz="4" w:space="0"/>
                    <w:left w:val="single" w:color="000000" w:sz="4" w:space="0"/>
                    <w:bottom w:val="single" w:color="000000" w:sz="4" w:space="0"/>
                    <w:right w:val="single" w:color="000000" w:sz="4" w:space="0"/>
                  </w:tcBorders>
                  <w:noWrap w:val="0"/>
                  <w:vAlign w:val="center"/>
                </w:tcPr>
                <w:p w14:paraId="3475477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E7D8E3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有组织</w:t>
                  </w:r>
                </w:p>
              </w:tc>
              <w:tc>
                <w:tcPr>
                  <w:tcW w:w="842" w:type="dxa"/>
                  <w:tcBorders>
                    <w:top w:val="single" w:color="000000" w:sz="4" w:space="0"/>
                    <w:left w:val="single" w:color="000000" w:sz="4" w:space="0"/>
                    <w:bottom w:val="single" w:color="000000" w:sz="4" w:space="0"/>
                    <w:right w:val="single" w:color="000000" w:sz="4" w:space="0"/>
                  </w:tcBorders>
                  <w:noWrap w:val="0"/>
                  <w:vAlign w:val="center"/>
                </w:tcPr>
                <w:p w14:paraId="0DB5049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4.32 </w:t>
                  </w:r>
                </w:p>
              </w:tc>
              <w:tc>
                <w:tcPr>
                  <w:tcW w:w="1030" w:type="dxa"/>
                  <w:tcBorders>
                    <w:top w:val="single" w:color="000000" w:sz="4" w:space="0"/>
                    <w:left w:val="single" w:color="000000" w:sz="4" w:space="0"/>
                    <w:bottom w:val="single" w:color="000000" w:sz="4" w:space="0"/>
                    <w:right w:val="single" w:color="000000" w:sz="4" w:space="0"/>
                  </w:tcBorders>
                  <w:noWrap w:val="0"/>
                  <w:vAlign w:val="center"/>
                </w:tcPr>
                <w:p w14:paraId="1EB9CFA2">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0.60 </w:t>
                  </w:r>
                </w:p>
              </w:tc>
              <w:tc>
                <w:tcPr>
                  <w:tcW w:w="1036" w:type="dxa"/>
                  <w:tcBorders>
                    <w:top w:val="single" w:color="000000" w:sz="4" w:space="0"/>
                    <w:left w:val="single" w:color="000000" w:sz="4" w:space="0"/>
                    <w:bottom w:val="single" w:color="000000" w:sz="4" w:space="0"/>
                    <w:right w:val="single" w:color="000000" w:sz="4" w:space="0"/>
                  </w:tcBorders>
                  <w:noWrap w:val="0"/>
                  <w:vAlign w:val="center"/>
                </w:tcPr>
                <w:p w14:paraId="10C1E942">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24.00 </w:t>
                  </w:r>
                </w:p>
              </w:tc>
              <w:tc>
                <w:tcPr>
                  <w:tcW w:w="842" w:type="dxa"/>
                  <w:tcBorders>
                    <w:top w:val="single" w:color="000000" w:sz="4" w:space="0"/>
                    <w:left w:val="single" w:color="000000" w:sz="4" w:space="0"/>
                    <w:bottom w:val="single" w:color="000000" w:sz="4" w:space="0"/>
                    <w:right w:val="single" w:color="000000" w:sz="4" w:space="0"/>
                  </w:tcBorders>
                  <w:noWrap w:val="0"/>
                  <w:vAlign w:val="center"/>
                </w:tcPr>
                <w:p w14:paraId="14B29583">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0.86 </w:t>
                  </w:r>
                </w:p>
              </w:tc>
              <w:tc>
                <w:tcPr>
                  <w:tcW w:w="1031" w:type="dxa"/>
                  <w:tcBorders>
                    <w:top w:val="single" w:color="000000" w:sz="4" w:space="0"/>
                    <w:left w:val="single" w:color="000000" w:sz="4" w:space="0"/>
                    <w:bottom w:val="single" w:color="000000" w:sz="4" w:space="0"/>
                    <w:right w:val="single" w:color="000000" w:sz="4" w:space="0"/>
                  </w:tcBorders>
                  <w:noWrap w:val="0"/>
                  <w:vAlign w:val="center"/>
                </w:tcPr>
                <w:p w14:paraId="429E66A9">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0.12 </w:t>
                  </w:r>
                </w:p>
              </w:tc>
              <w:tc>
                <w:tcPr>
                  <w:tcW w:w="1037" w:type="dxa"/>
                  <w:tcBorders>
                    <w:top w:val="single" w:color="000000" w:sz="4" w:space="0"/>
                    <w:left w:val="single" w:color="000000" w:sz="4" w:space="0"/>
                    <w:bottom w:val="single" w:color="000000" w:sz="4" w:space="0"/>
                    <w:right w:val="single" w:color="000000" w:sz="4" w:space="0"/>
                  </w:tcBorders>
                  <w:noWrap w:val="0"/>
                  <w:vAlign w:val="center"/>
                </w:tcPr>
                <w:p w14:paraId="4A34996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4.80 </w:t>
                  </w:r>
                </w:p>
              </w:tc>
            </w:tr>
            <w:tr w14:paraId="60DE7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298FF00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A05D86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842" w:type="dxa"/>
                  <w:tcBorders>
                    <w:top w:val="single" w:color="000000" w:sz="4" w:space="0"/>
                    <w:left w:val="single" w:color="000000" w:sz="4" w:space="0"/>
                    <w:bottom w:val="single" w:color="000000" w:sz="4" w:space="0"/>
                    <w:right w:val="single" w:color="000000" w:sz="4" w:space="0"/>
                  </w:tcBorders>
                  <w:noWrap w:val="0"/>
                  <w:vAlign w:val="center"/>
                </w:tcPr>
                <w:p w14:paraId="36B54DC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1.08 </w:t>
                  </w:r>
                </w:p>
              </w:tc>
              <w:tc>
                <w:tcPr>
                  <w:tcW w:w="1030" w:type="dxa"/>
                  <w:tcBorders>
                    <w:top w:val="single" w:color="000000" w:sz="4" w:space="0"/>
                    <w:left w:val="single" w:color="000000" w:sz="4" w:space="0"/>
                    <w:bottom w:val="single" w:color="000000" w:sz="4" w:space="0"/>
                    <w:right w:val="single" w:color="000000" w:sz="4" w:space="0"/>
                  </w:tcBorders>
                  <w:noWrap w:val="0"/>
                  <w:vAlign w:val="center"/>
                </w:tcPr>
                <w:p w14:paraId="513291F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0.15 </w:t>
                  </w:r>
                </w:p>
              </w:tc>
              <w:tc>
                <w:tcPr>
                  <w:tcW w:w="1036" w:type="dxa"/>
                  <w:tcBorders>
                    <w:top w:val="single" w:color="000000" w:sz="4" w:space="0"/>
                    <w:left w:val="single" w:color="000000" w:sz="4" w:space="0"/>
                    <w:bottom w:val="single" w:color="000000" w:sz="4" w:space="0"/>
                    <w:right w:val="single" w:color="000000" w:sz="4" w:space="0"/>
                  </w:tcBorders>
                  <w:noWrap w:val="0"/>
                  <w:vAlign w:val="center"/>
                </w:tcPr>
                <w:p w14:paraId="538A85D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42" w:type="dxa"/>
                  <w:tcBorders>
                    <w:top w:val="single" w:color="000000" w:sz="4" w:space="0"/>
                    <w:left w:val="single" w:color="000000" w:sz="4" w:space="0"/>
                    <w:bottom w:val="single" w:color="000000" w:sz="4" w:space="0"/>
                    <w:right w:val="single" w:color="000000" w:sz="4" w:space="0"/>
                  </w:tcBorders>
                  <w:noWrap w:val="0"/>
                  <w:vAlign w:val="center"/>
                </w:tcPr>
                <w:p w14:paraId="0A87C35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1.08 </w:t>
                  </w:r>
                </w:p>
              </w:tc>
              <w:tc>
                <w:tcPr>
                  <w:tcW w:w="1031" w:type="dxa"/>
                  <w:tcBorders>
                    <w:top w:val="single" w:color="000000" w:sz="4" w:space="0"/>
                    <w:left w:val="single" w:color="000000" w:sz="4" w:space="0"/>
                    <w:bottom w:val="single" w:color="000000" w:sz="4" w:space="0"/>
                    <w:right w:val="single" w:color="000000" w:sz="4" w:space="0"/>
                  </w:tcBorders>
                  <w:noWrap w:val="0"/>
                  <w:vAlign w:val="center"/>
                </w:tcPr>
                <w:p w14:paraId="4A5E594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0.15 </w:t>
                  </w:r>
                </w:p>
              </w:tc>
              <w:tc>
                <w:tcPr>
                  <w:tcW w:w="1037" w:type="dxa"/>
                  <w:tcBorders>
                    <w:top w:val="single" w:color="000000" w:sz="4" w:space="0"/>
                    <w:left w:val="single" w:color="000000" w:sz="4" w:space="0"/>
                    <w:bottom w:val="single" w:color="000000" w:sz="4" w:space="0"/>
                    <w:right w:val="single" w:color="000000" w:sz="4" w:space="0"/>
                  </w:tcBorders>
                  <w:noWrap w:val="0"/>
                  <w:vAlign w:val="center"/>
                </w:tcPr>
                <w:p w14:paraId="608D096E">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4EC6F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gridSpan w:val="8"/>
                  <w:tcBorders>
                    <w:top w:val="single" w:color="000000" w:sz="4" w:space="0"/>
                    <w:left w:val="single" w:color="000000" w:sz="4" w:space="0"/>
                    <w:bottom w:val="single" w:color="000000" w:sz="4" w:space="0"/>
                    <w:right w:val="single" w:color="000000" w:sz="4" w:space="0"/>
                  </w:tcBorders>
                  <w:noWrap w:val="0"/>
                  <w:vAlign w:val="center"/>
                </w:tcPr>
                <w:p w14:paraId="235995C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备注：1、每天3班制，每班工作8小时，年工作300天，则一年工作7200h。</w:t>
                  </w:r>
                </w:p>
                <w:p w14:paraId="5FE563A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2、风机风量25000m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/h，有机废气收集效率为80%，二级活性炭去除效率取80%。</w:t>
                  </w:r>
                </w:p>
              </w:tc>
            </w:tr>
          </w:tbl>
          <w:p w14:paraId="2AC4BA40">
            <w:pPr>
              <w:pStyle w:val="12"/>
              <w:pageBreakBefore w:val="0"/>
              <w:wordWrap w:val="0"/>
              <w:overflowPunct/>
              <w:bidi w:val="0"/>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②喷漆工序（含烘干过程）</w:t>
            </w:r>
          </w:p>
          <w:p w14:paraId="0EE263BB">
            <w:pPr>
              <w:pStyle w:val="12"/>
              <w:pageBreakBefore w:val="0"/>
              <w:wordWrap w:val="0"/>
              <w:overflowPunct/>
              <w:bidi w:val="0"/>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项目设两个手动喷漆柜，对部分产品进行喷漆作业，均只喷一遍油漆，喷漆完毕的工件送至电烤箱进行烘干处理。</w:t>
            </w:r>
          </w:p>
          <w:p w14:paraId="5BC4F407">
            <w:pPr>
              <w:pStyle w:val="12"/>
              <w:pageBreakBefore w:val="0"/>
              <w:wordWrap w:val="0"/>
              <w:overflowPunct/>
              <w:bidi w:val="0"/>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因调漆和洗喷枪时间较短，调漆工序和</w:t>
            </w:r>
            <w:r>
              <w:rPr>
                <w:rFonts w:hint="eastAsia" w:cs="Times New Roman"/>
                <w:color w:val="auto"/>
                <w:highlight w:val="none"/>
                <w:lang w:val="en-US" w:eastAsia="zh-CN"/>
              </w:rPr>
              <w:t>清洗</w:t>
            </w:r>
            <w:r>
              <w:rPr>
                <w:rFonts w:hint="default" w:ascii="Times New Roman" w:hAnsi="Times New Roman" w:eastAsia="宋体" w:cs="Times New Roman"/>
                <w:color w:val="auto"/>
                <w:highlight w:val="none"/>
                <w:lang w:val="en-US" w:eastAsia="zh-CN"/>
              </w:rPr>
              <w:t>喷枪在喷漆房中进行，故将调漆</w:t>
            </w:r>
            <w:r>
              <w:rPr>
                <w:rFonts w:hint="eastAsia" w:cs="Times New Roman"/>
                <w:color w:val="auto"/>
                <w:highlight w:val="none"/>
                <w:lang w:val="en-US" w:eastAsia="zh-CN"/>
              </w:rPr>
              <w:t>、清晰喷枪</w:t>
            </w:r>
            <w:r>
              <w:rPr>
                <w:rFonts w:hint="default" w:ascii="Times New Roman" w:hAnsi="Times New Roman" w:eastAsia="宋体" w:cs="Times New Roman"/>
                <w:color w:val="auto"/>
                <w:highlight w:val="none"/>
                <w:lang w:val="en-US" w:eastAsia="zh-CN"/>
              </w:rPr>
              <w:t>废气产生的污染物量并入废气中计算，不做另外计算。</w:t>
            </w:r>
          </w:p>
          <w:p w14:paraId="72F4A975">
            <w:pPr>
              <w:pStyle w:val="12"/>
              <w:pageBreakBefore w:val="0"/>
              <w:wordWrap w:val="0"/>
              <w:overflowPunct/>
              <w:bidi w:val="0"/>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水性漆、油性漆于喷漆柜采用喷枪低压空气喷涂，油性漆、水性漆喷漆过程废气主要污染物为漆雾（颗粒物）、非甲烷总烃，油性漆、水性漆喷漆后烘干过程主要污染物为非甲烷总烃。</w:t>
            </w:r>
          </w:p>
          <w:p w14:paraId="368A2DCD">
            <w:pPr>
              <w:pStyle w:val="12"/>
              <w:pageBreakBefore w:val="0"/>
              <w:wordWrap w:val="0"/>
              <w:overflowPunct/>
              <w:bidi w:val="0"/>
              <w:ind w:firstLine="48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漆雾（颗粒物）：</w:t>
            </w:r>
          </w:p>
          <w:p w14:paraId="579F4B8F">
            <w:pPr>
              <w:pStyle w:val="12"/>
              <w:pageBreakBefore w:val="0"/>
              <w:wordWrap w:val="0"/>
              <w:overflowPunct/>
              <w:bidi w:val="0"/>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项目油漆采用喷枪空气喷涂过程产生漆雾（颗粒物），参考《谈喷涂涂着效率》（王锡春，现代涂料与涂装，2006年10期）中，低压空气喷涂涂着率为50%</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65%，本项目喷漆上漆率按55%计，未附着的油漆形成漆雾。由喷漆柜抽风系统收集经水帘柜除漆雾，然后进入有机废气处理系统：水喷淋塔+干式过滤+两级活性炭吸附。</w:t>
            </w:r>
          </w:p>
          <w:p w14:paraId="1B9A7E95">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rPr>
            </w:pPr>
            <w:r>
              <w:rPr>
                <w:rFonts w:hint="default" w:ascii="Times New Roman" w:hAnsi="Times New Roman" w:cs="Times New Roman"/>
                <w:b/>
                <w:color w:val="auto"/>
              </w:rPr>
              <w:t>项目喷漆废气漆雾产生情况一览表</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3"/>
              <w:gridCol w:w="1459"/>
              <w:gridCol w:w="1537"/>
              <w:gridCol w:w="1537"/>
              <w:gridCol w:w="1537"/>
            </w:tblGrid>
            <w:tr w14:paraId="48548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613" w:type="dxa"/>
                  <w:vAlign w:val="center"/>
                </w:tcPr>
                <w:p w14:paraId="5343620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1459" w:type="dxa"/>
                  <w:vAlign w:val="center"/>
                </w:tcPr>
                <w:p w14:paraId="3E9CD42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用量t/a</w:t>
                  </w:r>
                </w:p>
              </w:tc>
              <w:tc>
                <w:tcPr>
                  <w:tcW w:w="1537" w:type="dxa"/>
                  <w:vAlign w:val="center"/>
                </w:tcPr>
                <w:p w14:paraId="07090186">
                  <w:pPr>
                    <w:pageBreakBefore w:val="0"/>
                    <w:wordWrap w:val="0"/>
                    <w:overflowPunct/>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固含量</w:t>
                  </w:r>
                  <w:r>
                    <w:rPr>
                      <w:rFonts w:hint="eastAsia"/>
                      <w:color w:val="auto"/>
                      <w:lang w:eastAsia="zh-CN"/>
                    </w:rPr>
                    <w:t>（</w:t>
                  </w:r>
                  <w:r>
                    <w:rPr>
                      <w:rFonts w:hint="eastAsia"/>
                      <w:color w:val="auto"/>
                      <w:lang w:val="en-US" w:eastAsia="zh-CN"/>
                    </w:rPr>
                    <w:t>调配后</w:t>
                  </w:r>
                  <w:r>
                    <w:rPr>
                      <w:rFonts w:hint="eastAsia"/>
                      <w:color w:val="auto"/>
                      <w:lang w:eastAsia="zh-CN"/>
                    </w:rPr>
                    <w:t>）</w:t>
                  </w:r>
                </w:p>
              </w:tc>
              <w:tc>
                <w:tcPr>
                  <w:tcW w:w="1537" w:type="dxa"/>
                  <w:vAlign w:val="center"/>
                </w:tcPr>
                <w:p w14:paraId="65991C1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上漆率</w:t>
                  </w:r>
                </w:p>
              </w:tc>
              <w:tc>
                <w:tcPr>
                  <w:tcW w:w="1537" w:type="dxa"/>
                  <w:vAlign w:val="center"/>
                </w:tcPr>
                <w:p w14:paraId="77ED036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漆雾产生量t/a</w:t>
                  </w:r>
                </w:p>
              </w:tc>
            </w:tr>
            <w:tr w14:paraId="6B1F8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13" w:type="dxa"/>
                  <w:vAlign w:val="center"/>
                </w:tcPr>
                <w:p w14:paraId="7BB41C3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水性漆（调配后）</w:t>
                  </w:r>
                </w:p>
              </w:tc>
              <w:tc>
                <w:tcPr>
                  <w:tcW w:w="1459" w:type="dxa"/>
                  <w:vAlign w:val="center"/>
                </w:tcPr>
                <w:p w14:paraId="592B162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11.325 </w:t>
                  </w:r>
                </w:p>
              </w:tc>
              <w:tc>
                <w:tcPr>
                  <w:tcW w:w="1537" w:type="dxa"/>
                  <w:vAlign w:val="center"/>
                </w:tcPr>
                <w:p w14:paraId="112B3AF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51.88%</w:t>
                  </w:r>
                </w:p>
              </w:tc>
              <w:tc>
                <w:tcPr>
                  <w:tcW w:w="1537" w:type="dxa"/>
                  <w:vAlign w:val="center"/>
                </w:tcPr>
                <w:p w14:paraId="04CB191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w:t>
                  </w:r>
                </w:p>
              </w:tc>
              <w:tc>
                <w:tcPr>
                  <w:tcW w:w="1537" w:type="dxa"/>
                  <w:tcBorders>
                    <w:top w:val="single" w:color="auto" w:sz="4" w:space="0"/>
                    <w:left w:val="single" w:color="auto" w:sz="4" w:space="0"/>
                    <w:bottom w:val="single" w:color="auto" w:sz="4" w:space="0"/>
                    <w:right w:val="single" w:color="auto" w:sz="4" w:space="0"/>
                  </w:tcBorders>
                  <w:shd w:val="clear" w:color="auto" w:fill="auto"/>
                  <w:vAlign w:val="center"/>
                </w:tcPr>
                <w:p w14:paraId="62BBC23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2.644 </w:t>
                  </w:r>
                </w:p>
              </w:tc>
            </w:tr>
            <w:tr w14:paraId="1165D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613" w:type="dxa"/>
                  <w:vAlign w:val="center"/>
                </w:tcPr>
                <w:p w14:paraId="40F6A84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油性漆（含稀释剂）</w:t>
                  </w:r>
                </w:p>
              </w:tc>
              <w:tc>
                <w:tcPr>
                  <w:tcW w:w="1459" w:type="dxa"/>
                  <w:vAlign w:val="center"/>
                </w:tcPr>
                <w:p w14:paraId="49574DF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2.264 </w:t>
                  </w:r>
                </w:p>
              </w:tc>
              <w:tc>
                <w:tcPr>
                  <w:tcW w:w="1537" w:type="dxa"/>
                  <w:vAlign w:val="center"/>
                </w:tcPr>
                <w:p w14:paraId="4B782EA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64.87%</w:t>
                  </w:r>
                </w:p>
              </w:tc>
              <w:tc>
                <w:tcPr>
                  <w:tcW w:w="1537" w:type="dxa"/>
                  <w:vAlign w:val="center"/>
                </w:tcPr>
                <w:p w14:paraId="3EB9F9F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w:t>
                  </w:r>
                </w:p>
              </w:tc>
              <w:tc>
                <w:tcPr>
                  <w:tcW w:w="1537" w:type="dxa"/>
                  <w:tcBorders>
                    <w:top w:val="nil"/>
                    <w:left w:val="single" w:color="auto" w:sz="4" w:space="0"/>
                    <w:bottom w:val="single" w:color="auto" w:sz="4" w:space="0"/>
                    <w:right w:val="single" w:color="auto" w:sz="4" w:space="0"/>
                  </w:tcBorders>
                  <w:shd w:val="clear" w:color="auto" w:fill="auto"/>
                  <w:vAlign w:val="center"/>
                </w:tcPr>
                <w:p w14:paraId="6E97ED4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0.661 </w:t>
                  </w:r>
                </w:p>
              </w:tc>
            </w:tr>
            <w:tr w14:paraId="2A959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613" w:type="dxa"/>
                  <w:vAlign w:val="center"/>
                </w:tcPr>
                <w:p w14:paraId="0C80375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4533" w:type="dxa"/>
                  <w:gridSpan w:val="3"/>
                  <w:vAlign w:val="center"/>
                </w:tcPr>
                <w:p w14:paraId="066EFBA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537" w:type="dxa"/>
                  <w:tcBorders>
                    <w:top w:val="nil"/>
                    <w:left w:val="single" w:color="auto" w:sz="4" w:space="0"/>
                    <w:bottom w:val="single" w:color="auto" w:sz="4" w:space="0"/>
                    <w:right w:val="single" w:color="auto" w:sz="4" w:space="0"/>
                  </w:tcBorders>
                  <w:shd w:val="clear" w:color="auto" w:fill="auto"/>
                  <w:vAlign w:val="center"/>
                </w:tcPr>
                <w:p w14:paraId="03B1445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lang w:val="en-US" w:eastAsia="zh-CN"/>
                    </w:rPr>
                    <w:t>305</w:t>
                  </w:r>
                  <w:r>
                    <w:rPr>
                      <w:rFonts w:hint="default" w:ascii="Times New Roman" w:hAnsi="Times New Roman" w:eastAsia="宋体" w:cs="Times New Roman"/>
                      <w:color w:val="auto"/>
                      <w:sz w:val="21"/>
                      <w:szCs w:val="21"/>
                      <w:highlight w:val="none"/>
                      <w:lang w:val="en-US" w:eastAsia="zh-CN"/>
                    </w:rPr>
                    <w:t xml:space="preserve"> </w:t>
                  </w:r>
                </w:p>
              </w:tc>
            </w:tr>
          </w:tbl>
          <w:p w14:paraId="61351F4D">
            <w:pPr>
              <w:pStyle w:val="12"/>
              <w:pageBreakBefore w:val="0"/>
              <w:wordWrap w:val="0"/>
              <w:overflowPunct/>
              <w:bidi w:val="0"/>
              <w:ind w:firstLine="48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有机废气（非甲烷总烃）：</w:t>
            </w:r>
          </w:p>
          <w:p w14:paraId="717D9F01">
            <w:pPr>
              <w:pStyle w:val="12"/>
              <w:pageBreakBefore w:val="0"/>
              <w:wordWrap w:val="0"/>
              <w:overflowPunct/>
              <w:bidi w:val="0"/>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喷漆过程中有机废气的主要污染物为非甲烷总烃。在喷漆及烘干过程中，可挥发的有机溶剂将从物体表面全部挥发出来。喷漆废气经水帘柜除漆雾后与烘干有机废气一同进入有机废气处理系统：水喷淋+干式过滤+两级活性炭吸附。</w:t>
            </w:r>
          </w:p>
          <w:p w14:paraId="3C6EE490">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rPr>
            </w:pPr>
            <w:r>
              <w:rPr>
                <w:rFonts w:hint="default" w:ascii="Times New Roman" w:hAnsi="Times New Roman" w:cs="Times New Roman"/>
                <w:b/>
                <w:color w:val="auto"/>
              </w:rPr>
              <w:t>项目喷漆废气非甲烷总烃产生情况一览表</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5"/>
              <w:gridCol w:w="1596"/>
              <w:gridCol w:w="1513"/>
              <w:gridCol w:w="1618"/>
              <w:gridCol w:w="1587"/>
            </w:tblGrid>
            <w:tr w14:paraId="02AE3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535" w:type="dxa"/>
                  <w:vAlign w:val="center"/>
                </w:tcPr>
                <w:p w14:paraId="7498BA1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1596" w:type="dxa"/>
                  <w:vAlign w:val="center"/>
                </w:tcPr>
                <w:p w14:paraId="079A661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用量t/a</w:t>
                  </w:r>
                </w:p>
              </w:tc>
              <w:tc>
                <w:tcPr>
                  <w:tcW w:w="1513" w:type="dxa"/>
                  <w:vAlign w:val="center"/>
                </w:tcPr>
                <w:p w14:paraId="4B4CDFB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密度g/cm</w:t>
                  </w:r>
                  <w:r>
                    <w:rPr>
                      <w:rFonts w:hint="default" w:ascii="Times New Roman" w:hAnsi="Times New Roman" w:eastAsia="宋体" w:cs="Times New Roman"/>
                      <w:color w:val="auto"/>
                      <w:sz w:val="21"/>
                      <w:szCs w:val="21"/>
                      <w:highlight w:val="none"/>
                      <w:vertAlign w:val="superscript"/>
                      <w:lang w:val="en-US" w:eastAsia="zh-CN"/>
                    </w:rPr>
                    <w:t>3</w:t>
                  </w:r>
                </w:p>
              </w:tc>
              <w:tc>
                <w:tcPr>
                  <w:tcW w:w="1618" w:type="dxa"/>
                  <w:vAlign w:val="center"/>
                </w:tcPr>
                <w:p w14:paraId="4293406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VOCs含量（g/L）</w:t>
                  </w:r>
                </w:p>
              </w:tc>
              <w:tc>
                <w:tcPr>
                  <w:tcW w:w="1587" w:type="dxa"/>
                  <w:vAlign w:val="center"/>
                </w:tcPr>
                <w:p w14:paraId="134D04F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非甲烷总烃产生量t/a</w:t>
                  </w:r>
                </w:p>
              </w:tc>
            </w:tr>
            <w:tr w14:paraId="2BE98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535" w:type="dxa"/>
                  <w:vAlign w:val="center"/>
                </w:tcPr>
                <w:p w14:paraId="7776FD0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水性漆（调配后）</w:t>
                  </w:r>
                </w:p>
              </w:tc>
              <w:tc>
                <w:tcPr>
                  <w:tcW w:w="1596" w:type="dxa"/>
                  <w:tcBorders>
                    <w:top w:val="single" w:color="auto" w:sz="4" w:space="0"/>
                    <w:left w:val="single" w:color="auto" w:sz="4" w:space="0"/>
                    <w:bottom w:val="single" w:color="auto" w:sz="4" w:space="0"/>
                    <w:right w:val="single" w:color="auto" w:sz="4" w:space="0"/>
                  </w:tcBorders>
                  <w:shd w:val="clear" w:color="auto" w:fill="auto"/>
                  <w:vAlign w:val="center"/>
                </w:tcPr>
                <w:p w14:paraId="717FB76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11.325 </w:t>
                  </w:r>
                </w:p>
              </w:tc>
              <w:tc>
                <w:tcPr>
                  <w:tcW w:w="1513" w:type="dxa"/>
                  <w:tcBorders>
                    <w:top w:val="single" w:color="auto" w:sz="4" w:space="0"/>
                    <w:left w:val="nil"/>
                    <w:bottom w:val="single" w:color="auto" w:sz="4" w:space="0"/>
                    <w:right w:val="single" w:color="auto" w:sz="4" w:space="0"/>
                  </w:tcBorders>
                  <w:shd w:val="clear" w:color="auto" w:fill="auto"/>
                  <w:vAlign w:val="center"/>
                </w:tcPr>
                <w:p w14:paraId="0467AAD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1.02</w:t>
                  </w:r>
                </w:p>
              </w:tc>
              <w:tc>
                <w:tcPr>
                  <w:tcW w:w="1618" w:type="dxa"/>
                  <w:tcBorders>
                    <w:top w:val="single" w:color="auto" w:sz="4" w:space="0"/>
                    <w:left w:val="nil"/>
                    <w:bottom w:val="single" w:color="auto" w:sz="4" w:space="0"/>
                    <w:right w:val="single" w:color="auto" w:sz="4" w:space="0"/>
                  </w:tcBorders>
                  <w:shd w:val="clear" w:color="auto" w:fill="auto"/>
                  <w:vAlign w:val="center"/>
                </w:tcPr>
                <w:p w14:paraId="3D3BCBC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68</w:t>
                  </w: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5745E6D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0.755 </w:t>
                  </w:r>
                </w:p>
              </w:tc>
            </w:tr>
            <w:tr w14:paraId="5E638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35" w:type="dxa"/>
                  <w:vAlign w:val="center"/>
                </w:tcPr>
                <w:p w14:paraId="11C49F2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油性漆（含稀释剂）</w:t>
                  </w:r>
                </w:p>
              </w:tc>
              <w:tc>
                <w:tcPr>
                  <w:tcW w:w="1596" w:type="dxa"/>
                  <w:tcBorders>
                    <w:top w:val="nil"/>
                    <w:left w:val="single" w:color="auto" w:sz="4" w:space="0"/>
                    <w:bottom w:val="single" w:color="auto" w:sz="4" w:space="0"/>
                    <w:right w:val="single" w:color="auto" w:sz="4" w:space="0"/>
                  </w:tcBorders>
                  <w:shd w:val="clear" w:color="auto" w:fill="auto"/>
                  <w:vAlign w:val="center"/>
                </w:tcPr>
                <w:p w14:paraId="541383F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2.280 </w:t>
                  </w:r>
                </w:p>
              </w:tc>
              <w:tc>
                <w:tcPr>
                  <w:tcW w:w="1513" w:type="dxa"/>
                  <w:tcBorders>
                    <w:top w:val="nil"/>
                    <w:left w:val="nil"/>
                    <w:bottom w:val="single" w:color="auto" w:sz="4" w:space="0"/>
                    <w:right w:val="single" w:color="auto" w:sz="4" w:space="0"/>
                  </w:tcBorders>
                  <w:shd w:val="clear" w:color="auto" w:fill="auto"/>
                  <w:vAlign w:val="center"/>
                </w:tcPr>
                <w:p w14:paraId="5B97302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1.02</w:t>
                  </w:r>
                </w:p>
              </w:tc>
              <w:tc>
                <w:tcPr>
                  <w:tcW w:w="1618" w:type="dxa"/>
                  <w:tcBorders>
                    <w:top w:val="nil"/>
                    <w:left w:val="nil"/>
                    <w:bottom w:val="single" w:color="auto" w:sz="4" w:space="0"/>
                    <w:right w:val="single" w:color="auto" w:sz="4" w:space="0"/>
                  </w:tcBorders>
                  <w:shd w:val="clear" w:color="auto" w:fill="auto"/>
                  <w:vAlign w:val="center"/>
                </w:tcPr>
                <w:p w14:paraId="3AE857B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358.3</w:t>
                  </w:r>
                </w:p>
              </w:tc>
              <w:tc>
                <w:tcPr>
                  <w:tcW w:w="1587" w:type="dxa"/>
                  <w:tcBorders>
                    <w:top w:val="nil"/>
                    <w:left w:val="single" w:color="auto" w:sz="4" w:space="0"/>
                    <w:bottom w:val="single" w:color="auto" w:sz="4" w:space="0"/>
                    <w:right w:val="single" w:color="auto" w:sz="4" w:space="0"/>
                  </w:tcBorders>
                  <w:shd w:val="clear" w:color="auto" w:fill="auto"/>
                  <w:vAlign w:val="center"/>
                </w:tcPr>
                <w:p w14:paraId="32BA0AF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0.801 </w:t>
                  </w:r>
                </w:p>
              </w:tc>
            </w:tr>
            <w:tr w14:paraId="430AB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535" w:type="dxa"/>
                  <w:vAlign w:val="center"/>
                </w:tcPr>
                <w:p w14:paraId="5760D46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4727" w:type="dxa"/>
                  <w:gridSpan w:val="3"/>
                  <w:tcBorders>
                    <w:top w:val="nil"/>
                    <w:left w:val="single" w:color="auto" w:sz="4" w:space="0"/>
                    <w:bottom w:val="single" w:color="auto" w:sz="4" w:space="0"/>
                    <w:right w:val="single" w:color="auto" w:sz="4" w:space="0"/>
                  </w:tcBorders>
                  <w:shd w:val="clear" w:color="auto" w:fill="auto"/>
                  <w:vAlign w:val="center"/>
                </w:tcPr>
                <w:p w14:paraId="2F165451">
                  <w:pPr>
                    <w:pageBreakBefore w:val="0"/>
                    <w:wordWrap w:val="0"/>
                    <w:overflowPunct/>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587" w:type="dxa"/>
                  <w:tcBorders>
                    <w:top w:val="nil"/>
                    <w:left w:val="single" w:color="auto" w:sz="4" w:space="0"/>
                    <w:bottom w:val="single" w:color="auto" w:sz="4" w:space="0"/>
                    <w:right w:val="single" w:color="auto" w:sz="4" w:space="0"/>
                  </w:tcBorders>
                  <w:shd w:val="clear" w:color="auto" w:fill="auto"/>
                  <w:vAlign w:val="center"/>
                </w:tcPr>
                <w:p w14:paraId="04CF65B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1.556 </w:t>
                  </w:r>
                </w:p>
              </w:tc>
            </w:tr>
          </w:tbl>
          <w:p w14:paraId="3882B1C8">
            <w:pPr>
              <w:pStyle w:val="12"/>
              <w:pageBreakBefore w:val="0"/>
              <w:wordWrap w:val="0"/>
              <w:overflowPunct/>
              <w:bidi w:val="0"/>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本项目喷漆区长</w:t>
            </w:r>
            <w:r>
              <w:rPr>
                <w:rFonts w:hint="default" w:ascii="Times New Roman" w:hAnsi="Times New Roman" w:cs="Times New Roman"/>
                <w:color w:val="auto"/>
                <w:highlight w:val="none"/>
                <w:lang w:val="en-US" w:eastAsia="zh-CN"/>
              </w:rPr>
              <w:t>18</w:t>
            </w:r>
            <w:r>
              <w:rPr>
                <w:rFonts w:hint="default" w:ascii="Times New Roman" w:hAnsi="Times New Roman" w:eastAsia="宋体" w:cs="Times New Roman"/>
                <w:color w:val="auto"/>
                <w:highlight w:val="none"/>
                <w:lang w:val="en-US" w:eastAsia="zh-CN"/>
              </w:rPr>
              <w:t>m，宽</w:t>
            </w:r>
            <w:r>
              <w:rPr>
                <w:rFonts w:hint="default" w:ascii="Times New Roman" w:hAnsi="Times New Roman" w:cs="Times New Roman"/>
                <w:color w:val="auto"/>
                <w:highlight w:val="none"/>
                <w:lang w:val="en-US" w:eastAsia="zh-CN"/>
              </w:rPr>
              <w:t>8</w:t>
            </w:r>
            <w:r>
              <w:rPr>
                <w:rFonts w:hint="default" w:ascii="Times New Roman" w:hAnsi="Times New Roman" w:eastAsia="宋体" w:cs="Times New Roman"/>
                <w:color w:val="auto"/>
                <w:highlight w:val="none"/>
                <w:lang w:val="en-US" w:eastAsia="zh-CN"/>
              </w:rPr>
              <w:t>m，高2.</w:t>
            </w:r>
            <w:r>
              <w:rPr>
                <w:rFonts w:hint="default"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lang w:val="en-US" w:eastAsia="zh-CN"/>
              </w:rPr>
              <w:t>m ，喷漆区包括调漆区、喷漆柜、烘烤区及连通的区域，喷漆区设计换气次数60次/h 。</w:t>
            </w:r>
          </w:p>
          <w:p w14:paraId="25DE3BD9">
            <w:pPr>
              <w:pStyle w:val="12"/>
              <w:pageBreakBefore w:val="0"/>
              <w:wordWrap w:val="0"/>
              <w:overflowPunct/>
              <w:bidi w:val="0"/>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项目喷漆废气收集情况如下：</w:t>
            </w:r>
          </w:p>
          <w:p w14:paraId="1896EC2A">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rPr>
            </w:pPr>
            <w:r>
              <w:rPr>
                <w:rFonts w:hint="default" w:ascii="Times New Roman" w:hAnsi="Times New Roman" w:cs="Times New Roman"/>
                <w:b/>
                <w:color w:val="auto"/>
              </w:rPr>
              <w:t>喷漆废气收集风量计算一览表</w:t>
            </w:r>
          </w:p>
          <w:tbl>
            <w:tblPr>
              <w:tblStyle w:val="3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5"/>
              <w:gridCol w:w="835"/>
              <w:gridCol w:w="843"/>
              <w:gridCol w:w="984"/>
              <w:gridCol w:w="915"/>
              <w:gridCol w:w="1102"/>
              <w:gridCol w:w="997"/>
              <w:gridCol w:w="1003"/>
            </w:tblGrid>
            <w:tr w14:paraId="51161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742" w:type="pct"/>
                  <w:vAlign w:val="center"/>
                </w:tcPr>
                <w:p w14:paraId="40B647B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532" w:type="pct"/>
                  <w:vAlign w:val="center"/>
                </w:tcPr>
                <w:p w14:paraId="2E3E063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长m</w:t>
                  </w:r>
                </w:p>
              </w:tc>
              <w:tc>
                <w:tcPr>
                  <w:tcW w:w="537" w:type="pct"/>
                  <w:vAlign w:val="center"/>
                </w:tcPr>
                <w:p w14:paraId="74FA683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宽m</w:t>
                  </w:r>
                </w:p>
              </w:tc>
              <w:tc>
                <w:tcPr>
                  <w:tcW w:w="627" w:type="pct"/>
                  <w:vAlign w:val="center"/>
                </w:tcPr>
                <w:p w14:paraId="3F32379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高度m</w:t>
                  </w:r>
                </w:p>
              </w:tc>
              <w:tc>
                <w:tcPr>
                  <w:tcW w:w="583" w:type="pct"/>
                  <w:vAlign w:val="center"/>
                </w:tcPr>
                <w:p w14:paraId="5EA4484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体积m</w:t>
                  </w:r>
                  <w:r>
                    <w:rPr>
                      <w:rFonts w:hint="default" w:ascii="Times New Roman" w:hAnsi="Times New Roman" w:eastAsia="宋体" w:cs="Times New Roman"/>
                      <w:color w:val="auto"/>
                      <w:sz w:val="21"/>
                      <w:szCs w:val="21"/>
                      <w:highlight w:val="none"/>
                      <w:vertAlign w:val="superscript"/>
                      <w:lang w:val="en-US" w:eastAsia="zh-CN"/>
                    </w:rPr>
                    <w:t>3</w:t>
                  </w:r>
                </w:p>
              </w:tc>
              <w:tc>
                <w:tcPr>
                  <w:tcW w:w="702" w:type="pct"/>
                  <w:vAlign w:val="center"/>
                </w:tcPr>
                <w:p w14:paraId="2762567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换气次数次/h</w:t>
                  </w:r>
                </w:p>
              </w:tc>
              <w:tc>
                <w:tcPr>
                  <w:tcW w:w="635" w:type="pct"/>
                  <w:vAlign w:val="center"/>
                </w:tcPr>
                <w:p w14:paraId="0B1CFDC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风量m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p>
              </w:tc>
              <w:tc>
                <w:tcPr>
                  <w:tcW w:w="638" w:type="pct"/>
                  <w:vAlign w:val="center"/>
                </w:tcPr>
                <w:p w14:paraId="64167CA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设计风量m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p>
              </w:tc>
            </w:tr>
            <w:tr w14:paraId="604C9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42" w:type="pct"/>
                  <w:vAlign w:val="center"/>
                </w:tcPr>
                <w:p w14:paraId="735D54F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喷漆区</w:t>
                  </w:r>
                </w:p>
              </w:tc>
              <w:tc>
                <w:tcPr>
                  <w:tcW w:w="532" w:type="pct"/>
                  <w:vAlign w:val="center"/>
                </w:tcPr>
                <w:p w14:paraId="68F1441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18</w:t>
                  </w:r>
                </w:p>
              </w:tc>
              <w:tc>
                <w:tcPr>
                  <w:tcW w:w="537" w:type="pct"/>
                  <w:shd w:val="clear" w:color="auto" w:fill="auto"/>
                  <w:vAlign w:val="center"/>
                </w:tcPr>
                <w:p w14:paraId="6C7EAEC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w:t>
                  </w:r>
                </w:p>
              </w:tc>
              <w:tc>
                <w:tcPr>
                  <w:tcW w:w="627" w:type="pct"/>
                  <w:shd w:val="clear" w:color="auto" w:fill="auto"/>
                  <w:vAlign w:val="center"/>
                </w:tcPr>
                <w:p w14:paraId="7AA027D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5</w:t>
                  </w:r>
                </w:p>
              </w:tc>
              <w:tc>
                <w:tcPr>
                  <w:tcW w:w="583" w:type="pct"/>
                  <w:tcBorders>
                    <w:top w:val="single" w:color="auto" w:sz="4" w:space="0"/>
                    <w:left w:val="single" w:color="auto" w:sz="4" w:space="0"/>
                    <w:bottom w:val="single" w:color="auto" w:sz="4" w:space="0"/>
                    <w:right w:val="single" w:color="auto" w:sz="4" w:space="0"/>
                  </w:tcBorders>
                  <w:shd w:val="clear" w:color="auto" w:fill="auto"/>
                  <w:vAlign w:val="center"/>
                </w:tcPr>
                <w:p w14:paraId="2A18CEE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360</w:t>
                  </w:r>
                </w:p>
              </w:tc>
              <w:tc>
                <w:tcPr>
                  <w:tcW w:w="702" w:type="pct"/>
                  <w:tcBorders>
                    <w:top w:val="single" w:color="auto" w:sz="4" w:space="0"/>
                    <w:left w:val="nil"/>
                    <w:bottom w:val="single" w:color="auto" w:sz="4" w:space="0"/>
                    <w:right w:val="single" w:color="auto" w:sz="4" w:space="0"/>
                  </w:tcBorders>
                  <w:shd w:val="clear" w:color="auto" w:fill="auto"/>
                  <w:vAlign w:val="center"/>
                </w:tcPr>
                <w:p w14:paraId="37FD32E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635" w:type="pct"/>
                  <w:tcBorders>
                    <w:top w:val="single" w:color="auto" w:sz="4" w:space="0"/>
                    <w:left w:val="nil"/>
                    <w:bottom w:val="single" w:color="auto" w:sz="4" w:space="0"/>
                    <w:right w:val="single" w:color="auto" w:sz="4" w:space="0"/>
                  </w:tcBorders>
                  <w:shd w:val="clear" w:color="auto" w:fill="auto"/>
                  <w:vAlign w:val="center"/>
                </w:tcPr>
                <w:p w14:paraId="674DB98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21600</w:t>
                  </w:r>
                </w:p>
              </w:tc>
              <w:tc>
                <w:tcPr>
                  <w:tcW w:w="638" w:type="pct"/>
                  <w:shd w:val="clear" w:color="auto" w:fill="auto"/>
                  <w:vAlign w:val="center"/>
                </w:tcPr>
                <w:p w14:paraId="3B45BB1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22</w:t>
                  </w:r>
                  <w:r>
                    <w:rPr>
                      <w:rFonts w:hint="default" w:ascii="Times New Roman" w:hAnsi="Times New Roman" w:eastAsia="宋体" w:cs="Times New Roman"/>
                      <w:color w:val="auto"/>
                      <w:sz w:val="21"/>
                      <w:szCs w:val="21"/>
                      <w:highlight w:val="none"/>
                      <w:lang w:val="en-US" w:eastAsia="zh-CN"/>
                    </w:rPr>
                    <w:t>000</w:t>
                  </w:r>
                </w:p>
              </w:tc>
            </w:tr>
          </w:tbl>
          <w:p w14:paraId="23D50BFD">
            <w:pPr>
              <w:pStyle w:val="12"/>
              <w:pageBreakBefore w:val="0"/>
              <w:wordWrap w:val="0"/>
              <w:overflowPunct/>
              <w:bidi w:val="0"/>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根据《广东省工业源挥发性有机物减排量核算方法（2023年修订版）》中废气收集集气效率参考值，单层密闭负压集气效率为90%，本项目收集效率取90%。</w:t>
            </w:r>
          </w:p>
          <w:p w14:paraId="7CE7734C">
            <w:pPr>
              <w:pStyle w:val="12"/>
              <w:pageBreakBefore w:val="0"/>
              <w:wordWrap w:val="0"/>
              <w:overflowPunct/>
              <w:bidi w:val="0"/>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本项目喷漆</w:t>
            </w:r>
            <w:r>
              <w:rPr>
                <w:rFonts w:hint="eastAsia" w:cs="Times New Roman"/>
                <w:color w:val="auto"/>
                <w:highlight w:val="none"/>
                <w:lang w:val="en-US" w:eastAsia="zh-CN"/>
              </w:rPr>
              <w:t>废气</w:t>
            </w:r>
            <w:r>
              <w:rPr>
                <w:rFonts w:hint="default" w:ascii="Times New Roman" w:hAnsi="Times New Roman" w:eastAsia="宋体" w:cs="Times New Roman"/>
                <w:color w:val="auto"/>
                <w:highlight w:val="none"/>
                <w:lang w:val="en-US" w:eastAsia="zh-CN"/>
              </w:rPr>
              <w:t>整体采用1套废气处理措施：水喷淋+干式过滤+</w:t>
            </w:r>
            <w:r>
              <w:rPr>
                <w:rFonts w:hint="default" w:ascii="Times New Roman" w:hAnsi="Times New Roman" w:cs="Times New Roman"/>
                <w:color w:val="auto"/>
                <w:highlight w:val="none"/>
                <w:lang w:val="en-US" w:eastAsia="zh-CN"/>
              </w:rPr>
              <w:t>二</w:t>
            </w:r>
            <w:r>
              <w:rPr>
                <w:rFonts w:hint="default" w:ascii="Times New Roman" w:hAnsi="Times New Roman" w:eastAsia="宋体" w:cs="Times New Roman"/>
                <w:color w:val="auto"/>
                <w:highlight w:val="none"/>
                <w:lang w:val="en-US" w:eastAsia="zh-CN"/>
              </w:rPr>
              <w:t>级活性炭吸附。设置1个排气筒，编号DA00</w:t>
            </w:r>
            <w:r>
              <w:rPr>
                <w:rFonts w:hint="default" w:ascii="Times New Roman" w:hAnsi="Times New Roman" w:cs="Times New Roman"/>
                <w:color w:val="auto"/>
                <w:highlight w:val="none"/>
                <w:lang w:val="en-US" w:eastAsia="zh-CN"/>
              </w:rPr>
              <w:t>6</w:t>
            </w:r>
            <w:r>
              <w:rPr>
                <w:rFonts w:hint="default" w:ascii="Times New Roman" w:hAnsi="Times New Roman" w:eastAsia="宋体" w:cs="Times New Roman"/>
                <w:color w:val="auto"/>
                <w:highlight w:val="none"/>
                <w:lang w:val="en-US" w:eastAsia="zh-CN"/>
              </w:rPr>
              <w:t>，排气筒高度15m。</w:t>
            </w:r>
          </w:p>
          <w:p w14:paraId="5B9B7136">
            <w:pPr>
              <w:pStyle w:val="12"/>
              <w:pageBreakBefore w:val="0"/>
              <w:wordWrap w:val="0"/>
              <w:overflowPunct/>
              <w:bidi w:val="0"/>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根据《简明通风设计手册》（中国建筑工业出版社），湿式除尘器处理效率85%</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95%，水帘柜、喷淋塔处理效率为95%。参考《污染源源强核算技术指南 汽车制造》（HJ 109-2020），化学纤维过滤处理漆雾处理效率80%。“</w:t>
            </w:r>
            <w:r>
              <w:rPr>
                <w:rFonts w:hint="eastAsia" w:cs="Times New Roman"/>
                <w:color w:val="auto"/>
                <w:highlight w:val="none"/>
                <w:lang w:val="en-US" w:eastAsia="zh-CN"/>
              </w:rPr>
              <w:t>水喷淋+干式过滤器+二级活性炭</w:t>
            </w:r>
            <w:r>
              <w:rPr>
                <w:rFonts w:hint="default" w:ascii="Times New Roman" w:hAnsi="Times New Roman" w:eastAsia="宋体" w:cs="Times New Roman"/>
                <w:color w:val="auto"/>
                <w:highlight w:val="none"/>
                <w:lang w:val="en-US" w:eastAsia="zh-CN"/>
              </w:rPr>
              <w:t>”处理效率为1-（1</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95%）×（1</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80%）=99%。</w:t>
            </w:r>
          </w:p>
          <w:p w14:paraId="6A18E39D">
            <w:pPr>
              <w:pStyle w:val="12"/>
              <w:pageBreakBefore w:val="0"/>
              <w:wordWrap w:val="0"/>
              <w:overflowPunct/>
              <w:bidi w:val="0"/>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建设单位拟采用两级活性炭处理非甲烷总烃废气，根据广东省《印刷、制鞋、家具、表面涂装（汽车制造）行业挥发性有机物总量减排核算细则》，吸附法在参数设计符合技术要求、治理设施正常运行情况下吸附效率45</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80%。治理设施参数设计符合技术要求、定期维护保养、更换耗材，治理设施能正常运行可取平均值。项目活性炭吸附装置设计按技术要求进行，进行维护保养并及时更换活性炭，第一级活性炭吸附法对有机废气的处理效率取60%，第二级活性炭吸附法对有机废气的处理效率取50%。则两级活性炭对有机废气的处理效率=1-（1</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60%）*（1</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50%）=80%。</w:t>
            </w:r>
          </w:p>
          <w:p w14:paraId="2CE1EEE3">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rPr>
            </w:pPr>
            <w:r>
              <w:rPr>
                <w:rFonts w:hint="default" w:ascii="Times New Roman" w:hAnsi="Times New Roman" w:cs="Times New Roman"/>
                <w:b/>
                <w:color w:val="auto"/>
              </w:rPr>
              <w:t>喷漆废气、移印废气产排情况一览表</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5"/>
              <w:gridCol w:w="887"/>
              <w:gridCol w:w="818"/>
              <w:gridCol w:w="803"/>
              <w:gridCol w:w="935"/>
              <w:gridCol w:w="935"/>
              <w:gridCol w:w="803"/>
              <w:gridCol w:w="937"/>
              <w:gridCol w:w="893"/>
            </w:tblGrid>
            <w:tr w14:paraId="5D4B4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532" w:type="pct"/>
                  <w:vMerge w:val="restart"/>
                  <w:shd w:val="clear" w:color="auto" w:fill="auto"/>
                  <w:vAlign w:val="center"/>
                </w:tcPr>
                <w:p w14:paraId="097551D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污染源</w:t>
                  </w:r>
                </w:p>
              </w:tc>
              <w:tc>
                <w:tcPr>
                  <w:tcW w:w="565" w:type="pct"/>
                  <w:vMerge w:val="restart"/>
                  <w:shd w:val="clear" w:color="auto" w:fill="auto"/>
                  <w:vAlign w:val="center"/>
                </w:tcPr>
                <w:p w14:paraId="4F67D75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污染物</w:t>
                  </w:r>
                </w:p>
              </w:tc>
              <w:tc>
                <w:tcPr>
                  <w:tcW w:w="521" w:type="pct"/>
                  <w:vMerge w:val="restart"/>
                  <w:shd w:val="clear" w:color="auto" w:fill="auto"/>
                  <w:vAlign w:val="center"/>
                </w:tcPr>
                <w:p w14:paraId="44DA99D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废气量</w:t>
                  </w:r>
                </w:p>
                <w:p w14:paraId="340526D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p>
              </w:tc>
              <w:tc>
                <w:tcPr>
                  <w:tcW w:w="1704" w:type="pct"/>
                  <w:gridSpan w:val="3"/>
                  <w:shd w:val="clear" w:color="auto" w:fill="auto"/>
                  <w:vAlign w:val="center"/>
                </w:tcPr>
                <w:p w14:paraId="0D5FB10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产生情况</w:t>
                  </w:r>
                </w:p>
              </w:tc>
              <w:tc>
                <w:tcPr>
                  <w:tcW w:w="1676" w:type="pct"/>
                  <w:gridSpan w:val="3"/>
                  <w:shd w:val="clear" w:color="auto" w:fill="auto"/>
                  <w:vAlign w:val="center"/>
                </w:tcPr>
                <w:p w14:paraId="644B8E3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排放情况</w:t>
                  </w:r>
                </w:p>
              </w:tc>
            </w:tr>
            <w:tr w14:paraId="06C09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532" w:type="pct"/>
                  <w:vMerge w:val="continue"/>
                  <w:shd w:val="clear" w:color="auto" w:fill="auto"/>
                  <w:vAlign w:val="center"/>
                </w:tcPr>
                <w:p w14:paraId="2A4B666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565" w:type="pct"/>
                  <w:vMerge w:val="continue"/>
                  <w:shd w:val="clear" w:color="auto" w:fill="auto"/>
                  <w:vAlign w:val="center"/>
                </w:tcPr>
                <w:p w14:paraId="3F455BA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521" w:type="pct"/>
                  <w:vMerge w:val="continue"/>
                  <w:shd w:val="clear" w:color="auto" w:fill="auto"/>
                  <w:vAlign w:val="center"/>
                </w:tcPr>
                <w:p w14:paraId="21946EC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512" w:type="pct"/>
                  <w:shd w:val="clear" w:color="auto" w:fill="auto"/>
                  <w:vAlign w:val="center"/>
                </w:tcPr>
                <w:p w14:paraId="480D422B">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产生量</w:t>
                  </w:r>
                  <w:r>
                    <w:rPr>
                      <w:rFonts w:hint="default" w:ascii="Times New Roman" w:hAnsi="Times New Roman" w:cs="Times New Roman"/>
                      <w:b w:val="0"/>
                      <w:bCs/>
                      <w:color w:val="auto"/>
                      <w:sz w:val="21"/>
                      <w:szCs w:val="21"/>
                      <w:highlight w:val="none"/>
                      <w:lang w:val="en-US" w:eastAsia="zh-CN"/>
                    </w:rPr>
                    <w:t>t/a</w:t>
                  </w:r>
                </w:p>
              </w:tc>
              <w:tc>
                <w:tcPr>
                  <w:tcW w:w="596" w:type="pct"/>
                  <w:shd w:val="clear" w:color="auto" w:fill="auto"/>
                  <w:vAlign w:val="center"/>
                </w:tcPr>
                <w:p w14:paraId="58B8AD2A">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产生速率</w:t>
                  </w:r>
                  <w:r>
                    <w:rPr>
                      <w:rFonts w:hint="default" w:ascii="Times New Roman" w:hAnsi="Times New Roman" w:cs="Times New Roman"/>
                      <w:b w:val="0"/>
                      <w:bCs/>
                      <w:color w:val="auto"/>
                      <w:sz w:val="21"/>
                      <w:szCs w:val="21"/>
                      <w:highlight w:val="none"/>
                      <w:lang w:val="en-US" w:eastAsia="zh-CN"/>
                    </w:rPr>
                    <w:t>kg/h</w:t>
                  </w:r>
                </w:p>
              </w:tc>
              <w:tc>
                <w:tcPr>
                  <w:tcW w:w="595" w:type="pct"/>
                  <w:shd w:val="clear" w:color="auto" w:fill="auto"/>
                  <w:vAlign w:val="center"/>
                </w:tcPr>
                <w:p w14:paraId="0EE806C6">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产生浓度</w:t>
                  </w:r>
                  <w:r>
                    <w:rPr>
                      <w:rFonts w:hint="default" w:ascii="Times New Roman" w:hAnsi="Times New Roman" w:cs="Times New Roman"/>
                      <w:b w:val="0"/>
                      <w:bCs/>
                      <w:color w:val="auto"/>
                      <w:sz w:val="21"/>
                      <w:szCs w:val="21"/>
                      <w:highlight w:val="none"/>
                      <w:lang w:val="en-US" w:eastAsia="zh-CN"/>
                    </w:rPr>
                    <w:t>mg/m</w:t>
                  </w:r>
                  <w:r>
                    <w:rPr>
                      <w:rFonts w:hint="default" w:ascii="Times New Roman" w:hAnsi="Times New Roman" w:cs="Times New Roman"/>
                      <w:b w:val="0"/>
                      <w:bCs/>
                      <w:color w:val="auto"/>
                      <w:sz w:val="21"/>
                      <w:szCs w:val="21"/>
                      <w:highlight w:val="none"/>
                      <w:vertAlign w:val="superscript"/>
                      <w:lang w:val="en-US" w:eastAsia="zh-CN"/>
                    </w:rPr>
                    <w:t>3</w:t>
                  </w:r>
                </w:p>
              </w:tc>
              <w:tc>
                <w:tcPr>
                  <w:tcW w:w="512" w:type="pct"/>
                  <w:shd w:val="clear" w:color="auto" w:fill="auto"/>
                  <w:vAlign w:val="center"/>
                </w:tcPr>
                <w:p w14:paraId="7B171857">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排放量</w:t>
                  </w:r>
                  <w:r>
                    <w:rPr>
                      <w:rFonts w:hint="default" w:ascii="Times New Roman" w:hAnsi="Times New Roman" w:cs="Times New Roman"/>
                      <w:b w:val="0"/>
                      <w:bCs/>
                      <w:color w:val="auto"/>
                      <w:sz w:val="21"/>
                      <w:szCs w:val="21"/>
                      <w:highlight w:val="none"/>
                      <w:lang w:val="en-US" w:eastAsia="zh-CN"/>
                    </w:rPr>
                    <w:t>t/a</w:t>
                  </w:r>
                </w:p>
              </w:tc>
              <w:tc>
                <w:tcPr>
                  <w:tcW w:w="597" w:type="pct"/>
                  <w:shd w:val="clear" w:color="auto" w:fill="auto"/>
                  <w:vAlign w:val="center"/>
                </w:tcPr>
                <w:p w14:paraId="4A6E31A6">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排放速率</w:t>
                  </w:r>
                  <w:r>
                    <w:rPr>
                      <w:rFonts w:hint="default" w:ascii="Times New Roman" w:hAnsi="Times New Roman" w:cs="Times New Roman"/>
                      <w:b w:val="0"/>
                      <w:bCs/>
                      <w:color w:val="auto"/>
                      <w:sz w:val="21"/>
                      <w:szCs w:val="21"/>
                      <w:highlight w:val="none"/>
                      <w:lang w:val="en-US" w:eastAsia="zh-CN"/>
                    </w:rPr>
                    <w:t>kg/h</w:t>
                  </w:r>
                </w:p>
              </w:tc>
              <w:tc>
                <w:tcPr>
                  <w:tcW w:w="565" w:type="pct"/>
                  <w:shd w:val="clear" w:color="auto" w:fill="auto"/>
                  <w:vAlign w:val="center"/>
                </w:tcPr>
                <w:p w14:paraId="0F64D46E">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排放浓度</w:t>
                  </w:r>
                  <w:r>
                    <w:rPr>
                      <w:rFonts w:hint="default" w:ascii="Times New Roman" w:hAnsi="Times New Roman" w:cs="Times New Roman"/>
                      <w:b w:val="0"/>
                      <w:bCs/>
                      <w:color w:val="auto"/>
                      <w:sz w:val="21"/>
                      <w:szCs w:val="21"/>
                      <w:highlight w:val="none"/>
                      <w:lang w:val="en-US" w:eastAsia="zh-CN"/>
                    </w:rPr>
                    <w:t>mg/m</w:t>
                  </w:r>
                  <w:r>
                    <w:rPr>
                      <w:rFonts w:hint="default" w:ascii="Times New Roman" w:hAnsi="Times New Roman" w:cs="Times New Roman"/>
                      <w:b w:val="0"/>
                      <w:bCs/>
                      <w:color w:val="auto"/>
                      <w:sz w:val="21"/>
                      <w:szCs w:val="21"/>
                      <w:highlight w:val="none"/>
                      <w:vertAlign w:val="superscript"/>
                      <w:lang w:val="en-US" w:eastAsia="zh-CN"/>
                    </w:rPr>
                    <w:t>3</w:t>
                  </w:r>
                </w:p>
              </w:tc>
            </w:tr>
            <w:tr w14:paraId="19E53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532" w:type="pct"/>
                  <w:vMerge w:val="restart"/>
                  <w:shd w:val="clear" w:color="auto" w:fill="auto"/>
                  <w:vAlign w:val="center"/>
                </w:tcPr>
                <w:p w14:paraId="43CB6C4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DA00</w:t>
                  </w:r>
                  <w:r>
                    <w:rPr>
                      <w:rFonts w:hint="default" w:ascii="Times New Roman" w:hAnsi="Times New Roman" w:cs="Times New Roman"/>
                      <w:color w:val="auto"/>
                      <w:sz w:val="21"/>
                      <w:szCs w:val="21"/>
                      <w:highlight w:val="none"/>
                      <w:lang w:val="en-US" w:eastAsia="zh-CN"/>
                    </w:rPr>
                    <w:t>6</w:t>
                  </w:r>
                </w:p>
              </w:tc>
              <w:tc>
                <w:tcPr>
                  <w:tcW w:w="565" w:type="pct"/>
                  <w:shd w:val="clear" w:color="auto" w:fill="auto"/>
                  <w:vAlign w:val="center"/>
                </w:tcPr>
                <w:p w14:paraId="1C7A0ED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521" w:type="pct"/>
                  <w:vMerge w:val="restart"/>
                  <w:shd w:val="clear" w:color="auto" w:fill="auto"/>
                  <w:vAlign w:val="center"/>
                </w:tcPr>
                <w:p w14:paraId="1AE0E71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22000</w:t>
                  </w:r>
                </w:p>
              </w:tc>
              <w:tc>
                <w:tcPr>
                  <w:tcW w:w="803" w:type="dxa"/>
                  <w:tcBorders>
                    <w:top w:val="single" w:color="auto" w:sz="4" w:space="0"/>
                    <w:left w:val="single" w:color="auto" w:sz="4" w:space="0"/>
                    <w:bottom w:val="single" w:color="auto" w:sz="4" w:space="0"/>
                    <w:right w:val="single" w:color="auto" w:sz="4" w:space="0"/>
                  </w:tcBorders>
                  <w:shd w:val="clear" w:color="auto" w:fill="auto"/>
                  <w:vAlign w:val="center"/>
                </w:tcPr>
                <w:p w14:paraId="369AE85E">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2.974</w:t>
                  </w:r>
                </w:p>
              </w:tc>
              <w:tc>
                <w:tcPr>
                  <w:tcW w:w="935" w:type="dxa"/>
                  <w:tcBorders>
                    <w:top w:val="single" w:color="auto" w:sz="4" w:space="0"/>
                    <w:left w:val="nil"/>
                    <w:bottom w:val="single" w:color="auto" w:sz="4" w:space="0"/>
                    <w:right w:val="single" w:color="auto" w:sz="4" w:space="0"/>
                  </w:tcBorders>
                  <w:shd w:val="clear" w:color="auto" w:fill="auto"/>
                  <w:vAlign w:val="center"/>
                </w:tcPr>
                <w:p w14:paraId="0CCA4ABE">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1.239</w:t>
                  </w:r>
                </w:p>
              </w:tc>
              <w:tc>
                <w:tcPr>
                  <w:tcW w:w="935" w:type="dxa"/>
                  <w:tcBorders>
                    <w:top w:val="single" w:color="auto" w:sz="4" w:space="0"/>
                    <w:left w:val="nil"/>
                    <w:bottom w:val="single" w:color="auto" w:sz="4" w:space="0"/>
                    <w:right w:val="single" w:color="auto" w:sz="4" w:space="0"/>
                  </w:tcBorders>
                  <w:shd w:val="clear" w:color="auto" w:fill="auto"/>
                  <w:vAlign w:val="center"/>
                </w:tcPr>
                <w:p w14:paraId="6B66457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56.332</w:t>
                  </w:r>
                </w:p>
              </w:tc>
              <w:tc>
                <w:tcPr>
                  <w:tcW w:w="803" w:type="dxa"/>
                  <w:tcBorders>
                    <w:top w:val="single" w:color="auto" w:sz="4" w:space="0"/>
                    <w:left w:val="nil"/>
                    <w:bottom w:val="single" w:color="auto" w:sz="4" w:space="0"/>
                    <w:right w:val="single" w:color="auto" w:sz="4" w:space="0"/>
                  </w:tcBorders>
                  <w:shd w:val="clear" w:color="auto" w:fill="auto"/>
                  <w:vAlign w:val="center"/>
                </w:tcPr>
                <w:p w14:paraId="0BF4E11E">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0.030</w:t>
                  </w:r>
                </w:p>
              </w:tc>
              <w:tc>
                <w:tcPr>
                  <w:tcW w:w="936" w:type="dxa"/>
                  <w:tcBorders>
                    <w:top w:val="single" w:color="auto" w:sz="4" w:space="0"/>
                    <w:left w:val="nil"/>
                    <w:bottom w:val="single" w:color="auto" w:sz="4" w:space="0"/>
                    <w:right w:val="single" w:color="auto" w:sz="4" w:space="0"/>
                  </w:tcBorders>
                  <w:shd w:val="clear" w:color="auto" w:fill="auto"/>
                  <w:vAlign w:val="center"/>
                </w:tcPr>
                <w:p w14:paraId="1D9F4DE3">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0.012</w:t>
                  </w:r>
                </w:p>
              </w:tc>
              <w:tc>
                <w:tcPr>
                  <w:tcW w:w="892" w:type="dxa"/>
                  <w:tcBorders>
                    <w:top w:val="single" w:color="auto" w:sz="4" w:space="0"/>
                    <w:left w:val="nil"/>
                    <w:bottom w:val="single" w:color="auto" w:sz="4" w:space="0"/>
                    <w:right w:val="single" w:color="auto" w:sz="4" w:space="0"/>
                  </w:tcBorders>
                  <w:shd w:val="clear" w:color="auto" w:fill="auto"/>
                  <w:vAlign w:val="center"/>
                </w:tcPr>
                <w:p w14:paraId="26F22B8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0.563</w:t>
                  </w:r>
                </w:p>
              </w:tc>
            </w:tr>
            <w:tr w14:paraId="7D57B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532" w:type="pct"/>
                  <w:vMerge w:val="continue"/>
                  <w:shd w:val="clear" w:color="auto" w:fill="auto"/>
                  <w:vAlign w:val="center"/>
                </w:tcPr>
                <w:p w14:paraId="2B428B6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565" w:type="pct"/>
                  <w:shd w:val="clear" w:color="auto" w:fill="auto"/>
                  <w:vAlign w:val="center"/>
                </w:tcPr>
                <w:p w14:paraId="650FD96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521" w:type="pct"/>
                  <w:vMerge w:val="continue"/>
                  <w:shd w:val="clear" w:color="auto" w:fill="auto"/>
                  <w:vAlign w:val="center"/>
                </w:tcPr>
                <w:p w14:paraId="2C99E5F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803" w:type="dxa"/>
                  <w:tcBorders>
                    <w:top w:val="nil"/>
                    <w:left w:val="single" w:color="auto" w:sz="4" w:space="0"/>
                    <w:bottom w:val="single" w:color="auto" w:sz="4" w:space="0"/>
                    <w:right w:val="single" w:color="auto" w:sz="4" w:space="0"/>
                  </w:tcBorders>
                  <w:shd w:val="clear" w:color="auto" w:fill="auto"/>
                  <w:vAlign w:val="center"/>
                </w:tcPr>
                <w:p w14:paraId="05E0E00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1.400</w:t>
                  </w:r>
                </w:p>
              </w:tc>
              <w:tc>
                <w:tcPr>
                  <w:tcW w:w="935" w:type="dxa"/>
                  <w:tcBorders>
                    <w:top w:val="nil"/>
                    <w:left w:val="nil"/>
                    <w:bottom w:val="single" w:color="auto" w:sz="4" w:space="0"/>
                    <w:right w:val="single" w:color="auto" w:sz="4" w:space="0"/>
                  </w:tcBorders>
                  <w:shd w:val="clear" w:color="auto" w:fill="auto"/>
                  <w:vAlign w:val="center"/>
                </w:tcPr>
                <w:p w14:paraId="2EC75CA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0.583</w:t>
                  </w:r>
                </w:p>
              </w:tc>
              <w:tc>
                <w:tcPr>
                  <w:tcW w:w="935" w:type="dxa"/>
                  <w:tcBorders>
                    <w:top w:val="nil"/>
                    <w:left w:val="nil"/>
                    <w:bottom w:val="single" w:color="auto" w:sz="4" w:space="0"/>
                    <w:right w:val="single" w:color="auto" w:sz="4" w:space="0"/>
                  </w:tcBorders>
                  <w:shd w:val="clear" w:color="auto" w:fill="auto"/>
                  <w:vAlign w:val="center"/>
                </w:tcPr>
                <w:p w14:paraId="5E4B078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26.518</w:t>
                  </w:r>
                </w:p>
              </w:tc>
              <w:tc>
                <w:tcPr>
                  <w:tcW w:w="803" w:type="dxa"/>
                  <w:tcBorders>
                    <w:top w:val="nil"/>
                    <w:left w:val="nil"/>
                    <w:bottom w:val="single" w:color="auto" w:sz="4" w:space="0"/>
                    <w:right w:val="single" w:color="auto" w:sz="4" w:space="0"/>
                  </w:tcBorders>
                  <w:shd w:val="clear" w:color="auto" w:fill="auto"/>
                  <w:vAlign w:val="center"/>
                </w:tcPr>
                <w:p w14:paraId="17FFD6A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0.280</w:t>
                  </w:r>
                </w:p>
              </w:tc>
              <w:tc>
                <w:tcPr>
                  <w:tcW w:w="936" w:type="dxa"/>
                  <w:tcBorders>
                    <w:top w:val="nil"/>
                    <w:left w:val="nil"/>
                    <w:bottom w:val="single" w:color="auto" w:sz="4" w:space="0"/>
                    <w:right w:val="single" w:color="auto" w:sz="4" w:space="0"/>
                  </w:tcBorders>
                  <w:shd w:val="clear" w:color="auto" w:fill="auto"/>
                  <w:vAlign w:val="center"/>
                </w:tcPr>
                <w:p w14:paraId="1E14B9D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0.117</w:t>
                  </w:r>
                </w:p>
              </w:tc>
              <w:tc>
                <w:tcPr>
                  <w:tcW w:w="892" w:type="dxa"/>
                  <w:tcBorders>
                    <w:top w:val="nil"/>
                    <w:left w:val="nil"/>
                    <w:bottom w:val="single" w:color="auto" w:sz="4" w:space="0"/>
                    <w:right w:val="single" w:color="auto" w:sz="4" w:space="0"/>
                  </w:tcBorders>
                  <w:shd w:val="clear" w:color="auto" w:fill="auto"/>
                  <w:vAlign w:val="center"/>
                </w:tcPr>
                <w:p w14:paraId="08E22A8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5.304</w:t>
                  </w:r>
                </w:p>
              </w:tc>
            </w:tr>
            <w:tr w14:paraId="13B9D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532" w:type="pct"/>
                  <w:vMerge w:val="restart"/>
                  <w:shd w:val="clear" w:color="auto" w:fill="auto"/>
                  <w:vAlign w:val="center"/>
                </w:tcPr>
                <w:p w14:paraId="16F2033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565" w:type="pct"/>
                  <w:shd w:val="clear" w:color="auto" w:fill="auto"/>
                  <w:vAlign w:val="center"/>
                </w:tcPr>
                <w:p w14:paraId="0D1148D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521" w:type="pct"/>
                  <w:shd w:val="clear" w:color="auto" w:fill="auto"/>
                  <w:vAlign w:val="center"/>
                </w:tcPr>
                <w:p w14:paraId="69652E9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w:t>
                  </w:r>
                </w:p>
              </w:tc>
              <w:tc>
                <w:tcPr>
                  <w:tcW w:w="803" w:type="dxa"/>
                  <w:tcBorders>
                    <w:top w:val="nil"/>
                    <w:left w:val="single" w:color="auto" w:sz="4" w:space="0"/>
                    <w:bottom w:val="single" w:color="auto" w:sz="4" w:space="0"/>
                    <w:right w:val="single" w:color="auto" w:sz="4" w:space="0"/>
                  </w:tcBorders>
                  <w:shd w:val="clear" w:color="auto" w:fill="auto"/>
                  <w:vAlign w:val="center"/>
                </w:tcPr>
                <w:p w14:paraId="5227BDD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0.330</w:t>
                  </w:r>
                </w:p>
              </w:tc>
              <w:tc>
                <w:tcPr>
                  <w:tcW w:w="935" w:type="dxa"/>
                  <w:tcBorders>
                    <w:top w:val="nil"/>
                    <w:left w:val="nil"/>
                    <w:bottom w:val="single" w:color="auto" w:sz="4" w:space="0"/>
                    <w:right w:val="single" w:color="auto" w:sz="4" w:space="0"/>
                  </w:tcBorders>
                  <w:shd w:val="clear" w:color="auto" w:fill="auto"/>
                  <w:vAlign w:val="center"/>
                </w:tcPr>
                <w:p w14:paraId="45DEB58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0.138</w:t>
                  </w:r>
                </w:p>
              </w:tc>
              <w:tc>
                <w:tcPr>
                  <w:tcW w:w="935" w:type="dxa"/>
                  <w:tcBorders>
                    <w:top w:val="nil"/>
                    <w:left w:val="nil"/>
                    <w:bottom w:val="single" w:color="auto" w:sz="4" w:space="0"/>
                    <w:right w:val="single" w:color="auto" w:sz="4" w:space="0"/>
                  </w:tcBorders>
                  <w:shd w:val="clear" w:color="auto" w:fill="auto"/>
                  <w:vAlign w:val="center"/>
                </w:tcPr>
                <w:p w14:paraId="75DBA4E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w:t>
                  </w:r>
                </w:p>
              </w:tc>
              <w:tc>
                <w:tcPr>
                  <w:tcW w:w="803" w:type="dxa"/>
                  <w:tcBorders>
                    <w:top w:val="nil"/>
                    <w:left w:val="nil"/>
                    <w:bottom w:val="single" w:color="auto" w:sz="4" w:space="0"/>
                    <w:right w:val="single" w:color="auto" w:sz="4" w:space="0"/>
                  </w:tcBorders>
                  <w:shd w:val="clear" w:color="auto" w:fill="auto"/>
                  <w:vAlign w:val="center"/>
                </w:tcPr>
                <w:p w14:paraId="6E704373">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0.330</w:t>
                  </w:r>
                </w:p>
              </w:tc>
              <w:tc>
                <w:tcPr>
                  <w:tcW w:w="936" w:type="dxa"/>
                  <w:tcBorders>
                    <w:top w:val="nil"/>
                    <w:left w:val="nil"/>
                    <w:bottom w:val="single" w:color="auto" w:sz="4" w:space="0"/>
                    <w:right w:val="single" w:color="auto" w:sz="4" w:space="0"/>
                  </w:tcBorders>
                  <w:shd w:val="clear" w:color="auto" w:fill="auto"/>
                  <w:vAlign w:val="center"/>
                </w:tcPr>
                <w:p w14:paraId="56C42F4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0.138</w:t>
                  </w:r>
                </w:p>
              </w:tc>
              <w:tc>
                <w:tcPr>
                  <w:tcW w:w="892" w:type="dxa"/>
                  <w:tcBorders>
                    <w:top w:val="nil"/>
                    <w:left w:val="nil"/>
                    <w:bottom w:val="single" w:color="auto" w:sz="4" w:space="0"/>
                    <w:right w:val="single" w:color="auto" w:sz="4" w:space="0"/>
                  </w:tcBorders>
                  <w:shd w:val="clear" w:color="auto" w:fill="auto"/>
                  <w:vAlign w:val="center"/>
                </w:tcPr>
                <w:p w14:paraId="006101F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w:t>
                  </w:r>
                </w:p>
              </w:tc>
            </w:tr>
            <w:tr w14:paraId="40D44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532" w:type="pct"/>
                  <w:vMerge w:val="continue"/>
                  <w:shd w:val="clear" w:color="auto" w:fill="auto"/>
                  <w:vAlign w:val="center"/>
                </w:tcPr>
                <w:p w14:paraId="4112215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565" w:type="pct"/>
                  <w:shd w:val="clear" w:color="auto" w:fill="auto"/>
                  <w:vAlign w:val="center"/>
                </w:tcPr>
                <w:p w14:paraId="1033798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521" w:type="pct"/>
                  <w:shd w:val="clear" w:color="auto" w:fill="auto"/>
                  <w:vAlign w:val="center"/>
                </w:tcPr>
                <w:p w14:paraId="147D669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w:t>
                  </w:r>
                </w:p>
              </w:tc>
              <w:tc>
                <w:tcPr>
                  <w:tcW w:w="803" w:type="dxa"/>
                  <w:tcBorders>
                    <w:top w:val="nil"/>
                    <w:left w:val="single" w:color="auto" w:sz="4" w:space="0"/>
                    <w:bottom w:val="single" w:color="auto" w:sz="4" w:space="0"/>
                    <w:right w:val="single" w:color="auto" w:sz="4" w:space="0"/>
                  </w:tcBorders>
                  <w:shd w:val="clear" w:color="auto" w:fill="auto"/>
                  <w:vAlign w:val="center"/>
                </w:tcPr>
                <w:p w14:paraId="2137255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0.156</w:t>
                  </w:r>
                </w:p>
              </w:tc>
              <w:tc>
                <w:tcPr>
                  <w:tcW w:w="935" w:type="dxa"/>
                  <w:tcBorders>
                    <w:top w:val="nil"/>
                    <w:left w:val="nil"/>
                    <w:bottom w:val="single" w:color="auto" w:sz="4" w:space="0"/>
                    <w:right w:val="single" w:color="auto" w:sz="4" w:space="0"/>
                  </w:tcBorders>
                  <w:shd w:val="clear" w:color="auto" w:fill="auto"/>
                  <w:vAlign w:val="center"/>
                </w:tcPr>
                <w:p w14:paraId="447959B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0.065</w:t>
                  </w:r>
                </w:p>
              </w:tc>
              <w:tc>
                <w:tcPr>
                  <w:tcW w:w="935" w:type="dxa"/>
                  <w:tcBorders>
                    <w:top w:val="nil"/>
                    <w:left w:val="nil"/>
                    <w:bottom w:val="single" w:color="auto" w:sz="4" w:space="0"/>
                    <w:right w:val="single" w:color="auto" w:sz="4" w:space="0"/>
                  </w:tcBorders>
                  <w:shd w:val="clear" w:color="auto" w:fill="auto"/>
                  <w:vAlign w:val="center"/>
                </w:tcPr>
                <w:p w14:paraId="3C1C3F0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w:t>
                  </w:r>
                </w:p>
              </w:tc>
              <w:tc>
                <w:tcPr>
                  <w:tcW w:w="803" w:type="dxa"/>
                  <w:tcBorders>
                    <w:top w:val="nil"/>
                    <w:left w:val="nil"/>
                    <w:bottom w:val="single" w:color="auto" w:sz="4" w:space="0"/>
                    <w:right w:val="single" w:color="auto" w:sz="4" w:space="0"/>
                  </w:tcBorders>
                  <w:shd w:val="clear" w:color="auto" w:fill="auto"/>
                  <w:vAlign w:val="center"/>
                </w:tcPr>
                <w:p w14:paraId="654910F7">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0.156</w:t>
                  </w:r>
                </w:p>
              </w:tc>
              <w:tc>
                <w:tcPr>
                  <w:tcW w:w="936" w:type="dxa"/>
                  <w:tcBorders>
                    <w:top w:val="nil"/>
                    <w:left w:val="nil"/>
                    <w:bottom w:val="single" w:color="auto" w:sz="4" w:space="0"/>
                    <w:right w:val="single" w:color="auto" w:sz="4" w:space="0"/>
                  </w:tcBorders>
                  <w:shd w:val="clear" w:color="auto" w:fill="auto"/>
                  <w:vAlign w:val="center"/>
                </w:tcPr>
                <w:p w14:paraId="02C2C01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0.065</w:t>
                  </w:r>
                </w:p>
              </w:tc>
              <w:tc>
                <w:tcPr>
                  <w:tcW w:w="892" w:type="dxa"/>
                  <w:tcBorders>
                    <w:top w:val="nil"/>
                    <w:left w:val="nil"/>
                    <w:bottom w:val="single" w:color="auto" w:sz="4" w:space="0"/>
                    <w:right w:val="single" w:color="auto" w:sz="4" w:space="0"/>
                  </w:tcBorders>
                  <w:shd w:val="clear" w:color="auto" w:fill="auto"/>
                  <w:vAlign w:val="center"/>
                </w:tcPr>
                <w:p w14:paraId="1F75DAB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w:t>
                  </w:r>
                </w:p>
              </w:tc>
            </w:tr>
            <w:tr w14:paraId="2F6C9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5000" w:type="pct"/>
                  <w:gridSpan w:val="9"/>
                  <w:shd w:val="clear" w:color="auto" w:fill="auto"/>
                  <w:vAlign w:val="center"/>
                </w:tcPr>
                <w:p w14:paraId="267F326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注：每天作业8小时，年作业</w:t>
                  </w:r>
                  <w:r>
                    <w:rPr>
                      <w:rFonts w:hint="default" w:ascii="Times New Roman" w:hAnsi="Times New Roman" w:cs="Times New Roman"/>
                      <w:color w:val="auto"/>
                      <w:sz w:val="21"/>
                      <w:szCs w:val="21"/>
                      <w:highlight w:val="none"/>
                      <w:lang w:val="en-US" w:eastAsia="zh-CN"/>
                    </w:rPr>
                    <w:t>300</w:t>
                  </w:r>
                  <w:r>
                    <w:rPr>
                      <w:rFonts w:hint="default" w:ascii="Times New Roman" w:hAnsi="Times New Roman" w:eastAsia="宋体" w:cs="Times New Roman"/>
                      <w:color w:val="auto"/>
                      <w:sz w:val="21"/>
                      <w:szCs w:val="21"/>
                      <w:highlight w:val="none"/>
                      <w:lang w:val="en-US" w:eastAsia="zh-CN"/>
                    </w:rPr>
                    <w:t>天，合计2</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00h/a。</w:t>
                  </w:r>
                </w:p>
              </w:tc>
            </w:tr>
          </w:tbl>
          <w:p w14:paraId="7131B3C4">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rPr>
              <w:t>）臭气浓度</w:t>
            </w:r>
          </w:p>
          <w:p w14:paraId="19E90274">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喷漆、</w:t>
            </w:r>
            <w:r>
              <w:rPr>
                <w:rFonts w:hint="default" w:ascii="Times New Roman" w:hAnsi="Times New Roman" w:cs="Times New Roman"/>
                <w:color w:val="auto"/>
                <w:sz w:val="24"/>
                <w:lang w:val="en-US" w:eastAsia="zh-CN"/>
              </w:rPr>
              <w:t>注塑</w:t>
            </w:r>
            <w:r>
              <w:rPr>
                <w:rFonts w:hint="default" w:ascii="Times New Roman" w:hAnsi="Times New Roman" w:cs="Times New Roman"/>
                <w:color w:val="auto"/>
                <w:sz w:val="24"/>
              </w:rPr>
              <w:t>生产过程中会产生轻微异味，以臭气浓度表征，覆盖范围主要在喷漆区、</w:t>
            </w:r>
            <w:r>
              <w:rPr>
                <w:rFonts w:hint="default" w:ascii="Times New Roman" w:hAnsi="Times New Roman" w:cs="Times New Roman"/>
                <w:color w:val="auto"/>
                <w:sz w:val="24"/>
                <w:lang w:val="en-US" w:eastAsia="zh-CN"/>
              </w:rPr>
              <w:t>注塑区</w:t>
            </w:r>
            <w:r>
              <w:rPr>
                <w:rFonts w:hint="default" w:ascii="Times New Roman" w:hAnsi="Times New Roman" w:cs="Times New Roman"/>
                <w:color w:val="auto"/>
                <w:sz w:val="24"/>
              </w:rPr>
              <w:t>，均为密闭间收集，经处理后由排气筒排放，排放高度</w:t>
            </w:r>
            <w:r>
              <w:rPr>
                <w:rFonts w:hint="default" w:ascii="Times New Roman" w:hAnsi="Times New Roman" w:cs="Times New Roman"/>
                <w:color w:val="auto"/>
                <w:sz w:val="24"/>
                <w:lang w:val="en-US" w:eastAsia="zh-CN"/>
              </w:rPr>
              <w:t>均</w:t>
            </w:r>
            <w:r>
              <w:rPr>
                <w:rFonts w:hint="default" w:ascii="Times New Roman" w:hAnsi="Times New Roman" w:cs="Times New Roman"/>
                <w:color w:val="auto"/>
                <w:sz w:val="24"/>
              </w:rPr>
              <w:t>为15米，少量未被收集的异味在车间无组织排放，预计臭气浓度的排放能够满足《恶臭污染物排放标准》（GB14554-93）表 2 恶臭污染物排放标准及表 1 新扩改建二级厂界标准值，生产异味对周边环境的影响不大。</w:t>
            </w:r>
          </w:p>
          <w:p w14:paraId="6655B1E7">
            <w:pPr>
              <w:pageBreakBefore w:val="0"/>
              <w:wordWrap w:val="0"/>
              <w:overflowPunct/>
              <w:bidi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cs="Times New Roman"/>
                <w:b/>
                <w:bCs/>
                <w:color w:val="auto"/>
                <w:sz w:val="24"/>
                <w:lang w:val="en-US" w:eastAsia="zh-CN"/>
              </w:rPr>
              <w:t>5、事故工况（非正常工况）废气污染物排放</w:t>
            </w:r>
          </w:p>
          <w:p w14:paraId="4EEF63A7">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本项目的非正常工况主要是污染物排放控制措施达不到应有效率，即处理设施发生故障，造成有机废气未经处理直接排放，其排放情况如下表。</w:t>
            </w:r>
          </w:p>
          <w:p w14:paraId="1D8DEDF3">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rPr>
            </w:pPr>
            <w:r>
              <w:rPr>
                <w:rFonts w:hint="default" w:ascii="Times New Roman" w:hAnsi="Times New Roman" w:cs="Times New Roman"/>
                <w:b/>
                <w:color w:val="auto"/>
              </w:rPr>
              <w:t>非正常工况有机废气排放情况</w:t>
            </w:r>
          </w:p>
          <w:tbl>
            <w:tblPr>
              <w:tblStyle w:val="37"/>
              <w:tblW w:w="7843" w:type="dxa"/>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57" w:type="dxa"/>
                <w:bottom w:w="0" w:type="dxa"/>
                <w:right w:w="57" w:type="dxa"/>
              </w:tblCellMar>
            </w:tblPr>
            <w:tblGrid>
              <w:gridCol w:w="1291"/>
              <w:gridCol w:w="1302"/>
              <w:gridCol w:w="1304"/>
              <w:gridCol w:w="1304"/>
              <w:gridCol w:w="1304"/>
              <w:gridCol w:w="1338"/>
            </w:tblGrid>
            <w:tr w14:paraId="0FFAC6E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3" w:type="pct"/>
                  <w:vMerge w:val="restart"/>
                  <w:tcBorders>
                    <w:bottom w:val="single" w:color="auto" w:sz="4" w:space="0"/>
                    <w:right w:val="single" w:color="auto" w:sz="4" w:space="0"/>
                  </w:tcBorders>
                  <w:vAlign w:val="center"/>
                </w:tcPr>
                <w:p w14:paraId="3E84280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污染源</w:t>
                  </w:r>
                </w:p>
              </w:tc>
              <w:tc>
                <w:tcPr>
                  <w:tcW w:w="830" w:type="pct"/>
                  <w:vMerge w:val="restart"/>
                  <w:tcBorders>
                    <w:left w:val="single" w:color="auto" w:sz="4" w:space="0"/>
                    <w:bottom w:val="single" w:color="auto" w:sz="4" w:space="0"/>
                    <w:right w:val="single" w:color="auto" w:sz="4" w:space="0"/>
                  </w:tcBorders>
                  <w:vAlign w:val="center"/>
                </w:tcPr>
                <w:p w14:paraId="05A3DCE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污染物名称</w:t>
                  </w:r>
                </w:p>
              </w:tc>
              <w:tc>
                <w:tcPr>
                  <w:tcW w:w="831" w:type="pct"/>
                  <w:vMerge w:val="restart"/>
                  <w:tcBorders>
                    <w:left w:val="single" w:color="auto" w:sz="4" w:space="0"/>
                    <w:bottom w:val="single" w:color="auto" w:sz="4" w:space="0"/>
                    <w:right w:val="single" w:color="auto" w:sz="4" w:space="0"/>
                  </w:tcBorders>
                  <w:vAlign w:val="center"/>
                </w:tcPr>
                <w:p w14:paraId="3C17994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非正常排放</w:t>
                  </w:r>
                </w:p>
                <w:p w14:paraId="47065C0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原因</w:t>
                  </w:r>
                </w:p>
              </w:tc>
              <w:tc>
                <w:tcPr>
                  <w:tcW w:w="2514" w:type="pct"/>
                  <w:gridSpan w:val="3"/>
                  <w:tcBorders>
                    <w:left w:val="single" w:color="auto" w:sz="4" w:space="0"/>
                    <w:bottom w:val="single" w:color="auto" w:sz="4" w:space="0"/>
                    <w:right w:val="single" w:color="auto" w:sz="4" w:space="0"/>
                  </w:tcBorders>
                  <w:vAlign w:val="center"/>
                </w:tcPr>
                <w:p w14:paraId="7563F2E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非正常排放状况</w:t>
                  </w:r>
                </w:p>
              </w:tc>
            </w:tr>
            <w:tr w14:paraId="64773BA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3" w:type="pct"/>
                  <w:vMerge w:val="continue"/>
                  <w:tcBorders>
                    <w:top w:val="single" w:color="auto" w:sz="4" w:space="0"/>
                    <w:bottom w:val="single" w:color="auto" w:sz="4" w:space="0"/>
                    <w:right w:val="single" w:color="auto" w:sz="4" w:space="0"/>
                  </w:tcBorders>
                  <w:vAlign w:val="center"/>
                </w:tcPr>
                <w:p w14:paraId="4D7BE2A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830" w:type="pct"/>
                  <w:vMerge w:val="continue"/>
                  <w:tcBorders>
                    <w:top w:val="single" w:color="auto" w:sz="4" w:space="0"/>
                    <w:left w:val="single" w:color="auto" w:sz="4" w:space="0"/>
                    <w:bottom w:val="single" w:color="auto" w:sz="4" w:space="0"/>
                    <w:right w:val="single" w:color="auto" w:sz="4" w:space="0"/>
                  </w:tcBorders>
                  <w:vAlign w:val="center"/>
                </w:tcPr>
                <w:p w14:paraId="7D071DD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831" w:type="pct"/>
                  <w:vMerge w:val="continue"/>
                  <w:tcBorders>
                    <w:top w:val="single" w:color="auto" w:sz="4" w:space="0"/>
                    <w:left w:val="single" w:color="auto" w:sz="4" w:space="0"/>
                    <w:bottom w:val="single" w:color="auto" w:sz="4" w:space="0"/>
                    <w:right w:val="single" w:color="auto" w:sz="4" w:space="0"/>
                  </w:tcBorders>
                  <w:vAlign w:val="center"/>
                </w:tcPr>
                <w:p w14:paraId="7BFBBC4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831" w:type="pct"/>
                  <w:tcBorders>
                    <w:top w:val="single" w:color="auto" w:sz="4" w:space="0"/>
                    <w:left w:val="single" w:color="auto" w:sz="4" w:space="0"/>
                    <w:bottom w:val="single" w:color="auto" w:sz="4" w:space="0"/>
                    <w:right w:val="single" w:color="auto" w:sz="4" w:space="0"/>
                  </w:tcBorders>
                  <w:vAlign w:val="center"/>
                </w:tcPr>
                <w:p w14:paraId="75A9E42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频次及持续时间</w:t>
                  </w:r>
                </w:p>
              </w:tc>
              <w:tc>
                <w:tcPr>
                  <w:tcW w:w="831" w:type="pct"/>
                  <w:tcBorders>
                    <w:top w:val="single" w:color="auto" w:sz="4" w:space="0"/>
                    <w:left w:val="single" w:color="auto" w:sz="4" w:space="0"/>
                    <w:bottom w:val="single" w:color="auto" w:sz="4" w:space="0"/>
                    <w:right w:val="single" w:color="auto" w:sz="4" w:space="0"/>
                  </w:tcBorders>
                  <w:vAlign w:val="center"/>
                </w:tcPr>
                <w:p w14:paraId="492E11F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排放速率</w:t>
                  </w:r>
                </w:p>
                <w:p w14:paraId="66381F6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kg/h</w:t>
                  </w:r>
                </w:p>
              </w:tc>
              <w:tc>
                <w:tcPr>
                  <w:tcW w:w="851" w:type="pct"/>
                  <w:tcBorders>
                    <w:top w:val="single" w:color="auto" w:sz="4" w:space="0"/>
                    <w:left w:val="single" w:color="auto" w:sz="4" w:space="0"/>
                    <w:bottom w:val="single" w:color="auto" w:sz="4" w:space="0"/>
                    <w:right w:val="single" w:color="auto" w:sz="4" w:space="0"/>
                  </w:tcBorders>
                  <w:vAlign w:val="center"/>
                </w:tcPr>
                <w:p w14:paraId="7E3CC3C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排放浓度</w:t>
                  </w:r>
                </w:p>
                <w:p w14:paraId="7153912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mg/m</w:t>
                  </w:r>
                  <w:r>
                    <w:rPr>
                      <w:rFonts w:hint="default" w:ascii="Times New Roman" w:hAnsi="Times New Roman" w:eastAsia="宋体" w:cs="Times New Roman"/>
                      <w:color w:val="auto"/>
                      <w:position w:val="-10"/>
                      <w:sz w:val="21"/>
                      <w:szCs w:val="21"/>
                      <w:highlight w:val="none"/>
                      <w:vertAlign w:val="superscript"/>
                      <w:lang w:val="en-US" w:eastAsia="zh-CN" w:bidi="ar-SA"/>
                    </w:rPr>
                    <w:t>3</w:t>
                  </w:r>
                </w:p>
              </w:tc>
            </w:tr>
            <w:tr w14:paraId="6C4D2575">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90" w:hRule="atLeast"/>
                <w:jc w:val="center"/>
              </w:trPr>
              <w:tc>
                <w:tcPr>
                  <w:tcW w:w="823" w:type="pct"/>
                  <w:tcBorders>
                    <w:top w:val="single" w:color="auto" w:sz="4" w:space="0"/>
                    <w:bottom w:val="single" w:color="auto" w:sz="4" w:space="0"/>
                    <w:right w:val="single" w:color="auto" w:sz="4" w:space="0"/>
                  </w:tcBorders>
                  <w:vAlign w:val="center"/>
                </w:tcPr>
                <w:p w14:paraId="76FEFF1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注塑有机废气</w:t>
                  </w:r>
                </w:p>
              </w:tc>
              <w:tc>
                <w:tcPr>
                  <w:tcW w:w="830" w:type="pct"/>
                  <w:tcBorders>
                    <w:top w:val="single" w:color="auto" w:sz="4" w:space="0"/>
                    <w:left w:val="single" w:color="auto" w:sz="4" w:space="0"/>
                    <w:bottom w:val="single" w:color="auto" w:sz="4" w:space="0"/>
                    <w:right w:val="single" w:color="auto" w:sz="4" w:space="0"/>
                  </w:tcBorders>
                  <w:vAlign w:val="center"/>
                </w:tcPr>
                <w:p w14:paraId="4B6F83C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NMHC</w:t>
                  </w:r>
                </w:p>
              </w:tc>
              <w:tc>
                <w:tcPr>
                  <w:tcW w:w="831" w:type="pct"/>
                  <w:vMerge w:val="restart"/>
                  <w:tcBorders>
                    <w:top w:val="single" w:color="auto" w:sz="4" w:space="0"/>
                    <w:left w:val="single" w:color="auto" w:sz="4" w:space="0"/>
                    <w:right w:val="single" w:color="auto" w:sz="4" w:space="0"/>
                  </w:tcBorders>
                  <w:vAlign w:val="center"/>
                </w:tcPr>
                <w:p w14:paraId="21CBEB8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处理设施发</w:t>
                  </w:r>
                </w:p>
                <w:p w14:paraId="1F1F524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生故障</w:t>
                  </w:r>
                </w:p>
              </w:tc>
              <w:tc>
                <w:tcPr>
                  <w:tcW w:w="831" w:type="pct"/>
                  <w:vMerge w:val="restart"/>
                  <w:tcBorders>
                    <w:top w:val="single" w:color="auto" w:sz="4" w:space="0"/>
                    <w:left w:val="single" w:color="auto" w:sz="4" w:space="0"/>
                    <w:right w:val="single" w:color="auto" w:sz="4" w:space="0"/>
                  </w:tcBorders>
                  <w:vAlign w:val="center"/>
                </w:tcPr>
                <w:p w14:paraId="59A478E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1次/a，1h/次</w:t>
                  </w:r>
                </w:p>
              </w:tc>
              <w:tc>
                <w:tcPr>
                  <w:tcW w:w="831" w:type="pct"/>
                  <w:tcBorders>
                    <w:top w:val="single" w:color="auto" w:sz="4" w:space="0"/>
                    <w:left w:val="single" w:color="auto" w:sz="4" w:space="0"/>
                    <w:bottom w:val="single" w:color="auto" w:sz="4" w:space="0"/>
                    <w:right w:val="single" w:color="auto" w:sz="4" w:space="0"/>
                  </w:tcBorders>
                  <w:vAlign w:val="center"/>
                </w:tcPr>
                <w:p w14:paraId="56275CC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 xml:space="preserve">0.60 </w:t>
                  </w:r>
                </w:p>
              </w:tc>
              <w:tc>
                <w:tcPr>
                  <w:tcW w:w="851" w:type="pct"/>
                  <w:tcBorders>
                    <w:top w:val="single" w:color="auto" w:sz="4" w:space="0"/>
                    <w:left w:val="single" w:color="auto" w:sz="4" w:space="0"/>
                    <w:bottom w:val="single" w:color="auto" w:sz="4" w:space="0"/>
                    <w:right w:val="single" w:color="auto" w:sz="4" w:space="0"/>
                  </w:tcBorders>
                  <w:vAlign w:val="center"/>
                </w:tcPr>
                <w:p w14:paraId="413B81C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 xml:space="preserve">24.00 </w:t>
                  </w:r>
                </w:p>
              </w:tc>
            </w:tr>
            <w:tr w14:paraId="4F4FC70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90" w:hRule="atLeast"/>
                <w:jc w:val="center"/>
              </w:trPr>
              <w:tc>
                <w:tcPr>
                  <w:tcW w:w="823" w:type="pct"/>
                  <w:vMerge w:val="restart"/>
                  <w:tcBorders>
                    <w:top w:val="single" w:color="auto" w:sz="4" w:space="0"/>
                    <w:right w:val="single" w:color="auto" w:sz="4" w:space="0"/>
                  </w:tcBorders>
                  <w:vAlign w:val="center"/>
                </w:tcPr>
                <w:p w14:paraId="60C28F5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喷漆有机废气</w:t>
                  </w:r>
                </w:p>
              </w:tc>
              <w:tc>
                <w:tcPr>
                  <w:tcW w:w="830" w:type="pct"/>
                  <w:tcBorders>
                    <w:top w:val="single" w:color="auto" w:sz="4" w:space="0"/>
                    <w:left w:val="single" w:color="auto" w:sz="4" w:space="0"/>
                    <w:bottom w:val="single" w:color="auto" w:sz="4" w:space="0"/>
                    <w:right w:val="single" w:color="auto" w:sz="4" w:space="0"/>
                  </w:tcBorders>
                  <w:vAlign w:val="center"/>
                </w:tcPr>
                <w:p w14:paraId="3CC22DB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颗粒物</w:t>
                  </w:r>
                </w:p>
              </w:tc>
              <w:tc>
                <w:tcPr>
                  <w:tcW w:w="831" w:type="pct"/>
                  <w:vMerge w:val="continue"/>
                  <w:tcBorders>
                    <w:left w:val="single" w:color="auto" w:sz="4" w:space="0"/>
                    <w:right w:val="single" w:color="auto" w:sz="4" w:space="0"/>
                  </w:tcBorders>
                  <w:vAlign w:val="center"/>
                </w:tcPr>
                <w:p w14:paraId="67AE28B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831" w:type="pct"/>
                  <w:vMerge w:val="continue"/>
                  <w:tcBorders>
                    <w:left w:val="single" w:color="auto" w:sz="4" w:space="0"/>
                    <w:right w:val="single" w:color="auto" w:sz="4" w:space="0"/>
                  </w:tcBorders>
                  <w:vAlign w:val="center"/>
                </w:tcPr>
                <w:p w14:paraId="4653814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304" w:type="dxa"/>
                  <w:tcBorders>
                    <w:top w:val="single" w:color="auto" w:sz="4" w:space="0"/>
                    <w:left w:val="single" w:color="auto" w:sz="4" w:space="0"/>
                    <w:bottom w:val="single" w:color="auto" w:sz="4" w:space="0"/>
                    <w:right w:val="single" w:color="auto" w:sz="4" w:space="0"/>
                  </w:tcBorders>
                  <w:vAlign w:val="center"/>
                </w:tcPr>
                <w:p w14:paraId="6E37738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1.239 </w:t>
                  </w:r>
                </w:p>
              </w:tc>
              <w:tc>
                <w:tcPr>
                  <w:tcW w:w="1338" w:type="dxa"/>
                  <w:tcBorders>
                    <w:top w:val="single" w:color="auto" w:sz="4" w:space="0"/>
                    <w:left w:val="single" w:color="auto" w:sz="4" w:space="0"/>
                    <w:bottom w:val="single" w:color="auto" w:sz="4" w:space="0"/>
                    <w:right w:val="single" w:color="auto" w:sz="4" w:space="0"/>
                  </w:tcBorders>
                  <w:vAlign w:val="center"/>
                </w:tcPr>
                <w:p w14:paraId="0CF9F47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56.332 </w:t>
                  </w:r>
                </w:p>
              </w:tc>
            </w:tr>
            <w:tr w14:paraId="26D9A7DE">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90" w:hRule="atLeast"/>
                <w:jc w:val="center"/>
              </w:trPr>
              <w:tc>
                <w:tcPr>
                  <w:tcW w:w="823" w:type="pct"/>
                  <w:vMerge w:val="continue"/>
                  <w:tcBorders>
                    <w:bottom w:val="single" w:color="auto" w:sz="4" w:space="0"/>
                    <w:right w:val="single" w:color="auto" w:sz="4" w:space="0"/>
                  </w:tcBorders>
                  <w:vAlign w:val="center"/>
                </w:tcPr>
                <w:p w14:paraId="4D5781B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830" w:type="pct"/>
                  <w:tcBorders>
                    <w:top w:val="single" w:color="auto" w:sz="4" w:space="0"/>
                    <w:left w:val="single" w:color="auto" w:sz="4" w:space="0"/>
                    <w:bottom w:val="single" w:color="auto" w:sz="4" w:space="0"/>
                    <w:right w:val="single" w:color="auto" w:sz="4" w:space="0"/>
                  </w:tcBorders>
                  <w:vAlign w:val="center"/>
                </w:tcPr>
                <w:p w14:paraId="609A184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NMHC</w:t>
                  </w:r>
                </w:p>
              </w:tc>
              <w:tc>
                <w:tcPr>
                  <w:tcW w:w="831" w:type="pct"/>
                  <w:vMerge w:val="continue"/>
                  <w:tcBorders>
                    <w:left w:val="single" w:color="auto" w:sz="4" w:space="0"/>
                    <w:bottom w:val="single" w:color="auto" w:sz="4" w:space="0"/>
                    <w:right w:val="single" w:color="auto" w:sz="4" w:space="0"/>
                  </w:tcBorders>
                  <w:vAlign w:val="center"/>
                </w:tcPr>
                <w:p w14:paraId="12EAC29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831" w:type="pct"/>
                  <w:vMerge w:val="continue"/>
                  <w:tcBorders>
                    <w:left w:val="single" w:color="auto" w:sz="4" w:space="0"/>
                    <w:bottom w:val="single" w:color="auto" w:sz="4" w:space="0"/>
                    <w:right w:val="single" w:color="auto" w:sz="4" w:space="0"/>
                  </w:tcBorders>
                  <w:vAlign w:val="center"/>
                </w:tcPr>
                <w:p w14:paraId="7E00B32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304" w:type="dxa"/>
                  <w:tcBorders>
                    <w:top w:val="single" w:color="auto" w:sz="4" w:space="0"/>
                    <w:left w:val="single" w:color="auto" w:sz="4" w:space="0"/>
                    <w:bottom w:val="single" w:color="auto" w:sz="4" w:space="0"/>
                    <w:right w:val="single" w:color="auto" w:sz="4" w:space="0"/>
                  </w:tcBorders>
                  <w:vAlign w:val="center"/>
                </w:tcPr>
                <w:p w14:paraId="364410E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0.583 </w:t>
                  </w:r>
                </w:p>
              </w:tc>
              <w:tc>
                <w:tcPr>
                  <w:tcW w:w="1338" w:type="dxa"/>
                  <w:tcBorders>
                    <w:top w:val="single" w:color="auto" w:sz="4" w:space="0"/>
                    <w:left w:val="single" w:color="auto" w:sz="4" w:space="0"/>
                    <w:bottom w:val="single" w:color="auto" w:sz="4" w:space="0"/>
                    <w:right w:val="single" w:color="auto" w:sz="4" w:space="0"/>
                  </w:tcBorders>
                  <w:vAlign w:val="center"/>
                </w:tcPr>
                <w:p w14:paraId="71BCC7E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26.518 </w:t>
                  </w:r>
                </w:p>
              </w:tc>
            </w:tr>
          </w:tbl>
          <w:p w14:paraId="1CC3776B">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由上表可知，在非正常工况下污染物的排放大幅增加。为防止生产废气非正常工况排放，企业必须加强废气处理设施的管理，定期检修，确保废气处理设施正常运行，在废气处理设备停止运行或出现故障时，产生废气的各工序也必须相应停止操作。为防止废气非正常排放，应采取以下措施确保废气达标排放：</w:t>
            </w:r>
          </w:p>
          <w:p w14:paraId="7E4FCE62">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①安排专人负责环保设备的日常维护和管理，</w:t>
            </w:r>
            <w:r>
              <w:rPr>
                <w:rFonts w:hint="eastAsia" w:cs="Times New Roman"/>
                <w:color w:val="auto"/>
                <w:sz w:val="24"/>
                <w:lang w:eastAsia="zh-CN"/>
              </w:rPr>
              <w:t>每隔</w:t>
            </w:r>
            <w:r>
              <w:rPr>
                <w:rFonts w:hint="default" w:ascii="Times New Roman" w:hAnsi="Times New Roman" w:cs="Times New Roman"/>
                <w:color w:val="auto"/>
                <w:sz w:val="24"/>
              </w:rPr>
              <w:t>固定时间检查、汇报情况，及时发现废气处理设备的隐患，确保废气处理系统正常运行；</w:t>
            </w:r>
          </w:p>
          <w:p w14:paraId="424993F4">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②建立健全的环保管理机构，对环保管理人员和技术人员进行岗位培训，委托具有专业资质的环境检测单位对项目排放的各类污染物进行定期检测；</w:t>
            </w:r>
          </w:p>
          <w:p w14:paraId="71B5425D">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③应定期维护、检修废气净化装置，以保持废气处理装置的净化能力和净化容量；</w:t>
            </w:r>
          </w:p>
          <w:p w14:paraId="5C0909B5">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④定期更换活性炭。</w:t>
            </w:r>
          </w:p>
          <w:p w14:paraId="393ABB44">
            <w:pPr>
              <w:pageBreakBefore w:val="0"/>
              <w:wordWrap w:val="0"/>
              <w:overflowPunct/>
              <w:bidi w:val="0"/>
              <w:spacing w:line="360" w:lineRule="auto"/>
              <w:ind w:firstLine="480" w:firstLineChars="200"/>
              <w:rPr>
                <w:rFonts w:hint="default" w:ascii="Times New Roman" w:hAnsi="Times New Roman" w:cs="Times New Roman"/>
                <w:b/>
                <w:bCs/>
                <w:color w:val="auto"/>
                <w:sz w:val="24"/>
                <w:lang w:val="en-US" w:eastAsia="zh-CN"/>
              </w:rPr>
            </w:pPr>
            <w:r>
              <w:rPr>
                <w:rFonts w:hint="eastAsia" w:cs="Times New Roman"/>
                <w:b/>
                <w:bCs/>
                <w:color w:val="auto"/>
                <w:sz w:val="24"/>
                <w:lang w:val="en-US" w:eastAsia="zh-CN"/>
              </w:rPr>
              <w:t>6、污染物排放核算</w:t>
            </w:r>
          </w:p>
          <w:p w14:paraId="4D8048D9">
            <w:pPr>
              <w:spacing w:line="360" w:lineRule="auto"/>
              <w:ind w:firstLine="480"/>
              <w:rPr>
                <w:rFonts w:cs="Times New Roman"/>
                <w:b w:val="0"/>
                <w:bCs/>
                <w:color w:val="auto"/>
                <w:kern w:val="0"/>
                <w:sz w:val="24"/>
                <w:szCs w:val="20"/>
              </w:rPr>
            </w:pPr>
            <w:r>
              <w:rPr>
                <w:rFonts w:hint="eastAsia" w:cs="Times New Roman"/>
                <w:b w:val="0"/>
                <w:bCs/>
                <w:color w:val="auto"/>
                <w:kern w:val="0"/>
                <w:sz w:val="24"/>
                <w:szCs w:val="20"/>
              </w:rPr>
              <w:t>根据上述分析，</w:t>
            </w:r>
            <w:r>
              <w:rPr>
                <w:rFonts w:hint="eastAsia" w:cs="Times New Roman"/>
                <w:b w:val="0"/>
                <w:bCs/>
                <w:color w:val="auto"/>
                <w:kern w:val="0"/>
                <w:sz w:val="24"/>
                <w:szCs w:val="20"/>
                <w:lang w:val="en-US" w:eastAsia="zh-CN"/>
              </w:rPr>
              <w:t>本次扩建项目</w:t>
            </w:r>
            <w:r>
              <w:rPr>
                <w:rFonts w:hint="eastAsia" w:cs="Times New Roman"/>
                <w:b w:val="0"/>
                <w:bCs/>
                <w:color w:val="auto"/>
                <w:kern w:val="0"/>
                <w:sz w:val="24"/>
                <w:szCs w:val="20"/>
              </w:rPr>
              <w:t>正常工况下废气污染物的排放量如下表。</w:t>
            </w:r>
          </w:p>
          <w:p w14:paraId="1E4AC80D">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eastAsia="宋体" w:cs="Times New Roman"/>
                <w:b/>
                <w:color w:val="auto"/>
              </w:rPr>
            </w:pPr>
            <w:r>
              <w:rPr>
                <w:rFonts w:hint="eastAsia" w:ascii="Times New Roman" w:hAnsi="Times New Roman" w:eastAsia="宋体" w:cs="Times New Roman"/>
                <w:b/>
                <w:color w:val="auto"/>
              </w:rPr>
              <w:t>大气污染物有组织排放量核算表</w:t>
            </w:r>
          </w:p>
          <w:tbl>
            <w:tblPr>
              <w:tblStyle w:val="1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0"/>
              <w:gridCol w:w="1244"/>
              <w:gridCol w:w="1868"/>
              <w:gridCol w:w="1460"/>
              <w:gridCol w:w="1400"/>
              <w:gridCol w:w="1274"/>
            </w:tblGrid>
            <w:tr w14:paraId="6424F1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8" w:type="pct"/>
                  <w:tcBorders>
                    <w:top w:val="single" w:color="auto" w:sz="4" w:space="0"/>
                    <w:left w:val="single" w:color="auto" w:sz="0" w:space="0"/>
                  </w:tcBorders>
                  <w:vAlign w:val="center"/>
                </w:tcPr>
                <w:p w14:paraId="640008C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792" w:type="pct"/>
                  <w:tcBorders>
                    <w:top w:val="single" w:color="auto" w:sz="4" w:space="0"/>
                  </w:tcBorders>
                  <w:vAlign w:val="center"/>
                </w:tcPr>
                <w:p w14:paraId="6C0367B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排放口编号</w:t>
                  </w:r>
                </w:p>
              </w:tc>
              <w:tc>
                <w:tcPr>
                  <w:tcW w:w="1189" w:type="pct"/>
                  <w:tcBorders>
                    <w:top w:val="single" w:color="auto" w:sz="4" w:space="0"/>
                  </w:tcBorders>
                  <w:vAlign w:val="center"/>
                </w:tcPr>
                <w:p w14:paraId="2A6360D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污染物</w:t>
                  </w:r>
                </w:p>
              </w:tc>
              <w:tc>
                <w:tcPr>
                  <w:tcW w:w="929" w:type="pct"/>
                  <w:tcBorders>
                    <w:top w:val="single" w:color="auto" w:sz="4" w:space="0"/>
                  </w:tcBorders>
                  <w:vAlign w:val="center"/>
                </w:tcPr>
                <w:p w14:paraId="35FF874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核算排放浓度（mg/m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890" w:type="pct"/>
                  <w:tcBorders>
                    <w:top w:val="single" w:color="auto" w:sz="4" w:space="0"/>
                  </w:tcBorders>
                  <w:vAlign w:val="center"/>
                </w:tcPr>
                <w:p w14:paraId="43A56E2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核算排放速率（kg/h）</w:t>
                  </w:r>
                </w:p>
              </w:tc>
              <w:tc>
                <w:tcPr>
                  <w:tcW w:w="810" w:type="pct"/>
                  <w:tcBorders>
                    <w:top w:val="single" w:color="auto" w:sz="4" w:space="0"/>
                    <w:right w:val="single" w:color="auto" w:sz="4" w:space="0"/>
                  </w:tcBorders>
                  <w:vAlign w:val="center"/>
                </w:tcPr>
                <w:p w14:paraId="6815A74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核算年排放量（t/a）</w:t>
                  </w:r>
                </w:p>
              </w:tc>
            </w:tr>
            <w:tr w14:paraId="2AA89B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6"/>
                  <w:tcBorders>
                    <w:left w:val="single" w:color="auto" w:sz="4" w:space="0"/>
                    <w:right w:val="single" w:color="auto" w:sz="4" w:space="0"/>
                  </w:tcBorders>
                  <w:vAlign w:val="center"/>
                </w:tcPr>
                <w:p w14:paraId="40A05C0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一般排放口</w:t>
                  </w:r>
                </w:p>
              </w:tc>
            </w:tr>
            <w:tr w14:paraId="2361A4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8" w:type="pct"/>
                  <w:tcBorders>
                    <w:left w:val="single" w:color="auto" w:sz="4" w:space="0"/>
                  </w:tcBorders>
                  <w:vAlign w:val="center"/>
                </w:tcPr>
                <w:p w14:paraId="5F5C5BB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w:t>
                  </w:r>
                </w:p>
              </w:tc>
              <w:tc>
                <w:tcPr>
                  <w:tcW w:w="792" w:type="pct"/>
                  <w:vAlign w:val="center"/>
                </w:tcPr>
                <w:p w14:paraId="3B97AEF2">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DA00</w:t>
                  </w:r>
                  <w:r>
                    <w:rPr>
                      <w:rFonts w:hint="eastAsia" w:ascii="Times New Roman" w:hAnsi="Times New Roman" w:eastAsia="宋体" w:cs="Times New Roman"/>
                      <w:i w:val="0"/>
                      <w:iCs w:val="0"/>
                      <w:color w:val="auto"/>
                      <w:kern w:val="0"/>
                      <w:sz w:val="21"/>
                      <w:szCs w:val="21"/>
                      <w:u w:val="none"/>
                      <w:lang w:val="en-US" w:eastAsia="zh-CN" w:bidi="ar"/>
                    </w:rPr>
                    <w:t>5</w:t>
                  </w:r>
                </w:p>
              </w:tc>
              <w:tc>
                <w:tcPr>
                  <w:tcW w:w="1189" w:type="pct"/>
                  <w:vAlign w:val="center"/>
                </w:tcPr>
                <w:p w14:paraId="49FE7D7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非甲烷总烃</w:t>
                  </w:r>
                </w:p>
              </w:tc>
              <w:tc>
                <w:tcPr>
                  <w:tcW w:w="929" w:type="pct"/>
                  <w:vAlign w:val="center"/>
                </w:tcPr>
                <w:p w14:paraId="5BF11EF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4.80</w:t>
                  </w:r>
                </w:p>
              </w:tc>
              <w:tc>
                <w:tcPr>
                  <w:tcW w:w="890" w:type="pct"/>
                  <w:vAlign w:val="center"/>
                </w:tcPr>
                <w:p w14:paraId="3381546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0.12</w:t>
                  </w:r>
                </w:p>
              </w:tc>
              <w:tc>
                <w:tcPr>
                  <w:tcW w:w="810" w:type="pct"/>
                  <w:tcBorders>
                    <w:right w:val="single" w:color="auto" w:sz="4" w:space="0"/>
                  </w:tcBorders>
                  <w:vAlign w:val="center"/>
                </w:tcPr>
                <w:p w14:paraId="06C554E9">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0.86</w:t>
                  </w:r>
                </w:p>
              </w:tc>
            </w:tr>
            <w:tr w14:paraId="471D58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8" w:type="pct"/>
                  <w:tcBorders>
                    <w:left w:val="single" w:color="auto" w:sz="4" w:space="0"/>
                  </w:tcBorders>
                  <w:vAlign w:val="center"/>
                </w:tcPr>
                <w:p w14:paraId="002B6A1E">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w:t>
                  </w:r>
                </w:p>
              </w:tc>
              <w:tc>
                <w:tcPr>
                  <w:tcW w:w="792" w:type="pct"/>
                  <w:vMerge w:val="restart"/>
                  <w:vAlign w:val="center"/>
                </w:tcPr>
                <w:p w14:paraId="0515860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DA00</w:t>
                  </w:r>
                  <w:r>
                    <w:rPr>
                      <w:rFonts w:hint="eastAsia" w:ascii="Times New Roman" w:hAnsi="Times New Roman" w:eastAsia="宋体" w:cs="Times New Roman"/>
                      <w:i w:val="0"/>
                      <w:iCs w:val="0"/>
                      <w:color w:val="auto"/>
                      <w:kern w:val="0"/>
                      <w:sz w:val="21"/>
                      <w:szCs w:val="21"/>
                      <w:u w:val="none"/>
                      <w:lang w:val="en-US" w:eastAsia="zh-CN" w:bidi="ar"/>
                    </w:rPr>
                    <w:t>6</w:t>
                  </w:r>
                </w:p>
              </w:tc>
              <w:tc>
                <w:tcPr>
                  <w:tcW w:w="1189" w:type="pct"/>
                  <w:vAlign w:val="center"/>
                </w:tcPr>
                <w:p w14:paraId="432285CC">
                  <w:pPr>
                    <w:pageBreakBefore w:val="0"/>
                    <w:wordWrap w:val="0"/>
                    <w:overflowPunct/>
                    <w:bidi w:val="0"/>
                    <w:spacing w:line="240" w:lineRule="auto"/>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颗粒物</w:t>
                  </w:r>
                </w:p>
              </w:tc>
              <w:tc>
                <w:tcPr>
                  <w:tcW w:w="929" w:type="pct"/>
                  <w:vAlign w:val="center"/>
                </w:tcPr>
                <w:p w14:paraId="087C6A6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0.563</w:t>
                  </w:r>
                </w:p>
              </w:tc>
              <w:tc>
                <w:tcPr>
                  <w:tcW w:w="890" w:type="pct"/>
                  <w:vAlign w:val="center"/>
                </w:tcPr>
                <w:p w14:paraId="7BA7C75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0.012</w:t>
                  </w:r>
                </w:p>
              </w:tc>
              <w:tc>
                <w:tcPr>
                  <w:tcW w:w="810" w:type="pct"/>
                  <w:tcBorders>
                    <w:right w:val="single" w:color="auto" w:sz="4" w:space="0"/>
                  </w:tcBorders>
                  <w:vAlign w:val="center"/>
                </w:tcPr>
                <w:p w14:paraId="79D4CA9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0.030</w:t>
                  </w:r>
                </w:p>
              </w:tc>
            </w:tr>
            <w:tr w14:paraId="11AFF8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8" w:type="pct"/>
                  <w:tcBorders>
                    <w:left w:val="single" w:color="auto" w:sz="4" w:space="0"/>
                  </w:tcBorders>
                  <w:vAlign w:val="center"/>
                </w:tcPr>
                <w:p w14:paraId="75E23FCC">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3</w:t>
                  </w:r>
                </w:p>
              </w:tc>
              <w:tc>
                <w:tcPr>
                  <w:tcW w:w="792" w:type="pct"/>
                  <w:vMerge w:val="continue"/>
                  <w:vAlign w:val="center"/>
                </w:tcPr>
                <w:p w14:paraId="1A2E092C">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1189" w:type="pct"/>
                  <w:vAlign w:val="center"/>
                </w:tcPr>
                <w:p w14:paraId="15038787">
                  <w:pPr>
                    <w:pageBreakBefore w:val="0"/>
                    <w:wordWrap w:val="0"/>
                    <w:overflowPunct/>
                    <w:bidi w:val="0"/>
                    <w:spacing w:line="240" w:lineRule="auto"/>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非甲烷总烃</w:t>
                  </w:r>
                </w:p>
              </w:tc>
              <w:tc>
                <w:tcPr>
                  <w:tcW w:w="929" w:type="pct"/>
                  <w:vAlign w:val="center"/>
                </w:tcPr>
                <w:p w14:paraId="59BCC6F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5.304</w:t>
                  </w:r>
                </w:p>
              </w:tc>
              <w:tc>
                <w:tcPr>
                  <w:tcW w:w="890" w:type="pct"/>
                  <w:vAlign w:val="center"/>
                </w:tcPr>
                <w:p w14:paraId="3511A8B7">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0.117</w:t>
                  </w:r>
                </w:p>
              </w:tc>
              <w:tc>
                <w:tcPr>
                  <w:tcW w:w="810" w:type="pct"/>
                  <w:tcBorders>
                    <w:right w:val="single" w:color="auto" w:sz="4" w:space="0"/>
                  </w:tcBorders>
                  <w:vAlign w:val="center"/>
                </w:tcPr>
                <w:p w14:paraId="0E6E178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0.280</w:t>
                  </w:r>
                </w:p>
              </w:tc>
            </w:tr>
            <w:tr w14:paraId="02AD38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80" w:type="pct"/>
                  <w:gridSpan w:val="2"/>
                  <w:vMerge w:val="restart"/>
                  <w:tcBorders>
                    <w:left w:val="single" w:color="auto" w:sz="4" w:space="0"/>
                  </w:tcBorders>
                  <w:noWrap/>
                  <w:vAlign w:val="center"/>
                </w:tcPr>
                <w:p w14:paraId="598CFBBC">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有组织排放合计</w:t>
                  </w:r>
                </w:p>
              </w:tc>
              <w:tc>
                <w:tcPr>
                  <w:tcW w:w="3009" w:type="pct"/>
                  <w:gridSpan w:val="3"/>
                  <w:vAlign w:val="center"/>
                </w:tcPr>
                <w:p w14:paraId="193931C4">
                  <w:pPr>
                    <w:pageBreakBefore w:val="0"/>
                    <w:wordWrap w:val="0"/>
                    <w:overflowPunct/>
                    <w:bidi w:val="0"/>
                    <w:spacing w:line="240" w:lineRule="auto"/>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颗粒物</w:t>
                  </w:r>
                </w:p>
              </w:tc>
              <w:tc>
                <w:tcPr>
                  <w:tcW w:w="810" w:type="pct"/>
                  <w:tcBorders>
                    <w:right w:val="single" w:color="auto" w:sz="4" w:space="0"/>
                  </w:tcBorders>
                  <w:vAlign w:val="center"/>
                </w:tcPr>
                <w:p w14:paraId="1B642B2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ascii="Times New Roman" w:hAnsi="Times New Roman" w:eastAsia="宋体" w:cs="Times New Roman"/>
                      <w:i w:val="0"/>
                      <w:iCs w:val="0"/>
                      <w:color w:val="auto"/>
                      <w:kern w:val="0"/>
                      <w:sz w:val="21"/>
                      <w:szCs w:val="21"/>
                      <w:u w:val="none"/>
                      <w:lang w:val="en-US" w:eastAsia="zh-CN" w:bidi="ar"/>
                    </w:rPr>
                    <w:t>30</w:t>
                  </w:r>
                </w:p>
              </w:tc>
            </w:tr>
            <w:tr w14:paraId="5F2B3E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80" w:type="pct"/>
                  <w:gridSpan w:val="2"/>
                  <w:vMerge w:val="continue"/>
                  <w:tcBorders>
                    <w:left w:val="single" w:color="auto" w:sz="4" w:space="0"/>
                    <w:bottom w:val="single" w:color="auto" w:sz="4" w:space="0"/>
                  </w:tcBorders>
                  <w:vAlign w:val="center"/>
                </w:tcPr>
                <w:p w14:paraId="07EBFC79">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3009" w:type="pct"/>
                  <w:gridSpan w:val="3"/>
                  <w:tcBorders>
                    <w:bottom w:val="single" w:color="auto" w:sz="4" w:space="0"/>
                  </w:tcBorders>
                  <w:vAlign w:val="center"/>
                </w:tcPr>
                <w:p w14:paraId="38DE6F1E">
                  <w:pPr>
                    <w:pageBreakBefore w:val="0"/>
                    <w:wordWrap w:val="0"/>
                    <w:overflowPunct/>
                    <w:bidi w:val="0"/>
                    <w:spacing w:line="240" w:lineRule="auto"/>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非甲烷总烃</w:t>
                  </w:r>
                </w:p>
              </w:tc>
              <w:tc>
                <w:tcPr>
                  <w:tcW w:w="810" w:type="pct"/>
                  <w:tcBorders>
                    <w:bottom w:val="single" w:color="auto" w:sz="4" w:space="0"/>
                    <w:right w:val="single" w:color="auto" w:sz="4" w:space="0"/>
                  </w:tcBorders>
                  <w:vAlign w:val="center"/>
                </w:tcPr>
                <w:p w14:paraId="1839366E">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1.144</w:t>
                  </w:r>
                </w:p>
              </w:tc>
            </w:tr>
          </w:tbl>
          <w:p w14:paraId="2F5B3BF3">
            <w:pPr>
              <w:pStyle w:val="19"/>
              <w:pageBreakBefore w:val="0"/>
              <w:numPr>
                <w:ilvl w:val="0"/>
                <w:numId w:val="9"/>
              </w:numPr>
              <w:wordWrap w:val="0"/>
              <w:overflowPunct/>
              <w:bidi w:val="0"/>
              <w:spacing w:line="240" w:lineRule="auto"/>
              <w:ind w:left="0" w:leftChars="0" w:firstLine="0" w:firstLineChars="0"/>
              <w:rPr>
                <w:rFonts w:hint="eastAsia" w:ascii="Times New Roman" w:hAnsi="Times New Roman" w:eastAsia="宋体" w:cs="Times New Roman"/>
                <w:b/>
                <w:color w:val="auto"/>
              </w:rPr>
            </w:pPr>
            <w:r>
              <w:rPr>
                <w:rFonts w:hint="eastAsia" w:ascii="Times New Roman" w:hAnsi="Times New Roman" w:eastAsia="宋体" w:cs="Times New Roman"/>
                <w:b/>
                <w:color w:val="auto"/>
              </w:rPr>
              <w:t>大气污染物无组织排放量核算表</w:t>
            </w:r>
          </w:p>
          <w:tbl>
            <w:tblPr>
              <w:tblStyle w:val="125"/>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1"/>
              <w:gridCol w:w="1235"/>
              <w:gridCol w:w="979"/>
              <w:gridCol w:w="864"/>
              <w:gridCol w:w="2001"/>
              <w:gridCol w:w="1234"/>
              <w:gridCol w:w="1029"/>
            </w:tblGrid>
            <w:tr w14:paraId="44DAEE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5" w:type="pct"/>
                  <w:vMerge w:val="restart"/>
                  <w:tcBorders>
                    <w:top w:val="single" w:color="auto" w:sz="4" w:space="0"/>
                    <w:left w:val="single" w:color="auto" w:sz="0" w:space="0"/>
                  </w:tcBorders>
                  <w:vAlign w:val="center"/>
                </w:tcPr>
                <w:p w14:paraId="730C0C8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序号</w:t>
                  </w:r>
                </w:p>
              </w:tc>
              <w:tc>
                <w:tcPr>
                  <w:tcW w:w="786" w:type="pct"/>
                  <w:vMerge w:val="restart"/>
                  <w:tcBorders>
                    <w:top w:val="single" w:color="auto" w:sz="4" w:space="0"/>
                  </w:tcBorders>
                  <w:vAlign w:val="center"/>
                </w:tcPr>
                <w:p w14:paraId="55652C0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污染物</w:t>
                  </w:r>
                </w:p>
              </w:tc>
              <w:tc>
                <w:tcPr>
                  <w:tcW w:w="623" w:type="pct"/>
                  <w:vMerge w:val="restart"/>
                  <w:tcBorders>
                    <w:top w:val="single" w:color="auto" w:sz="4" w:space="0"/>
                  </w:tcBorders>
                  <w:vAlign w:val="center"/>
                </w:tcPr>
                <w:p w14:paraId="11AA71B7">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产污环节</w:t>
                  </w:r>
                </w:p>
              </w:tc>
              <w:tc>
                <w:tcPr>
                  <w:tcW w:w="550" w:type="pct"/>
                  <w:vMerge w:val="restart"/>
                  <w:tcBorders>
                    <w:top w:val="single" w:color="auto" w:sz="4" w:space="0"/>
                  </w:tcBorders>
                  <w:vAlign w:val="center"/>
                </w:tcPr>
                <w:p w14:paraId="4C328F3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主要污染防治措施</w:t>
                  </w:r>
                </w:p>
              </w:tc>
              <w:tc>
                <w:tcPr>
                  <w:tcW w:w="2058" w:type="pct"/>
                  <w:gridSpan w:val="2"/>
                  <w:tcBorders>
                    <w:top w:val="single" w:color="auto" w:sz="4" w:space="0"/>
                  </w:tcBorders>
                  <w:vAlign w:val="center"/>
                </w:tcPr>
                <w:p w14:paraId="1D2126E3">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国家或地方污染物排放标准</w:t>
                  </w:r>
                </w:p>
              </w:tc>
              <w:tc>
                <w:tcPr>
                  <w:tcW w:w="655" w:type="pct"/>
                  <w:vMerge w:val="restart"/>
                  <w:tcBorders>
                    <w:top w:val="single" w:color="auto" w:sz="4" w:space="0"/>
                    <w:right w:val="single" w:color="auto" w:sz="4" w:space="0"/>
                  </w:tcBorders>
                  <w:vAlign w:val="center"/>
                </w:tcPr>
                <w:p w14:paraId="5BB1F623">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核算年排放量（</w:t>
                  </w:r>
                  <w:r>
                    <w:rPr>
                      <w:rFonts w:hint="default" w:ascii="Times New Roman" w:hAnsi="Times New Roman" w:eastAsia="宋体" w:cs="Times New Roman"/>
                      <w:i w:val="0"/>
                      <w:iCs w:val="0"/>
                      <w:color w:val="auto"/>
                      <w:kern w:val="0"/>
                      <w:sz w:val="21"/>
                      <w:szCs w:val="21"/>
                      <w:u w:val="none"/>
                      <w:lang w:val="en-US" w:eastAsia="zh-CN" w:bidi="ar"/>
                    </w:rPr>
                    <w:t>t/a</w:t>
                  </w:r>
                  <w:r>
                    <w:rPr>
                      <w:rFonts w:hint="eastAsia" w:ascii="Times New Roman" w:hAnsi="Times New Roman" w:eastAsia="宋体" w:cs="Times New Roman"/>
                      <w:i w:val="0"/>
                      <w:iCs w:val="0"/>
                      <w:color w:val="auto"/>
                      <w:kern w:val="0"/>
                      <w:sz w:val="21"/>
                      <w:szCs w:val="21"/>
                      <w:u w:val="none"/>
                      <w:lang w:val="en-US" w:eastAsia="zh-CN" w:bidi="ar"/>
                    </w:rPr>
                    <w:t>）</w:t>
                  </w:r>
                </w:p>
              </w:tc>
            </w:tr>
            <w:tr w14:paraId="1BC6A5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5" w:type="pct"/>
                  <w:vMerge w:val="continue"/>
                  <w:tcBorders>
                    <w:left w:val="single" w:color="auto" w:sz="4" w:space="0"/>
                  </w:tcBorders>
                  <w:vAlign w:val="center"/>
                </w:tcPr>
                <w:p w14:paraId="6FC2CC1D">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786" w:type="pct"/>
                  <w:vMerge w:val="continue"/>
                  <w:vAlign w:val="center"/>
                </w:tcPr>
                <w:p w14:paraId="6D0A287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623" w:type="pct"/>
                  <w:vMerge w:val="continue"/>
                  <w:vAlign w:val="center"/>
                </w:tcPr>
                <w:p w14:paraId="6229A550">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550" w:type="pct"/>
                  <w:vMerge w:val="continue"/>
                  <w:vAlign w:val="center"/>
                </w:tcPr>
                <w:p w14:paraId="395E4FF3">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1273" w:type="pct"/>
                  <w:vAlign w:val="center"/>
                </w:tcPr>
                <w:p w14:paraId="04B0B89C">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标准名称</w:t>
                  </w:r>
                </w:p>
              </w:tc>
              <w:tc>
                <w:tcPr>
                  <w:tcW w:w="785" w:type="pct"/>
                  <w:vAlign w:val="center"/>
                </w:tcPr>
                <w:p w14:paraId="4AA1832E">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浓度限值（</w:t>
                  </w:r>
                  <w:r>
                    <w:rPr>
                      <w:rFonts w:hint="default" w:ascii="Times New Roman" w:hAnsi="Times New Roman" w:eastAsia="宋体" w:cs="Times New Roman"/>
                      <w:i w:val="0"/>
                      <w:iCs w:val="0"/>
                      <w:color w:val="auto"/>
                      <w:kern w:val="0"/>
                      <w:sz w:val="21"/>
                      <w:szCs w:val="21"/>
                      <w:u w:val="none"/>
                      <w:lang w:val="en-US" w:eastAsia="zh-CN" w:bidi="ar"/>
                    </w:rPr>
                    <w:t>mg/m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eastAsia" w:ascii="Times New Roman" w:hAnsi="Times New Roman" w:eastAsia="宋体" w:cs="Times New Roman"/>
                      <w:i w:val="0"/>
                      <w:iCs w:val="0"/>
                      <w:color w:val="auto"/>
                      <w:kern w:val="0"/>
                      <w:sz w:val="21"/>
                      <w:szCs w:val="21"/>
                      <w:u w:val="none"/>
                      <w:lang w:val="en-US" w:eastAsia="zh-CN" w:bidi="ar"/>
                    </w:rPr>
                    <w:t>）</w:t>
                  </w:r>
                </w:p>
              </w:tc>
              <w:tc>
                <w:tcPr>
                  <w:tcW w:w="655" w:type="pct"/>
                  <w:vMerge w:val="continue"/>
                  <w:tcBorders>
                    <w:right w:val="single" w:color="auto" w:sz="4" w:space="0"/>
                  </w:tcBorders>
                  <w:vAlign w:val="center"/>
                </w:tcPr>
                <w:p w14:paraId="4D37AAA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r w14:paraId="5E310D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5" w:type="pct"/>
                  <w:tcBorders>
                    <w:left w:val="single" w:color="auto" w:sz="4" w:space="0"/>
                  </w:tcBorders>
                  <w:vAlign w:val="center"/>
                </w:tcPr>
                <w:p w14:paraId="7AB9411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w:t>
                  </w:r>
                </w:p>
              </w:tc>
              <w:tc>
                <w:tcPr>
                  <w:tcW w:w="786" w:type="pct"/>
                  <w:vAlign w:val="center"/>
                </w:tcPr>
                <w:p w14:paraId="53001EDE">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623" w:type="pct"/>
                  <w:vAlign w:val="center"/>
                </w:tcPr>
                <w:p w14:paraId="5984380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破碎</w:t>
                  </w:r>
                </w:p>
              </w:tc>
              <w:tc>
                <w:tcPr>
                  <w:tcW w:w="550" w:type="pct"/>
                  <w:vMerge w:val="restart"/>
                  <w:vAlign w:val="center"/>
                </w:tcPr>
                <w:p w14:paraId="7C0381C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加强通风换气</w:t>
                  </w:r>
                </w:p>
              </w:tc>
              <w:tc>
                <w:tcPr>
                  <w:tcW w:w="1273" w:type="pct"/>
                  <w:vMerge w:val="restart"/>
                  <w:vAlign w:val="center"/>
                </w:tcPr>
                <w:p w14:paraId="28206129">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GB31572-2015</w:t>
                  </w:r>
                  <w:r>
                    <w:rPr>
                      <w:rFonts w:hint="eastAsia" w:ascii="Times New Roman" w:hAnsi="Times New Roman" w:eastAsia="宋体" w:cs="Times New Roman"/>
                      <w:i w:val="0"/>
                      <w:iCs w:val="0"/>
                      <w:color w:val="auto"/>
                      <w:kern w:val="0"/>
                      <w:sz w:val="21"/>
                      <w:szCs w:val="21"/>
                      <w:u w:val="none"/>
                      <w:lang w:val="en-US" w:eastAsia="zh-CN" w:bidi="ar"/>
                    </w:rPr>
                    <w:t>）</w:t>
                  </w:r>
                </w:p>
              </w:tc>
              <w:tc>
                <w:tcPr>
                  <w:tcW w:w="785" w:type="pct"/>
                  <w:noWrap/>
                  <w:vAlign w:val="center"/>
                </w:tcPr>
                <w:p w14:paraId="19038D4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w:t>
                  </w:r>
                </w:p>
              </w:tc>
              <w:tc>
                <w:tcPr>
                  <w:tcW w:w="1029" w:type="dxa"/>
                  <w:tcBorders>
                    <w:right w:val="single" w:color="auto" w:sz="4" w:space="0"/>
                  </w:tcBorders>
                  <w:noWrap/>
                  <w:vAlign w:val="center"/>
                </w:tcPr>
                <w:p w14:paraId="46A00D7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0.330</w:t>
                  </w:r>
                </w:p>
              </w:tc>
            </w:tr>
            <w:tr w14:paraId="140136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25" w:type="pct"/>
                  <w:tcBorders>
                    <w:left w:val="single" w:color="auto" w:sz="4" w:space="0"/>
                    <w:bottom w:val="single" w:color="auto" w:sz="4" w:space="0"/>
                  </w:tcBorders>
                  <w:vAlign w:val="center"/>
                </w:tcPr>
                <w:p w14:paraId="7D39EBD2">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w:t>
                  </w:r>
                </w:p>
              </w:tc>
              <w:tc>
                <w:tcPr>
                  <w:tcW w:w="786" w:type="pct"/>
                  <w:tcBorders>
                    <w:bottom w:val="single" w:color="auto" w:sz="4" w:space="0"/>
                  </w:tcBorders>
                  <w:vAlign w:val="center"/>
                </w:tcPr>
                <w:p w14:paraId="2C8FBE7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非甲烷总烃</w:t>
                  </w:r>
                </w:p>
              </w:tc>
              <w:tc>
                <w:tcPr>
                  <w:tcW w:w="623" w:type="pct"/>
                  <w:tcBorders>
                    <w:bottom w:val="single" w:color="auto" w:sz="4" w:space="0"/>
                  </w:tcBorders>
                  <w:vAlign w:val="center"/>
                </w:tcPr>
                <w:p w14:paraId="4920F84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注塑、喷涂</w:t>
                  </w:r>
                </w:p>
              </w:tc>
              <w:tc>
                <w:tcPr>
                  <w:tcW w:w="550" w:type="pct"/>
                  <w:vMerge w:val="continue"/>
                  <w:tcBorders>
                    <w:bottom w:val="single" w:color="auto" w:sz="4" w:space="0"/>
                  </w:tcBorders>
                  <w:vAlign w:val="center"/>
                </w:tcPr>
                <w:p w14:paraId="43884D2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1273" w:type="pct"/>
                  <w:vMerge w:val="continue"/>
                  <w:tcBorders>
                    <w:bottom w:val="single" w:color="auto" w:sz="4" w:space="0"/>
                  </w:tcBorders>
                  <w:vAlign w:val="center"/>
                </w:tcPr>
                <w:p w14:paraId="765E408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785" w:type="pct"/>
                  <w:tcBorders>
                    <w:bottom w:val="single" w:color="auto" w:sz="4" w:space="0"/>
                  </w:tcBorders>
                  <w:noWrap/>
                  <w:vAlign w:val="center"/>
                </w:tcPr>
                <w:p w14:paraId="3F4007D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w:t>
                  </w:r>
                </w:p>
              </w:tc>
              <w:tc>
                <w:tcPr>
                  <w:tcW w:w="1029" w:type="dxa"/>
                  <w:tcBorders>
                    <w:bottom w:val="single" w:color="auto" w:sz="4" w:space="0"/>
                    <w:right w:val="single" w:color="auto" w:sz="4" w:space="0"/>
                  </w:tcBorders>
                  <w:noWrap/>
                  <w:vAlign w:val="center"/>
                </w:tcPr>
                <w:p w14:paraId="1BBB1D8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1.236</w:t>
                  </w:r>
                </w:p>
              </w:tc>
            </w:tr>
          </w:tbl>
          <w:p w14:paraId="0F89C8E6">
            <w:pPr>
              <w:pStyle w:val="19"/>
              <w:pageBreakBefore w:val="0"/>
              <w:numPr>
                <w:ilvl w:val="0"/>
                <w:numId w:val="9"/>
              </w:numPr>
              <w:wordWrap w:val="0"/>
              <w:overflowPunct/>
              <w:bidi w:val="0"/>
              <w:spacing w:line="240" w:lineRule="auto"/>
              <w:ind w:left="0" w:leftChars="0" w:firstLine="0" w:firstLineChars="0"/>
              <w:rPr>
                <w:rFonts w:hint="eastAsia" w:ascii="Times New Roman" w:hAnsi="Times New Roman" w:eastAsia="宋体" w:cs="Times New Roman"/>
                <w:b/>
                <w:color w:val="auto"/>
              </w:rPr>
            </w:pPr>
            <w:r>
              <w:rPr>
                <w:rFonts w:hint="eastAsia" w:ascii="Times New Roman" w:hAnsi="Times New Roman" w:eastAsia="宋体" w:cs="Times New Roman"/>
                <w:b/>
                <w:color w:val="auto"/>
              </w:rPr>
              <w:t>大气污染物年排放量核算表</w:t>
            </w:r>
          </w:p>
          <w:tbl>
            <w:tblPr>
              <w:tblStyle w:val="1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39"/>
              <w:gridCol w:w="1348"/>
              <w:gridCol w:w="1822"/>
              <w:gridCol w:w="1822"/>
              <w:gridCol w:w="1825"/>
            </w:tblGrid>
            <w:tr w14:paraId="47039F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661" w:type="pct"/>
                  <w:tcBorders>
                    <w:top w:val="single" w:color="auto" w:sz="4" w:space="0"/>
                    <w:left w:val="single" w:color="auto" w:sz="0" w:space="0"/>
                  </w:tcBorders>
                  <w:vAlign w:val="center"/>
                </w:tcPr>
                <w:p w14:paraId="43358BF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857" w:type="pct"/>
                  <w:tcBorders>
                    <w:top w:val="single" w:color="auto" w:sz="4" w:space="0"/>
                  </w:tcBorders>
                  <w:vAlign w:val="center"/>
                </w:tcPr>
                <w:p w14:paraId="5DEA5BB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污染物</w:t>
                  </w:r>
                </w:p>
              </w:tc>
              <w:tc>
                <w:tcPr>
                  <w:tcW w:w="1159" w:type="pct"/>
                  <w:tcBorders>
                    <w:top w:val="single" w:color="auto" w:sz="4" w:space="0"/>
                  </w:tcBorders>
                  <w:vAlign w:val="center"/>
                </w:tcPr>
                <w:p w14:paraId="15A264D3">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有组织排放量</w:t>
                  </w:r>
                  <w:r>
                    <w:rPr>
                      <w:rFonts w:hint="default" w:ascii="Times New Roman" w:hAnsi="Times New Roman" w:eastAsia="宋体" w:cs="Times New Roman"/>
                      <w:i w:val="0"/>
                      <w:iCs w:val="0"/>
                      <w:color w:val="auto"/>
                      <w:kern w:val="0"/>
                      <w:sz w:val="21"/>
                      <w:szCs w:val="21"/>
                      <w:u w:val="none"/>
                      <w:lang w:val="en-US" w:eastAsia="zh-CN" w:bidi="ar"/>
                    </w:rPr>
                    <w:t>（t/a）</w:t>
                  </w:r>
                </w:p>
              </w:tc>
              <w:tc>
                <w:tcPr>
                  <w:tcW w:w="1159" w:type="pct"/>
                  <w:tcBorders>
                    <w:top w:val="single" w:color="auto" w:sz="4" w:space="0"/>
                  </w:tcBorders>
                  <w:vAlign w:val="center"/>
                </w:tcPr>
                <w:p w14:paraId="4D8EAE57">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无组织排放量</w:t>
                  </w:r>
                  <w:r>
                    <w:rPr>
                      <w:rFonts w:hint="default" w:ascii="Times New Roman" w:hAnsi="Times New Roman" w:eastAsia="宋体" w:cs="Times New Roman"/>
                      <w:i w:val="0"/>
                      <w:iCs w:val="0"/>
                      <w:color w:val="auto"/>
                      <w:kern w:val="0"/>
                      <w:sz w:val="21"/>
                      <w:szCs w:val="21"/>
                      <w:u w:val="none"/>
                      <w:lang w:val="en-US" w:eastAsia="zh-CN" w:bidi="ar"/>
                    </w:rPr>
                    <w:t>（t/a）</w:t>
                  </w:r>
                </w:p>
              </w:tc>
              <w:tc>
                <w:tcPr>
                  <w:tcW w:w="1160" w:type="pct"/>
                  <w:tcBorders>
                    <w:top w:val="single" w:color="auto" w:sz="4" w:space="0"/>
                    <w:right w:val="single" w:color="auto" w:sz="4" w:space="0"/>
                  </w:tcBorders>
                  <w:vAlign w:val="center"/>
                </w:tcPr>
                <w:p w14:paraId="4A7E974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年排放量（t/a）</w:t>
                  </w:r>
                </w:p>
              </w:tc>
            </w:tr>
            <w:tr w14:paraId="70DA30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61" w:type="pct"/>
                  <w:tcBorders>
                    <w:left w:val="single" w:color="auto" w:sz="4" w:space="0"/>
                  </w:tcBorders>
                  <w:noWrap/>
                  <w:vAlign w:val="center"/>
                </w:tcPr>
                <w:p w14:paraId="29E540F2">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w:t>
                  </w:r>
                </w:p>
              </w:tc>
              <w:tc>
                <w:tcPr>
                  <w:tcW w:w="857" w:type="pct"/>
                  <w:vAlign w:val="center"/>
                </w:tcPr>
                <w:p w14:paraId="77809FA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1159" w:type="pct"/>
                  <w:noWrap/>
                  <w:vAlign w:val="center"/>
                </w:tcPr>
                <w:p w14:paraId="6E4481E9">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ascii="Times New Roman" w:hAnsi="Times New Roman" w:eastAsia="宋体" w:cs="Times New Roman"/>
                      <w:i w:val="0"/>
                      <w:iCs w:val="0"/>
                      <w:color w:val="auto"/>
                      <w:kern w:val="0"/>
                      <w:sz w:val="21"/>
                      <w:szCs w:val="21"/>
                      <w:u w:val="none"/>
                      <w:lang w:val="en-US" w:eastAsia="zh-CN" w:bidi="ar"/>
                    </w:rPr>
                    <w:t>30</w:t>
                  </w:r>
                </w:p>
              </w:tc>
              <w:tc>
                <w:tcPr>
                  <w:tcW w:w="1159" w:type="pct"/>
                  <w:noWrap/>
                  <w:vAlign w:val="center"/>
                </w:tcPr>
                <w:p w14:paraId="262A1AF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0.330</w:t>
                  </w:r>
                </w:p>
              </w:tc>
              <w:tc>
                <w:tcPr>
                  <w:tcW w:w="1160" w:type="pct"/>
                  <w:tcBorders>
                    <w:right w:val="single" w:color="auto" w:sz="4" w:space="0"/>
                  </w:tcBorders>
                  <w:noWrap/>
                  <w:vAlign w:val="center"/>
                </w:tcPr>
                <w:p w14:paraId="72C046D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0.360</w:t>
                  </w:r>
                </w:p>
              </w:tc>
            </w:tr>
            <w:tr w14:paraId="7374CA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61" w:type="pct"/>
                  <w:tcBorders>
                    <w:left w:val="single" w:color="auto" w:sz="4" w:space="0"/>
                    <w:bottom w:val="single" w:color="auto" w:sz="4" w:space="0"/>
                  </w:tcBorders>
                  <w:noWrap/>
                  <w:vAlign w:val="center"/>
                </w:tcPr>
                <w:p w14:paraId="5C84EFAC">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w:t>
                  </w:r>
                </w:p>
              </w:tc>
              <w:tc>
                <w:tcPr>
                  <w:tcW w:w="857" w:type="pct"/>
                  <w:tcBorders>
                    <w:bottom w:val="single" w:color="auto" w:sz="4" w:space="0"/>
                  </w:tcBorders>
                  <w:vAlign w:val="center"/>
                </w:tcPr>
                <w:p w14:paraId="24B29917">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非甲烷总烃</w:t>
                  </w:r>
                </w:p>
              </w:tc>
              <w:tc>
                <w:tcPr>
                  <w:tcW w:w="1159" w:type="pct"/>
                  <w:tcBorders>
                    <w:bottom w:val="single" w:color="auto" w:sz="4" w:space="0"/>
                  </w:tcBorders>
                  <w:noWrap/>
                  <w:vAlign w:val="center"/>
                </w:tcPr>
                <w:p w14:paraId="76A2FBB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1.144</w:t>
                  </w:r>
                </w:p>
              </w:tc>
              <w:tc>
                <w:tcPr>
                  <w:tcW w:w="1159" w:type="pct"/>
                  <w:tcBorders>
                    <w:bottom w:val="single" w:color="auto" w:sz="4" w:space="0"/>
                  </w:tcBorders>
                  <w:noWrap/>
                  <w:vAlign w:val="center"/>
                </w:tcPr>
                <w:p w14:paraId="5AF2D5E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1.236</w:t>
                  </w:r>
                </w:p>
              </w:tc>
              <w:tc>
                <w:tcPr>
                  <w:tcW w:w="1160" w:type="pct"/>
                  <w:tcBorders>
                    <w:bottom w:val="single" w:color="auto" w:sz="4" w:space="0"/>
                    <w:right w:val="single" w:color="auto" w:sz="4" w:space="0"/>
                  </w:tcBorders>
                  <w:noWrap/>
                  <w:vAlign w:val="center"/>
                </w:tcPr>
                <w:p w14:paraId="35BD4BB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2.380</w:t>
                  </w:r>
                </w:p>
              </w:tc>
            </w:tr>
          </w:tbl>
          <w:p w14:paraId="50E0DA36">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eastAsia" w:cs="Times New Roman"/>
                <w:b/>
                <w:bCs/>
                <w:color w:val="auto"/>
                <w:sz w:val="24"/>
                <w:lang w:val="en-US" w:eastAsia="zh-CN"/>
              </w:rPr>
              <w:t>7</w:t>
            </w:r>
            <w:r>
              <w:rPr>
                <w:rFonts w:hint="default" w:ascii="Times New Roman" w:hAnsi="Times New Roman" w:cs="Times New Roman"/>
                <w:b/>
                <w:bCs/>
                <w:color w:val="auto"/>
                <w:sz w:val="24"/>
                <w:lang w:val="en-US" w:eastAsia="zh-CN"/>
              </w:rPr>
              <w:t>、达标排放情况</w:t>
            </w:r>
          </w:p>
          <w:p w14:paraId="00CEF0D5">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由</w:t>
            </w:r>
            <w:r>
              <w:rPr>
                <w:rFonts w:hint="default" w:ascii="Times New Roman" w:hAnsi="Times New Roman" w:cs="Times New Roman"/>
                <w:color w:val="auto"/>
                <w:sz w:val="24"/>
                <w:lang w:val="en-US" w:eastAsia="zh-CN"/>
              </w:rPr>
              <w:t>上文分析</w:t>
            </w:r>
            <w:r>
              <w:rPr>
                <w:rFonts w:hint="default" w:ascii="Times New Roman" w:hAnsi="Times New Roman" w:cs="Times New Roman"/>
                <w:color w:val="auto"/>
                <w:sz w:val="24"/>
              </w:rPr>
              <w:t>可知，项目严格控制</w:t>
            </w:r>
            <w:r>
              <w:rPr>
                <w:rFonts w:hint="default" w:ascii="Times New Roman" w:hAnsi="Times New Roman" w:cs="Times New Roman"/>
                <w:color w:val="auto"/>
                <w:sz w:val="24"/>
                <w:lang w:val="en-US" w:eastAsia="zh-CN"/>
              </w:rPr>
              <w:t>有机</w:t>
            </w:r>
            <w:r>
              <w:rPr>
                <w:rFonts w:hint="default" w:ascii="Times New Roman" w:hAnsi="Times New Roman" w:cs="Times New Roman"/>
                <w:color w:val="auto"/>
                <w:sz w:val="24"/>
              </w:rPr>
              <w:t>废气排放，</w:t>
            </w:r>
            <w:r>
              <w:rPr>
                <w:rFonts w:hint="default" w:ascii="Times New Roman" w:hAnsi="Times New Roman" w:cs="Times New Roman"/>
                <w:color w:val="auto"/>
                <w:sz w:val="24"/>
                <w:lang w:val="en-US" w:eastAsia="zh-CN"/>
              </w:rPr>
              <w:t>有组织废气排放符合广东省《固定污染源挥发性有机物综合排放标准》（DB44/2367-2022）中表1挥发性有机物排放限值要求和《合成树脂工业污染物排放标准》（GB 31572-2015，含2024年修改单）表5污染物特别排放限值；</w:t>
            </w:r>
            <w:r>
              <w:rPr>
                <w:rFonts w:hint="default" w:ascii="Times New Roman" w:hAnsi="Times New Roman" w:cs="Times New Roman"/>
                <w:color w:val="auto"/>
                <w:sz w:val="24"/>
              </w:rPr>
              <w:t>厂区内无组织排放控制符合广东省《固定污染源挥发性有机物综合排放标准》（DB442367-2022）的要求：</w:t>
            </w:r>
          </w:p>
          <w:p w14:paraId="1C90C747">
            <w:pPr>
              <w:pageBreakBefore w:val="0"/>
              <w:wordWrap w:val="0"/>
              <w:overflowPunct/>
              <w:bidi w:val="0"/>
              <w:spacing w:line="360" w:lineRule="auto"/>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rPr>
              <w:t>项目臭气浓度有组织排放小于2000（无量纲），符合《恶臭污染物排放标准》（GB14554-93）表2恶臭污染物排放标准值要求；通过加强车间密闭管理，臭气浓度无组织排放符合《恶臭污染物排放标准》（GB14554-93）表1恶臭污染物厂界新扩改建二级标准值要求</w:t>
            </w:r>
            <w:r>
              <w:rPr>
                <w:rFonts w:hint="default" w:ascii="Times New Roman" w:hAnsi="Times New Roman" w:cs="Times New Roman"/>
                <w:color w:val="auto"/>
                <w:sz w:val="24"/>
                <w:lang w:eastAsia="zh-CN"/>
              </w:rPr>
              <w:t>；</w:t>
            </w:r>
          </w:p>
          <w:p w14:paraId="66191483">
            <w:pPr>
              <w:pageBreakBefore w:val="0"/>
              <w:wordWrap w:val="0"/>
              <w:overflowPunct/>
              <w:bidi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颗粒物排放情况符合广东省《大气污染物排放限值》（DB44/27-2001）第二时段二级标准及</w:t>
            </w:r>
            <w:r>
              <w:rPr>
                <w:rFonts w:hint="eastAsia" w:cs="Times New Roman"/>
                <w:color w:val="auto"/>
                <w:sz w:val="24"/>
                <w:lang w:val="en-US" w:eastAsia="zh-CN"/>
              </w:rPr>
              <w:t>《合成树脂工业污染物排放标准》（GB 31572-2015，含2024年修改单）</w:t>
            </w:r>
            <w:r>
              <w:rPr>
                <w:rFonts w:hint="default" w:ascii="Times New Roman" w:hAnsi="Times New Roman" w:cs="Times New Roman"/>
                <w:color w:val="auto"/>
                <w:sz w:val="24"/>
                <w:lang w:val="en-US" w:eastAsia="zh-CN"/>
              </w:rPr>
              <w:t>表9企业边界大气污染物浓度限值。</w:t>
            </w:r>
          </w:p>
          <w:p w14:paraId="203E8C82">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VOCs物料储存无组织排放控制要求：</w:t>
            </w:r>
          </w:p>
          <w:p w14:paraId="441A1A3E">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项目所用的物料均采用密封袋贮存于室内；危险废物经分类收集后用加厚胶袋盛装并进行密闭，暂存于专门的危废仓。故储存过程无VOCs的产生。因此，项目符合</w:t>
            </w:r>
            <w:r>
              <w:rPr>
                <w:rFonts w:hint="eastAsia" w:cs="Times New Roman"/>
                <w:color w:val="auto"/>
                <w:sz w:val="24"/>
                <w:lang w:eastAsia="zh-CN"/>
              </w:rPr>
              <w:t>《挥发性有机物无组织排放控制标准（GB 37822—2019）》</w:t>
            </w:r>
            <w:r>
              <w:rPr>
                <w:rFonts w:hint="default" w:ascii="Times New Roman" w:hAnsi="Times New Roman" w:cs="Times New Roman"/>
                <w:color w:val="auto"/>
                <w:sz w:val="24"/>
              </w:rPr>
              <w:t>VOCs物料储存无组织排放控制要求。</w:t>
            </w:r>
          </w:p>
          <w:p w14:paraId="3E316650">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VOCs物料转移和输送无组织排放控制要求：</w:t>
            </w:r>
          </w:p>
          <w:p w14:paraId="196206F7">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项目使用的原辅材料常温下不会挥发有机废气；危险废物经分类收集后用加厚胶袋密闭盛装后进行转移。因此，项目符合《挥发性有机物无组织排放控制标准（GB 37822—2019）》VOCs物料转移和输送无组织排放控制要求。</w:t>
            </w:r>
          </w:p>
          <w:p w14:paraId="4DD1853A">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工艺过程VOCs无组织排放控制要求：</w:t>
            </w:r>
          </w:p>
          <w:p w14:paraId="31B11B42">
            <w:pPr>
              <w:pageBreakBefore w:val="0"/>
              <w:wordWrap w:val="0"/>
              <w:overflowPunct/>
              <w:bidi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rPr>
              <w:t>《挥发性有机物无组织排放控制标准（GB 37822—2019）》</w:t>
            </w:r>
            <w:r>
              <w:rPr>
                <w:rFonts w:hint="eastAsia" w:cs="Times New Roman"/>
                <w:color w:val="auto"/>
                <w:sz w:val="24"/>
                <w:lang w:val="en-US" w:eastAsia="zh-CN"/>
              </w:rPr>
              <w:t>要求无法密闭投加的，应在密闭空间内操作，或进行局部气体收集，废气应排至VOCs废气收集处理系统。本项目油漆等物料投加在密闭喷漆房内操作，废气收集排至废气处理设施（水喷淋+干式过滤器+二级活性炭）通过15m高排气筒排放（DA006），满足要求。</w:t>
            </w:r>
          </w:p>
          <w:p w14:paraId="21E8EDB8">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敞开液面VOCs无组织排放控制要求：</w:t>
            </w:r>
          </w:p>
          <w:p w14:paraId="541A7F2D">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项目生产过程中无含VOCs废水的排放。</w:t>
            </w:r>
          </w:p>
          <w:p w14:paraId="3ACB8D08">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记录要求：企业拟建立台账，记录废气收集系统、VOCs处理设施的主要运行和维护信息，如运行时间、废气处理量、操作温度、停留时间、吸附剂再生/更换周期和更换量等关键运行参数。台账保存期限不少于5年。因此，项目符合VOCs无组织排放废气收集处理系统要求。</w:t>
            </w:r>
          </w:p>
          <w:p w14:paraId="52AD2D5C">
            <w:pPr>
              <w:pageBreakBefore w:val="0"/>
              <w:wordWrap w:val="0"/>
              <w:overflowPunct/>
              <w:bidi w:val="0"/>
              <w:spacing w:line="360" w:lineRule="auto"/>
              <w:ind w:firstLine="480" w:firstLineChars="200"/>
              <w:rPr>
                <w:rFonts w:hint="default" w:ascii="Times New Roman" w:hAnsi="Times New Roman" w:cs="Times New Roman"/>
                <w:b/>
                <w:bCs/>
                <w:color w:val="auto"/>
                <w:sz w:val="24"/>
              </w:rPr>
            </w:pPr>
            <w:r>
              <w:rPr>
                <w:rFonts w:hint="eastAsia" w:cs="Times New Roman"/>
                <w:b/>
                <w:bCs/>
                <w:color w:val="auto"/>
                <w:sz w:val="24"/>
                <w:lang w:val="en-US" w:eastAsia="zh-CN"/>
              </w:rPr>
              <w:t>8</w:t>
            </w:r>
            <w:r>
              <w:rPr>
                <w:rFonts w:hint="default" w:ascii="Times New Roman" w:hAnsi="Times New Roman" w:cs="Times New Roman"/>
                <w:b/>
                <w:bCs/>
                <w:color w:val="auto"/>
                <w:sz w:val="24"/>
                <w:lang w:val="en-US" w:eastAsia="zh-CN"/>
              </w:rPr>
              <w:t>、</w:t>
            </w:r>
            <w:r>
              <w:rPr>
                <w:rFonts w:hint="default" w:ascii="Times New Roman" w:hAnsi="Times New Roman" w:cs="Times New Roman"/>
                <w:b/>
                <w:bCs/>
                <w:color w:val="auto"/>
                <w:sz w:val="24"/>
              </w:rPr>
              <w:t>措施可行性分析</w:t>
            </w:r>
          </w:p>
          <w:p w14:paraId="57B6F0D4">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根据《排污许可证申请与核发技术规范 橡胶和塑料制品工业》（HJ1122-2020）表A.2塑料制品工艺排污单位废气污染防治可行性技术参数表，项目使用的活性炭吸附</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喷淋均</w:t>
            </w:r>
            <w:r>
              <w:rPr>
                <w:rFonts w:hint="default" w:ascii="Times New Roman" w:hAnsi="Times New Roman" w:cs="Times New Roman"/>
                <w:color w:val="auto"/>
                <w:sz w:val="24"/>
              </w:rPr>
              <w:t>为推荐的可行性技术。因此本项目采用“二级活性炭吸附</w:t>
            </w:r>
            <w:r>
              <w:rPr>
                <w:rFonts w:hint="eastAsia" w:cs="Times New Roman"/>
                <w:color w:val="auto"/>
                <w:sz w:val="24"/>
                <w:lang w:eastAsia="zh-CN"/>
              </w:rPr>
              <w:t>”“</w:t>
            </w:r>
            <w:r>
              <w:rPr>
                <w:rFonts w:hint="default" w:ascii="Times New Roman" w:hAnsi="Times New Roman" w:cs="Times New Roman"/>
                <w:color w:val="auto"/>
                <w:sz w:val="24"/>
                <w:lang w:eastAsia="zh-CN"/>
              </w:rPr>
              <w:t>水喷淋+干式过滤器+二级活性炭吸附”</w:t>
            </w:r>
            <w:r>
              <w:rPr>
                <w:rFonts w:hint="default" w:ascii="Times New Roman" w:hAnsi="Times New Roman" w:cs="Times New Roman"/>
                <w:color w:val="auto"/>
                <w:sz w:val="24"/>
              </w:rPr>
              <w:t>装置处理有机废气可行。</w:t>
            </w:r>
          </w:p>
          <w:p w14:paraId="56BD3828">
            <w:pPr>
              <w:pageBreakBefore w:val="0"/>
              <w:wordWrap w:val="0"/>
              <w:overflowPunct/>
              <w:bidi w:val="0"/>
              <w:spacing w:line="360" w:lineRule="auto"/>
              <w:ind w:firstLine="480" w:firstLineChars="200"/>
              <w:rPr>
                <w:rFonts w:hint="default" w:ascii="Times New Roman" w:hAnsi="Times New Roman" w:eastAsia="宋体" w:cs="Times New Roman"/>
                <w:b/>
                <w:bCs/>
                <w:color w:val="auto"/>
                <w:sz w:val="24"/>
                <w:lang w:val="en-US" w:eastAsia="zh-CN"/>
              </w:rPr>
            </w:pPr>
            <w:r>
              <w:rPr>
                <w:rFonts w:hint="eastAsia" w:cs="Times New Roman"/>
                <w:b/>
                <w:bCs/>
                <w:color w:val="auto"/>
                <w:sz w:val="24"/>
                <w:lang w:val="en-US" w:eastAsia="zh-CN"/>
              </w:rPr>
              <w:t>9</w:t>
            </w:r>
            <w:r>
              <w:rPr>
                <w:rFonts w:hint="default" w:ascii="Times New Roman" w:hAnsi="Times New Roman" w:cs="Times New Roman"/>
                <w:b/>
                <w:bCs/>
                <w:color w:val="auto"/>
                <w:sz w:val="24"/>
                <w:lang w:val="en-US" w:eastAsia="zh-CN"/>
              </w:rPr>
              <w:t>、废气影响分析结论</w:t>
            </w:r>
          </w:p>
          <w:p w14:paraId="1A9D0F44">
            <w:pPr>
              <w:pageBreakBefore w:val="0"/>
              <w:shd w:val="clear"/>
              <w:wordWrap w:val="0"/>
              <w:overflowPunct/>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w:t>
            </w:r>
            <w:r>
              <w:rPr>
                <w:rFonts w:hint="default" w:ascii="Times New Roman" w:hAnsi="Times New Roman" w:cs="Times New Roman"/>
                <w:color w:val="auto"/>
                <w:highlight w:val="none"/>
              </w:rPr>
              <w:t>《韶关市生态环境保护战略规划（2020-2035）》</w:t>
            </w:r>
            <w:r>
              <w:rPr>
                <w:rFonts w:hint="default" w:ascii="Times New Roman" w:hAnsi="Times New Roman" w:cs="Times New Roman"/>
                <w:color w:val="auto"/>
                <w:sz w:val="24"/>
                <w:highlight w:val="none"/>
              </w:rPr>
              <w:t>，项目所在地属环境空气二类区域，根据</w:t>
            </w:r>
            <w:r>
              <w:rPr>
                <w:rFonts w:hint="default" w:ascii="Times New Roman" w:hAnsi="Times New Roman" w:cs="Times New Roman"/>
                <w:color w:val="auto"/>
                <w:highlight w:val="none"/>
              </w:rPr>
              <w:t>《韶关市生态环境状况公报》（202</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年）</w:t>
            </w:r>
            <w:r>
              <w:rPr>
                <w:rFonts w:hint="default" w:ascii="Times New Roman" w:hAnsi="Times New Roman" w:cs="Times New Roman"/>
                <w:color w:val="auto"/>
                <w:sz w:val="24"/>
                <w:highlight w:val="none"/>
              </w:rPr>
              <w:t>中的数据可知，</w:t>
            </w:r>
            <w:r>
              <w:rPr>
                <w:rFonts w:hint="default" w:ascii="Times New Roman" w:hAnsi="Times New Roman" w:cs="Times New Roman"/>
                <w:color w:val="auto"/>
                <w:highlight w:val="none"/>
              </w:rPr>
              <w:t>韶关市区各常规监测因子均可满足国家《环境空气质量标准》（GB3095-2012）</w:t>
            </w:r>
            <w:r>
              <w:rPr>
                <w:rFonts w:hint="default" w:ascii="Times New Roman" w:hAnsi="Times New Roman" w:cs="Times New Roman"/>
                <w:color w:val="auto"/>
                <w:highlight w:val="none"/>
                <w:lang w:val="en-US" w:eastAsia="zh-CN"/>
              </w:rPr>
              <w:t>及其2018年</w:t>
            </w:r>
            <w:r>
              <w:rPr>
                <w:rFonts w:hint="default" w:ascii="Times New Roman" w:hAnsi="Times New Roman" w:cs="Times New Roman"/>
                <w:color w:val="auto"/>
                <w:highlight w:val="none"/>
              </w:rPr>
              <w:t>修改单中二级标准要求</w:t>
            </w:r>
            <w:r>
              <w:rPr>
                <w:rFonts w:hint="default" w:ascii="Times New Roman" w:hAnsi="Times New Roman" w:cs="Times New Roman"/>
                <w:color w:val="auto"/>
                <w:highlight w:val="none"/>
                <w:lang w:eastAsia="zh-CN"/>
              </w:rPr>
              <w:t>，</w:t>
            </w:r>
            <w:r>
              <w:rPr>
                <w:rFonts w:hint="default" w:ascii="Times New Roman" w:hAnsi="Times New Roman" w:cs="Times New Roman"/>
                <w:color w:val="auto"/>
                <w:sz w:val="24"/>
                <w:highlight w:val="none"/>
              </w:rPr>
              <w:t>项目所在地属于达标区。</w:t>
            </w:r>
          </w:p>
          <w:p w14:paraId="4361530F">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本项目生产过程中产生的废气主要为</w:t>
            </w:r>
            <w:r>
              <w:rPr>
                <w:rFonts w:hint="default" w:ascii="Times New Roman" w:hAnsi="Times New Roman" w:cs="Times New Roman"/>
                <w:color w:val="auto"/>
                <w:sz w:val="24"/>
                <w:lang w:val="en-US" w:eastAsia="zh-CN"/>
              </w:rPr>
              <w:t>NMHC</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颗粒物</w:t>
            </w:r>
            <w:r>
              <w:rPr>
                <w:rFonts w:hint="default" w:ascii="Times New Roman" w:hAnsi="Times New Roman" w:cs="Times New Roman"/>
                <w:color w:val="auto"/>
                <w:sz w:val="24"/>
              </w:rPr>
              <w:t>、臭气浓度，</w:t>
            </w:r>
            <w:r>
              <w:rPr>
                <w:rFonts w:hint="default" w:ascii="Times New Roman" w:hAnsi="Times New Roman" w:cs="Times New Roman"/>
                <w:color w:val="auto"/>
                <w:sz w:val="24"/>
                <w:lang w:val="en-US" w:eastAsia="zh-CN"/>
              </w:rPr>
              <w:t>注塑产生的NMHC经“二级活性炭”处理达标后于15m排气筒DA005高空排放</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喷涂工序NMHC</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颗粒物</w:t>
            </w:r>
            <w:r>
              <w:rPr>
                <w:rFonts w:hint="default" w:ascii="Times New Roman" w:hAnsi="Times New Roman" w:cs="Times New Roman"/>
                <w:color w:val="auto"/>
                <w:sz w:val="24"/>
              </w:rPr>
              <w:t>、臭气浓度经“</w:t>
            </w:r>
            <w:r>
              <w:rPr>
                <w:rFonts w:hint="default" w:ascii="Times New Roman" w:hAnsi="Times New Roman" w:cs="Times New Roman"/>
                <w:color w:val="auto"/>
                <w:sz w:val="24"/>
                <w:lang w:eastAsia="zh-CN"/>
              </w:rPr>
              <w:t>水</w:t>
            </w:r>
            <w:r>
              <w:rPr>
                <w:rFonts w:hint="default" w:ascii="Times New Roman" w:hAnsi="Times New Roman" w:cs="Times New Roman"/>
                <w:color w:val="auto"/>
                <w:sz w:val="24"/>
                <w:lang w:val="en-US" w:eastAsia="zh-CN"/>
              </w:rPr>
              <w:t>喷淋+干式过滤器+二级活性炭</w:t>
            </w:r>
            <w:r>
              <w:rPr>
                <w:rFonts w:hint="default" w:ascii="Times New Roman" w:hAnsi="Times New Roman" w:cs="Times New Roman"/>
                <w:color w:val="auto"/>
                <w:sz w:val="24"/>
              </w:rPr>
              <w:t>吸附装置”处理达标后</w:t>
            </w:r>
            <w:r>
              <w:rPr>
                <w:rFonts w:hint="default" w:ascii="Times New Roman" w:hAnsi="Times New Roman" w:cs="Times New Roman"/>
                <w:color w:val="auto"/>
                <w:sz w:val="24"/>
                <w:lang w:val="en-US" w:eastAsia="zh-CN"/>
              </w:rPr>
              <w:t>于15m排气筒DA006</w:t>
            </w:r>
            <w:r>
              <w:rPr>
                <w:rFonts w:hint="default" w:ascii="Times New Roman" w:hAnsi="Times New Roman" w:cs="Times New Roman"/>
                <w:color w:val="auto"/>
                <w:sz w:val="24"/>
              </w:rPr>
              <w:t>高空排放</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因此，</w:t>
            </w:r>
            <w:r>
              <w:rPr>
                <w:rFonts w:hint="default" w:ascii="Times New Roman" w:hAnsi="Times New Roman" w:cs="Times New Roman"/>
                <w:color w:val="auto"/>
                <w:sz w:val="24"/>
                <w:lang w:val="en-US" w:eastAsia="zh-CN"/>
              </w:rPr>
              <w:t>本项目运营期间产生的生产废气</w:t>
            </w:r>
            <w:r>
              <w:rPr>
                <w:rFonts w:hint="default" w:ascii="Times New Roman" w:hAnsi="Times New Roman" w:cs="Times New Roman"/>
                <w:color w:val="auto"/>
                <w:sz w:val="24"/>
              </w:rPr>
              <w:t>不会对周围主要环境空气敏感点</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大气</w:t>
            </w:r>
            <w:r>
              <w:rPr>
                <w:rFonts w:hint="default" w:ascii="Times New Roman" w:hAnsi="Times New Roman" w:cs="Times New Roman"/>
                <w:color w:val="auto"/>
                <w:sz w:val="24"/>
                <w:lang w:val="en-US" w:eastAsia="zh-CN"/>
              </w:rPr>
              <w:t>环境</w:t>
            </w:r>
            <w:r>
              <w:rPr>
                <w:rFonts w:hint="default" w:ascii="Times New Roman" w:hAnsi="Times New Roman" w:cs="Times New Roman"/>
                <w:color w:val="auto"/>
                <w:sz w:val="24"/>
              </w:rPr>
              <w:t>造成明显影响。</w:t>
            </w:r>
          </w:p>
          <w:p w14:paraId="61896118">
            <w:pPr>
              <w:keepNext/>
              <w:keepLines/>
              <w:pageBreakBefore w:val="0"/>
              <w:tabs>
                <w:tab w:val="left" w:pos="0"/>
              </w:tabs>
              <w:wordWrap w:val="0"/>
              <w:overflowPunct/>
              <w:bidi w:val="0"/>
              <w:ind w:firstLine="480" w:firstLineChars="200"/>
              <w:outlineLvl w:val="3"/>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二、废水污染源</w:t>
            </w:r>
          </w:p>
          <w:p w14:paraId="664DC3A2">
            <w:pPr>
              <w:pageBreakBefore w:val="0"/>
              <w:wordWrap w:val="0"/>
              <w:overflowPunct/>
              <w:bidi w:val="0"/>
              <w:spacing w:line="360" w:lineRule="auto"/>
              <w:ind w:firstLine="480" w:firstLineChars="200"/>
              <w:rPr>
                <w:rFonts w:hint="default" w:ascii="Times New Roman" w:hAnsi="Times New Roman" w:eastAsia="宋体" w:cs="Times New Roman"/>
                <w:b/>
                <w:bCs/>
                <w:color w:val="auto"/>
                <w:sz w:val="24"/>
                <w:lang w:val="en-US" w:eastAsia="zh-CN"/>
              </w:rPr>
            </w:pPr>
            <w:r>
              <w:rPr>
                <w:rFonts w:hint="eastAsia" w:cs="Times New Roman"/>
                <w:b/>
                <w:bCs/>
                <w:color w:val="auto"/>
                <w:sz w:val="24"/>
                <w:lang w:val="en-US" w:eastAsia="zh-CN"/>
              </w:rPr>
              <w:t>1、废水源强</w:t>
            </w:r>
          </w:p>
          <w:p w14:paraId="77CA1655">
            <w:pPr>
              <w:pageBreakBefore w:val="0"/>
              <w:wordWrap w:val="0"/>
              <w:overflowPunct/>
              <w:bidi w:val="0"/>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rPr>
              <w:t>本</w:t>
            </w:r>
            <w:r>
              <w:rPr>
                <w:rFonts w:hint="default" w:ascii="Times New Roman" w:hAnsi="Times New Roman" w:cs="Times New Roman"/>
                <w:color w:val="auto"/>
                <w:sz w:val="24"/>
                <w:lang w:val="en-US" w:eastAsia="zh-CN"/>
              </w:rPr>
              <w:t>次扩建项目不新增员工，不新增生活用水，仅涉及调漆用水、水帘柜用水、水喷淋塔用水、循环冷却水</w:t>
            </w:r>
            <w:r>
              <w:rPr>
                <w:rFonts w:hint="eastAsia" w:cs="Times New Roman"/>
                <w:color w:val="auto"/>
                <w:sz w:val="24"/>
                <w:lang w:val="en-US" w:eastAsia="zh-CN"/>
              </w:rPr>
              <w:t>、喷枪清洗用水</w:t>
            </w:r>
            <w:r>
              <w:rPr>
                <w:rFonts w:hint="default" w:ascii="Times New Roman" w:hAnsi="Times New Roman" w:cs="Times New Roman"/>
                <w:color w:val="auto"/>
                <w:sz w:val="24"/>
                <w:lang w:val="en-US" w:eastAsia="zh-CN"/>
              </w:rPr>
              <w:t>。</w:t>
            </w:r>
          </w:p>
          <w:p w14:paraId="49F55A3D">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（1）调漆用水</w:t>
            </w:r>
          </w:p>
          <w:p w14:paraId="46BB1358">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根据水性油漆用量计算，水性漆用量</w:t>
            </w:r>
            <w:r>
              <w:rPr>
                <w:rFonts w:hint="eastAsia" w:cs="Times New Roman"/>
                <w:color w:val="auto"/>
                <w:sz w:val="24"/>
                <w:lang w:val="en-US" w:eastAsia="zh-CN"/>
              </w:rPr>
              <w:t>9.437</w:t>
            </w:r>
            <w:r>
              <w:rPr>
                <w:rFonts w:hint="default" w:ascii="Times New Roman" w:hAnsi="Times New Roman" w:cs="Times New Roman"/>
                <w:color w:val="auto"/>
                <w:sz w:val="24"/>
              </w:rPr>
              <w:t>t/a，调漆水性漆：水=5:1，因此调漆用水</w:t>
            </w:r>
            <w:r>
              <w:rPr>
                <w:rFonts w:hint="eastAsia" w:cs="Times New Roman"/>
                <w:color w:val="auto"/>
                <w:sz w:val="24"/>
                <w:lang w:val="en-US" w:eastAsia="zh-CN"/>
              </w:rPr>
              <w:t>1.887</w:t>
            </w:r>
            <w:r>
              <w:rPr>
                <w:rFonts w:hint="default" w:ascii="Times New Roman" w:hAnsi="Times New Roman" w:cs="Times New Roman"/>
                <w:color w:val="auto"/>
                <w:sz w:val="24"/>
              </w:rPr>
              <w:t>t/a，该部分水蒸发损耗。</w:t>
            </w:r>
          </w:p>
          <w:p w14:paraId="71305944">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（2）喷枪清洗用水</w:t>
            </w:r>
          </w:p>
          <w:p w14:paraId="3F0DF5ED">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本项目水性喷漆喷枪采用清水清洗，清洗频率为1 次/天，每次清洗清水用量1L</w:t>
            </w:r>
            <w:r>
              <w:rPr>
                <w:rFonts w:hint="eastAsia" w:cs="Times New Roman"/>
                <w:color w:val="auto"/>
                <w:sz w:val="24"/>
                <w:lang w:eastAsia="zh-CN"/>
              </w:rPr>
              <w:t>（</w:t>
            </w:r>
            <w:r>
              <w:rPr>
                <w:rFonts w:hint="eastAsia" w:cs="Times New Roman"/>
                <w:color w:val="auto"/>
                <w:sz w:val="24"/>
                <w:lang w:val="en-US" w:eastAsia="zh-CN"/>
              </w:rPr>
              <w:t>每支喷枪0.5L，共两把</w:t>
            </w:r>
            <w:r>
              <w:rPr>
                <w:rFonts w:hint="eastAsia" w:cs="Times New Roman"/>
                <w:color w:val="auto"/>
                <w:sz w:val="24"/>
                <w:lang w:eastAsia="zh-CN"/>
              </w:rPr>
              <w:t>）</w:t>
            </w:r>
            <w:r>
              <w:rPr>
                <w:rFonts w:hint="default" w:ascii="Times New Roman" w:hAnsi="Times New Roman" w:cs="Times New Roman"/>
                <w:color w:val="auto"/>
                <w:sz w:val="24"/>
              </w:rPr>
              <w:t>，合计年用量0.25t/a，产污系数取0.9，</w:t>
            </w:r>
            <w:r>
              <w:rPr>
                <w:rFonts w:hint="eastAsia" w:cs="Times New Roman"/>
                <w:color w:val="auto"/>
                <w:sz w:val="24"/>
                <w:lang w:eastAsia="zh-CN"/>
              </w:rPr>
              <w:t>喷枪清洗废液</w:t>
            </w:r>
            <w:r>
              <w:rPr>
                <w:rFonts w:hint="default" w:ascii="Times New Roman" w:hAnsi="Times New Roman" w:cs="Times New Roman"/>
                <w:color w:val="auto"/>
                <w:sz w:val="24"/>
              </w:rPr>
              <w:t>产生量0.225t/a，作为危废，委托有资质单位处理。</w:t>
            </w:r>
          </w:p>
          <w:p w14:paraId="214677C1">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（3）喷漆废水</w:t>
            </w:r>
          </w:p>
          <w:p w14:paraId="564E3B9D">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根据建设单位提供的资料显示，本项目水帘柜、水喷淋塔蓄水情况见下表；</w:t>
            </w:r>
          </w:p>
          <w:p w14:paraId="7421EE8F">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rPr>
            </w:pPr>
            <w:r>
              <w:rPr>
                <w:rFonts w:hint="default" w:ascii="Times New Roman" w:hAnsi="Times New Roman" w:cs="Times New Roman"/>
                <w:b/>
                <w:color w:val="auto"/>
              </w:rPr>
              <w:t>项目水帘柜/水喷淋塔蓄水情况一览表</w:t>
            </w:r>
          </w:p>
          <w:tbl>
            <w:tblPr>
              <w:tblStyle w:val="37"/>
              <w:tblW w:w="79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4"/>
              <w:gridCol w:w="1240"/>
              <w:gridCol w:w="868"/>
              <w:gridCol w:w="744"/>
              <w:gridCol w:w="905"/>
              <w:gridCol w:w="719"/>
              <w:gridCol w:w="749"/>
              <w:gridCol w:w="821"/>
              <w:gridCol w:w="791"/>
            </w:tblGrid>
            <w:tr w14:paraId="65925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14" w:type="dxa"/>
                  <w:vAlign w:val="center"/>
                </w:tcPr>
                <w:p w14:paraId="38C241A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1240" w:type="dxa"/>
                  <w:vAlign w:val="center"/>
                </w:tcPr>
                <w:p w14:paraId="5E6E932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蓄水槽尺寸m</w:t>
                  </w:r>
                </w:p>
              </w:tc>
              <w:tc>
                <w:tcPr>
                  <w:tcW w:w="868" w:type="dxa"/>
                  <w:vAlign w:val="center"/>
                </w:tcPr>
                <w:p w14:paraId="2A78AB8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体积m</w:t>
                  </w:r>
                  <w:r>
                    <w:rPr>
                      <w:rFonts w:hint="default" w:ascii="Times New Roman" w:hAnsi="Times New Roman" w:eastAsia="宋体" w:cs="Times New Roman"/>
                      <w:color w:val="auto"/>
                      <w:sz w:val="21"/>
                      <w:szCs w:val="21"/>
                      <w:highlight w:val="none"/>
                      <w:vertAlign w:val="superscript"/>
                      <w:lang w:val="en-US" w:eastAsia="zh-CN"/>
                    </w:rPr>
                    <w:t>3</w:t>
                  </w:r>
                </w:p>
              </w:tc>
              <w:tc>
                <w:tcPr>
                  <w:tcW w:w="744" w:type="dxa"/>
                  <w:vAlign w:val="center"/>
                </w:tcPr>
                <w:p w14:paraId="6AFAF25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蓄水比例</w:t>
                  </w:r>
                </w:p>
              </w:tc>
              <w:tc>
                <w:tcPr>
                  <w:tcW w:w="905" w:type="dxa"/>
                  <w:vAlign w:val="center"/>
                </w:tcPr>
                <w:p w14:paraId="7339D58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蓄水量m</w:t>
                  </w:r>
                  <w:r>
                    <w:rPr>
                      <w:rFonts w:hint="default" w:ascii="Times New Roman" w:hAnsi="Times New Roman" w:eastAsia="宋体" w:cs="Times New Roman"/>
                      <w:color w:val="auto"/>
                      <w:sz w:val="21"/>
                      <w:szCs w:val="21"/>
                      <w:highlight w:val="none"/>
                      <w:vertAlign w:val="superscript"/>
                      <w:lang w:val="en-US" w:eastAsia="zh-CN"/>
                    </w:rPr>
                    <w:t>3</w:t>
                  </w:r>
                </w:p>
              </w:tc>
              <w:tc>
                <w:tcPr>
                  <w:tcW w:w="719" w:type="dxa"/>
                  <w:vAlign w:val="center"/>
                </w:tcPr>
                <w:p w14:paraId="63B2135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风量 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p>
              </w:tc>
              <w:tc>
                <w:tcPr>
                  <w:tcW w:w="749" w:type="dxa"/>
                  <w:vAlign w:val="center"/>
                </w:tcPr>
                <w:p w14:paraId="0822AC7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液气比L/m</w:t>
                  </w:r>
                  <w:r>
                    <w:rPr>
                      <w:rFonts w:hint="default" w:ascii="Times New Roman" w:hAnsi="Times New Roman" w:eastAsia="宋体" w:cs="Times New Roman"/>
                      <w:color w:val="auto"/>
                      <w:sz w:val="21"/>
                      <w:szCs w:val="21"/>
                      <w:highlight w:val="none"/>
                      <w:vertAlign w:val="superscript"/>
                      <w:lang w:val="en-US" w:eastAsia="zh-CN"/>
                    </w:rPr>
                    <w:t>3</w:t>
                  </w:r>
                </w:p>
              </w:tc>
              <w:tc>
                <w:tcPr>
                  <w:tcW w:w="821" w:type="dxa"/>
                  <w:vAlign w:val="center"/>
                </w:tcPr>
                <w:p w14:paraId="226E694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设计循环水量m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p>
              </w:tc>
              <w:tc>
                <w:tcPr>
                  <w:tcW w:w="791" w:type="dxa"/>
                  <w:vAlign w:val="center"/>
                </w:tcPr>
                <w:p w14:paraId="72F8D53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补水量 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p>
              </w:tc>
            </w:tr>
            <w:tr w14:paraId="19BAB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14" w:type="dxa"/>
                  <w:vAlign w:val="center"/>
                </w:tcPr>
                <w:p w14:paraId="7730FC0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水帘柜（水性）</w:t>
                  </w:r>
                </w:p>
              </w:tc>
              <w:tc>
                <w:tcPr>
                  <w:tcW w:w="1240" w:type="dxa"/>
                  <w:tcBorders>
                    <w:top w:val="single" w:color="auto" w:sz="4" w:space="0"/>
                    <w:left w:val="single" w:color="auto" w:sz="4" w:space="0"/>
                    <w:bottom w:val="single" w:color="auto" w:sz="4" w:space="0"/>
                    <w:right w:val="single" w:color="auto" w:sz="4" w:space="0"/>
                  </w:tcBorders>
                  <w:shd w:val="clear" w:color="auto" w:fill="auto"/>
                  <w:vAlign w:val="center"/>
                </w:tcPr>
                <w:p w14:paraId="2DBF2DC3">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8*1.2*0.3</w:t>
                  </w:r>
                </w:p>
              </w:tc>
              <w:tc>
                <w:tcPr>
                  <w:tcW w:w="868" w:type="dxa"/>
                  <w:tcBorders>
                    <w:top w:val="single" w:color="auto" w:sz="4" w:space="0"/>
                    <w:left w:val="single" w:color="auto" w:sz="4" w:space="0"/>
                    <w:bottom w:val="single" w:color="auto" w:sz="4" w:space="0"/>
                    <w:right w:val="single" w:color="auto" w:sz="4" w:space="0"/>
                  </w:tcBorders>
                  <w:shd w:val="clear" w:color="auto" w:fill="auto"/>
                  <w:vAlign w:val="center"/>
                </w:tcPr>
                <w:p w14:paraId="2C33EE2C">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2.88</w:t>
                  </w:r>
                </w:p>
              </w:tc>
              <w:tc>
                <w:tcPr>
                  <w:tcW w:w="744" w:type="dxa"/>
                  <w:tcBorders>
                    <w:top w:val="single" w:color="auto" w:sz="4" w:space="0"/>
                    <w:left w:val="nil"/>
                    <w:bottom w:val="single" w:color="auto" w:sz="4" w:space="0"/>
                    <w:right w:val="single" w:color="auto" w:sz="4" w:space="0"/>
                  </w:tcBorders>
                  <w:shd w:val="clear" w:color="auto" w:fill="auto"/>
                  <w:vAlign w:val="center"/>
                </w:tcPr>
                <w:p w14:paraId="2E75C226">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80%</w:t>
                  </w:r>
                </w:p>
              </w:tc>
              <w:tc>
                <w:tcPr>
                  <w:tcW w:w="905" w:type="dxa"/>
                  <w:tcBorders>
                    <w:top w:val="single" w:color="auto" w:sz="4" w:space="0"/>
                    <w:left w:val="nil"/>
                    <w:bottom w:val="single" w:color="auto" w:sz="4" w:space="0"/>
                    <w:right w:val="single" w:color="auto" w:sz="4" w:space="0"/>
                  </w:tcBorders>
                  <w:shd w:val="clear" w:color="auto" w:fill="auto"/>
                  <w:vAlign w:val="center"/>
                </w:tcPr>
                <w:p w14:paraId="2F37F1E9">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2.304</w:t>
                  </w:r>
                </w:p>
              </w:tc>
              <w:tc>
                <w:tcPr>
                  <w:tcW w:w="719" w:type="dxa"/>
                  <w:tcBorders>
                    <w:top w:val="single" w:color="auto" w:sz="4" w:space="0"/>
                    <w:left w:val="nil"/>
                    <w:bottom w:val="single" w:color="auto" w:sz="4" w:space="0"/>
                    <w:right w:val="single" w:color="auto" w:sz="4" w:space="0"/>
                  </w:tcBorders>
                  <w:shd w:val="clear" w:color="auto" w:fill="auto"/>
                  <w:vAlign w:val="center"/>
                </w:tcPr>
                <w:p w14:paraId="1D586B45">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11000</w:t>
                  </w:r>
                </w:p>
              </w:tc>
              <w:tc>
                <w:tcPr>
                  <w:tcW w:w="749" w:type="dxa"/>
                  <w:tcBorders>
                    <w:top w:val="single" w:color="auto" w:sz="4" w:space="0"/>
                    <w:left w:val="nil"/>
                    <w:bottom w:val="single" w:color="auto" w:sz="4" w:space="0"/>
                    <w:right w:val="single" w:color="auto" w:sz="4" w:space="0"/>
                  </w:tcBorders>
                  <w:shd w:val="clear" w:color="auto" w:fill="auto"/>
                  <w:vAlign w:val="center"/>
                </w:tcPr>
                <w:p w14:paraId="38F390C7">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2.5</w:t>
                  </w:r>
                </w:p>
              </w:tc>
              <w:tc>
                <w:tcPr>
                  <w:tcW w:w="821" w:type="dxa"/>
                  <w:tcBorders>
                    <w:top w:val="single" w:color="auto" w:sz="4" w:space="0"/>
                    <w:left w:val="nil"/>
                    <w:bottom w:val="single" w:color="auto" w:sz="4" w:space="0"/>
                    <w:right w:val="single" w:color="auto" w:sz="4" w:space="0"/>
                  </w:tcBorders>
                  <w:shd w:val="clear" w:color="auto" w:fill="auto"/>
                  <w:vAlign w:val="center"/>
                </w:tcPr>
                <w:p w14:paraId="7490CA56">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27.5</w:t>
                  </w:r>
                </w:p>
              </w:tc>
              <w:tc>
                <w:tcPr>
                  <w:tcW w:w="791" w:type="dxa"/>
                  <w:tcBorders>
                    <w:top w:val="single" w:color="auto" w:sz="4" w:space="0"/>
                    <w:left w:val="nil"/>
                    <w:bottom w:val="single" w:color="auto" w:sz="4" w:space="0"/>
                    <w:right w:val="single" w:color="auto" w:sz="4" w:space="0"/>
                  </w:tcBorders>
                  <w:shd w:val="clear" w:color="auto" w:fill="auto"/>
                  <w:vAlign w:val="center"/>
                </w:tcPr>
                <w:p w14:paraId="6CF6F1E7">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1.1</w:t>
                  </w:r>
                </w:p>
              </w:tc>
            </w:tr>
            <w:tr w14:paraId="047F6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14" w:type="dxa"/>
                  <w:vAlign w:val="center"/>
                </w:tcPr>
                <w:p w14:paraId="20E9A11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水帘柜（油性）</w:t>
                  </w:r>
                </w:p>
              </w:tc>
              <w:tc>
                <w:tcPr>
                  <w:tcW w:w="1240" w:type="dxa"/>
                  <w:tcBorders>
                    <w:top w:val="single" w:color="auto" w:sz="4" w:space="0"/>
                    <w:left w:val="single" w:color="auto" w:sz="4" w:space="0"/>
                    <w:bottom w:val="single" w:color="auto" w:sz="4" w:space="0"/>
                    <w:right w:val="single" w:color="auto" w:sz="4" w:space="0"/>
                  </w:tcBorders>
                  <w:shd w:val="clear" w:color="auto" w:fill="auto"/>
                  <w:vAlign w:val="center"/>
                </w:tcPr>
                <w:p w14:paraId="773DC9E1">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8*1.2*0.3</w:t>
                  </w:r>
                </w:p>
              </w:tc>
              <w:tc>
                <w:tcPr>
                  <w:tcW w:w="868" w:type="dxa"/>
                  <w:tcBorders>
                    <w:top w:val="single" w:color="auto" w:sz="4" w:space="0"/>
                    <w:left w:val="single" w:color="auto" w:sz="4" w:space="0"/>
                    <w:bottom w:val="single" w:color="auto" w:sz="4" w:space="0"/>
                    <w:right w:val="single" w:color="auto" w:sz="4" w:space="0"/>
                  </w:tcBorders>
                  <w:shd w:val="clear" w:color="auto" w:fill="auto"/>
                  <w:vAlign w:val="center"/>
                </w:tcPr>
                <w:p w14:paraId="526F86D0">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2.88</w:t>
                  </w:r>
                </w:p>
              </w:tc>
              <w:tc>
                <w:tcPr>
                  <w:tcW w:w="744" w:type="dxa"/>
                  <w:tcBorders>
                    <w:top w:val="single" w:color="auto" w:sz="4" w:space="0"/>
                    <w:left w:val="nil"/>
                    <w:bottom w:val="single" w:color="auto" w:sz="4" w:space="0"/>
                    <w:right w:val="single" w:color="auto" w:sz="4" w:space="0"/>
                  </w:tcBorders>
                  <w:shd w:val="clear" w:color="auto" w:fill="auto"/>
                  <w:vAlign w:val="center"/>
                </w:tcPr>
                <w:p w14:paraId="2A3F071A">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80%</w:t>
                  </w:r>
                </w:p>
              </w:tc>
              <w:tc>
                <w:tcPr>
                  <w:tcW w:w="905" w:type="dxa"/>
                  <w:tcBorders>
                    <w:top w:val="single" w:color="auto" w:sz="4" w:space="0"/>
                    <w:left w:val="nil"/>
                    <w:bottom w:val="single" w:color="auto" w:sz="4" w:space="0"/>
                    <w:right w:val="single" w:color="auto" w:sz="4" w:space="0"/>
                  </w:tcBorders>
                  <w:shd w:val="clear" w:color="auto" w:fill="auto"/>
                  <w:vAlign w:val="center"/>
                </w:tcPr>
                <w:p w14:paraId="6EF07EAD">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2.304</w:t>
                  </w:r>
                </w:p>
              </w:tc>
              <w:tc>
                <w:tcPr>
                  <w:tcW w:w="719" w:type="dxa"/>
                  <w:tcBorders>
                    <w:top w:val="single" w:color="auto" w:sz="4" w:space="0"/>
                    <w:left w:val="nil"/>
                    <w:bottom w:val="single" w:color="auto" w:sz="4" w:space="0"/>
                    <w:right w:val="single" w:color="auto" w:sz="4" w:space="0"/>
                  </w:tcBorders>
                  <w:shd w:val="clear" w:color="auto" w:fill="auto"/>
                  <w:vAlign w:val="center"/>
                </w:tcPr>
                <w:p w14:paraId="1ADC50D0">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11000</w:t>
                  </w:r>
                </w:p>
              </w:tc>
              <w:tc>
                <w:tcPr>
                  <w:tcW w:w="749" w:type="dxa"/>
                  <w:tcBorders>
                    <w:top w:val="single" w:color="auto" w:sz="4" w:space="0"/>
                    <w:left w:val="nil"/>
                    <w:bottom w:val="single" w:color="auto" w:sz="4" w:space="0"/>
                    <w:right w:val="single" w:color="auto" w:sz="4" w:space="0"/>
                  </w:tcBorders>
                  <w:shd w:val="clear" w:color="auto" w:fill="auto"/>
                  <w:vAlign w:val="center"/>
                </w:tcPr>
                <w:p w14:paraId="638540BA">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2.5</w:t>
                  </w:r>
                </w:p>
              </w:tc>
              <w:tc>
                <w:tcPr>
                  <w:tcW w:w="821" w:type="dxa"/>
                  <w:tcBorders>
                    <w:top w:val="single" w:color="auto" w:sz="4" w:space="0"/>
                    <w:left w:val="nil"/>
                    <w:bottom w:val="single" w:color="auto" w:sz="4" w:space="0"/>
                    <w:right w:val="single" w:color="auto" w:sz="4" w:space="0"/>
                  </w:tcBorders>
                  <w:shd w:val="clear" w:color="auto" w:fill="auto"/>
                  <w:vAlign w:val="center"/>
                </w:tcPr>
                <w:p w14:paraId="0FDB92EC">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27.5</w:t>
                  </w:r>
                </w:p>
              </w:tc>
              <w:tc>
                <w:tcPr>
                  <w:tcW w:w="791" w:type="dxa"/>
                  <w:tcBorders>
                    <w:top w:val="single" w:color="auto" w:sz="4" w:space="0"/>
                    <w:left w:val="nil"/>
                    <w:bottom w:val="single" w:color="auto" w:sz="4" w:space="0"/>
                    <w:right w:val="single" w:color="auto" w:sz="4" w:space="0"/>
                  </w:tcBorders>
                  <w:shd w:val="clear" w:color="auto" w:fill="auto"/>
                  <w:vAlign w:val="center"/>
                </w:tcPr>
                <w:p w14:paraId="4C771A66">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1.1</w:t>
                  </w:r>
                </w:p>
              </w:tc>
            </w:tr>
            <w:tr w14:paraId="3DEBF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14" w:type="dxa"/>
                  <w:vAlign w:val="center"/>
                </w:tcPr>
                <w:p w14:paraId="4AE72F8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水喷淋塔</w:t>
                  </w:r>
                </w:p>
              </w:tc>
              <w:tc>
                <w:tcPr>
                  <w:tcW w:w="1240" w:type="dxa"/>
                  <w:tcBorders>
                    <w:top w:val="nil"/>
                    <w:left w:val="single" w:color="auto" w:sz="4" w:space="0"/>
                    <w:bottom w:val="single" w:color="auto" w:sz="4" w:space="0"/>
                    <w:right w:val="single" w:color="auto" w:sz="4" w:space="0"/>
                  </w:tcBorders>
                  <w:shd w:val="clear" w:color="auto" w:fill="auto"/>
                  <w:vAlign w:val="center"/>
                </w:tcPr>
                <w:p w14:paraId="4F44353B">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Ф1.5*0.5</w:t>
                  </w:r>
                </w:p>
              </w:tc>
              <w:tc>
                <w:tcPr>
                  <w:tcW w:w="868" w:type="dxa"/>
                  <w:tcBorders>
                    <w:top w:val="nil"/>
                    <w:left w:val="single" w:color="auto" w:sz="4" w:space="0"/>
                    <w:bottom w:val="single" w:color="auto" w:sz="4" w:space="0"/>
                    <w:right w:val="single" w:color="auto" w:sz="4" w:space="0"/>
                  </w:tcBorders>
                  <w:shd w:val="clear" w:color="auto" w:fill="auto"/>
                  <w:vAlign w:val="center"/>
                </w:tcPr>
                <w:p w14:paraId="147781E2">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0.883</w:t>
                  </w:r>
                </w:p>
              </w:tc>
              <w:tc>
                <w:tcPr>
                  <w:tcW w:w="744" w:type="dxa"/>
                  <w:tcBorders>
                    <w:top w:val="nil"/>
                    <w:left w:val="nil"/>
                    <w:bottom w:val="single" w:color="auto" w:sz="4" w:space="0"/>
                    <w:right w:val="single" w:color="auto" w:sz="4" w:space="0"/>
                  </w:tcBorders>
                  <w:shd w:val="clear" w:color="auto" w:fill="auto"/>
                  <w:vAlign w:val="center"/>
                </w:tcPr>
                <w:p w14:paraId="1ED2056C">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80%</w:t>
                  </w:r>
                </w:p>
              </w:tc>
              <w:tc>
                <w:tcPr>
                  <w:tcW w:w="905" w:type="dxa"/>
                  <w:tcBorders>
                    <w:top w:val="nil"/>
                    <w:left w:val="nil"/>
                    <w:bottom w:val="single" w:color="auto" w:sz="4" w:space="0"/>
                    <w:right w:val="single" w:color="auto" w:sz="4" w:space="0"/>
                  </w:tcBorders>
                  <w:shd w:val="clear" w:color="auto" w:fill="auto"/>
                  <w:vAlign w:val="center"/>
                </w:tcPr>
                <w:p w14:paraId="39796D20">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0.706</w:t>
                  </w:r>
                </w:p>
              </w:tc>
              <w:tc>
                <w:tcPr>
                  <w:tcW w:w="719" w:type="dxa"/>
                  <w:tcBorders>
                    <w:top w:val="nil"/>
                    <w:left w:val="nil"/>
                    <w:bottom w:val="single" w:color="auto" w:sz="4" w:space="0"/>
                    <w:right w:val="single" w:color="auto" w:sz="4" w:space="0"/>
                  </w:tcBorders>
                  <w:shd w:val="clear" w:color="auto" w:fill="auto"/>
                  <w:vAlign w:val="center"/>
                </w:tcPr>
                <w:p w14:paraId="63A31BDD">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22000</w:t>
                  </w:r>
                </w:p>
              </w:tc>
              <w:tc>
                <w:tcPr>
                  <w:tcW w:w="749" w:type="dxa"/>
                  <w:tcBorders>
                    <w:top w:val="nil"/>
                    <w:left w:val="nil"/>
                    <w:bottom w:val="single" w:color="auto" w:sz="4" w:space="0"/>
                    <w:right w:val="single" w:color="auto" w:sz="4" w:space="0"/>
                  </w:tcBorders>
                  <w:shd w:val="clear" w:color="auto" w:fill="auto"/>
                  <w:vAlign w:val="center"/>
                </w:tcPr>
                <w:p w14:paraId="0E2B06DC">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2.5</w:t>
                  </w:r>
                </w:p>
              </w:tc>
              <w:tc>
                <w:tcPr>
                  <w:tcW w:w="821" w:type="dxa"/>
                  <w:tcBorders>
                    <w:top w:val="nil"/>
                    <w:left w:val="nil"/>
                    <w:bottom w:val="single" w:color="auto" w:sz="4" w:space="0"/>
                    <w:right w:val="single" w:color="auto" w:sz="4" w:space="0"/>
                  </w:tcBorders>
                  <w:shd w:val="clear" w:color="auto" w:fill="auto"/>
                  <w:vAlign w:val="center"/>
                </w:tcPr>
                <w:p w14:paraId="1B5F2AEA">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55</w:t>
                  </w:r>
                </w:p>
              </w:tc>
              <w:tc>
                <w:tcPr>
                  <w:tcW w:w="791" w:type="dxa"/>
                  <w:tcBorders>
                    <w:top w:val="nil"/>
                    <w:left w:val="nil"/>
                    <w:bottom w:val="single" w:color="auto" w:sz="4" w:space="0"/>
                    <w:right w:val="single" w:color="auto" w:sz="4" w:space="0"/>
                  </w:tcBorders>
                  <w:shd w:val="clear" w:color="auto" w:fill="auto"/>
                  <w:vAlign w:val="center"/>
                </w:tcPr>
                <w:p w14:paraId="2E8E4458">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2.2</w:t>
                  </w:r>
                </w:p>
              </w:tc>
            </w:tr>
            <w:tr w14:paraId="12902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14" w:type="dxa"/>
                  <w:vAlign w:val="center"/>
                </w:tcPr>
                <w:p w14:paraId="4E2DCA9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合计</w:t>
                  </w:r>
                </w:p>
              </w:tc>
              <w:tc>
                <w:tcPr>
                  <w:tcW w:w="1240" w:type="dxa"/>
                  <w:tcBorders>
                    <w:top w:val="nil"/>
                    <w:left w:val="single" w:color="auto" w:sz="4" w:space="0"/>
                    <w:bottom w:val="single" w:color="auto" w:sz="4" w:space="0"/>
                    <w:right w:val="single" w:color="auto" w:sz="4" w:space="0"/>
                  </w:tcBorders>
                  <w:shd w:val="clear" w:color="auto" w:fill="auto"/>
                  <w:vAlign w:val="center"/>
                </w:tcPr>
                <w:p w14:paraId="165E6038">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868" w:type="dxa"/>
                  <w:tcBorders>
                    <w:top w:val="nil"/>
                    <w:left w:val="single" w:color="auto" w:sz="4" w:space="0"/>
                    <w:bottom w:val="single" w:color="auto" w:sz="4" w:space="0"/>
                    <w:right w:val="single" w:color="auto" w:sz="4" w:space="0"/>
                  </w:tcBorders>
                  <w:shd w:val="clear" w:color="auto" w:fill="auto"/>
                  <w:vAlign w:val="center"/>
                </w:tcPr>
                <w:p w14:paraId="6EB28D83">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744" w:type="dxa"/>
                  <w:tcBorders>
                    <w:top w:val="nil"/>
                    <w:left w:val="nil"/>
                    <w:bottom w:val="single" w:color="auto" w:sz="4" w:space="0"/>
                    <w:right w:val="single" w:color="auto" w:sz="4" w:space="0"/>
                  </w:tcBorders>
                  <w:shd w:val="clear" w:color="auto" w:fill="auto"/>
                  <w:vAlign w:val="center"/>
                </w:tcPr>
                <w:p w14:paraId="67AAA1A1">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905" w:type="dxa"/>
                  <w:tcBorders>
                    <w:top w:val="nil"/>
                    <w:left w:val="nil"/>
                    <w:bottom w:val="single" w:color="auto" w:sz="4" w:space="0"/>
                    <w:right w:val="single" w:color="auto" w:sz="4" w:space="0"/>
                  </w:tcBorders>
                  <w:shd w:val="clear" w:color="auto" w:fill="auto"/>
                  <w:vAlign w:val="center"/>
                </w:tcPr>
                <w:p w14:paraId="4FBA81FB">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5.314</w:t>
                  </w:r>
                </w:p>
              </w:tc>
              <w:tc>
                <w:tcPr>
                  <w:tcW w:w="719" w:type="dxa"/>
                  <w:tcBorders>
                    <w:top w:val="nil"/>
                    <w:left w:val="nil"/>
                    <w:bottom w:val="single" w:color="auto" w:sz="4" w:space="0"/>
                    <w:right w:val="single" w:color="auto" w:sz="4" w:space="0"/>
                  </w:tcBorders>
                  <w:shd w:val="clear" w:color="auto" w:fill="auto"/>
                  <w:vAlign w:val="center"/>
                </w:tcPr>
                <w:p w14:paraId="2E07C13C">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749" w:type="dxa"/>
                  <w:tcBorders>
                    <w:top w:val="nil"/>
                    <w:left w:val="nil"/>
                    <w:bottom w:val="single" w:color="auto" w:sz="4" w:space="0"/>
                    <w:right w:val="single" w:color="auto" w:sz="4" w:space="0"/>
                  </w:tcBorders>
                  <w:shd w:val="clear" w:color="auto" w:fill="auto"/>
                  <w:vAlign w:val="center"/>
                </w:tcPr>
                <w:p w14:paraId="77D3379F">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821" w:type="dxa"/>
                  <w:tcBorders>
                    <w:top w:val="nil"/>
                    <w:left w:val="nil"/>
                    <w:bottom w:val="single" w:color="auto" w:sz="4" w:space="0"/>
                    <w:right w:val="single" w:color="auto" w:sz="4" w:space="0"/>
                  </w:tcBorders>
                  <w:shd w:val="clear" w:color="auto" w:fill="auto"/>
                  <w:vAlign w:val="center"/>
                </w:tcPr>
                <w:p w14:paraId="0F12B5E5">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110</w:t>
                  </w:r>
                </w:p>
              </w:tc>
              <w:tc>
                <w:tcPr>
                  <w:tcW w:w="791" w:type="dxa"/>
                  <w:tcBorders>
                    <w:top w:val="nil"/>
                    <w:left w:val="nil"/>
                    <w:bottom w:val="single" w:color="auto" w:sz="4" w:space="0"/>
                    <w:right w:val="single" w:color="auto" w:sz="4" w:space="0"/>
                  </w:tcBorders>
                  <w:shd w:val="clear" w:color="auto" w:fill="auto"/>
                  <w:vAlign w:val="center"/>
                </w:tcPr>
                <w:p w14:paraId="59A06C9A">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4.4</w:t>
                  </w:r>
                </w:p>
              </w:tc>
            </w:tr>
          </w:tbl>
          <w:p w14:paraId="575FF59E">
            <w:pPr>
              <w:pageBreakBefore w:val="0"/>
              <w:wordWrap w:val="0"/>
              <w:overflowPunct/>
              <w:bidi w:val="0"/>
              <w:spacing w:line="240" w:lineRule="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注：补水量取循环水量的0.5%，每天按照工作8h。</w:t>
            </w:r>
          </w:p>
          <w:p w14:paraId="7C578710">
            <w:pPr>
              <w:pageBreakBefore w:val="0"/>
              <w:wordWrap w:val="0"/>
              <w:overflowPunct/>
              <w:bidi w:val="0"/>
              <w:spacing w:line="360" w:lineRule="auto"/>
              <w:ind w:firstLine="480" w:firstLineChars="200"/>
              <w:rPr>
                <w:rFonts w:hint="default" w:ascii="Times New Roman" w:hAnsi="Times New Roman" w:cs="Times New Roman"/>
                <w:color w:val="auto"/>
                <w:sz w:val="24"/>
                <w:lang w:eastAsia="zh-CN"/>
              </w:rPr>
            </w:pPr>
            <w:r>
              <w:rPr>
                <w:rFonts w:hint="eastAsia" w:cs="Times New Roman"/>
                <w:color w:val="auto"/>
                <w:sz w:val="24"/>
                <w:lang w:val="en-US" w:eastAsia="zh-CN"/>
              </w:rPr>
              <w:t>根据行业及业主同类型工厂经验，水性水帘柜废水每两个月更换一次，油性水帘柜废水、喷淋废水每个季度更换一次</w:t>
            </w:r>
            <w:r>
              <w:rPr>
                <w:rFonts w:hint="default" w:ascii="Times New Roman" w:hAnsi="Times New Roman" w:cs="Times New Roman"/>
                <w:color w:val="auto"/>
                <w:sz w:val="24"/>
              </w:rPr>
              <w:t>由于水帘柜，则水帘柜、水喷淋塔的喷淋废水的产生量约为</w:t>
            </w:r>
            <w:r>
              <w:rPr>
                <w:rFonts w:hint="eastAsia" w:cs="Times New Roman"/>
                <w:color w:val="auto"/>
                <w:sz w:val="24"/>
                <w:lang w:val="en-US" w:eastAsia="zh-CN"/>
              </w:rPr>
              <w:t>25.864</w:t>
            </w:r>
            <w:r>
              <w:rPr>
                <w:rFonts w:hint="default" w:ascii="Times New Roman" w:hAnsi="Times New Roman" w:cs="Times New Roman"/>
                <w:color w:val="auto"/>
                <w:sz w:val="24"/>
                <w:lang w:val="en-US" w:eastAsia="zh-CN"/>
              </w:rPr>
              <w:t>t</w:t>
            </w:r>
            <w:r>
              <w:rPr>
                <w:rFonts w:hint="default" w:ascii="Times New Roman" w:hAnsi="Times New Roman" w:cs="Times New Roman"/>
                <w:color w:val="auto"/>
                <w:sz w:val="24"/>
              </w:rPr>
              <w:t>/a，喷漆废水（水帘柜、水喷淋塔喷淋废水）作危废处理。水帘柜、水喷淋塔运行时蓄水槽中的水循环使用，蓄水槽中水经沉淀后每天打捞漆渣（作为危废处理），每天只需往里面补充损耗的水即可，补水量取循环水量的0.5%，共补充水约为4.</w:t>
            </w:r>
            <w:r>
              <w:rPr>
                <w:rFonts w:hint="eastAsia" w:cs="Times New Roman"/>
                <w:color w:val="auto"/>
                <w:sz w:val="24"/>
                <w:lang w:val="en-US" w:eastAsia="zh-CN"/>
              </w:rPr>
              <w:t>4</w:t>
            </w:r>
            <w:r>
              <w:rPr>
                <w:rFonts w:hint="default" w:ascii="Times New Roman" w:hAnsi="Times New Roman" w:cs="Times New Roman"/>
                <w:color w:val="auto"/>
                <w:sz w:val="24"/>
              </w:rPr>
              <w:t>t/d（1</w:t>
            </w:r>
            <w:r>
              <w:rPr>
                <w:rFonts w:hint="eastAsia" w:cs="Times New Roman"/>
                <w:color w:val="auto"/>
                <w:sz w:val="24"/>
                <w:lang w:val="en-US" w:eastAsia="zh-CN"/>
              </w:rPr>
              <w:t>320</w:t>
            </w:r>
            <w:r>
              <w:rPr>
                <w:rFonts w:hint="default" w:ascii="Times New Roman" w:hAnsi="Times New Roman" w:cs="Times New Roman"/>
                <w:color w:val="auto"/>
                <w:sz w:val="24"/>
              </w:rPr>
              <w:t>t/a），加上换水时的用水量和蓄水池中的循环水量，则水帘柜、水喷淋塔用水量为补水量+换水量</w:t>
            </w:r>
            <w:r>
              <w:rPr>
                <w:rFonts w:hint="eastAsia" w:cs="Times New Roman"/>
                <w:color w:val="auto"/>
                <w:sz w:val="24"/>
                <w:lang w:eastAsia="zh-CN"/>
              </w:rPr>
              <w:t>，</w:t>
            </w:r>
            <w:r>
              <w:rPr>
                <w:rFonts w:hint="eastAsia" w:cs="Times New Roman"/>
                <w:color w:val="auto"/>
                <w:sz w:val="24"/>
                <w:lang w:val="en-US" w:eastAsia="zh-CN"/>
              </w:rPr>
              <w:t>总量为1345.86t/a（其中12t/a来自冷却塔更换水）</w:t>
            </w:r>
            <w:r>
              <w:rPr>
                <w:rFonts w:hint="default" w:ascii="Times New Roman" w:hAnsi="Times New Roman" w:cs="Times New Roman"/>
                <w:color w:val="auto"/>
                <w:sz w:val="24"/>
                <w:lang w:eastAsia="zh-CN"/>
              </w:rPr>
              <w:t>。</w:t>
            </w:r>
          </w:p>
          <w:p w14:paraId="656502F9">
            <w:pPr>
              <w:pageBreakBefore w:val="0"/>
              <w:wordWrap w:val="0"/>
              <w:overflowPunct/>
              <w:bidi w:val="0"/>
              <w:spacing w:line="360" w:lineRule="auto"/>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4</w:t>
            </w:r>
            <w:r>
              <w:rPr>
                <w:rFonts w:hint="default" w:ascii="Times New Roman" w:hAnsi="Times New Roman" w:cs="Times New Roman"/>
                <w:color w:val="auto"/>
                <w:sz w:val="24"/>
                <w:lang w:eastAsia="zh-CN"/>
              </w:rPr>
              <w:t>）循环冷却水</w:t>
            </w:r>
          </w:p>
          <w:p w14:paraId="1270A1A1">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本项目设有4台冷却塔，每台冷却塔配套的水泵循环水量为25m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/h（合计循环水量100m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/h），项目冷却方式为间接冷却（金属模具经冷却水进行间接冷却），冷却用水为普通的自来水，无需添加杀菌剂、阻垢剂、杀藻剂。冷却水经冷却塔冷却后循环使用，</w:t>
            </w:r>
            <w:r>
              <w:rPr>
                <w:rFonts w:hint="eastAsia" w:cs="Times New Roman"/>
                <w:color w:val="auto"/>
                <w:sz w:val="24"/>
                <w:lang w:val="en-US" w:eastAsia="zh-CN"/>
              </w:rPr>
              <w:t>冷却塔总储水量为1m</w:t>
            </w:r>
            <w:r>
              <w:rPr>
                <w:rFonts w:hint="eastAsia" w:cs="Times New Roman"/>
                <w:color w:val="auto"/>
                <w:sz w:val="24"/>
                <w:vertAlign w:val="superscript"/>
                <w:lang w:val="en-US" w:eastAsia="zh-CN"/>
              </w:rPr>
              <w:t>3</w:t>
            </w:r>
            <w:r>
              <w:rPr>
                <w:rFonts w:hint="eastAsia" w:cs="Times New Roman"/>
                <w:color w:val="auto"/>
                <w:sz w:val="24"/>
                <w:lang w:eastAsia="zh-CN"/>
              </w:rPr>
              <w:t>，</w:t>
            </w:r>
            <w:r>
              <w:rPr>
                <w:rFonts w:hint="eastAsia" w:cs="Times New Roman"/>
                <w:color w:val="auto"/>
                <w:sz w:val="24"/>
                <w:lang w:val="en-US" w:eastAsia="zh-CN"/>
              </w:rPr>
              <w:t>盐分积累到一定程度后每月定期补充至喷淋塔作为喷淋用水</w:t>
            </w:r>
            <w:r>
              <w:rPr>
                <w:rFonts w:hint="default" w:ascii="Times New Roman" w:hAnsi="Times New Roman" w:cs="Times New Roman"/>
                <w:color w:val="auto"/>
                <w:sz w:val="24"/>
              </w:rPr>
              <w:t>，</w:t>
            </w:r>
            <w:r>
              <w:rPr>
                <w:rFonts w:hint="eastAsia" w:cs="Times New Roman"/>
                <w:color w:val="auto"/>
                <w:sz w:val="24"/>
                <w:lang w:val="en-US" w:eastAsia="zh-CN"/>
              </w:rPr>
              <w:t>即有12m</w:t>
            </w:r>
            <w:r>
              <w:rPr>
                <w:rFonts w:hint="eastAsia" w:cs="Times New Roman"/>
                <w:color w:val="auto"/>
                <w:sz w:val="24"/>
                <w:vertAlign w:val="superscript"/>
                <w:lang w:val="en-US" w:eastAsia="zh-CN"/>
              </w:rPr>
              <w:t>3</w:t>
            </w:r>
            <w:r>
              <w:rPr>
                <w:rFonts w:hint="eastAsia" w:cs="Times New Roman"/>
                <w:color w:val="auto"/>
                <w:sz w:val="24"/>
                <w:vertAlign w:val="baseline"/>
                <w:lang w:val="en-US" w:eastAsia="zh-CN"/>
              </w:rPr>
              <w:t>/a</w:t>
            </w:r>
            <w:r>
              <w:rPr>
                <w:rFonts w:hint="eastAsia" w:cs="Times New Roman"/>
                <w:color w:val="auto"/>
                <w:sz w:val="24"/>
                <w:lang w:val="en-US" w:eastAsia="zh-CN"/>
              </w:rPr>
              <w:t>的水可循环利用至喷淋塔</w:t>
            </w:r>
            <w:r>
              <w:rPr>
                <w:rFonts w:hint="eastAsia" w:cs="Times New Roman"/>
                <w:color w:val="auto"/>
                <w:sz w:val="24"/>
                <w:lang w:eastAsia="zh-CN"/>
              </w:rPr>
              <w:t>，</w:t>
            </w:r>
            <w:r>
              <w:rPr>
                <w:rFonts w:hint="eastAsia" w:cs="Times New Roman"/>
                <w:color w:val="auto"/>
                <w:sz w:val="24"/>
                <w:lang w:val="en-US" w:eastAsia="zh-CN"/>
              </w:rPr>
              <w:t>此</w:t>
            </w:r>
            <w:r>
              <w:rPr>
                <w:rFonts w:hint="default" w:ascii="Times New Roman" w:hAnsi="Times New Roman" w:cs="Times New Roman"/>
                <w:color w:val="auto"/>
                <w:sz w:val="24"/>
              </w:rPr>
              <w:t>过程定期补充损耗水量</w:t>
            </w:r>
            <w:r>
              <w:rPr>
                <w:rFonts w:hint="eastAsia" w:cs="Times New Roman"/>
                <w:color w:val="auto"/>
                <w:sz w:val="24"/>
                <w:lang w:val="en-US" w:eastAsia="zh-CN"/>
              </w:rPr>
              <w:t>的新鲜水</w:t>
            </w:r>
            <w:r>
              <w:rPr>
                <w:rFonts w:hint="eastAsia"/>
                <w:color w:val="auto"/>
                <w:lang w:val="en-US" w:eastAsia="zh-CN"/>
              </w:rPr>
              <w:t>即可</w:t>
            </w:r>
            <w:r>
              <w:rPr>
                <w:rFonts w:hint="default" w:ascii="Times New Roman" w:hAnsi="Times New Roman" w:cs="Times New Roman"/>
                <w:color w:val="auto"/>
                <w:sz w:val="24"/>
              </w:rPr>
              <w:t>。</w:t>
            </w:r>
          </w:p>
          <w:p w14:paraId="1AB3D476">
            <w:pPr>
              <w:pageBreakBefore w:val="0"/>
              <w:wordWrap w:val="0"/>
              <w:overflowPunct/>
              <w:bidi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本项目冷却塔补充水量参考《工业循环冷却水处理设计规范》（GB50050-2017）计算，具体计算过程如下：</w:t>
            </w:r>
          </w:p>
          <w:p w14:paraId="516CCC1B">
            <w:pPr>
              <w:pStyle w:val="43"/>
              <w:pageBreakBefore w:val="0"/>
              <w:wordWrap w:val="0"/>
              <w:overflowPunct/>
              <w:bidi w:val="0"/>
              <w:spacing w:before="24" w:after="24" w:line="360" w:lineRule="auto"/>
              <w:ind w:firstLine="480" w:firstLineChars="200"/>
              <w:jc w:val="center"/>
              <w:rPr>
                <w:rFonts w:hint="default" w:ascii="Times New Roman" w:hAnsi="Times New Roman" w:cs="Times New Roman"/>
                <w:color w:val="auto"/>
              </w:rPr>
            </w:pPr>
            <w:r>
              <w:rPr>
                <w:rFonts w:hint="default" w:ascii="Times New Roman" w:hAnsi="Times New Roman" w:cs="Times New Roman"/>
                <w:color w:val="auto"/>
              </w:rPr>
              <w:t>Qe=k•△t•Qr</w:t>
            </w:r>
          </w:p>
          <w:p w14:paraId="079D8042">
            <w:pPr>
              <w:pStyle w:val="43"/>
              <w:pageBreakBefore w:val="0"/>
              <w:wordWrap w:val="0"/>
              <w:overflowPunct/>
              <w:bidi w:val="0"/>
              <w:spacing w:before="24" w:after="24" w:line="360" w:lineRule="auto"/>
              <w:ind w:firstLine="480" w:firstLineChars="200"/>
              <w:rPr>
                <w:rFonts w:hint="default" w:ascii="Times New Roman" w:hAnsi="Times New Roman" w:cs="Times New Roman"/>
                <w:color w:val="auto"/>
              </w:rPr>
            </w:pPr>
            <w:r>
              <w:rPr>
                <w:rFonts w:hint="default" w:ascii="Times New Roman" w:hAnsi="Times New Roman" w:cs="Times New Roman"/>
                <w:color w:val="auto"/>
              </w:rPr>
              <w:t>式中：Qe——蒸发损失量（m</w:t>
            </w:r>
            <w:r>
              <w:rPr>
                <w:rFonts w:hint="default" w:ascii="Times New Roman" w:hAnsi="Times New Roman" w:cs="Times New Roman"/>
                <w:color w:val="auto"/>
                <w:vertAlign w:val="superscript"/>
              </w:rPr>
              <w:t>3</w:t>
            </w:r>
            <w:r>
              <w:rPr>
                <w:rFonts w:hint="default" w:ascii="Times New Roman" w:hAnsi="Times New Roman" w:cs="Times New Roman"/>
                <w:color w:val="auto"/>
              </w:rPr>
              <w:t>/h）；</w:t>
            </w:r>
          </w:p>
          <w:p w14:paraId="77EEB5F8">
            <w:pPr>
              <w:pStyle w:val="8"/>
              <w:pageBreakBefore w:val="0"/>
              <w:wordWrap w:val="0"/>
              <w:overflowPunct/>
              <w:autoSpaceDN/>
              <w:bidi w:val="0"/>
              <w:spacing w:line="360" w:lineRule="auto"/>
              <w:ind w:left="0" w:firstLine="480" w:firstLineChars="200"/>
              <w:rPr>
                <w:rFonts w:hint="default" w:ascii="Times New Roman" w:hAnsi="Times New Roman" w:cs="Times New Roman"/>
                <w:color w:val="auto"/>
                <w:kern w:val="2"/>
              </w:rPr>
            </w:pPr>
            <w:r>
              <w:rPr>
                <w:rFonts w:hint="default" w:ascii="Times New Roman" w:hAnsi="Times New Roman" w:cs="Times New Roman"/>
                <w:color w:val="auto"/>
                <w:kern w:val="2"/>
              </w:rPr>
              <w:t>k——蒸发损失系数</w:t>
            </w:r>
            <w:r>
              <w:rPr>
                <w:rFonts w:hint="eastAsia" w:cs="Times New Roman"/>
                <w:color w:val="auto"/>
                <w:kern w:val="2"/>
                <w:lang w:eastAsia="zh-CN"/>
              </w:rPr>
              <w:t>（</w:t>
            </w:r>
            <w:r>
              <w:rPr>
                <w:rFonts w:hint="default" w:ascii="Times New Roman" w:hAnsi="Times New Roman" w:cs="Times New Roman"/>
                <w:color w:val="auto"/>
                <w:kern w:val="2"/>
              </w:rPr>
              <w:t>1/℃</w:t>
            </w:r>
            <w:r>
              <w:rPr>
                <w:rFonts w:hint="eastAsia" w:cs="Times New Roman"/>
                <w:color w:val="auto"/>
                <w:kern w:val="2"/>
                <w:lang w:eastAsia="zh-CN"/>
              </w:rPr>
              <w:t>）</w:t>
            </w:r>
            <w:r>
              <w:rPr>
                <w:rFonts w:hint="default" w:ascii="Times New Roman" w:hAnsi="Times New Roman" w:cs="Times New Roman"/>
                <w:color w:val="auto"/>
                <w:kern w:val="2"/>
              </w:rPr>
              <w:t>，气温为中间值时采用内插法计算，根据查表本项目自来水入塔温度约20℃，K值为0.0014；</w:t>
            </w:r>
          </w:p>
          <w:p w14:paraId="4C3B8DAF">
            <w:pPr>
              <w:pStyle w:val="8"/>
              <w:pageBreakBefore w:val="0"/>
              <w:wordWrap w:val="0"/>
              <w:overflowPunct/>
              <w:autoSpaceDN/>
              <w:bidi w:val="0"/>
              <w:spacing w:line="360" w:lineRule="auto"/>
              <w:ind w:left="0" w:firstLine="480" w:firstLineChars="200"/>
              <w:rPr>
                <w:rFonts w:hint="default" w:ascii="Times New Roman" w:hAnsi="Times New Roman" w:cs="Times New Roman"/>
                <w:color w:val="auto"/>
                <w:kern w:val="2"/>
              </w:rPr>
            </w:pPr>
            <w:r>
              <w:rPr>
                <w:rFonts w:hint="default" w:ascii="Times New Roman" w:hAnsi="Times New Roman" w:cs="Times New Roman"/>
                <w:color w:val="auto"/>
                <w:kern w:val="2"/>
              </w:rPr>
              <w:t>△t——循环冷却水进、出冷却塔温差</w:t>
            </w:r>
            <w:r>
              <w:rPr>
                <w:rFonts w:hint="eastAsia" w:cs="Times New Roman"/>
                <w:color w:val="auto"/>
                <w:kern w:val="2"/>
                <w:lang w:eastAsia="zh-CN"/>
              </w:rPr>
              <w:t>（</w:t>
            </w:r>
            <w:r>
              <w:rPr>
                <w:rFonts w:hint="default" w:ascii="Times New Roman" w:hAnsi="Times New Roman" w:cs="Times New Roman"/>
                <w:color w:val="auto"/>
                <w:kern w:val="2"/>
              </w:rPr>
              <w:t>℃</w:t>
            </w:r>
            <w:r>
              <w:rPr>
                <w:rFonts w:hint="eastAsia" w:cs="Times New Roman"/>
                <w:color w:val="auto"/>
                <w:kern w:val="2"/>
                <w:lang w:eastAsia="zh-CN"/>
              </w:rPr>
              <w:t>）</w:t>
            </w:r>
            <w:r>
              <w:rPr>
                <w:rFonts w:hint="default" w:ascii="Times New Roman" w:hAnsi="Times New Roman" w:cs="Times New Roman"/>
                <w:color w:val="auto"/>
                <w:kern w:val="2"/>
              </w:rPr>
              <w:t>，本项目冷却水进、出冷却塔温差为8℃；</w:t>
            </w:r>
          </w:p>
          <w:p w14:paraId="2A25B449">
            <w:pPr>
              <w:pStyle w:val="8"/>
              <w:pageBreakBefore w:val="0"/>
              <w:wordWrap w:val="0"/>
              <w:overflowPunct/>
              <w:autoSpaceDN/>
              <w:bidi w:val="0"/>
              <w:spacing w:line="360" w:lineRule="auto"/>
              <w:ind w:left="240" w:leftChars="100" w:firstLine="240" w:firstLineChars="100"/>
              <w:rPr>
                <w:rFonts w:hint="default" w:ascii="Times New Roman" w:hAnsi="Times New Roman" w:cs="Times New Roman"/>
                <w:color w:val="auto"/>
                <w:kern w:val="2"/>
              </w:rPr>
            </w:pPr>
            <w:r>
              <w:rPr>
                <w:rFonts w:hint="default" w:ascii="Times New Roman" w:hAnsi="Times New Roman" w:cs="Times New Roman"/>
                <w:color w:val="auto"/>
                <w:kern w:val="2"/>
              </w:rPr>
              <w:t>Qr——循环冷却水量</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/h）</w:t>
            </w:r>
            <w:r>
              <w:rPr>
                <w:rFonts w:hint="default" w:ascii="Times New Roman" w:hAnsi="Times New Roman" w:cs="Times New Roman"/>
                <w:color w:val="auto"/>
                <w:kern w:val="2"/>
              </w:rPr>
              <w:t>。</w:t>
            </w:r>
          </w:p>
          <w:p w14:paraId="1AD9464A">
            <w:pPr>
              <w:pageBreakBefore w:val="0"/>
              <w:wordWrap w:val="0"/>
              <w:overflowPunct/>
              <w:bidi w:val="0"/>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sz w:val="24"/>
              </w:rPr>
              <w:t>本项目循环水量Q＝100m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/h，经计算冷却塔补水量为</w:t>
            </w:r>
            <w:r>
              <w:rPr>
                <w:rFonts w:hint="default" w:ascii="Times New Roman" w:hAnsi="Times New Roman" w:cs="Times New Roman"/>
                <w:color w:val="auto"/>
                <w:kern w:val="0"/>
                <w:sz w:val="24"/>
              </w:rPr>
              <w:t>1.120m</w:t>
            </w:r>
            <w:r>
              <w:rPr>
                <w:rFonts w:hint="default" w:ascii="Times New Roman" w:hAnsi="Times New Roman" w:cs="Times New Roman"/>
                <w:color w:val="auto"/>
                <w:kern w:val="0"/>
                <w:sz w:val="24"/>
                <w:vertAlign w:val="superscript"/>
              </w:rPr>
              <w:t>3</w:t>
            </w:r>
            <w:r>
              <w:rPr>
                <w:rFonts w:hint="default" w:ascii="Times New Roman" w:hAnsi="Times New Roman" w:cs="Times New Roman"/>
                <w:color w:val="auto"/>
                <w:kern w:val="0"/>
                <w:sz w:val="24"/>
              </w:rPr>
              <w:t>/h，</w:t>
            </w:r>
            <w:r>
              <w:rPr>
                <w:rFonts w:hint="default" w:ascii="Times New Roman" w:hAnsi="Times New Roman" w:cs="Times New Roman"/>
                <w:color w:val="auto"/>
                <w:kern w:val="0"/>
                <w:sz w:val="24"/>
                <w:lang w:val="en-US" w:eastAsia="zh-CN"/>
              </w:rPr>
              <w:t>注塑工序</w:t>
            </w:r>
            <w:r>
              <w:rPr>
                <w:rFonts w:hint="default" w:ascii="Times New Roman" w:hAnsi="Times New Roman" w:cs="Times New Roman"/>
                <w:color w:val="auto"/>
                <w:sz w:val="24"/>
              </w:rPr>
              <w:t>冷却年工作</w:t>
            </w:r>
            <w:r>
              <w:rPr>
                <w:rFonts w:hint="default" w:ascii="Times New Roman" w:hAnsi="Times New Roman" w:cs="Times New Roman"/>
                <w:color w:val="auto"/>
                <w:sz w:val="24"/>
                <w:lang w:val="en-US" w:eastAsia="zh-CN"/>
              </w:rPr>
              <w:t>7200</w:t>
            </w:r>
            <w:r>
              <w:rPr>
                <w:rFonts w:hint="default" w:ascii="Times New Roman" w:hAnsi="Times New Roman" w:cs="Times New Roman"/>
                <w:color w:val="auto"/>
                <w:sz w:val="24"/>
              </w:rPr>
              <w:t>h</w:t>
            </w:r>
            <w:r>
              <w:rPr>
                <w:rFonts w:hint="default" w:ascii="Times New Roman" w:hAnsi="Times New Roman" w:cs="Times New Roman"/>
                <w:color w:val="auto"/>
                <w:kern w:val="0"/>
                <w:sz w:val="24"/>
              </w:rPr>
              <w:t>，</w:t>
            </w:r>
            <w:r>
              <w:rPr>
                <w:rFonts w:hint="default" w:ascii="Times New Roman" w:hAnsi="Times New Roman" w:cs="Times New Roman"/>
                <w:color w:val="auto"/>
                <w:sz w:val="24"/>
              </w:rPr>
              <w:t>因此，项目冷却补水量</w:t>
            </w:r>
            <w:r>
              <w:rPr>
                <w:rFonts w:hint="default" w:ascii="Times New Roman" w:hAnsi="Times New Roman" w:cs="Times New Roman"/>
                <w:color w:val="auto"/>
                <w:kern w:val="0"/>
                <w:sz w:val="24"/>
              </w:rPr>
              <w:t>为</w:t>
            </w:r>
            <w:r>
              <w:rPr>
                <w:rFonts w:hint="default" w:ascii="Times New Roman" w:hAnsi="Times New Roman" w:cs="Times New Roman"/>
                <w:color w:val="auto"/>
                <w:kern w:val="0"/>
                <w:sz w:val="24"/>
                <w:lang w:val="en-US" w:eastAsia="zh-CN"/>
              </w:rPr>
              <w:t>8064</w:t>
            </w:r>
            <w:r>
              <w:rPr>
                <w:rFonts w:hint="default" w:ascii="Times New Roman" w:hAnsi="Times New Roman" w:cs="Times New Roman"/>
                <w:color w:val="auto"/>
                <w:kern w:val="0"/>
                <w:sz w:val="24"/>
              </w:rPr>
              <w:t>m</w:t>
            </w:r>
            <w:r>
              <w:rPr>
                <w:rFonts w:hint="default" w:ascii="Times New Roman" w:hAnsi="Times New Roman" w:cs="Times New Roman"/>
                <w:color w:val="auto"/>
                <w:kern w:val="0"/>
                <w:sz w:val="24"/>
                <w:vertAlign w:val="superscript"/>
              </w:rPr>
              <w:t>3</w:t>
            </w:r>
            <w:r>
              <w:rPr>
                <w:rFonts w:hint="default" w:ascii="Times New Roman" w:hAnsi="Times New Roman" w:cs="Times New Roman"/>
                <w:color w:val="auto"/>
                <w:kern w:val="0"/>
                <w:sz w:val="24"/>
              </w:rPr>
              <w:t>/a</w:t>
            </w:r>
            <w:r>
              <w:rPr>
                <w:rFonts w:hint="eastAsia" w:cs="Times New Roman"/>
                <w:color w:val="auto"/>
                <w:kern w:val="0"/>
                <w:sz w:val="24"/>
                <w:lang w:eastAsia="zh-CN"/>
              </w:rPr>
              <w:t>，</w:t>
            </w:r>
            <w:r>
              <w:rPr>
                <w:rFonts w:hint="eastAsia" w:cs="Times New Roman"/>
                <w:color w:val="auto"/>
                <w:kern w:val="0"/>
                <w:sz w:val="24"/>
                <w:lang w:val="en-US" w:eastAsia="zh-CN"/>
              </w:rPr>
              <w:t>再加上换水时的用水量12m</w:t>
            </w:r>
            <w:r>
              <w:rPr>
                <w:rFonts w:hint="eastAsia" w:cs="Times New Roman"/>
                <w:color w:val="auto"/>
                <w:kern w:val="0"/>
                <w:sz w:val="24"/>
                <w:vertAlign w:val="superscript"/>
                <w:lang w:val="en-US" w:eastAsia="zh-CN"/>
              </w:rPr>
              <w:t>3</w:t>
            </w:r>
            <w:r>
              <w:rPr>
                <w:rFonts w:hint="eastAsia" w:cs="Times New Roman"/>
                <w:color w:val="auto"/>
                <w:kern w:val="0"/>
                <w:sz w:val="24"/>
                <w:lang w:val="en-US" w:eastAsia="zh-CN"/>
              </w:rPr>
              <w:t>，总计补水量为8076m</w:t>
            </w:r>
            <w:r>
              <w:rPr>
                <w:rFonts w:hint="eastAsia" w:cs="Times New Roman"/>
                <w:color w:val="auto"/>
                <w:kern w:val="0"/>
                <w:sz w:val="24"/>
                <w:vertAlign w:val="superscript"/>
                <w:lang w:val="en-US" w:eastAsia="zh-CN"/>
              </w:rPr>
              <w:t>3</w:t>
            </w:r>
            <w:r>
              <w:rPr>
                <w:rFonts w:hint="eastAsia" w:cs="Times New Roman"/>
                <w:color w:val="auto"/>
                <w:kern w:val="0"/>
                <w:sz w:val="24"/>
                <w:lang w:val="en-US" w:eastAsia="zh-CN"/>
              </w:rPr>
              <w:t>/a</w:t>
            </w:r>
            <w:r>
              <w:rPr>
                <w:rFonts w:hint="default" w:ascii="Times New Roman" w:hAnsi="Times New Roman" w:cs="Times New Roman"/>
                <w:color w:val="auto"/>
                <w:kern w:val="0"/>
                <w:sz w:val="24"/>
              </w:rPr>
              <w:t>。</w:t>
            </w:r>
          </w:p>
          <w:p w14:paraId="7E64B4A8">
            <w:pPr>
              <w:pageBreakBefore w:val="0"/>
              <w:wordWrap w:val="0"/>
              <w:overflowPunct/>
              <w:bidi w:val="0"/>
              <w:spacing w:line="360" w:lineRule="auto"/>
              <w:ind w:firstLine="480" w:firstLineChars="200"/>
              <w:rPr>
                <w:rFonts w:hint="default" w:ascii="Times New Roman" w:hAnsi="Times New Roman" w:eastAsia="宋体" w:cs="Times New Roman"/>
                <w:b/>
                <w:bCs/>
                <w:color w:val="auto"/>
                <w:kern w:val="0"/>
                <w:sz w:val="24"/>
                <w:lang w:val="en-US" w:eastAsia="zh-CN"/>
              </w:rPr>
            </w:pPr>
            <w:r>
              <w:rPr>
                <w:rFonts w:hint="eastAsia" w:cs="Times New Roman"/>
                <w:b/>
                <w:bCs/>
                <w:color w:val="auto"/>
                <w:kern w:val="0"/>
                <w:sz w:val="24"/>
                <w:lang w:val="en-US" w:eastAsia="zh-CN"/>
              </w:rPr>
              <w:t>2、水环境影响分析结论</w:t>
            </w:r>
          </w:p>
          <w:p w14:paraId="10E60D81">
            <w:pPr>
              <w:pageBreakBefore w:val="0"/>
              <w:wordWrap w:val="0"/>
              <w:overflowPunct/>
              <w:bidi w:val="0"/>
              <w:spacing w:line="360" w:lineRule="auto"/>
              <w:ind w:firstLine="480" w:firstLineChars="200"/>
              <w:rPr>
                <w:rFonts w:hint="eastAsia" w:ascii="Times New Roman" w:hAnsi="Times New Roman" w:eastAsia="宋体" w:cs="Times New Roman"/>
                <w:color w:val="auto"/>
                <w:kern w:val="0"/>
                <w:sz w:val="24"/>
                <w:lang w:eastAsia="zh-CN"/>
              </w:rPr>
            </w:pPr>
            <w:r>
              <w:rPr>
                <w:rFonts w:hint="default" w:ascii="Times New Roman" w:hAnsi="Times New Roman" w:cs="Times New Roman"/>
                <w:color w:val="auto"/>
                <w:kern w:val="0"/>
                <w:sz w:val="24"/>
              </w:rPr>
              <w:t>本次扩建项目不新增员工，不涉及新增废水排放</w:t>
            </w:r>
            <w:r>
              <w:rPr>
                <w:rFonts w:hint="eastAsia" w:cs="Times New Roman"/>
                <w:color w:val="auto"/>
                <w:kern w:val="0"/>
                <w:sz w:val="24"/>
                <w:lang w:eastAsia="zh-CN"/>
              </w:rPr>
              <w:t>。</w:t>
            </w:r>
          </w:p>
          <w:p w14:paraId="02831941">
            <w:pPr>
              <w:pageBreakBefore w:val="0"/>
              <w:wordWrap w:val="0"/>
              <w:overflowPunct/>
              <w:bidi w:val="0"/>
              <w:spacing w:line="360" w:lineRule="auto"/>
              <w:ind w:firstLine="480" w:firstLineChars="200"/>
              <w:rPr>
                <w:rFonts w:hint="eastAsia" w:ascii="Times New Roman" w:hAnsi="Times New Roman" w:eastAsia="宋体" w:cs="Times New Roman"/>
                <w:color w:val="auto"/>
                <w:kern w:val="0"/>
                <w:sz w:val="24"/>
                <w:lang w:eastAsia="zh-CN"/>
              </w:rPr>
            </w:pPr>
            <w:r>
              <w:rPr>
                <w:rFonts w:hint="default" w:ascii="Times New Roman" w:hAnsi="Times New Roman" w:cs="Times New Roman"/>
                <w:color w:val="auto"/>
                <w:kern w:val="0"/>
                <w:sz w:val="24"/>
              </w:rPr>
              <w:t>调漆用水蒸发损耗；喷枪清洗废液作为危废，委托有资质单位处理</w:t>
            </w:r>
            <w:r>
              <w:rPr>
                <w:rFonts w:hint="eastAsia" w:cs="Times New Roman"/>
                <w:color w:val="auto"/>
                <w:kern w:val="0"/>
                <w:sz w:val="24"/>
                <w:lang w:eastAsia="zh-CN"/>
              </w:rPr>
              <w:t>；</w:t>
            </w:r>
            <w:r>
              <w:rPr>
                <w:rFonts w:hint="default" w:ascii="Times New Roman" w:hAnsi="Times New Roman" w:cs="Times New Roman"/>
                <w:color w:val="auto"/>
                <w:kern w:val="0"/>
                <w:sz w:val="24"/>
              </w:rPr>
              <w:t>喷漆废水（水帘柜、水喷淋塔喷淋废水）作为危废，委托有资质单位处理；循环冷却水经冷却塔冷却后循环使用，蒸发损耗；循环水每月更换一次，补充至喷淋塔作为喷淋用水，不外排</w:t>
            </w:r>
            <w:r>
              <w:rPr>
                <w:rFonts w:hint="eastAsia" w:cs="Times New Roman"/>
                <w:color w:val="auto"/>
                <w:kern w:val="0"/>
                <w:sz w:val="24"/>
                <w:lang w:eastAsia="zh-CN"/>
              </w:rPr>
              <w:t>。</w:t>
            </w:r>
          </w:p>
          <w:p w14:paraId="2FD293C5">
            <w:pPr>
              <w:pageBreakBefore w:val="0"/>
              <w:wordWrap w:val="0"/>
              <w:overflowPunct/>
              <w:bidi w:val="0"/>
              <w:spacing w:line="360" w:lineRule="auto"/>
              <w:ind w:firstLine="480" w:firstLineChars="200"/>
              <w:rPr>
                <w:rFonts w:hint="default" w:ascii="Times New Roman" w:hAnsi="Times New Roman" w:eastAsia="宋体" w:cs="Times New Roman"/>
                <w:color w:val="auto"/>
                <w:sz w:val="24"/>
                <w:lang w:val="en-US" w:eastAsia="zh-CN"/>
              </w:rPr>
            </w:pPr>
            <w:r>
              <w:rPr>
                <w:rFonts w:hint="eastAsia"/>
                <w:color w:val="auto"/>
                <w:lang w:val="en-US" w:eastAsia="zh-CN"/>
              </w:rPr>
              <w:t>本次扩建项目无新增废水外排，对地表水环境不产生影响。</w:t>
            </w:r>
          </w:p>
          <w:p w14:paraId="2ACCCCD6">
            <w:pPr>
              <w:keepNext/>
              <w:keepLines/>
              <w:pageBreakBefore w:val="0"/>
              <w:tabs>
                <w:tab w:val="left" w:pos="0"/>
              </w:tabs>
              <w:wordWrap w:val="0"/>
              <w:overflowPunct/>
              <w:bidi w:val="0"/>
              <w:ind w:firstLine="480" w:firstLineChars="200"/>
              <w:outlineLvl w:val="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三、噪声污染源</w:t>
            </w:r>
          </w:p>
          <w:p w14:paraId="53BABC62">
            <w:pPr>
              <w:keepNext/>
              <w:keepLines/>
              <w:pageBreakBefore w:val="0"/>
              <w:tabs>
                <w:tab w:val="left" w:pos="0"/>
              </w:tabs>
              <w:wordWrap w:val="0"/>
              <w:overflowPunct/>
              <w:bidi w:val="0"/>
              <w:ind w:firstLine="480" w:firstLine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1、污染源源强分析</w:t>
            </w:r>
          </w:p>
          <w:p w14:paraId="6A2732CA">
            <w:pPr>
              <w:pStyle w:val="12"/>
              <w:pageBreakBefore w:val="0"/>
              <w:wordWrap w:val="0"/>
              <w:overflowPunct/>
              <w:bidi w:val="0"/>
              <w:ind w:firstLine="480"/>
              <w:rPr>
                <w:rFonts w:hint="default" w:ascii="Times New Roman" w:hAnsi="Times New Roman" w:cs="Times New Roman"/>
                <w:color w:val="auto"/>
                <w:kern w:val="0"/>
                <w:highlight w:val="none"/>
                <w:lang w:bidi="ar"/>
              </w:rPr>
            </w:pPr>
            <w:r>
              <w:rPr>
                <w:rFonts w:hint="default" w:ascii="Times New Roman" w:hAnsi="Times New Roman" w:eastAsia="宋体" w:cs="Times New Roman"/>
                <w:color w:val="auto"/>
              </w:rPr>
              <w:t>本项目运营期噪声源主要为生产设备运行产生的噪声。</w:t>
            </w:r>
            <w:r>
              <w:rPr>
                <w:rFonts w:hint="default" w:ascii="Times New Roman" w:hAnsi="Times New Roman" w:eastAsia="宋体" w:cs="Times New Roman"/>
                <w:bCs/>
                <w:color w:val="auto"/>
                <w:kern w:val="0"/>
              </w:rPr>
              <w:t>生产及辅助设备运行时产生的噪声强度值为60~85dB</w:t>
            </w:r>
            <w:r>
              <w:rPr>
                <w:rFonts w:hint="eastAsia" w:cs="Times New Roman"/>
                <w:bCs/>
                <w:color w:val="auto"/>
                <w:kern w:val="0"/>
                <w:lang w:eastAsia="zh-CN"/>
              </w:rPr>
              <w:t>（</w:t>
            </w:r>
            <w:r>
              <w:rPr>
                <w:rFonts w:hint="default" w:ascii="Times New Roman" w:hAnsi="Times New Roman" w:eastAsia="宋体" w:cs="Times New Roman"/>
                <w:bCs/>
                <w:color w:val="auto"/>
                <w:kern w:val="0"/>
              </w:rPr>
              <w:t>A</w:t>
            </w:r>
            <w:r>
              <w:rPr>
                <w:rFonts w:hint="eastAsia" w:cs="Times New Roman"/>
                <w:bCs/>
                <w:color w:val="auto"/>
                <w:kern w:val="0"/>
                <w:lang w:eastAsia="zh-CN"/>
              </w:rPr>
              <w:t>）</w:t>
            </w:r>
            <w:r>
              <w:rPr>
                <w:rFonts w:hint="default" w:ascii="Times New Roman" w:hAnsi="Times New Roman" w:eastAsia="宋体" w:cs="Times New Roman"/>
                <w:bCs/>
                <w:color w:val="auto"/>
                <w:kern w:val="0"/>
              </w:rPr>
              <w:t>之间。噪声特征以连续性噪声为主，间歇性噪声为辅，噪声污染源强核算结果及相关参数如下表。</w:t>
            </w:r>
          </w:p>
        </w:tc>
      </w:tr>
    </w:tbl>
    <w:p w14:paraId="579E44ED">
      <w:pPr>
        <w:pageBreakBefore w:val="0"/>
        <w:wordWrap w:val="0"/>
        <w:overflowPunct/>
        <w:bidi w:val="0"/>
        <w:rPr>
          <w:rFonts w:hint="default" w:ascii="Times New Roman" w:hAnsi="Times New Roman" w:eastAsia="宋体" w:cs="Times New Roman"/>
          <w:color w:val="auto"/>
          <w:highlight w:val="none"/>
        </w:rPr>
        <w:sectPr>
          <w:pgSz w:w="11906" w:h="16838"/>
          <w:pgMar w:top="1440" w:right="1797" w:bottom="1440" w:left="1797"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bookmarkEnd w:id="92"/>
    <w:tbl>
      <w:tblPr>
        <w:tblStyle w:val="38"/>
        <w:tblW w:w="0" w:type="auto"/>
        <w:tblInd w:w="1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8"/>
        <w:gridCol w:w="13303"/>
      </w:tblGrid>
      <w:tr w14:paraId="54980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0" w:hRule="atLeast"/>
        </w:trPr>
        <w:tc>
          <w:tcPr>
            <w:tcW w:w="578" w:type="dxa"/>
          </w:tcPr>
          <w:p w14:paraId="504414F4">
            <w:pPr>
              <w:pStyle w:val="2"/>
              <w:pageBreakBefore w:val="0"/>
              <w:numPr>
                <w:ilvl w:val="0"/>
                <w:numId w:val="0"/>
              </w:numPr>
              <w:wordWrap w:val="0"/>
              <w:overflowPunct/>
              <w:bidi w:val="0"/>
              <w:rPr>
                <w:rFonts w:hint="default" w:ascii="Times New Roman" w:hAnsi="Times New Roman" w:cs="Times New Roman"/>
                <w:color w:val="auto"/>
                <w:highlight w:val="none"/>
              </w:rPr>
            </w:pPr>
            <w:bookmarkStart w:id="107" w:name="_Toc7465"/>
          </w:p>
        </w:tc>
        <w:tc>
          <w:tcPr>
            <w:tcW w:w="13303" w:type="dxa"/>
          </w:tcPr>
          <w:p w14:paraId="308B6F64">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rPr>
            </w:pPr>
            <w:r>
              <w:rPr>
                <w:rFonts w:hint="default" w:ascii="Times New Roman" w:hAnsi="Times New Roman" w:cs="Times New Roman"/>
                <w:b/>
                <w:color w:val="auto"/>
              </w:rPr>
              <w:t>噪声污染源源强核算结果及相关参数一览表</w:t>
            </w:r>
          </w:p>
          <w:p w14:paraId="0FFBFA26">
            <w:pPr>
              <w:pStyle w:val="19"/>
              <w:keepNext w:val="0"/>
              <w:keepLines w:val="0"/>
              <w:pageBreakBefore w:val="0"/>
              <w:widowControl w:val="0"/>
              <w:kinsoku/>
              <w:wordWrap w:val="0"/>
              <w:overflowPunct/>
              <w:topLinePunct w:val="0"/>
              <w:autoSpaceDE/>
              <w:autoSpaceDN/>
              <w:bidi w:val="0"/>
              <w:adjustRightInd/>
              <w:snapToGrid/>
              <w:spacing w:line="240" w:lineRule="auto"/>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工业企业噪声源强调查清单（</w:t>
            </w:r>
            <w:r>
              <w:rPr>
                <w:rFonts w:hint="default" w:ascii="Times New Roman" w:hAnsi="Times New Roman" w:cs="Times New Roman"/>
                <w:color w:val="auto"/>
                <w:highlight w:val="none"/>
                <w:lang w:val="en-US" w:eastAsia="zh-CN"/>
              </w:rPr>
              <w:t>全厂</w:t>
            </w:r>
            <w:r>
              <w:rPr>
                <w:rFonts w:hint="default" w:ascii="Times New Roman" w:hAnsi="Times New Roman" w:cs="Times New Roman"/>
                <w:color w:val="auto"/>
                <w:highlight w:val="none"/>
              </w:rPr>
              <w:t>室内声源）</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0"/>
              <w:gridCol w:w="944"/>
              <w:gridCol w:w="841"/>
              <w:gridCol w:w="505"/>
              <w:gridCol w:w="1551"/>
              <w:gridCol w:w="789"/>
              <w:gridCol w:w="786"/>
              <w:gridCol w:w="542"/>
              <w:gridCol w:w="557"/>
              <w:gridCol w:w="506"/>
              <w:gridCol w:w="1037"/>
              <w:gridCol w:w="1166"/>
              <w:gridCol w:w="763"/>
              <w:gridCol w:w="788"/>
              <w:gridCol w:w="1072"/>
              <w:gridCol w:w="740"/>
            </w:tblGrid>
            <w:tr w14:paraId="45F07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0" w:type="dxa"/>
                  <w:vMerge w:val="restart"/>
                  <w:vAlign w:val="center"/>
                </w:tcPr>
                <w:p w14:paraId="5A9C0DFC">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944" w:type="dxa"/>
                  <w:vMerge w:val="restart"/>
                  <w:vAlign w:val="center"/>
                </w:tcPr>
                <w:p w14:paraId="25A20C69">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建筑物名称</w:t>
                  </w:r>
                </w:p>
              </w:tc>
              <w:tc>
                <w:tcPr>
                  <w:tcW w:w="841" w:type="dxa"/>
                  <w:vMerge w:val="restart"/>
                  <w:vAlign w:val="center"/>
                </w:tcPr>
                <w:p w14:paraId="087D9538">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声源名称</w:t>
                  </w:r>
                </w:p>
              </w:tc>
              <w:tc>
                <w:tcPr>
                  <w:tcW w:w="505" w:type="dxa"/>
                  <w:vMerge w:val="restart"/>
                  <w:vAlign w:val="center"/>
                </w:tcPr>
                <w:p w14:paraId="1631AF5A">
                  <w:pPr>
                    <w:pStyle w:val="57"/>
                    <w:keepNext w:val="0"/>
                    <w:keepLines w:val="0"/>
                    <w:pageBreakBefore w:val="0"/>
                    <w:widowControl/>
                    <w:kinsoku/>
                    <w:wordWrap w:val="0"/>
                    <w:overflowPunct/>
                    <w:topLinePunct w:val="0"/>
                    <w:bidi w:val="0"/>
                    <w:adjustRightInd/>
                    <w:snapToGrid/>
                    <w:spacing w:line="240" w:lineRule="auto"/>
                    <w:rPr>
                      <w:rFonts w:hint="eastAsia"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数量</w:t>
                  </w:r>
                  <w:r>
                    <w:rPr>
                      <w:rFonts w:hint="eastAsia" w:cs="Times New Roman"/>
                      <w:b/>
                      <w:bCs/>
                      <w:color w:val="auto"/>
                      <w:sz w:val="21"/>
                      <w:szCs w:val="21"/>
                      <w:highlight w:val="none"/>
                      <w:lang w:eastAsia="zh-CN"/>
                    </w:rPr>
                    <w:t>（台）</w:t>
                  </w:r>
                </w:p>
              </w:tc>
              <w:tc>
                <w:tcPr>
                  <w:tcW w:w="1551" w:type="dxa"/>
                  <w:vMerge w:val="restart"/>
                  <w:vAlign w:val="center"/>
                </w:tcPr>
                <w:p w14:paraId="2E01D38E">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型号</w:t>
                  </w:r>
                </w:p>
              </w:tc>
              <w:tc>
                <w:tcPr>
                  <w:tcW w:w="789" w:type="dxa"/>
                  <w:vAlign w:val="center"/>
                </w:tcPr>
                <w:p w14:paraId="3D5229C5">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声源源强</w:t>
                  </w:r>
                </w:p>
              </w:tc>
              <w:tc>
                <w:tcPr>
                  <w:tcW w:w="786" w:type="dxa"/>
                  <w:vMerge w:val="restart"/>
                  <w:vAlign w:val="center"/>
                </w:tcPr>
                <w:p w14:paraId="12644ADA">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声源控制措施</w:t>
                  </w:r>
                </w:p>
              </w:tc>
              <w:tc>
                <w:tcPr>
                  <w:tcW w:w="1605" w:type="dxa"/>
                  <w:gridSpan w:val="3"/>
                  <w:vAlign w:val="center"/>
                </w:tcPr>
                <w:p w14:paraId="4E6C6ADD">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空间相对位置/m</w:t>
                  </w:r>
                </w:p>
              </w:tc>
              <w:tc>
                <w:tcPr>
                  <w:tcW w:w="1037" w:type="dxa"/>
                  <w:vMerge w:val="restart"/>
                  <w:vAlign w:val="center"/>
                </w:tcPr>
                <w:p w14:paraId="2B3C4E60">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距室内边界距离/m</w:t>
                  </w:r>
                </w:p>
              </w:tc>
              <w:tc>
                <w:tcPr>
                  <w:tcW w:w="1166" w:type="dxa"/>
                  <w:vMerge w:val="restart"/>
                  <w:vAlign w:val="center"/>
                </w:tcPr>
                <w:p w14:paraId="0CE0E15F">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室内边界声级/dB（A）</w:t>
                  </w:r>
                </w:p>
              </w:tc>
              <w:tc>
                <w:tcPr>
                  <w:tcW w:w="763" w:type="dxa"/>
                  <w:vMerge w:val="restart"/>
                  <w:vAlign w:val="center"/>
                </w:tcPr>
                <w:p w14:paraId="4B0699A8">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运行时段</w:t>
                  </w:r>
                </w:p>
              </w:tc>
              <w:tc>
                <w:tcPr>
                  <w:tcW w:w="788" w:type="dxa"/>
                  <w:vMerge w:val="restart"/>
                  <w:vAlign w:val="center"/>
                </w:tcPr>
                <w:p w14:paraId="001F951F">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建筑物插入损失/dB（A）</w:t>
                  </w:r>
                </w:p>
              </w:tc>
              <w:tc>
                <w:tcPr>
                  <w:tcW w:w="1812" w:type="dxa"/>
                  <w:gridSpan w:val="2"/>
                  <w:vAlign w:val="center"/>
                </w:tcPr>
                <w:p w14:paraId="0A023D1C">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建筑物外噪声</w:t>
                  </w:r>
                </w:p>
              </w:tc>
            </w:tr>
            <w:tr w14:paraId="74FEC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0" w:type="dxa"/>
                  <w:vMerge w:val="continue"/>
                  <w:vAlign w:val="center"/>
                </w:tcPr>
                <w:p w14:paraId="573C5C86">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p>
              </w:tc>
              <w:tc>
                <w:tcPr>
                  <w:tcW w:w="944" w:type="dxa"/>
                  <w:vMerge w:val="continue"/>
                  <w:vAlign w:val="center"/>
                </w:tcPr>
                <w:p w14:paraId="502CDDB3">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p>
              </w:tc>
              <w:tc>
                <w:tcPr>
                  <w:tcW w:w="841" w:type="dxa"/>
                  <w:vMerge w:val="continue"/>
                  <w:vAlign w:val="center"/>
                </w:tcPr>
                <w:p w14:paraId="38B4FC32">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p>
              </w:tc>
              <w:tc>
                <w:tcPr>
                  <w:tcW w:w="505" w:type="dxa"/>
                  <w:vMerge w:val="continue"/>
                  <w:vAlign w:val="center"/>
                </w:tcPr>
                <w:p w14:paraId="0C4FA780">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p>
              </w:tc>
              <w:tc>
                <w:tcPr>
                  <w:tcW w:w="1551" w:type="dxa"/>
                  <w:vMerge w:val="continue"/>
                  <w:vAlign w:val="center"/>
                </w:tcPr>
                <w:p w14:paraId="5AB97B87">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p>
              </w:tc>
              <w:tc>
                <w:tcPr>
                  <w:tcW w:w="789" w:type="dxa"/>
                  <w:vAlign w:val="center"/>
                </w:tcPr>
                <w:p w14:paraId="0328F267">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声压级/dB（A）</w:t>
                  </w:r>
                </w:p>
              </w:tc>
              <w:tc>
                <w:tcPr>
                  <w:tcW w:w="786" w:type="dxa"/>
                  <w:vMerge w:val="continue"/>
                  <w:vAlign w:val="center"/>
                </w:tcPr>
                <w:p w14:paraId="78EF64D3">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p>
              </w:tc>
              <w:tc>
                <w:tcPr>
                  <w:tcW w:w="542" w:type="dxa"/>
                  <w:vAlign w:val="center"/>
                </w:tcPr>
                <w:p w14:paraId="3E1A0E08">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X</w:t>
                  </w:r>
                </w:p>
              </w:tc>
              <w:tc>
                <w:tcPr>
                  <w:tcW w:w="557" w:type="dxa"/>
                  <w:vAlign w:val="center"/>
                </w:tcPr>
                <w:p w14:paraId="5A40ACCE">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Y</w:t>
                  </w:r>
                </w:p>
              </w:tc>
              <w:tc>
                <w:tcPr>
                  <w:tcW w:w="506" w:type="dxa"/>
                  <w:vAlign w:val="center"/>
                </w:tcPr>
                <w:p w14:paraId="5B3BC60E">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Z</w:t>
                  </w:r>
                </w:p>
              </w:tc>
              <w:tc>
                <w:tcPr>
                  <w:tcW w:w="1037" w:type="dxa"/>
                  <w:vMerge w:val="continue"/>
                  <w:vAlign w:val="center"/>
                </w:tcPr>
                <w:p w14:paraId="4E1F6876">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p>
              </w:tc>
              <w:tc>
                <w:tcPr>
                  <w:tcW w:w="1166" w:type="dxa"/>
                  <w:vMerge w:val="continue"/>
                  <w:vAlign w:val="center"/>
                </w:tcPr>
                <w:p w14:paraId="410CE80B">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p>
              </w:tc>
              <w:tc>
                <w:tcPr>
                  <w:tcW w:w="763" w:type="dxa"/>
                  <w:vMerge w:val="continue"/>
                  <w:vAlign w:val="center"/>
                </w:tcPr>
                <w:p w14:paraId="0EE83971">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788" w:type="dxa"/>
                  <w:vMerge w:val="continue"/>
                  <w:vAlign w:val="center"/>
                </w:tcPr>
                <w:p w14:paraId="017C8F66">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1072" w:type="dxa"/>
                  <w:vAlign w:val="center"/>
                </w:tcPr>
                <w:p w14:paraId="43690171">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声压级/dB（A）</w:t>
                  </w:r>
                </w:p>
              </w:tc>
              <w:tc>
                <w:tcPr>
                  <w:tcW w:w="740" w:type="dxa"/>
                  <w:vAlign w:val="center"/>
                </w:tcPr>
                <w:p w14:paraId="606DFD1C">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建筑物外距离/m</w:t>
                  </w:r>
                </w:p>
              </w:tc>
            </w:tr>
            <w:tr w14:paraId="0D52F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0" w:type="dxa"/>
                  <w:vAlign w:val="center"/>
                </w:tcPr>
                <w:p w14:paraId="1D43F9DF">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944" w:type="dxa"/>
                  <w:vAlign w:val="center"/>
                </w:tcPr>
                <w:p w14:paraId="39F64551">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1#厂房</w:t>
                  </w:r>
                </w:p>
              </w:tc>
              <w:tc>
                <w:tcPr>
                  <w:tcW w:w="841" w:type="dxa"/>
                  <w:vAlign w:val="center"/>
                </w:tcPr>
                <w:p w14:paraId="0E416819">
                  <w:pPr>
                    <w:keepNext w:val="0"/>
                    <w:keepLines w:val="0"/>
                    <w:pageBreakBefore w:val="0"/>
                    <w:widowControl/>
                    <w:suppressLineNumbers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挤出生产线</w:t>
                  </w:r>
                </w:p>
              </w:tc>
              <w:tc>
                <w:tcPr>
                  <w:tcW w:w="505" w:type="dxa"/>
                  <w:vAlign w:val="center"/>
                </w:tcPr>
                <w:p w14:paraId="162DF4FF">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bidi="ar"/>
                    </w:rPr>
                  </w:pPr>
                  <w:r>
                    <w:rPr>
                      <w:rFonts w:hint="eastAsia" w:cs="Times New Roman"/>
                      <w:color w:val="auto"/>
                      <w:sz w:val="21"/>
                      <w:szCs w:val="21"/>
                      <w:highlight w:val="none"/>
                      <w:lang w:val="en-US" w:eastAsia="zh-CN"/>
                    </w:rPr>
                    <w:t>5条</w:t>
                  </w:r>
                </w:p>
              </w:tc>
              <w:tc>
                <w:tcPr>
                  <w:tcW w:w="1551" w:type="dxa"/>
                  <w:vMerge w:val="restart"/>
                  <w:vAlign w:val="center"/>
                </w:tcPr>
                <w:p w14:paraId="692DAED7">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电力能源</w:t>
                  </w:r>
                </w:p>
              </w:tc>
              <w:tc>
                <w:tcPr>
                  <w:tcW w:w="789" w:type="dxa"/>
                  <w:vAlign w:val="center"/>
                </w:tcPr>
                <w:p w14:paraId="75373E44">
                  <w:pPr>
                    <w:keepNext w:val="0"/>
                    <w:keepLines w:val="0"/>
                    <w:pageBreakBefore w:val="0"/>
                    <w:widowControl/>
                    <w:kinsoku/>
                    <w:wordWrap w:val="0"/>
                    <w:overflowPunct/>
                    <w:topLinePunct w:val="0"/>
                    <w:bidi w:val="0"/>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75.0</w:t>
                  </w:r>
                </w:p>
              </w:tc>
              <w:tc>
                <w:tcPr>
                  <w:tcW w:w="786" w:type="dxa"/>
                  <w:vMerge w:val="restart"/>
                  <w:vAlign w:val="center"/>
                </w:tcPr>
                <w:p w14:paraId="5B72F7E9">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rPr>
                    <w:t>减振、吸声、隔声</w:t>
                  </w:r>
                </w:p>
              </w:tc>
              <w:tc>
                <w:tcPr>
                  <w:tcW w:w="542" w:type="dxa"/>
                  <w:vAlign w:val="center"/>
                </w:tcPr>
                <w:p w14:paraId="099C72C0">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-13</w:t>
                  </w:r>
                </w:p>
              </w:tc>
              <w:tc>
                <w:tcPr>
                  <w:tcW w:w="557" w:type="dxa"/>
                  <w:vAlign w:val="center"/>
                </w:tcPr>
                <w:p w14:paraId="23895D72">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w:t>
                  </w:r>
                </w:p>
              </w:tc>
              <w:tc>
                <w:tcPr>
                  <w:tcW w:w="506" w:type="dxa"/>
                  <w:vAlign w:val="center"/>
                </w:tcPr>
                <w:p w14:paraId="39E14025">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1037" w:type="dxa"/>
                  <w:vAlign w:val="center"/>
                </w:tcPr>
                <w:p w14:paraId="3A83415C">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w:t>
                  </w:r>
                </w:p>
              </w:tc>
              <w:tc>
                <w:tcPr>
                  <w:tcW w:w="1166" w:type="dxa"/>
                  <w:vAlign w:val="center"/>
                </w:tcPr>
                <w:p w14:paraId="24EAF018">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57.3 </w:t>
                  </w:r>
                </w:p>
              </w:tc>
              <w:tc>
                <w:tcPr>
                  <w:tcW w:w="763" w:type="dxa"/>
                  <w:vMerge w:val="restart"/>
                  <w:vAlign w:val="center"/>
                </w:tcPr>
                <w:p w14:paraId="41BA68C0">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生产期间</w:t>
                  </w:r>
                </w:p>
              </w:tc>
              <w:tc>
                <w:tcPr>
                  <w:tcW w:w="788" w:type="dxa"/>
                  <w:vMerge w:val="restart"/>
                  <w:vAlign w:val="center"/>
                </w:tcPr>
                <w:p w14:paraId="2BC86AA3">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1072" w:type="dxa"/>
                  <w:vAlign w:val="center"/>
                </w:tcPr>
                <w:p w14:paraId="3B82FDC4">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37.28 </w:t>
                  </w:r>
                </w:p>
              </w:tc>
              <w:tc>
                <w:tcPr>
                  <w:tcW w:w="740" w:type="dxa"/>
                  <w:vMerge w:val="restart"/>
                  <w:vAlign w:val="center"/>
                </w:tcPr>
                <w:p w14:paraId="50B3B04D">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r>
            <w:tr w14:paraId="47119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0" w:type="dxa"/>
                  <w:vAlign w:val="center"/>
                </w:tcPr>
                <w:p w14:paraId="43952CD8">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944" w:type="dxa"/>
                  <w:vAlign w:val="center"/>
                </w:tcPr>
                <w:p w14:paraId="3E849D88">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3#厂房</w:t>
                  </w:r>
                </w:p>
              </w:tc>
              <w:tc>
                <w:tcPr>
                  <w:tcW w:w="841" w:type="dxa"/>
                  <w:vAlign w:val="center"/>
                </w:tcPr>
                <w:p w14:paraId="4C66F4E1">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挤出生产线</w:t>
                  </w:r>
                </w:p>
              </w:tc>
              <w:tc>
                <w:tcPr>
                  <w:tcW w:w="505" w:type="dxa"/>
                  <w:vAlign w:val="center"/>
                </w:tcPr>
                <w:p w14:paraId="4E812699">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bidi="ar"/>
                    </w:rPr>
                  </w:pPr>
                  <w:r>
                    <w:rPr>
                      <w:rFonts w:hint="eastAsia" w:cs="Times New Roman"/>
                      <w:color w:val="auto"/>
                      <w:sz w:val="21"/>
                      <w:szCs w:val="21"/>
                      <w:highlight w:val="none"/>
                      <w:lang w:val="en-US" w:eastAsia="zh-CN" w:bidi="ar"/>
                    </w:rPr>
                    <w:t>15条</w:t>
                  </w:r>
                </w:p>
              </w:tc>
              <w:tc>
                <w:tcPr>
                  <w:tcW w:w="1551" w:type="dxa"/>
                  <w:vMerge w:val="continue"/>
                  <w:vAlign w:val="center"/>
                </w:tcPr>
                <w:p w14:paraId="79BA5B99">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p>
              </w:tc>
              <w:tc>
                <w:tcPr>
                  <w:tcW w:w="789" w:type="dxa"/>
                  <w:vAlign w:val="center"/>
                </w:tcPr>
                <w:p w14:paraId="4BEA3EBC">
                  <w:pPr>
                    <w:keepNext w:val="0"/>
                    <w:keepLines w:val="0"/>
                    <w:pageBreakBefore w:val="0"/>
                    <w:widowControl/>
                    <w:kinsoku/>
                    <w:wordWrap w:val="0"/>
                    <w:overflowPunct/>
                    <w:topLinePunct w:val="0"/>
                    <w:bidi w:val="0"/>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75.0</w:t>
                  </w:r>
                </w:p>
              </w:tc>
              <w:tc>
                <w:tcPr>
                  <w:tcW w:w="786" w:type="dxa"/>
                  <w:vMerge w:val="continue"/>
                  <w:vAlign w:val="center"/>
                </w:tcPr>
                <w:p w14:paraId="10AD3EEA">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542" w:type="dxa"/>
                  <w:vAlign w:val="center"/>
                </w:tcPr>
                <w:p w14:paraId="5B017AFB">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w:t>
                  </w:r>
                </w:p>
              </w:tc>
              <w:tc>
                <w:tcPr>
                  <w:tcW w:w="557" w:type="dxa"/>
                  <w:vAlign w:val="center"/>
                </w:tcPr>
                <w:p w14:paraId="4F3DD391">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506" w:type="dxa"/>
                  <w:vAlign w:val="center"/>
                </w:tcPr>
                <w:p w14:paraId="08DB5FE5">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w:t>
                  </w:r>
                </w:p>
              </w:tc>
              <w:tc>
                <w:tcPr>
                  <w:tcW w:w="1037" w:type="dxa"/>
                  <w:vAlign w:val="center"/>
                </w:tcPr>
                <w:p w14:paraId="0F548566">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p>
              </w:tc>
              <w:tc>
                <w:tcPr>
                  <w:tcW w:w="1166" w:type="dxa"/>
                  <w:vAlign w:val="center"/>
                </w:tcPr>
                <w:p w14:paraId="0886ED43">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67.6 </w:t>
                  </w:r>
                </w:p>
              </w:tc>
              <w:tc>
                <w:tcPr>
                  <w:tcW w:w="763" w:type="dxa"/>
                  <w:vMerge w:val="continue"/>
                  <w:vAlign w:val="center"/>
                </w:tcPr>
                <w:p w14:paraId="22D470EE">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788" w:type="dxa"/>
                  <w:vMerge w:val="continue"/>
                  <w:vAlign w:val="center"/>
                </w:tcPr>
                <w:p w14:paraId="5FA5343F">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1072" w:type="dxa"/>
                  <w:vAlign w:val="center"/>
                </w:tcPr>
                <w:p w14:paraId="385FA26E">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47.59 </w:t>
                  </w:r>
                </w:p>
              </w:tc>
              <w:tc>
                <w:tcPr>
                  <w:tcW w:w="740" w:type="dxa"/>
                  <w:vMerge w:val="continue"/>
                  <w:vAlign w:val="center"/>
                </w:tcPr>
                <w:p w14:paraId="7D84819B">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r>
            <w:tr w14:paraId="70545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0" w:type="dxa"/>
                  <w:vAlign w:val="center"/>
                </w:tcPr>
                <w:p w14:paraId="1634BE28">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944" w:type="dxa"/>
                  <w:vMerge w:val="restart"/>
                  <w:vAlign w:val="center"/>
                </w:tcPr>
                <w:p w14:paraId="7598BCC0">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10#厂房</w:t>
                  </w:r>
                </w:p>
              </w:tc>
              <w:tc>
                <w:tcPr>
                  <w:tcW w:w="841" w:type="dxa"/>
                  <w:vAlign w:val="center"/>
                </w:tcPr>
                <w:p w14:paraId="0FA6578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注塑机</w:t>
                  </w:r>
                </w:p>
              </w:tc>
              <w:tc>
                <w:tcPr>
                  <w:tcW w:w="505" w:type="dxa"/>
                  <w:vAlign w:val="center"/>
                </w:tcPr>
                <w:p w14:paraId="54607D0E">
                  <w:pPr>
                    <w:pageBreakBefore w:val="0"/>
                    <w:wordWrap w:val="0"/>
                    <w:overflowPunct/>
                    <w:bidi w:val="0"/>
                    <w:spacing w:line="240" w:lineRule="auto"/>
                    <w:jc w:val="center"/>
                    <w:rPr>
                      <w:rFonts w:hint="default" w:ascii="Times New Roman" w:hAnsi="Times New Roman" w:cs="Times New Roman"/>
                      <w:color w:val="auto"/>
                      <w:sz w:val="21"/>
                      <w:szCs w:val="21"/>
                      <w:highlight w:val="none"/>
                      <w:lang w:bidi="ar"/>
                    </w:rPr>
                  </w:pPr>
                  <w:r>
                    <w:rPr>
                      <w:rFonts w:hint="default" w:ascii="Times New Roman" w:hAnsi="Times New Roman" w:eastAsia="宋体" w:cs="Times New Roman"/>
                      <w:color w:val="auto"/>
                      <w:sz w:val="21"/>
                      <w:szCs w:val="21"/>
                      <w:highlight w:val="none"/>
                      <w:lang w:val="en-US" w:eastAsia="zh-CN"/>
                    </w:rPr>
                    <w:t>40</w:t>
                  </w:r>
                </w:p>
              </w:tc>
              <w:tc>
                <w:tcPr>
                  <w:tcW w:w="1551" w:type="dxa"/>
                  <w:vMerge w:val="continue"/>
                  <w:vAlign w:val="center"/>
                </w:tcPr>
                <w:p w14:paraId="57802F0E">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p>
              </w:tc>
              <w:tc>
                <w:tcPr>
                  <w:tcW w:w="789" w:type="dxa"/>
                  <w:vAlign w:val="center"/>
                </w:tcPr>
                <w:p w14:paraId="3644095F">
                  <w:pPr>
                    <w:pStyle w:val="57"/>
                    <w:keepNext w:val="0"/>
                    <w:keepLines w:val="0"/>
                    <w:pageBreakBefore w:val="0"/>
                    <w:widowControl/>
                    <w:kinsoku/>
                    <w:wordWrap w:val="0"/>
                    <w:overflowPunct/>
                    <w:topLinePunct w:val="0"/>
                    <w:bidi w:val="0"/>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75</w:t>
                  </w:r>
                  <w:r>
                    <w:rPr>
                      <w:rFonts w:hint="default" w:ascii="Times New Roman" w:hAnsi="Times New Roman" w:cs="Times New Roman"/>
                      <w:color w:val="auto"/>
                      <w:sz w:val="21"/>
                      <w:szCs w:val="21"/>
                      <w:highlight w:val="none"/>
                      <w:lang w:val="en-US" w:eastAsia="zh-CN"/>
                    </w:rPr>
                    <w:t>.0</w:t>
                  </w:r>
                </w:p>
              </w:tc>
              <w:tc>
                <w:tcPr>
                  <w:tcW w:w="786" w:type="dxa"/>
                  <w:vMerge w:val="continue"/>
                  <w:vAlign w:val="center"/>
                </w:tcPr>
                <w:p w14:paraId="7AA2BAB3">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542" w:type="dxa"/>
                  <w:vAlign w:val="center"/>
                </w:tcPr>
                <w:p w14:paraId="3B298ADE">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w:t>
                  </w:r>
                </w:p>
              </w:tc>
              <w:tc>
                <w:tcPr>
                  <w:tcW w:w="557" w:type="dxa"/>
                  <w:vAlign w:val="center"/>
                </w:tcPr>
                <w:p w14:paraId="722B74BB">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w:t>
                  </w:r>
                </w:p>
              </w:tc>
              <w:tc>
                <w:tcPr>
                  <w:tcW w:w="506" w:type="dxa"/>
                  <w:vAlign w:val="center"/>
                </w:tcPr>
                <w:p w14:paraId="6C8DB2A2">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w:t>
                  </w:r>
                </w:p>
              </w:tc>
              <w:tc>
                <w:tcPr>
                  <w:tcW w:w="1037" w:type="dxa"/>
                  <w:vAlign w:val="center"/>
                </w:tcPr>
                <w:p w14:paraId="6E6D1977">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1166" w:type="dxa"/>
                  <w:vAlign w:val="center"/>
                </w:tcPr>
                <w:p w14:paraId="4698F99F">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75.3 </w:t>
                  </w:r>
                </w:p>
              </w:tc>
              <w:tc>
                <w:tcPr>
                  <w:tcW w:w="763" w:type="dxa"/>
                  <w:vMerge w:val="continue"/>
                  <w:vAlign w:val="center"/>
                </w:tcPr>
                <w:p w14:paraId="628CE820">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788" w:type="dxa"/>
                  <w:vMerge w:val="continue"/>
                  <w:vAlign w:val="center"/>
                </w:tcPr>
                <w:p w14:paraId="7D891BA0">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1072" w:type="dxa"/>
                  <w:vAlign w:val="center"/>
                </w:tcPr>
                <w:p w14:paraId="166475E0">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55.29 </w:t>
                  </w:r>
                </w:p>
              </w:tc>
              <w:tc>
                <w:tcPr>
                  <w:tcW w:w="740" w:type="dxa"/>
                  <w:vMerge w:val="continue"/>
                  <w:vAlign w:val="center"/>
                </w:tcPr>
                <w:p w14:paraId="3DB61FFB">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r>
            <w:tr w14:paraId="3FC01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0" w:type="dxa"/>
                  <w:vAlign w:val="center"/>
                </w:tcPr>
                <w:p w14:paraId="3B739F86">
                  <w:pPr>
                    <w:pStyle w:val="57"/>
                    <w:keepNext w:val="0"/>
                    <w:keepLines w:val="0"/>
                    <w:pageBreakBefore w:val="0"/>
                    <w:widowControl/>
                    <w:kinsoku/>
                    <w:wordWrap w:val="0"/>
                    <w:overflowPunct/>
                    <w:topLinePunct w:val="0"/>
                    <w:bidi w:val="0"/>
                    <w:adjustRightInd/>
                    <w:snapToGrid/>
                    <w:spacing w:line="240" w:lineRule="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w:t>
                  </w:r>
                </w:p>
              </w:tc>
              <w:tc>
                <w:tcPr>
                  <w:tcW w:w="944" w:type="dxa"/>
                  <w:vMerge w:val="continue"/>
                  <w:vAlign w:val="center"/>
                </w:tcPr>
                <w:p w14:paraId="04ABD801">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p>
              </w:tc>
              <w:tc>
                <w:tcPr>
                  <w:tcW w:w="841" w:type="dxa"/>
                  <w:vAlign w:val="center"/>
                </w:tcPr>
                <w:p w14:paraId="1B8BDE17">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搅拌机</w:t>
                  </w:r>
                </w:p>
              </w:tc>
              <w:tc>
                <w:tcPr>
                  <w:tcW w:w="505" w:type="dxa"/>
                  <w:vAlign w:val="center"/>
                </w:tcPr>
                <w:p w14:paraId="5C501580">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1551" w:type="dxa"/>
                  <w:vMerge w:val="continue"/>
                  <w:vAlign w:val="center"/>
                </w:tcPr>
                <w:p w14:paraId="41062734">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lang w:val="en-US" w:eastAsia="zh-CN"/>
                    </w:rPr>
                  </w:pPr>
                </w:p>
              </w:tc>
              <w:tc>
                <w:tcPr>
                  <w:tcW w:w="789" w:type="dxa"/>
                  <w:vAlign w:val="center"/>
                </w:tcPr>
                <w:p w14:paraId="01D25580">
                  <w:pPr>
                    <w:keepNext w:val="0"/>
                    <w:keepLines w:val="0"/>
                    <w:pageBreakBefore w:val="0"/>
                    <w:widowControl/>
                    <w:kinsoku/>
                    <w:wordWrap w:val="0"/>
                    <w:overflowPunct/>
                    <w:topLinePunct w:val="0"/>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85.0</w:t>
                  </w:r>
                </w:p>
              </w:tc>
              <w:tc>
                <w:tcPr>
                  <w:tcW w:w="786" w:type="dxa"/>
                  <w:vMerge w:val="continue"/>
                  <w:vAlign w:val="center"/>
                </w:tcPr>
                <w:p w14:paraId="11A20B41">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542" w:type="dxa"/>
                  <w:vAlign w:val="center"/>
                </w:tcPr>
                <w:p w14:paraId="23144FDE">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-6</w:t>
                  </w:r>
                </w:p>
              </w:tc>
              <w:tc>
                <w:tcPr>
                  <w:tcW w:w="557" w:type="dxa"/>
                  <w:vAlign w:val="center"/>
                </w:tcPr>
                <w:p w14:paraId="00EF0164">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506" w:type="dxa"/>
                  <w:vAlign w:val="center"/>
                </w:tcPr>
                <w:p w14:paraId="08F66BB7">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1037" w:type="dxa"/>
                  <w:vAlign w:val="center"/>
                </w:tcPr>
                <w:p w14:paraId="79FA068B">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1166" w:type="dxa"/>
                  <w:vAlign w:val="center"/>
                </w:tcPr>
                <w:p w14:paraId="62DB9E74">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66.6 </w:t>
                  </w:r>
                </w:p>
              </w:tc>
              <w:tc>
                <w:tcPr>
                  <w:tcW w:w="763" w:type="dxa"/>
                  <w:vMerge w:val="continue"/>
                  <w:vAlign w:val="center"/>
                </w:tcPr>
                <w:p w14:paraId="64F0700C">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788" w:type="dxa"/>
                  <w:vMerge w:val="continue"/>
                  <w:vAlign w:val="center"/>
                </w:tcPr>
                <w:p w14:paraId="2529A7C9">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1072" w:type="dxa"/>
                  <w:vAlign w:val="center"/>
                </w:tcPr>
                <w:p w14:paraId="1087FC28">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46.62 </w:t>
                  </w:r>
                </w:p>
              </w:tc>
              <w:tc>
                <w:tcPr>
                  <w:tcW w:w="740" w:type="dxa"/>
                  <w:vMerge w:val="continue"/>
                  <w:vAlign w:val="center"/>
                </w:tcPr>
                <w:p w14:paraId="754F375D">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r>
            <w:tr w14:paraId="109E9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0" w:type="dxa"/>
                  <w:vAlign w:val="center"/>
                </w:tcPr>
                <w:p w14:paraId="1D5A7876">
                  <w:pPr>
                    <w:pStyle w:val="57"/>
                    <w:keepNext w:val="0"/>
                    <w:keepLines w:val="0"/>
                    <w:pageBreakBefore w:val="0"/>
                    <w:widowControl/>
                    <w:kinsoku/>
                    <w:wordWrap w:val="0"/>
                    <w:overflowPunct/>
                    <w:topLinePunct w:val="0"/>
                    <w:bidi w:val="0"/>
                    <w:adjustRightInd/>
                    <w:snapToGrid/>
                    <w:spacing w:line="240" w:lineRule="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944" w:type="dxa"/>
                  <w:vMerge w:val="continue"/>
                  <w:vAlign w:val="center"/>
                </w:tcPr>
                <w:p w14:paraId="5997F7D5">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p>
              </w:tc>
              <w:tc>
                <w:tcPr>
                  <w:tcW w:w="841" w:type="dxa"/>
                  <w:vAlign w:val="center"/>
                </w:tcPr>
                <w:p w14:paraId="5A783085">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碎料机</w:t>
                  </w:r>
                </w:p>
              </w:tc>
              <w:tc>
                <w:tcPr>
                  <w:tcW w:w="505" w:type="dxa"/>
                  <w:vAlign w:val="center"/>
                </w:tcPr>
                <w:p w14:paraId="54A385C1">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1551" w:type="dxa"/>
                  <w:vMerge w:val="continue"/>
                  <w:vAlign w:val="center"/>
                </w:tcPr>
                <w:p w14:paraId="765B442D">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lang w:val="en-US" w:eastAsia="zh-CN"/>
                    </w:rPr>
                  </w:pPr>
                </w:p>
              </w:tc>
              <w:tc>
                <w:tcPr>
                  <w:tcW w:w="789" w:type="dxa"/>
                  <w:vAlign w:val="center"/>
                </w:tcPr>
                <w:p w14:paraId="714F3650">
                  <w:pPr>
                    <w:keepNext w:val="0"/>
                    <w:keepLines w:val="0"/>
                    <w:pageBreakBefore w:val="0"/>
                    <w:widowControl/>
                    <w:kinsoku/>
                    <w:wordWrap w:val="0"/>
                    <w:overflowPunct/>
                    <w:topLinePunct w:val="0"/>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90</w:t>
                  </w:r>
                  <w:r>
                    <w:rPr>
                      <w:rFonts w:hint="default" w:ascii="Times New Roman" w:hAnsi="Times New Roman" w:cs="Times New Roman"/>
                      <w:color w:val="auto"/>
                      <w:sz w:val="21"/>
                      <w:szCs w:val="21"/>
                      <w:highlight w:val="none"/>
                      <w:lang w:val="en-US" w:eastAsia="zh-CN"/>
                    </w:rPr>
                    <w:t>.0</w:t>
                  </w:r>
                </w:p>
              </w:tc>
              <w:tc>
                <w:tcPr>
                  <w:tcW w:w="786" w:type="dxa"/>
                  <w:vMerge w:val="continue"/>
                  <w:vAlign w:val="center"/>
                </w:tcPr>
                <w:p w14:paraId="1ED60D04">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542" w:type="dxa"/>
                  <w:vAlign w:val="center"/>
                </w:tcPr>
                <w:p w14:paraId="302D7036">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557" w:type="dxa"/>
                  <w:vAlign w:val="center"/>
                </w:tcPr>
                <w:p w14:paraId="445509D7">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-42</w:t>
                  </w:r>
                </w:p>
              </w:tc>
              <w:tc>
                <w:tcPr>
                  <w:tcW w:w="506" w:type="dxa"/>
                  <w:vAlign w:val="center"/>
                </w:tcPr>
                <w:p w14:paraId="6232D43E">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1037" w:type="dxa"/>
                  <w:vAlign w:val="center"/>
                </w:tcPr>
                <w:p w14:paraId="1092BA19">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1166" w:type="dxa"/>
                  <w:vAlign w:val="center"/>
                </w:tcPr>
                <w:p w14:paraId="5BCB0C8D">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58.3 </w:t>
                  </w:r>
                </w:p>
              </w:tc>
              <w:tc>
                <w:tcPr>
                  <w:tcW w:w="763" w:type="dxa"/>
                  <w:vMerge w:val="continue"/>
                  <w:vAlign w:val="center"/>
                </w:tcPr>
                <w:p w14:paraId="668F7EA4">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788" w:type="dxa"/>
                  <w:vMerge w:val="continue"/>
                  <w:vAlign w:val="center"/>
                </w:tcPr>
                <w:p w14:paraId="3E59B710">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1072" w:type="dxa"/>
                  <w:vAlign w:val="center"/>
                </w:tcPr>
                <w:p w14:paraId="19492D33">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38.30 </w:t>
                  </w:r>
                </w:p>
              </w:tc>
              <w:tc>
                <w:tcPr>
                  <w:tcW w:w="740" w:type="dxa"/>
                  <w:vMerge w:val="continue"/>
                  <w:vAlign w:val="center"/>
                </w:tcPr>
                <w:p w14:paraId="5A9EBADE">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r>
            <w:tr w14:paraId="39B92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0" w:type="dxa"/>
                  <w:vAlign w:val="center"/>
                </w:tcPr>
                <w:p w14:paraId="79F808F0">
                  <w:pPr>
                    <w:pStyle w:val="57"/>
                    <w:keepNext w:val="0"/>
                    <w:keepLines w:val="0"/>
                    <w:pageBreakBefore w:val="0"/>
                    <w:widowControl/>
                    <w:kinsoku/>
                    <w:wordWrap w:val="0"/>
                    <w:overflowPunct/>
                    <w:topLinePunct w:val="0"/>
                    <w:bidi w:val="0"/>
                    <w:adjustRightInd/>
                    <w:snapToGrid/>
                    <w:spacing w:line="240" w:lineRule="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w:t>
                  </w:r>
                </w:p>
              </w:tc>
              <w:tc>
                <w:tcPr>
                  <w:tcW w:w="944" w:type="dxa"/>
                  <w:vMerge w:val="continue"/>
                  <w:vAlign w:val="center"/>
                </w:tcPr>
                <w:p w14:paraId="59A54B95">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p>
              </w:tc>
              <w:tc>
                <w:tcPr>
                  <w:tcW w:w="841" w:type="dxa"/>
                  <w:vAlign w:val="center"/>
                </w:tcPr>
                <w:p w14:paraId="4A3A8141">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手动喷漆柜（水性）</w:t>
                  </w:r>
                </w:p>
              </w:tc>
              <w:tc>
                <w:tcPr>
                  <w:tcW w:w="505" w:type="dxa"/>
                  <w:vAlign w:val="center"/>
                </w:tcPr>
                <w:p w14:paraId="72563EF5">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551" w:type="dxa"/>
                  <w:vMerge w:val="continue"/>
                  <w:vAlign w:val="center"/>
                </w:tcPr>
                <w:p w14:paraId="62A34EF1">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lang w:val="en-US" w:eastAsia="zh-CN"/>
                    </w:rPr>
                  </w:pPr>
                </w:p>
              </w:tc>
              <w:tc>
                <w:tcPr>
                  <w:tcW w:w="789" w:type="dxa"/>
                  <w:vAlign w:val="center"/>
                </w:tcPr>
                <w:p w14:paraId="50CC0706">
                  <w:pPr>
                    <w:keepNext w:val="0"/>
                    <w:keepLines w:val="0"/>
                    <w:pageBreakBefore w:val="0"/>
                    <w:widowControl/>
                    <w:kinsoku/>
                    <w:wordWrap w:val="0"/>
                    <w:overflowPunct/>
                    <w:topLinePunct w:val="0"/>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85.0</w:t>
                  </w:r>
                </w:p>
              </w:tc>
              <w:tc>
                <w:tcPr>
                  <w:tcW w:w="786" w:type="dxa"/>
                  <w:vMerge w:val="continue"/>
                  <w:vAlign w:val="center"/>
                </w:tcPr>
                <w:p w14:paraId="359AB023">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542" w:type="dxa"/>
                  <w:vAlign w:val="center"/>
                </w:tcPr>
                <w:p w14:paraId="110F71D5">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557" w:type="dxa"/>
                  <w:vAlign w:val="center"/>
                </w:tcPr>
                <w:p w14:paraId="00739A49">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35</w:t>
                  </w:r>
                </w:p>
              </w:tc>
              <w:tc>
                <w:tcPr>
                  <w:tcW w:w="506" w:type="dxa"/>
                  <w:vAlign w:val="center"/>
                </w:tcPr>
                <w:p w14:paraId="25AA2FC0">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w:t>
                  </w:r>
                </w:p>
              </w:tc>
              <w:tc>
                <w:tcPr>
                  <w:tcW w:w="1037" w:type="dxa"/>
                  <w:vAlign w:val="center"/>
                </w:tcPr>
                <w:p w14:paraId="67AC458E">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1166" w:type="dxa"/>
                  <w:vAlign w:val="center"/>
                </w:tcPr>
                <w:p w14:paraId="12919663">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60.3 </w:t>
                  </w:r>
                </w:p>
              </w:tc>
              <w:tc>
                <w:tcPr>
                  <w:tcW w:w="763" w:type="dxa"/>
                  <w:vMerge w:val="continue"/>
                  <w:vAlign w:val="center"/>
                </w:tcPr>
                <w:p w14:paraId="4BEDF316">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788" w:type="dxa"/>
                  <w:vMerge w:val="continue"/>
                  <w:vAlign w:val="center"/>
                </w:tcPr>
                <w:p w14:paraId="72DB5372">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1072" w:type="dxa"/>
                  <w:vAlign w:val="center"/>
                </w:tcPr>
                <w:p w14:paraId="2C28FCA0">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40.29 </w:t>
                  </w:r>
                </w:p>
              </w:tc>
              <w:tc>
                <w:tcPr>
                  <w:tcW w:w="740" w:type="dxa"/>
                  <w:vMerge w:val="continue"/>
                  <w:vAlign w:val="center"/>
                </w:tcPr>
                <w:p w14:paraId="734AFFFC">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r>
            <w:tr w14:paraId="55E84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0" w:type="dxa"/>
                  <w:vAlign w:val="center"/>
                </w:tcPr>
                <w:p w14:paraId="5326D83A">
                  <w:pPr>
                    <w:pStyle w:val="57"/>
                    <w:keepNext w:val="0"/>
                    <w:keepLines w:val="0"/>
                    <w:pageBreakBefore w:val="0"/>
                    <w:widowControl/>
                    <w:kinsoku/>
                    <w:wordWrap w:val="0"/>
                    <w:overflowPunct/>
                    <w:topLinePunct w:val="0"/>
                    <w:bidi w:val="0"/>
                    <w:adjustRightInd/>
                    <w:snapToGrid/>
                    <w:spacing w:line="240" w:lineRule="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w:t>
                  </w:r>
                </w:p>
              </w:tc>
              <w:tc>
                <w:tcPr>
                  <w:tcW w:w="944" w:type="dxa"/>
                  <w:vMerge w:val="continue"/>
                  <w:vAlign w:val="center"/>
                </w:tcPr>
                <w:p w14:paraId="5347DE62">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p>
              </w:tc>
              <w:tc>
                <w:tcPr>
                  <w:tcW w:w="841" w:type="dxa"/>
                  <w:vAlign w:val="center"/>
                </w:tcPr>
                <w:p w14:paraId="76C526AA">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手动喷漆柜（油性）</w:t>
                  </w:r>
                </w:p>
              </w:tc>
              <w:tc>
                <w:tcPr>
                  <w:tcW w:w="505" w:type="dxa"/>
                  <w:vAlign w:val="center"/>
                </w:tcPr>
                <w:p w14:paraId="6BEC0E55">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551" w:type="dxa"/>
                  <w:vMerge w:val="continue"/>
                  <w:vAlign w:val="center"/>
                </w:tcPr>
                <w:p w14:paraId="5BF966A6">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lang w:val="en-US" w:eastAsia="zh-CN"/>
                    </w:rPr>
                  </w:pPr>
                </w:p>
              </w:tc>
              <w:tc>
                <w:tcPr>
                  <w:tcW w:w="789" w:type="dxa"/>
                  <w:vAlign w:val="center"/>
                </w:tcPr>
                <w:p w14:paraId="16A2094F">
                  <w:pPr>
                    <w:keepNext w:val="0"/>
                    <w:keepLines w:val="0"/>
                    <w:pageBreakBefore w:val="0"/>
                    <w:widowControl/>
                    <w:kinsoku/>
                    <w:wordWrap w:val="0"/>
                    <w:overflowPunct/>
                    <w:topLinePunct w:val="0"/>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85.0</w:t>
                  </w:r>
                </w:p>
              </w:tc>
              <w:tc>
                <w:tcPr>
                  <w:tcW w:w="786" w:type="dxa"/>
                  <w:vMerge w:val="continue"/>
                  <w:vAlign w:val="center"/>
                </w:tcPr>
                <w:p w14:paraId="6A182571">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542" w:type="dxa"/>
                  <w:vAlign w:val="center"/>
                </w:tcPr>
                <w:p w14:paraId="340321D3">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557" w:type="dxa"/>
                  <w:vAlign w:val="center"/>
                </w:tcPr>
                <w:p w14:paraId="24889D16">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35</w:t>
                  </w:r>
                </w:p>
              </w:tc>
              <w:tc>
                <w:tcPr>
                  <w:tcW w:w="506" w:type="dxa"/>
                  <w:vAlign w:val="center"/>
                </w:tcPr>
                <w:p w14:paraId="2523285E">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w:t>
                  </w:r>
                </w:p>
              </w:tc>
              <w:tc>
                <w:tcPr>
                  <w:tcW w:w="1037" w:type="dxa"/>
                  <w:vAlign w:val="center"/>
                </w:tcPr>
                <w:p w14:paraId="57652607">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1166" w:type="dxa"/>
                  <w:vAlign w:val="center"/>
                </w:tcPr>
                <w:p w14:paraId="0A7EC525">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60.3 </w:t>
                  </w:r>
                </w:p>
              </w:tc>
              <w:tc>
                <w:tcPr>
                  <w:tcW w:w="763" w:type="dxa"/>
                  <w:vMerge w:val="continue"/>
                  <w:vAlign w:val="center"/>
                </w:tcPr>
                <w:p w14:paraId="735E5A7E">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788" w:type="dxa"/>
                  <w:vMerge w:val="continue"/>
                  <w:vAlign w:val="center"/>
                </w:tcPr>
                <w:p w14:paraId="1ACFDA0A">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1072" w:type="dxa"/>
                  <w:vAlign w:val="center"/>
                </w:tcPr>
                <w:p w14:paraId="28A2841B">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40.29 </w:t>
                  </w:r>
                </w:p>
              </w:tc>
              <w:tc>
                <w:tcPr>
                  <w:tcW w:w="740" w:type="dxa"/>
                  <w:vMerge w:val="continue"/>
                  <w:vAlign w:val="center"/>
                </w:tcPr>
                <w:p w14:paraId="0109B45B">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r>
            <w:tr w14:paraId="2EEA5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0" w:type="dxa"/>
                  <w:vAlign w:val="center"/>
                </w:tcPr>
                <w:p w14:paraId="19A7FED3">
                  <w:pPr>
                    <w:pStyle w:val="57"/>
                    <w:keepNext w:val="0"/>
                    <w:keepLines w:val="0"/>
                    <w:pageBreakBefore w:val="0"/>
                    <w:widowControl/>
                    <w:kinsoku/>
                    <w:wordWrap w:val="0"/>
                    <w:overflowPunct/>
                    <w:topLinePunct w:val="0"/>
                    <w:bidi w:val="0"/>
                    <w:adjustRightInd/>
                    <w:snapToGrid/>
                    <w:spacing w:line="240" w:lineRule="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944" w:type="dxa"/>
                  <w:vMerge w:val="continue"/>
                  <w:vAlign w:val="center"/>
                </w:tcPr>
                <w:p w14:paraId="373432C7">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p>
              </w:tc>
              <w:tc>
                <w:tcPr>
                  <w:tcW w:w="841" w:type="dxa"/>
                  <w:vAlign w:val="center"/>
                </w:tcPr>
                <w:p w14:paraId="60A62F97">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电烤箱</w:t>
                  </w:r>
                </w:p>
              </w:tc>
              <w:tc>
                <w:tcPr>
                  <w:tcW w:w="505" w:type="dxa"/>
                  <w:vAlign w:val="center"/>
                </w:tcPr>
                <w:p w14:paraId="338F9A6B">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1551" w:type="dxa"/>
                  <w:vMerge w:val="continue"/>
                  <w:vAlign w:val="center"/>
                </w:tcPr>
                <w:p w14:paraId="11FD13D9">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lang w:val="en-US" w:eastAsia="zh-CN"/>
                    </w:rPr>
                  </w:pPr>
                </w:p>
              </w:tc>
              <w:tc>
                <w:tcPr>
                  <w:tcW w:w="789" w:type="dxa"/>
                  <w:vAlign w:val="center"/>
                </w:tcPr>
                <w:p w14:paraId="1C093278">
                  <w:pPr>
                    <w:keepNext w:val="0"/>
                    <w:keepLines w:val="0"/>
                    <w:pageBreakBefore w:val="0"/>
                    <w:widowControl/>
                    <w:kinsoku/>
                    <w:wordWrap w:val="0"/>
                    <w:overflowPunct/>
                    <w:topLinePunct w:val="0"/>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80</w:t>
                  </w:r>
                  <w:r>
                    <w:rPr>
                      <w:rFonts w:hint="default" w:ascii="Times New Roman" w:hAnsi="Times New Roman" w:cs="Times New Roman"/>
                      <w:color w:val="auto"/>
                      <w:sz w:val="21"/>
                      <w:szCs w:val="21"/>
                      <w:highlight w:val="none"/>
                      <w:lang w:val="en-US" w:eastAsia="zh-CN"/>
                    </w:rPr>
                    <w:t>.0</w:t>
                  </w:r>
                </w:p>
              </w:tc>
              <w:tc>
                <w:tcPr>
                  <w:tcW w:w="786" w:type="dxa"/>
                  <w:vMerge w:val="continue"/>
                  <w:vAlign w:val="center"/>
                </w:tcPr>
                <w:p w14:paraId="48E7CF46">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542" w:type="dxa"/>
                  <w:vAlign w:val="center"/>
                </w:tcPr>
                <w:p w14:paraId="7B5A117B">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22</w:t>
                  </w:r>
                </w:p>
              </w:tc>
              <w:tc>
                <w:tcPr>
                  <w:tcW w:w="557" w:type="dxa"/>
                  <w:vAlign w:val="center"/>
                </w:tcPr>
                <w:p w14:paraId="1E8A2A23">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506" w:type="dxa"/>
                  <w:vAlign w:val="center"/>
                </w:tcPr>
                <w:p w14:paraId="7CDC3D14">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w:t>
                  </w:r>
                </w:p>
              </w:tc>
              <w:tc>
                <w:tcPr>
                  <w:tcW w:w="1037" w:type="dxa"/>
                  <w:vAlign w:val="center"/>
                </w:tcPr>
                <w:p w14:paraId="5FF8160B">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1166" w:type="dxa"/>
                  <w:vAlign w:val="center"/>
                </w:tcPr>
                <w:p w14:paraId="52A6BE7C">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58.3 </w:t>
                  </w:r>
                </w:p>
              </w:tc>
              <w:tc>
                <w:tcPr>
                  <w:tcW w:w="763" w:type="dxa"/>
                  <w:vMerge w:val="continue"/>
                  <w:vAlign w:val="center"/>
                </w:tcPr>
                <w:p w14:paraId="301B3DF1">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788" w:type="dxa"/>
                  <w:vMerge w:val="continue"/>
                  <w:vAlign w:val="center"/>
                </w:tcPr>
                <w:p w14:paraId="5F690DB5">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1072" w:type="dxa"/>
                  <w:vAlign w:val="center"/>
                </w:tcPr>
                <w:p w14:paraId="2F7DA19A">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38.30 </w:t>
                  </w:r>
                </w:p>
              </w:tc>
              <w:tc>
                <w:tcPr>
                  <w:tcW w:w="740" w:type="dxa"/>
                  <w:vMerge w:val="continue"/>
                  <w:vAlign w:val="center"/>
                </w:tcPr>
                <w:p w14:paraId="530E6561">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r>
            <w:tr w14:paraId="4A4F9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0" w:type="dxa"/>
                  <w:vAlign w:val="center"/>
                </w:tcPr>
                <w:p w14:paraId="026A490E">
                  <w:pPr>
                    <w:pStyle w:val="57"/>
                    <w:keepNext w:val="0"/>
                    <w:keepLines w:val="0"/>
                    <w:pageBreakBefore w:val="0"/>
                    <w:widowControl/>
                    <w:kinsoku/>
                    <w:wordWrap w:val="0"/>
                    <w:overflowPunct/>
                    <w:topLinePunct w:val="0"/>
                    <w:bidi w:val="0"/>
                    <w:adjustRightInd/>
                    <w:snapToGrid/>
                    <w:spacing w:line="240" w:lineRule="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w:t>
                  </w:r>
                </w:p>
              </w:tc>
              <w:tc>
                <w:tcPr>
                  <w:tcW w:w="944" w:type="dxa"/>
                  <w:vMerge w:val="continue"/>
                  <w:vAlign w:val="center"/>
                </w:tcPr>
                <w:p w14:paraId="04868B7D">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p>
              </w:tc>
              <w:tc>
                <w:tcPr>
                  <w:tcW w:w="841" w:type="dxa"/>
                  <w:vAlign w:val="center"/>
                </w:tcPr>
                <w:p w14:paraId="770F1602">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空压机</w:t>
                  </w:r>
                </w:p>
              </w:tc>
              <w:tc>
                <w:tcPr>
                  <w:tcW w:w="505" w:type="dxa"/>
                  <w:vAlign w:val="center"/>
                </w:tcPr>
                <w:p w14:paraId="235F74B5">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551" w:type="dxa"/>
                  <w:vMerge w:val="continue"/>
                  <w:vAlign w:val="center"/>
                </w:tcPr>
                <w:p w14:paraId="21C04B17">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lang w:val="en-US" w:eastAsia="zh-CN"/>
                    </w:rPr>
                  </w:pPr>
                </w:p>
              </w:tc>
              <w:tc>
                <w:tcPr>
                  <w:tcW w:w="789" w:type="dxa"/>
                  <w:vAlign w:val="center"/>
                </w:tcPr>
                <w:p w14:paraId="7E5593C2">
                  <w:pPr>
                    <w:keepNext w:val="0"/>
                    <w:keepLines w:val="0"/>
                    <w:pageBreakBefore w:val="0"/>
                    <w:widowControl/>
                    <w:kinsoku/>
                    <w:wordWrap w:val="0"/>
                    <w:overflowPunct/>
                    <w:topLinePunct w:val="0"/>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90</w:t>
                  </w:r>
                  <w:r>
                    <w:rPr>
                      <w:rFonts w:hint="default" w:ascii="Times New Roman" w:hAnsi="Times New Roman" w:cs="Times New Roman"/>
                      <w:color w:val="auto"/>
                      <w:sz w:val="21"/>
                      <w:szCs w:val="21"/>
                      <w:highlight w:val="none"/>
                      <w:lang w:val="en-US" w:eastAsia="zh-CN"/>
                    </w:rPr>
                    <w:t>.0</w:t>
                  </w:r>
                </w:p>
              </w:tc>
              <w:tc>
                <w:tcPr>
                  <w:tcW w:w="786" w:type="dxa"/>
                  <w:vMerge w:val="continue"/>
                  <w:vAlign w:val="center"/>
                </w:tcPr>
                <w:p w14:paraId="253D2AE9">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542" w:type="dxa"/>
                  <w:vAlign w:val="center"/>
                </w:tcPr>
                <w:p w14:paraId="2EAF378B">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-25</w:t>
                  </w:r>
                </w:p>
              </w:tc>
              <w:tc>
                <w:tcPr>
                  <w:tcW w:w="557" w:type="dxa"/>
                  <w:vAlign w:val="center"/>
                </w:tcPr>
                <w:p w14:paraId="61734E4E">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43</w:t>
                  </w:r>
                </w:p>
              </w:tc>
              <w:tc>
                <w:tcPr>
                  <w:tcW w:w="506" w:type="dxa"/>
                  <w:vAlign w:val="center"/>
                </w:tcPr>
                <w:p w14:paraId="484BAD45">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1037" w:type="dxa"/>
                  <w:vAlign w:val="center"/>
                </w:tcPr>
                <w:p w14:paraId="5F67CB47">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1166" w:type="dxa"/>
                  <w:vAlign w:val="center"/>
                </w:tcPr>
                <w:p w14:paraId="1A1762C9">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73.6 </w:t>
                  </w:r>
                </w:p>
              </w:tc>
              <w:tc>
                <w:tcPr>
                  <w:tcW w:w="763" w:type="dxa"/>
                  <w:vMerge w:val="continue"/>
                  <w:vAlign w:val="center"/>
                </w:tcPr>
                <w:p w14:paraId="17674B25">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788" w:type="dxa"/>
                  <w:vMerge w:val="continue"/>
                  <w:vAlign w:val="center"/>
                </w:tcPr>
                <w:p w14:paraId="32E3EB69">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1072" w:type="dxa"/>
                  <w:vAlign w:val="center"/>
                </w:tcPr>
                <w:p w14:paraId="4CEC635F">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53.61 </w:t>
                  </w:r>
                </w:p>
              </w:tc>
              <w:tc>
                <w:tcPr>
                  <w:tcW w:w="740" w:type="dxa"/>
                  <w:vMerge w:val="continue"/>
                  <w:vAlign w:val="center"/>
                </w:tcPr>
                <w:p w14:paraId="07F96FD6">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r>
            <w:tr w14:paraId="32923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0" w:type="dxa"/>
                  <w:vAlign w:val="center"/>
                </w:tcPr>
                <w:p w14:paraId="36B11E19">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944" w:type="dxa"/>
                  <w:vMerge w:val="continue"/>
                  <w:vAlign w:val="center"/>
                </w:tcPr>
                <w:p w14:paraId="3D310F31">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p>
              </w:tc>
              <w:tc>
                <w:tcPr>
                  <w:tcW w:w="841" w:type="dxa"/>
                  <w:vAlign w:val="center"/>
                </w:tcPr>
                <w:p w14:paraId="09EF1A15">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冷却塔</w:t>
                  </w:r>
                </w:p>
              </w:tc>
              <w:tc>
                <w:tcPr>
                  <w:tcW w:w="505" w:type="dxa"/>
                  <w:vAlign w:val="center"/>
                </w:tcPr>
                <w:p w14:paraId="745B8517">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1551" w:type="dxa"/>
                  <w:vMerge w:val="continue"/>
                  <w:vAlign w:val="center"/>
                </w:tcPr>
                <w:p w14:paraId="155AFDFA">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lang w:val="en-US" w:eastAsia="zh-CN"/>
                    </w:rPr>
                  </w:pPr>
                </w:p>
              </w:tc>
              <w:tc>
                <w:tcPr>
                  <w:tcW w:w="789" w:type="dxa"/>
                  <w:vAlign w:val="center"/>
                </w:tcPr>
                <w:p w14:paraId="640116BB">
                  <w:pPr>
                    <w:keepNext w:val="0"/>
                    <w:keepLines w:val="0"/>
                    <w:pageBreakBefore w:val="0"/>
                    <w:widowControl/>
                    <w:kinsoku/>
                    <w:wordWrap w:val="0"/>
                    <w:overflowPunct/>
                    <w:topLinePunct w:val="0"/>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90</w:t>
                  </w:r>
                  <w:r>
                    <w:rPr>
                      <w:rFonts w:hint="default" w:ascii="Times New Roman" w:hAnsi="Times New Roman" w:cs="Times New Roman"/>
                      <w:color w:val="auto"/>
                      <w:sz w:val="21"/>
                      <w:szCs w:val="21"/>
                      <w:highlight w:val="none"/>
                      <w:lang w:val="en-US" w:eastAsia="zh-CN"/>
                    </w:rPr>
                    <w:t>.0</w:t>
                  </w:r>
                </w:p>
              </w:tc>
              <w:tc>
                <w:tcPr>
                  <w:tcW w:w="786" w:type="dxa"/>
                  <w:vMerge w:val="continue"/>
                  <w:vAlign w:val="center"/>
                </w:tcPr>
                <w:p w14:paraId="2F96948B">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542" w:type="dxa"/>
                  <w:vAlign w:val="center"/>
                </w:tcPr>
                <w:p w14:paraId="1AFA79C3">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-25</w:t>
                  </w:r>
                </w:p>
              </w:tc>
              <w:tc>
                <w:tcPr>
                  <w:tcW w:w="557" w:type="dxa"/>
                  <w:vAlign w:val="center"/>
                </w:tcPr>
                <w:p w14:paraId="440FB18D">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506" w:type="dxa"/>
                  <w:vAlign w:val="center"/>
                </w:tcPr>
                <w:p w14:paraId="60F02562">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1037" w:type="dxa"/>
                  <w:vAlign w:val="center"/>
                </w:tcPr>
                <w:p w14:paraId="1E51C834">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1166" w:type="dxa"/>
                  <w:vAlign w:val="center"/>
                </w:tcPr>
                <w:p w14:paraId="45AF61F5">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71.3 </w:t>
                  </w:r>
                </w:p>
              </w:tc>
              <w:tc>
                <w:tcPr>
                  <w:tcW w:w="763" w:type="dxa"/>
                  <w:vMerge w:val="continue"/>
                  <w:vAlign w:val="center"/>
                </w:tcPr>
                <w:p w14:paraId="04908772">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788" w:type="dxa"/>
                  <w:vMerge w:val="continue"/>
                  <w:vAlign w:val="center"/>
                </w:tcPr>
                <w:p w14:paraId="61C455A9">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c>
                <w:tcPr>
                  <w:tcW w:w="1072" w:type="dxa"/>
                  <w:vAlign w:val="center"/>
                </w:tcPr>
                <w:p w14:paraId="799EC2D7">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51.31 </w:t>
                  </w:r>
                </w:p>
              </w:tc>
              <w:tc>
                <w:tcPr>
                  <w:tcW w:w="740" w:type="dxa"/>
                  <w:vMerge w:val="continue"/>
                  <w:vAlign w:val="center"/>
                </w:tcPr>
                <w:p w14:paraId="6A6B1BE2">
                  <w:pPr>
                    <w:pStyle w:val="57"/>
                    <w:keepNext w:val="0"/>
                    <w:keepLines w:val="0"/>
                    <w:pageBreakBefore w:val="0"/>
                    <w:widowControl/>
                    <w:kinsoku/>
                    <w:wordWrap w:val="0"/>
                    <w:overflowPunct/>
                    <w:topLinePunct w:val="0"/>
                    <w:bidi w:val="0"/>
                    <w:adjustRightInd/>
                    <w:snapToGrid/>
                    <w:spacing w:line="240" w:lineRule="auto"/>
                    <w:rPr>
                      <w:rFonts w:hint="default" w:ascii="Times New Roman" w:hAnsi="Times New Roman" w:cs="Times New Roman"/>
                      <w:color w:val="auto"/>
                      <w:sz w:val="21"/>
                      <w:szCs w:val="21"/>
                      <w:highlight w:val="none"/>
                    </w:rPr>
                  </w:pPr>
                </w:p>
              </w:tc>
            </w:tr>
            <w:tr w14:paraId="002E8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077" w:type="dxa"/>
                  <w:gridSpan w:val="16"/>
                  <w:vAlign w:val="center"/>
                </w:tcPr>
                <w:p w14:paraId="10F73EAC">
                  <w:pPr>
                    <w:pStyle w:val="57"/>
                    <w:keepNext w:val="0"/>
                    <w:keepLines w:val="0"/>
                    <w:pageBreakBefore w:val="0"/>
                    <w:widowControl/>
                    <w:kinsoku/>
                    <w:wordWrap w:val="0"/>
                    <w:overflowPunct/>
                    <w:topLinePunct w:val="0"/>
                    <w:bidi w:val="0"/>
                    <w:adjustRightInd/>
                    <w:snapToGrid/>
                    <w:spacing w:line="240" w:lineRule="auto"/>
                    <w:jc w:val="left"/>
                    <w:rPr>
                      <w:rFonts w:hint="default" w:ascii="Times New Roman" w:hAnsi="Times New Roman" w:cs="Times New Roman"/>
                      <w:color w:val="auto"/>
                      <w:sz w:val="21"/>
                      <w:szCs w:val="21"/>
                      <w:highlight w:val="none"/>
                    </w:rPr>
                  </w:pPr>
                  <w:r>
                    <w:rPr>
                      <w:rFonts w:hint="default" w:ascii="Times New Roman" w:hAnsi="Times New Roman" w:eastAsia="宋体" w:cs="Times New Roman"/>
                      <w:snapToGrid w:val="0"/>
                      <w:color w:val="auto"/>
                      <w:spacing w:val="-2"/>
                      <w:sz w:val="21"/>
                      <w:szCs w:val="21"/>
                      <w:highlight w:val="none"/>
                      <w:lang w:val="en-US" w:eastAsia="zh-CN"/>
                    </w:rPr>
                    <w:t>注：各噪声源以所在厂房几何中心作为坐标原点（0，0）</w:t>
                  </w:r>
                </w:p>
              </w:tc>
            </w:tr>
          </w:tbl>
          <w:p w14:paraId="5FBE0F6C">
            <w:pPr>
              <w:pStyle w:val="2"/>
              <w:pageBreakBefore w:val="0"/>
              <w:numPr>
                <w:ilvl w:val="0"/>
                <w:numId w:val="0"/>
              </w:numPr>
              <w:wordWrap w:val="0"/>
              <w:overflowPunct/>
              <w:bidi w:val="0"/>
              <w:rPr>
                <w:rFonts w:hint="default" w:ascii="Times New Roman" w:hAnsi="Times New Roman" w:cs="Times New Roman"/>
                <w:color w:val="auto"/>
                <w:highlight w:val="none"/>
              </w:rPr>
            </w:pPr>
          </w:p>
        </w:tc>
      </w:tr>
    </w:tbl>
    <w:p w14:paraId="3147A9E6">
      <w:pPr>
        <w:pStyle w:val="2"/>
        <w:pageBreakBefore w:val="0"/>
        <w:numPr>
          <w:ilvl w:val="0"/>
          <w:numId w:val="0"/>
        </w:numPr>
        <w:wordWrap w:val="0"/>
        <w:overflowPunct/>
        <w:bidi w:val="0"/>
        <w:rPr>
          <w:rFonts w:hint="default" w:ascii="Times New Roman" w:hAnsi="Times New Roman" w:cs="Times New Roman"/>
          <w:color w:val="auto"/>
          <w:highlight w:val="none"/>
        </w:rPr>
        <w:sectPr>
          <w:pgSz w:w="16838" w:h="11906" w:orient="landscape"/>
          <w:pgMar w:top="1417" w:right="1440" w:bottom="1417" w:left="1440"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tbl>
      <w:tblPr>
        <w:tblStyle w:val="38"/>
        <w:tblW w:w="0" w:type="auto"/>
        <w:tblInd w:w="1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3"/>
        <w:gridCol w:w="8936"/>
      </w:tblGrid>
      <w:tr w14:paraId="0E288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388" w:type="dxa"/>
          </w:tcPr>
          <w:p w14:paraId="38F4E595">
            <w:pPr>
              <w:pageBreakBefore w:val="0"/>
              <w:wordWrap w:val="0"/>
              <w:overflowPunct/>
              <w:bidi w:val="0"/>
              <w:rPr>
                <w:rFonts w:hint="default" w:ascii="Times New Roman" w:hAnsi="Times New Roman" w:cs="Times New Roman"/>
                <w:color w:val="auto"/>
                <w:highlight w:val="none"/>
              </w:rPr>
            </w:pPr>
          </w:p>
        </w:tc>
        <w:tc>
          <w:tcPr>
            <w:tcW w:w="8785" w:type="dxa"/>
          </w:tcPr>
          <w:p w14:paraId="495F22CB">
            <w:pPr>
              <w:pageBreakBefore w:val="0"/>
              <w:wordWrap w:val="0"/>
              <w:overflowPunct/>
              <w:bidi w:val="0"/>
              <w:adjustRightInd w:val="0"/>
              <w:ind w:firstLine="480" w:firstLineChars="20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2、达标分析</w:t>
            </w:r>
          </w:p>
          <w:p w14:paraId="7150E431">
            <w:pPr>
              <w:pageBreakBefore w:val="0"/>
              <w:wordWrap w:val="0"/>
              <w:overflowPunct/>
              <w:bidi w:val="0"/>
              <w:adjustRightInd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项目厂界外50米范围内无声环境保护目标。</w:t>
            </w:r>
            <w:r>
              <w:rPr>
                <w:rFonts w:hint="default" w:ascii="Times New Roman" w:hAnsi="Times New Roman" w:eastAsia="宋体" w:cs="Times New Roman"/>
                <w:bCs/>
                <w:color w:val="auto"/>
                <w:kern w:val="0"/>
                <w:highlight w:val="none"/>
              </w:rPr>
              <w:t>项目运营期产生的噪声主要为生产设备运行时产生的噪声，其噪声的强度值为60~85dB（A）之间。</w:t>
            </w:r>
          </w:p>
          <w:p w14:paraId="4CC232A2">
            <w:pPr>
              <w:pageBreakBefore w:val="0"/>
              <w:wordWrap w:val="0"/>
              <w:overflowPunct/>
              <w:bidi w:val="0"/>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color w:val="auto"/>
                <w:highlight w:val="none"/>
              </w:rPr>
              <w:t>固定声源的噪声向周围传播过程中，会发生反射、折射、衍射、吸收等现象。因此，随传播距离的增加而产生的衰减量并不按简单的几何规律计算。根据《环境影响评价技术导则-声环境》（HJ2.4-2021）对室内声源的预测方法，声源位于室内，室内声源可采用等效室外声源声功率级法进行计算。</w:t>
            </w:r>
          </w:p>
          <w:p w14:paraId="57E9C905">
            <w:pPr>
              <w:pageBreakBefore w:val="0"/>
              <w:wordWrap w:val="0"/>
              <w:overflowPunct/>
              <w:bidi w:val="0"/>
              <w:spacing w:line="360" w:lineRule="auto"/>
              <w:ind w:firstLine="480"/>
              <w:rPr>
                <w:rFonts w:cs="Times New Roman"/>
                <w:b w:val="0"/>
                <w:color w:val="auto"/>
                <w:kern w:val="0"/>
                <w:sz w:val="24"/>
                <w:szCs w:val="20"/>
              </w:rPr>
            </w:pPr>
            <w:r>
              <w:rPr>
                <w:rFonts w:hint="eastAsia" w:cs="Times New Roman"/>
                <w:b w:val="0"/>
                <w:color w:val="auto"/>
                <w:kern w:val="0"/>
                <w:sz w:val="24"/>
                <w:szCs w:val="20"/>
              </w:rPr>
              <w:t>（1）车间内噪声源靠近围护结构处的噪声值预测</w:t>
            </w:r>
          </w:p>
          <w:p w14:paraId="3DF51856">
            <w:pPr>
              <w:pageBreakBefore w:val="0"/>
              <w:wordWrap w:val="0"/>
              <w:overflowPunct/>
              <w:bidi w:val="0"/>
              <w:spacing w:line="360" w:lineRule="auto"/>
              <w:ind w:firstLine="480"/>
              <w:rPr>
                <w:rFonts w:cs="Times New Roman"/>
                <w:b w:val="0"/>
                <w:color w:val="auto"/>
                <w:kern w:val="0"/>
                <w:sz w:val="24"/>
                <w:szCs w:val="20"/>
              </w:rPr>
            </w:pPr>
            <w:r>
              <w:rPr>
                <w:rFonts w:hint="eastAsia" w:cs="Times New Roman"/>
                <w:b w:val="0"/>
                <w:color w:val="auto"/>
                <w:kern w:val="0"/>
                <w:sz w:val="24"/>
                <w:szCs w:val="20"/>
              </w:rPr>
              <w:t>计算某一室内声源靠近围护结构处产生的</w:t>
            </w:r>
            <w:r>
              <w:rPr>
                <w:rFonts w:cs="Times New Roman"/>
                <w:b w:val="0"/>
                <w:color w:val="auto"/>
                <w:kern w:val="0"/>
                <w:sz w:val="24"/>
                <w:szCs w:val="20"/>
              </w:rPr>
              <w:t>A</w:t>
            </w:r>
            <w:r>
              <w:rPr>
                <w:rFonts w:hint="eastAsia" w:cs="Times New Roman"/>
                <w:b w:val="0"/>
                <w:color w:val="auto"/>
                <w:kern w:val="0"/>
                <w:sz w:val="24"/>
                <w:szCs w:val="20"/>
              </w:rPr>
              <w:t>声压级</w:t>
            </w:r>
            <w:r>
              <w:rPr>
                <w:rFonts w:cs="Times New Roman"/>
                <w:b w:val="0"/>
                <w:color w:val="auto"/>
                <w:kern w:val="0"/>
                <w:sz w:val="24"/>
                <w:szCs w:val="20"/>
              </w:rPr>
              <w:t>Lp1</w:t>
            </w:r>
            <w:r>
              <w:rPr>
                <w:rFonts w:hint="eastAsia" w:cs="Times New Roman"/>
                <w:b w:val="0"/>
                <w:color w:val="auto"/>
                <w:kern w:val="0"/>
                <w:sz w:val="24"/>
                <w:szCs w:val="20"/>
              </w:rPr>
              <w:t>：</w:t>
            </w:r>
          </w:p>
          <w:p w14:paraId="5EA4EF36">
            <w:pPr>
              <w:pageBreakBefore w:val="0"/>
              <w:wordWrap w:val="0"/>
              <w:overflowPunct/>
              <w:bidi w:val="0"/>
              <w:spacing w:line="360" w:lineRule="auto"/>
              <w:jc w:val="center"/>
              <w:rPr>
                <w:rFonts w:cs="Times New Roman"/>
                <w:b w:val="0"/>
                <w:color w:val="auto"/>
                <w:kern w:val="0"/>
                <w:sz w:val="24"/>
                <w:szCs w:val="20"/>
              </w:rPr>
            </w:pPr>
            <w:r>
              <w:rPr>
                <w:rFonts w:cstheme="minorBidi"/>
                <w:b w:val="0"/>
                <w:color w:val="auto"/>
                <w:kern w:val="2"/>
                <w:sz w:val="24"/>
                <w:szCs w:val="22"/>
              </w:rPr>
              <w:object>
                <v:shape id="_x0000_i1025" o:spt="75" alt="" type="#_x0000_t75" style="height:28.7pt;width:129.4pt;" o:ole="t" filled="f" o:preferrelative="t" stroked="f" coordsize="21600,21600">
                  <v:path/>
                  <v:fill on="f" focussize="0,0"/>
                  <v:stroke on="f"/>
                  <v:imagedata r:id="rId26" o:title=""/>
                  <o:lock v:ext="edit" aspectratio="t"/>
                  <w10:wrap type="none"/>
                  <w10:anchorlock/>
                </v:shape>
                <o:OLEObject Type="Embed" ProgID="Equation.DSMT4" ShapeID="_x0000_i1025" DrawAspect="Content" ObjectID="_1468075725" r:id="rId25">
                  <o:LockedField>false</o:LockedField>
                </o:OLEObject>
              </w:object>
            </w:r>
          </w:p>
          <w:p w14:paraId="6BF90E62">
            <w:pPr>
              <w:pageBreakBefore w:val="0"/>
              <w:wordWrap w:val="0"/>
              <w:overflowPunct/>
              <w:bidi w:val="0"/>
              <w:spacing w:line="360" w:lineRule="auto"/>
              <w:ind w:firstLine="480"/>
              <w:rPr>
                <w:rFonts w:cs="Times New Roman"/>
                <w:b w:val="0"/>
                <w:color w:val="auto"/>
                <w:kern w:val="0"/>
                <w:sz w:val="24"/>
                <w:szCs w:val="20"/>
              </w:rPr>
            </w:pPr>
            <w:r>
              <w:rPr>
                <w:rFonts w:hint="eastAsia" w:cs="Times New Roman"/>
                <w:b w:val="0"/>
                <w:color w:val="auto"/>
                <w:kern w:val="0"/>
                <w:sz w:val="24"/>
                <w:szCs w:val="20"/>
              </w:rPr>
              <w:t>式中：</w:t>
            </w:r>
            <w:r>
              <w:rPr>
                <w:rFonts w:cs="Times New Roman"/>
                <w:b w:val="0"/>
                <w:color w:val="auto"/>
                <w:kern w:val="0"/>
                <w:sz w:val="24"/>
                <w:szCs w:val="20"/>
              </w:rPr>
              <w:t>Q</w:t>
            </w:r>
            <w:r>
              <w:rPr>
                <w:rFonts w:hint="eastAsia" w:cs="Times New Roman"/>
                <w:b w:val="0"/>
                <w:color w:val="auto"/>
                <w:kern w:val="0"/>
                <w:sz w:val="24"/>
                <w:szCs w:val="20"/>
              </w:rPr>
              <w:t>——指向性因数：通常对无指向性声源，当声源放在房间中心时，</w:t>
            </w:r>
            <w:r>
              <w:rPr>
                <w:rFonts w:cs="Times New Roman"/>
                <w:b w:val="0"/>
                <w:color w:val="auto"/>
                <w:kern w:val="0"/>
                <w:sz w:val="24"/>
                <w:szCs w:val="20"/>
              </w:rPr>
              <w:t>Q=1</w:t>
            </w:r>
            <w:r>
              <w:rPr>
                <w:rFonts w:hint="eastAsia" w:cs="Times New Roman"/>
                <w:b w:val="0"/>
                <w:color w:val="auto"/>
                <w:kern w:val="0"/>
                <w:sz w:val="24"/>
                <w:szCs w:val="20"/>
              </w:rPr>
              <w:t>；当放在一面墙的中心时，</w:t>
            </w:r>
            <w:r>
              <w:rPr>
                <w:rFonts w:cs="Times New Roman"/>
                <w:b w:val="0"/>
                <w:color w:val="auto"/>
                <w:kern w:val="0"/>
                <w:sz w:val="24"/>
                <w:szCs w:val="20"/>
              </w:rPr>
              <w:t>Q=2</w:t>
            </w:r>
            <w:r>
              <w:rPr>
                <w:rFonts w:hint="eastAsia" w:cs="Times New Roman"/>
                <w:b w:val="0"/>
                <w:color w:val="auto"/>
                <w:kern w:val="0"/>
                <w:sz w:val="24"/>
                <w:szCs w:val="20"/>
              </w:rPr>
              <w:t>；当放在两面墙夹角时，</w:t>
            </w:r>
            <w:r>
              <w:rPr>
                <w:rFonts w:cs="Times New Roman"/>
                <w:b w:val="0"/>
                <w:color w:val="auto"/>
                <w:kern w:val="0"/>
                <w:sz w:val="24"/>
                <w:szCs w:val="20"/>
              </w:rPr>
              <w:t>Q=4</w:t>
            </w:r>
            <w:r>
              <w:rPr>
                <w:rFonts w:hint="eastAsia" w:cs="Times New Roman"/>
                <w:b w:val="0"/>
                <w:color w:val="auto"/>
                <w:kern w:val="0"/>
                <w:sz w:val="24"/>
                <w:szCs w:val="20"/>
              </w:rPr>
              <w:t>；当放在三面墙夹角处时，</w:t>
            </w:r>
            <w:r>
              <w:rPr>
                <w:rFonts w:cs="Times New Roman"/>
                <w:b w:val="0"/>
                <w:color w:val="auto"/>
                <w:kern w:val="0"/>
                <w:sz w:val="24"/>
                <w:szCs w:val="20"/>
              </w:rPr>
              <w:t>Q=8</w:t>
            </w:r>
            <w:r>
              <w:rPr>
                <w:rFonts w:hint="eastAsia" w:cs="Times New Roman"/>
                <w:b w:val="0"/>
                <w:color w:val="auto"/>
                <w:kern w:val="0"/>
                <w:sz w:val="24"/>
                <w:szCs w:val="20"/>
              </w:rPr>
              <w:t>。</w:t>
            </w:r>
          </w:p>
          <w:p w14:paraId="3C062F98">
            <w:pPr>
              <w:pageBreakBefore w:val="0"/>
              <w:wordWrap w:val="0"/>
              <w:overflowPunct/>
              <w:bidi w:val="0"/>
              <w:spacing w:line="360" w:lineRule="auto"/>
              <w:ind w:firstLine="480"/>
              <w:rPr>
                <w:rFonts w:cs="Times New Roman"/>
                <w:b w:val="0"/>
                <w:color w:val="auto"/>
                <w:kern w:val="0"/>
                <w:sz w:val="24"/>
                <w:szCs w:val="20"/>
              </w:rPr>
            </w:pPr>
            <w:r>
              <w:rPr>
                <w:rFonts w:cs="Times New Roman"/>
                <w:b w:val="0"/>
                <w:color w:val="auto"/>
                <w:kern w:val="0"/>
                <w:sz w:val="24"/>
                <w:szCs w:val="20"/>
              </w:rPr>
              <w:t>R</w:t>
            </w:r>
            <w:r>
              <w:rPr>
                <w:rFonts w:hint="eastAsia" w:cs="Times New Roman"/>
                <w:b w:val="0"/>
                <w:color w:val="auto"/>
                <w:kern w:val="0"/>
                <w:sz w:val="24"/>
                <w:szCs w:val="20"/>
              </w:rPr>
              <w:t>——房间常数：</w:t>
            </w:r>
            <w:r>
              <w:rPr>
                <w:rFonts w:cs="Times New Roman"/>
                <w:b w:val="0"/>
                <w:color w:val="auto"/>
                <w:kern w:val="0"/>
                <w:sz w:val="24"/>
                <w:szCs w:val="20"/>
              </w:rPr>
              <w:t>R=Sa/(1-a)</w:t>
            </w:r>
            <w:r>
              <w:rPr>
                <w:rFonts w:hint="eastAsia" w:cs="Times New Roman"/>
                <w:b w:val="0"/>
                <w:color w:val="auto"/>
                <w:kern w:val="0"/>
                <w:sz w:val="24"/>
                <w:szCs w:val="20"/>
              </w:rPr>
              <w:t>，</w:t>
            </w:r>
            <w:r>
              <w:rPr>
                <w:rFonts w:cs="Times New Roman"/>
                <w:b w:val="0"/>
                <w:color w:val="auto"/>
                <w:kern w:val="0"/>
                <w:sz w:val="24"/>
                <w:szCs w:val="20"/>
              </w:rPr>
              <w:t>S</w:t>
            </w:r>
            <w:r>
              <w:rPr>
                <w:rFonts w:hint="eastAsia" w:cs="Times New Roman"/>
                <w:b w:val="0"/>
                <w:color w:val="auto"/>
                <w:kern w:val="0"/>
                <w:sz w:val="24"/>
                <w:szCs w:val="20"/>
              </w:rPr>
              <w:t>为房间内表面面积，</w:t>
            </w:r>
            <w:r>
              <w:rPr>
                <w:rFonts w:cs="Times New Roman"/>
                <w:b w:val="0"/>
                <w:color w:val="auto"/>
                <w:kern w:val="0"/>
                <w:sz w:val="24"/>
                <w:szCs w:val="20"/>
              </w:rPr>
              <w:t>m</w:t>
            </w:r>
            <w:r>
              <w:rPr>
                <w:rFonts w:cs="Times New Roman"/>
                <w:b w:val="0"/>
                <w:color w:val="auto"/>
                <w:kern w:val="0"/>
                <w:sz w:val="24"/>
                <w:szCs w:val="20"/>
                <w:vertAlign w:val="superscript"/>
              </w:rPr>
              <w:t>2</w:t>
            </w:r>
            <w:r>
              <w:rPr>
                <w:rFonts w:hint="eastAsia" w:cs="Times New Roman"/>
                <w:b w:val="0"/>
                <w:color w:val="auto"/>
                <w:kern w:val="0"/>
                <w:sz w:val="24"/>
                <w:szCs w:val="20"/>
              </w:rPr>
              <w:t>；</w:t>
            </w:r>
            <w:r>
              <w:rPr>
                <w:rFonts w:cs="Times New Roman"/>
                <w:b w:val="0"/>
                <w:color w:val="auto"/>
                <w:kern w:val="0"/>
                <w:sz w:val="24"/>
                <w:szCs w:val="20"/>
              </w:rPr>
              <w:t>a</w:t>
            </w:r>
            <w:r>
              <w:rPr>
                <w:rFonts w:hint="eastAsia" w:cs="Times New Roman"/>
                <w:b w:val="0"/>
                <w:color w:val="auto"/>
                <w:kern w:val="0"/>
                <w:sz w:val="24"/>
                <w:szCs w:val="20"/>
              </w:rPr>
              <w:t>为平均吸声系数。</w:t>
            </w:r>
          </w:p>
          <w:p w14:paraId="1C98FF5E">
            <w:pPr>
              <w:pageBreakBefore w:val="0"/>
              <w:wordWrap w:val="0"/>
              <w:overflowPunct/>
              <w:bidi w:val="0"/>
              <w:spacing w:line="360" w:lineRule="auto"/>
              <w:ind w:firstLine="480"/>
              <w:rPr>
                <w:rFonts w:cs="Times New Roman"/>
                <w:b w:val="0"/>
                <w:color w:val="auto"/>
                <w:kern w:val="0"/>
                <w:sz w:val="24"/>
                <w:szCs w:val="20"/>
              </w:rPr>
            </w:pPr>
            <w:r>
              <w:rPr>
                <w:rFonts w:hint="eastAsia" w:cs="Times New Roman"/>
                <w:b w:val="0"/>
                <w:color w:val="auto"/>
                <w:kern w:val="0"/>
                <w:sz w:val="24"/>
                <w:szCs w:val="20"/>
              </w:rPr>
              <w:t>r——声源到靠近围护结构某点处的距离，</w:t>
            </w:r>
            <w:r>
              <w:rPr>
                <w:rFonts w:cs="Times New Roman"/>
                <w:b w:val="0"/>
                <w:color w:val="auto"/>
                <w:kern w:val="0"/>
                <w:sz w:val="24"/>
                <w:szCs w:val="20"/>
              </w:rPr>
              <w:t>m</w:t>
            </w:r>
            <w:r>
              <w:rPr>
                <w:rFonts w:hint="eastAsia" w:cs="Times New Roman"/>
                <w:b w:val="0"/>
                <w:color w:val="auto"/>
                <w:kern w:val="0"/>
                <w:sz w:val="24"/>
                <w:szCs w:val="20"/>
              </w:rPr>
              <w:t>。</w:t>
            </w:r>
          </w:p>
          <w:p w14:paraId="6C7070DC">
            <w:pPr>
              <w:pageBreakBefore w:val="0"/>
              <w:wordWrap w:val="0"/>
              <w:overflowPunct/>
              <w:bidi w:val="0"/>
              <w:spacing w:line="360" w:lineRule="auto"/>
              <w:ind w:firstLine="480"/>
              <w:rPr>
                <w:rFonts w:cs="Times New Roman"/>
                <w:b w:val="0"/>
                <w:color w:val="auto"/>
                <w:kern w:val="0"/>
                <w:sz w:val="24"/>
                <w:szCs w:val="20"/>
              </w:rPr>
            </w:pPr>
            <w:r>
              <w:rPr>
                <w:rFonts w:cs="Times New Roman"/>
                <w:b w:val="0"/>
                <w:color w:val="auto"/>
                <w:kern w:val="0"/>
                <w:sz w:val="24"/>
                <w:szCs w:val="20"/>
              </w:rPr>
              <w:t>Lw</w:t>
            </w:r>
            <w:r>
              <w:rPr>
                <w:rFonts w:hint="eastAsia" w:cs="Times New Roman"/>
                <w:b w:val="0"/>
                <w:color w:val="auto"/>
                <w:kern w:val="0"/>
                <w:sz w:val="24"/>
                <w:szCs w:val="20"/>
              </w:rPr>
              <w:t>——设备的</w:t>
            </w:r>
            <w:r>
              <w:rPr>
                <w:rFonts w:cs="Times New Roman"/>
                <w:b w:val="0"/>
                <w:color w:val="auto"/>
                <w:kern w:val="0"/>
                <w:sz w:val="24"/>
                <w:szCs w:val="20"/>
              </w:rPr>
              <w:t>A</w:t>
            </w:r>
            <w:r>
              <w:rPr>
                <w:rFonts w:hint="eastAsia" w:cs="Times New Roman"/>
                <w:b w:val="0"/>
                <w:color w:val="auto"/>
                <w:kern w:val="0"/>
                <w:sz w:val="24"/>
                <w:szCs w:val="20"/>
              </w:rPr>
              <w:t>声功率级。</w:t>
            </w:r>
          </w:p>
          <w:p w14:paraId="25B167B9">
            <w:pPr>
              <w:pageBreakBefore w:val="0"/>
              <w:wordWrap w:val="0"/>
              <w:overflowPunct/>
              <w:bidi w:val="0"/>
              <w:spacing w:line="360" w:lineRule="auto"/>
              <w:ind w:firstLine="480"/>
              <w:rPr>
                <w:rFonts w:cs="Times New Roman"/>
                <w:b w:val="0"/>
                <w:color w:val="auto"/>
                <w:kern w:val="0"/>
                <w:sz w:val="24"/>
                <w:szCs w:val="20"/>
              </w:rPr>
            </w:pPr>
            <w:r>
              <w:rPr>
                <w:rFonts w:hint="eastAsia" w:cs="Times New Roman"/>
                <w:b w:val="0"/>
                <w:color w:val="auto"/>
                <w:kern w:val="0"/>
                <w:sz w:val="24"/>
                <w:szCs w:val="20"/>
              </w:rPr>
              <w:t>计算出所有室内声源在围护结构处产生的叠加</w:t>
            </w:r>
            <w:r>
              <w:rPr>
                <w:rFonts w:cs="Times New Roman"/>
                <w:b w:val="0"/>
                <w:color w:val="auto"/>
                <w:kern w:val="0"/>
                <w:sz w:val="24"/>
                <w:szCs w:val="20"/>
              </w:rPr>
              <w:t>A</w:t>
            </w:r>
            <w:r>
              <w:rPr>
                <w:rFonts w:hint="eastAsia" w:cs="Times New Roman"/>
                <w:b w:val="0"/>
                <w:color w:val="auto"/>
                <w:kern w:val="0"/>
                <w:sz w:val="24"/>
                <w:szCs w:val="20"/>
              </w:rPr>
              <w:t>声压级：</w:t>
            </w:r>
          </w:p>
          <w:p w14:paraId="7DA39B55">
            <w:pPr>
              <w:pageBreakBefore w:val="0"/>
              <w:wordWrap w:val="0"/>
              <w:overflowPunct/>
              <w:bidi w:val="0"/>
              <w:spacing w:line="360" w:lineRule="auto"/>
              <w:jc w:val="center"/>
              <w:rPr>
                <w:rFonts w:cs="Times New Roman"/>
                <w:b w:val="0"/>
                <w:color w:val="auto"/>
                <w:kern w:val="0"/>
                <w:sz w:val="24"/>
                <w:szCs w:val="20"/>
              </w:rPr>
            </w:pPr>
            <m:oMathPara>
              <m:oMath>
                <m:r>
                  <m:rPr>
                    <m:sty m:val="p"/>
                  </m:rPr>
                  <w:rPr>
                    <w:rFonts w:ascii="Cambria Math" w:hAnsi="Cambria Math" w:cs="Times New Roman"/>
                    <w:color w:val="auto"/>
                    <w:kern w:val="0"/>
                    <w:sz w:val="24"/>
                    <w:szCs w:val="20"/>
                  </w:rPr>
                  <w:drawing>
                    <wp:inline distT="0" distB="0" distL="0" distR="0">
                      <wp:extent cx="1680845" cy="441325"/>
                      <wp:effectExtent l="0" t="0" r="14605" b="1587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27"/>
                              <a:srcRect/>
                              <a:stretch>
                                <a:fillRect/>
                              </a:stretch>
                            </pic:blipFill>
                            <pic:spPr>
                              <a:xfrm>
                                <a:off x="0" y="0"/>
                                <a:ext cx="1687505" cy="443622"/>
                              </a:xfrm>
                              <a:prstGeom prst="rect">
                                <a:avLst/>
                              </a:prstGeom>
                              <a:noFill/>
                              <a:ln>
                                <a:noFill/>
                              </a:ln>
                            </pic:spPr>
                          </pic:pic>
                        </a:graphicData>
                      </a:graphic>
                    </wp:inline>
                  </w:drawing>
                </m:r>
              </m:oMath>
            </m:oMathPara>
          </w:p>
          <w:p w14:paraId="33CE1C25">
            <w:pPr>
              <w:pageBreakBefore w:val="0"/>
              <w:wordWrap w:val="0"/>
              <w:overflowPunct/>
              <w:bidi w:val="0"/>
              <w:spacing w:line="360" w:lineRule="auto"/>
              <w:ind w:firstLine="480"/>
              <w:rPr>
                <w:rFonts w:cs="Times New Roman"/>
                <w:b w:val="0"/>
                <w:color w:val="auto"/>
                <w:kern w:val="0"/>
                <w:sz w:val="24"/>
                <w:szCs w:val="20"/>
              </w:rPr>
            </w:pPr>
            <w:r>
              <w:rPr>
                <w:rFonts w:hint="eastAsia" w:cs="Times New Roman"/>
                <w:b w:val="0"/>
                <w:color w:val="auto"/>
                <w:kern w:val="0"/>
                <w:sz w:val="24"/>
                <w:szCs w:val="20"/>
              </w:rPr>
              <w:t>式中：</w:t>
            </w:r>
            <w:r>
              <w:rPr>
                <w:rFonts w:cs="Times New Roman"/>
                <w:b w:val="0"/>
                <w:color w:val="auto"/>
                <w:kern w:val="0"/>
                <w:sz w:val="24"/>
                <w:szCs w:val="20"/>
              </w:rPr>
              <w:t>L</w:t>
            </w:r>
            <w:r>
              <w:rPr>
                <w:rFonts w:cs="Times New Roman"/>
                <w:b w:val="0"/>
                <w:color w:val="auto"/>
                <w:kern w:val="0"/>
                <w:sz w:val="24"/>
                <w:szCs w:val="20"/>
                <w:vertAlign w:val="subscript"/>
              </w:rPr>
              <w:t>p1</w:t>
            </w:r>
            <w:r>
              <w:rPr>
                <w:rFonts w:cs="Times New Roman"/>
                <w:b w:val="0"/>
                <w:color w:val="auto"/>
                <w:kern w:val="0"/>
                <w:sz w:val="24"/>
                <w:szCs w:val="20"/>
              </w:rPr>
              <w:t>(T)</w:t>
            </w:r>
            <w:r>
              <w:rPr>
                <w:rFonts w:hint="eastAsia" w:cs="Times New Roman"/>
                <w:b w:val="0"/>
                <w:color w:val="auto"/>
                <w:kern w:val="0"/>
                <w:sz w:val="24"/>
                <w:szCs w:val="20"/>
              </w:rPr>
              <w:t>——靠近围护结构处室内</w:t>
            </w:r>
            <w:r>
              <w:rPr>
                <w:rFonts w:cs="Times New Roman"/>
                <w:b w:val="0"/>
                <w:color w:val="auto"/>
                <w:kern w:val="0"/>
                <w:sz w:val="24"/>
                <w:szCs w:val="20"/>
              </w:rPr>
              <w:t>N</w:t>
            </w:r>
            <w:r>
              <w:rPr>
                <w:rFonts w:hint="eastAsia" w:cs="Times New Roman"/>
                <w:b w:val="0"/>
                <w:color w:val="auto"/>
                <w:kern w:val="0"/>
                <w:sz w:val="24"/>
                <w:szCs w:val="20"/>
              </w:rPr>
              <w:t>个声源叠加</w:t>
            </w:r>
            <w:r>
              <w:rPr>
                <w:rFonts w:cs="Times New Roman"/>
                <w:b w:val="0"/>
                <w:color w:val="auto"/>
                <w:kern w:val="0"/>
                <w:sz w:val="24"/>
                <w:szCs w:val="20"/>
              </w:rPr>
              <w:t>A</w:t>
            </w:r>
            <w:r>
              <w:rPr>
                <w:rFonts w:hint="eastAsia" w:cs="Times New Roman"/>
                <w:b w:val="0"/>
                <w:color w:val="auto"/>
                <w:kern w:val="0"/>
                <w:sz w:val="24"/>
                <w:szCs w:val="20"/>
              </w:rPr>
              <w:t>声压级，</w:t>
            </w:r>
            <w:r>
              <w:rPr>
                <w:rFonts w:cs="Times New Roman"/>
                <w:b w:val="0"/>
                <w:color w:val="auto"/>
                <w:kern w:val="0"/>
                <w:sz w:val="24"/>
                <w:szCs w:val="20"/>
              </w:rPr>
              <w:t>dB(A)</w:t>
            </w:r>
            <w:r>
              <w:rPr>
                <w:rFonts w:hint="eastAsia" w:cs="Times New Roman"/>
                <w:b w:val="0"/>
                <w:color w:val="auto"/>
                <w:kern w:val="0"/>
                <w:sz w:val="24"/>
                <w:szCs w:val="20"/>
              </w:rPr>
              <w:t>；</w:t>
            </w:r>
          </w:p>
          <w:p w14:paraId="08C89DAD">
            <w:pPr>
              <w:pageBreakBefore w:val="0"/>
              <w:wordWrap w:val="0"/>
              <w:overflowPunct/>
              <w:bidi w:val="0"/>
              <w:snapToGrid w:val="0"/>
              <w:ind w:firstLine="480" w:firstLineChars="200"/>
              <w:rPr>
                <w:rFonts w:hint="eastAsia" w:cs="Times New Roman"/>
                <w:b w:val="0"/>
                <w:color w:val="auto"/>
                <w:kern w:val="0"/>
                <w:sz w:val="24"/>
                <w:szCs w:val="20"/>
              </w:rPr>
            </w:pPr>
            <w:r>
              <w:rPr>
                <w:rFonts w:cs="Times New Roman"/>
                <w:b w:val="0"/>
                <w:color w:val="auto"/>
                <w:kern w:val="0"/>
                <w:sz w:val="24"/>
                <w:szCs w:val="20"/>
              </w:rPr>
              <w:t>L</w:t>
            </w:r>
            <w:r>
              <w:rPr>
                <w:rFonts w:cs="Times New Roman"/>
                <w:b w:val="0"/>
                <w:color w:val="auto"/>
                <w:kern w:val="0"/>
                <w:sz w:val="24"/>
                <w:szCs w:val="20"/>
                <w:vertAlign w:val="subscript"/>
              </w:rPr>
              <w:t>p1j</w:t>
            </w:r>
            <w:r>
              <w:rPr>
                <w:rFonts w:hint="eastAsia" w:cs="Times New Roman"/>
                <w:b w:val="0"/>
                <w:color w:val="auto"/>
                <w:kern w:val="0"/>
                <w:sz w:val="24"/>
                <w:szCs w:val="20"/>
              </w:rPr>
              <w:t>——室内</w:t>
            </w:r>
            <w:r>
              <w:rPr>
                <w:rFonts w:cs="Times New Roman"/>
                <w:b w:val="0"/>
                <w:color w:val="auto"/>
                <w:kern w:val="0"/>
                <w:sz w:val="24"/>
                <w:szCs w:val="20"/>
              </w:rPr>
              <w:t>j</w:t>
            </w:r>
            <w:r>
              <w:rPr>
                <w:rFonts w:hint="eastAsia" w:cs="Times New Roman"/>
                <w:b w:val="0"/>
                <w:color w:val="auto"/>
                <w:kern w:val="0"/>
                <w:sz w:val="24"/>
                <w:szCs w:val="20"/>
              </w:rPr>
              <w:t>声源的</w:t>
            </w:r>
            <w:r>
              <w:rPr>
                <w:rFonts w:cs="Times New Roman"/>
                <w:b w:val="0"/>
                <w:color w:val="auto"/>
                <w:kern w:val="0"/>
                <w:sz w:val="24"/>
                <w:szCs w:val="20"/>
              </w:rPr>
              <w:t>A</w:t>
            </w:r>
            <w:r>
              <w:rPr>
                <w:rFonts w:hint="eastAsia" w:cs="Times New Roman"/>
                <w:b w:val="0"/>
                <w:color w:val="auto"/>
                <w:kern w:val="0"/>
                <w:sz w:val="24"/>
                <w:szCs w:val="20"/>
              </w:rPr>
              <w:t>声压级，</w:t>
            </w:r>
            <w:r>
              <w:rPr>
                <w:rFonts w:cs="Times New Roman"/>
                <w:b w:val="0"/>
                <w:color w:val="auto"/>
                <w:kern w:val="0"/>
                <w:sz w:val="24"/>
                <w:szCs w:val="20"/>
              </w:rPr>
              <w:t>dB(A)</w:t>
            </w:r>
            <w:r>
              <w:rPr>
                <w:rFonts w:hint="eastAsia" w:cs="Times New Roman"/>
                <w:b w:val="0"/>
                <w:color w:val="auto"/>
                <w:kern w:val="0"/>
                <w:sz w:val="24"/>
                <w:szCs w:val="20"/>
              </w:rPr>
              <w:t>；</w:t>
            </w:r>
          </w:p>
          <w:p w14:paraId="67F33444">
            <w:pPr>
              <w:pageBreakBefore w:val="0"/>
              <w:wordWrap w:val="0"/>
              <w:overflowPunct/>
              <w:bidi w:val="0"/>
              <w:spacing w:line="360" w:lineRule="auto"/>
              <w:ind w:firstLine="480"/>
              <w:rPr>
                <w:rFonts w:cs="Times New Roman"/>
                <w:b w:val="0"/>
                <w:bCs/>
                <w:color w:val="auto"/>
                <w:kern w:val="0"/>
                <w:sz w:val="24"/>
                <w:szCs w:val="20"/>
              </w:rPr>
            </w:pPr>
            <w:r>
              <w:rPr>
                <w:rFonts w:hint="eastAsia" w:cs="Times New Roman"/>
                <w:b w:val="0"/>
                <w:color w:val="auto"/>
                <w:kern w:val="0"/>
                <w:sz w:val="24"/>
                <w:szCs w:val="20"/>
              </w:rPr>
              <w:t>（2）</w:t>
            </w:r>
            <w:r>
              <w:rPr>
                <w:rFonts w:hint="eastAsia" w:cs="Times New Roman"/>
                <w:b w:val="0"/>
                <w:bCs/>
                <w:color w:val="auto"/>
                <w:kern w:val="0"/>
                <w:sz w:val="24"/>
                <w:szCs w:val="20"/>
              </w:rPr>
              <w:t>车间边界处的噪声值预测</w:t>
            </w:r>
          </w:p>
          <w:p w14:paraId="266B2378">
            <w:pPr>
              <w:pageBreakBefore w:val="0"/>
              <w:wordWrap w:val="0"/>
              <w:overflowPunct/>
              <w:bidi w:val="0"/>
              <w:spacing w:line="360" w:lineRule="auto"/>
              <w:ind w:firstLine="480"/>
              <w:rPr>
                <w:rFonts w:cs="Times New Roman"/>
                <w:b w:val="0"/>
                <w:color w:val="auto"/>
                <w:kern w:val="0"/>
                <w:sz w:val="24"/>
                <w:szCs w:val="20"/>
              </w:rPr>
            </w:pPr>
            <w:r>
              <w:rPr>
                <w:rFonts w:hint="eastAsia" w:cs="Times New Roman"/>
                <w:b w:val="0"/>
                <w:color w:val="auto"/>
                <w:kern w:val="0"/>
                <w:sz w:val="24"/>
                <w:szCs w:val="20"/>
              </w:rPr>
              <w:t>在室内近似为扩散声场地，按下式计算出靠近室外围护结构处的声压级。</w:t>
            </w:r>
          </w:p>
          <w:p w14:paraId="0BAD3051">
            <w:pPr>
              <w:pageBreakBefore w:val="0"/>
              <w:wordWrap w:val="0"/>
              <w:overflowPunct/>
              <w:bidi w:val="0"/>
              <w:spacing w:line="360" w:lineRule="auto"/>
              <w:jc w:val="center"/>
              <w:rPr>
                <w:rFonts w:cs="Times New Roman"/>
                <w:b w:val="0"/>
                <w:color w:val="auto"/>
                <w:kern w:val="0"/>
                <w:sz w:val="24"/>
                <w:szCs w:val="20"/>
              </w:rPr>
            </w:pPr>
            <w:r>
              <w:rPr>
                <w:rFonts w:cstheme="minorBidi"/>
                <w:b w:val="0"/>
                <w:color w:val="auto"/>
                <w:kern w:val="2"/>
                <w:sz w:val="24"/>
                <w:szCs w:val="22"/>
              </w:rPr>
              <w:object>
                <v:shape id="_x0000_i1026" o:spt="75" alt="" type="#_x0000_t75" style="height:21.85pt;width:93.85pt;" o:ole="t" filled="f" o:preferrelative="t" stroked="f" coordsize="21600,21600">
                  <v:path/>
                  <v:fill on="f" focussize="0,0"/>
                  <v:stroke on="f"/>
                  <v:imagedata r:id="rId29" o:title=""/>
                  <o:lock v:ext="edit" aspectratio="t"/>
                  <w10:wrap type="none"/>
                  <w10:anchorlock/>
                </v:shape>
                <o:OLEObject Type="Embed" ProgID="Equation.DSMT4" ShapeID="_x0000_i1026" DrawAspect="Content" ObjectID="_1468075726" r:id="rId28">
                  <o:LockedField>false</o:LockedField>
                </o:OLEObject>
              </w:object>
            </w:r>
          </w:p>
          <w:p w14:paraId="6AC8B0D2">
            <w:pPr>
              <w:pageBreakBefore w:val="0"/>
              <w:wordWrap w:val="0"/>
              <w:overflowPunct/>
              <w:bidi w:val="0"/>
              <w:spacing w:line="360" w:lineRule="auto"/>
              <w:ind w:firstLine="480"/>
              <w:rPr>
                <w:rFonts w:cs="Times New Roman"/>
                <w:b w:val="0"/>
                <w:color w:val="auto"/>
                <w:kern w:val="0"/>
                <w:sz w:val="24"/>
                <w:szCs w:val="20"/>
              </w:rPr>
            </w:pPr>
            <w:r>
              <w:rPr>
                <w:rFonts w:hint="eastAsia" w:cs="Times New Roman"/>
                <w:b w:val="0"/>
                <w:color w:val="auto"/>
                <w:kern w:val="0"/>
                <w:sz w:val="24"/>
                <w:szCs w:val="20"/>
              </w:rPr>
              <w:t>式中：</w:t>
            </w:r>
            <w:r>
              <w:rPr>
                <w:rFonts w:cs="Times New Roman"/>
                <w:b w:val="0"/>
                <w:color w:val="auto"/>
                <w:kern w:val="0"/>
                <w:sz w:val="24"/>
                <w:szCs w:val="20"/>
              </w:rPr>
              <w:t>L</w:t>
            </w:r>
            <w:r>
              <w:rPr>
                <w:rFonts w:cs="Times New Roman"/>
                <w:b w:val="0"/>
                <w:color w:val="auto"/>
                <w:kern w:val="0"/>
                <w:sz w:val="24"/>
                <w:szCs w:val="20"/>
                <w:vertAlign w:val="subscript"/>
              </w:rPr>
              <w:t>p1</w:t>
            </w:r>
            <w:r>
              <w:rPr>
                <w:rFonts w:hint="eastAsia" w:cs="Times New Roman"/>
                <w:b w:val="0"/>
                <w:color w:val="auto"/>
                <w:kern w:val="0"/>
                <w:sz w:val="24"/>
                <w:szCs w:val="20"/>
              </w:rPr>
              <w:t>——声源室内声压级，</w:t>
            </w:r>
            <w:r>
              <w:rPr>
                <w:rFonts w:cs="Times New Roman"/>
                <w:b w:val="0"/>
                <w:color w:val="auto"/>
                <w:kern w:val="0"/>
                <w:sz w:val="24"/>
                <w:szCs w:val="20"/>
              </w:rPr>
              <w:t>dB(A)</w:t>
            </w:r>
            <w:r>
              <w:rPr>
                <w:rFonts w:hint="eastAsia" w:cs="Times New Roman"/>
                <w:b w:val="0"/>
                <w:color w:val="auto"/>
                <w:kern w:val="0"/>
                <w:sz w:val="24"/>
                <w:szCs w:val="20"/>
              </w:rPr>
              <w:t>；</w:t>
            </w:r>
          </w:p>
          <w:p w14:paraId="600A2B16">
            <w:pPr>
              <w:pageBreakBefore w:val="0"/>
              <w:wordWrap w:val="0"/>
              <w:overflowPunct/>
              <w:bidi w:val="0"/>
              <w:spacing w:line="360" w:lineRule="auto"/>
              <w:ind w:firstLine="1200" w:firstLineChars="500"/>
              <w:rPr>
                <w:rFonts w:cs="Times New Roman"/>
                <w:b w:val="0"/>
                <w:color w:val="auto"/>
                <w:kern w:val="0"/>
                <w:sz w:val="24"/>
                <w:szCs w:val="20"/>
              </w:rPr>
            </w:pPr>
            <w:r>
              <w:rPr>
                <w:rFonts w:cs="Times New Roman"/>
                <w:b w:val="0"/>
                <w:color w:val="auto"/>
                <w:kern w:val="0"/>
                <w:sz w:val="24"/>
                <w:szCs w:val="20"/>
              </w:rPr>
              <w:t>L</w:t>
            </w:r>
            <w:r>
              <w:rPr>
                <w:rFonts w:cs="Times New Roman"/>
                <w:b w:val="0"/>
                <w:color w:val="auto"/>
                <w:kern w:val="0"/>
                <w:sz w:val="24"/>
                <w:szCs w:val="20"/>
                <w:vertAlign w:val="subscript"/>
              </w:rPr>
              <w:t>p2</w:t>
            </w:r>
            <w:r>
              <w:rPr>
                <w:rFonts w:hint="eastAsia" w:cs="Times New Roman"/>
                <w:b w:val="0"/>
                <w:color w:val="auto"/>
                <w:kern w:val="0"/>
                <w:sz w:val="24"/>
                <w:szCs w:val="20"/>
              </w:rPr>
              <w:t>——等效室外声压级，</w:t>
            </w:r>
            <w:r>
              <w:rPr>
                <w:rFonts w:cs="Times New Roman"/>
                <w:b w:val="0"/>
                <w:color w:val="auto"/>
                <w:kern w:val="0"/>
                <w:sz w:val="24"/>
                <w:szCs w:val="20"/>
              </w:rPr>
              <w:t>dB(A)</w:t>
            </w:r>
            <w:r>
              <w:rPr>
                <w:rFonts w:hint="eastAsia" w:cs="Times New Roman"/>
                <w:b w:val="0"/>
                <w:color w:val="auto"/>
                <w:kern w:val="0"/>
                <w:sz w:val="24"/>
                <w:szCs w:val="20"/>
              </w:rPr>
              <w:t>；</w:t>
            </w:r>
          </w:p>
          <w:p w14:paraId="44DAB5DE">
            <w:pPr>
              <w:pageBreakBefore w:val="0"/>
              <w:wordWrap w:val="0"/>
              <w:overflowPunct/>
              <w:bidi w:val="0"/>
              <w:snapToGrid w:val="0"/>
              <w:ind w:firstLine="480" w:firstLineChars="200"/>
              <w:rPr>
                <w:rFonts w:hint="default" w:cs="Times New Roman"/>
                <w:b w:val="0"/>
                <w:color w:val="auto"/>
                <w:kern w:val="0"/>
                <w:sz w:val="24"/>
                <w:szCs w:val="20"/>
              </w:rPr>
            </w:pPr>
            <w:r>
              <w:rPr>
                <w:rFonts w:cs="Times New Roman"/>
                <w:b w:val="0"/>
                <w:color w:val="auto"/>
                <w:kern w:val="0"/>
                <w:sz w:val="24"/>
                <w:szCs w:val="20"/>
              </w:rPr>
              <w:t>TL</w:t>
            </w:r>
            <w:r>
              <w:rPr>
                <w:rFonts w:hint="eastAsia" w:cs="Times New Roman"/>
                <w:b w:val="0"/>
                <w:color w:val="auto"/>
                <w:kern w:val="0"/>
                <w:sz w:val="24"/>
                <w:szCs w:val="20"/>
              </w:rPr>
              <w:t>——隔墙（或窗户）倍频带的隔声量，</w:t>
            </w:r>
            <w:r>
              <w:rPr>
                <w:rFonts w:cs="Times New Roman"/>
                <w:b w:val="0"/>
                <w:color w:val="auto"/>
                <w:kern w:val="0"/>
                <w:sz w:val="24"/>
                <w:szCs w:val="20"/>
              </w:rPr>
              <w:t>dB(A)</w:t>
            </w:r>
            <w:r>
              <w:rPr>
                <w:rFonts w:hint="eastAsia" w:cs="Times New Roman"/>
                <w:b w:val="0"/>
                <w:color w:val="auto"/>
                <w:kern w:val="0"/>
                <w:sz w:val="24"/>
                <w:szCs w:val="20"/>
              </w:rPr>
              <w:t>。</w:t>
            </w:r>
          </w:p>
          <w:p w14:paraId="12A1C9F1">
            <w:pPr>
              <w:pageBreakBefore w:val="0"/>
              <w:wordWrap w:val="0"/>
              <w:overflowPunct/>
              <w:bidi w:val="0"/>
              <w:spacing w:line="360" w:lineRule="auto"/>
              <w:jc w:val="center"/>
              <w:rPr>
                <w:rFonts w:cs="Times New Roman"/>
                <w:b w:val="0"/>
                <w:color w:val="auto"/>
                <w:kern w:val="0"/>
                <w:sz w:val="24"/>
                <w:szCs w:val="20"/>
              </w:rPr>
            </w:pPr>
            <w:r>
              <w:rPr>
                <w:rFonts w:cs="Times New Roman"/>
                <w:b w:val="0"/>
                <w:color w:val="auto"/>
                <w:kern w:val="0"/>
                <w:sz w:val="24"/>
                <w:szCs w:val="20"/>
              </w:rPr>
              <w:drawing>
                <wp:inline distT="0" distB="0" distL="0" distR="0">
                  <wp:extent cx="4286885" cy="1689735"/>
                  <wp:effectExtent l="0" t="0" r="18415" b="571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30" cstate="hqprint"/>
                          <a:srcRect/>
                          <a:stretch>
                            <a:fillRect/>
                          </a:stretch>
                        </pic:blipFill>
                        <pic:spPr>
                          <a:xfrm>
                            <a:off x="0" y="0"/>
                            <a:ext cx="4305111" cy="1697010"/>
                          </a:xfrm>
                          <a:prstGeom prst="rect">
                            <a:avLst/>
                          </a:prstGeom>
                          <a:noFill/>
                          <a:ln>
                            <a:noFill/>
                          </a:ln>
                        </pic:spPr>
                      </pic:pic>
                    </a:graphicData>
                  </a:graphic>
                </wp:inline>
              </w:drawing>
            </w:r>
          </w:p>
          <w:p w14:paraId="76248374">
            <w:pPr>
              <w:pageBreakBefore w:val="0"/>
              <w:wordWrap w:val="0"/>
              <w:overflowPunct/>
              <w:bidi w:val="0"/>
              <w:snapToGrid w:val="0"/>
              <w:ind w:firstLine="480" w:firstLineChars="200"/>
              <w:rPr>
                <w:rFonts w:hint="default" w:ascii="Times New Roman" w:hAnsi="Times New Roman" w:eastAsia="宋体" w:cs="Times New Roman"/>
                <w:color w:val="auto"/>
                <w:highlight w:val="none"/>
              </w:rPr>
            </w:pPr>
            <w:r>
              <w:rPr>
                <w:rFonts w:hint="eastAsia" w:cs="Times New Roman"/>
                <w:b w:val="0"/>
                <w:color w:val="auto"/>
                <w:kern w:val="0"/>
                <w:sz w:val="24"/>
                <w:szCs w:val="20"/>
              </w:rPr>
              <w:t>根据《环境噪声控制》（作者：刘惠玲主编，2002年第一版），墙体降噪效果在23-30dB（A）之间，基础减振降噪效果在10-25dB（A）之间，本项目墙体主要为钢质材料，隔音效果较差降噪效果保守取15dB（A）、基础减振降噪效果取10dB（A），考虑到人员进出本项目过程中开关门、窗户等对隔声的负面影响，实际隔声量按20dB（A）计算</w:t>
            </w:r>
            <w:r>
              <w:rPr>
                <w:rFonts w:cs="Times New Roman"/>
                <w:b w:val="0"/>
                <w:color w:val="auto"/>
                <w:kern w:val="0"/>
                <w:sz w:val="24"/>
                <w:szCs w:val="20"/>
              </w:rPr>
              <w:t>。</w:t>
            </w:r>
          </w:p>
          <w:p w14:paraId="741EFB75">
            <w:pPr>
              <w:pageBreakBefore w:val="0"/>
              <w:wordWrap w:val="0"/>
              <w:overflowPunct/>
              <w:bidi w:val="0"/>
              <w:spacing w:line="360" w:lineRule="auto"/>
              <w:ind w:firstLine="480"/>
              <w:rPr>
                <w:rFonts w:cs="Times New Roman"/>
                <w:b w:val="0"/>
                <w:color w:val="auto"/>
                <w:kern w:val="0"/>
                <w:sz w:val="24"/>
                <w:szCs w:val="20"/>
              </w:rPr>
            </w:pPr>
            <w:r>
              <w:rPr>
                <w:rFonts w:hint="eastAsia" w:cs="Times New Roman"/>
                <w:b w:val="0"/>
                <w:color w:val="auto"/>
                <w:kern w:val="0"/>
                <w:sz w:val="24"/>
                <w:szCs w:val="20"/>
              </w:rPr>
              <w:t>（3）</w:t>
            </w:r>
            <w:r>
              <w:rPr>
                <w:rFonts w:cs="Times New Roman"/>
                <w:b w:val="0"/>
                <w:color w:val="auto"/>
                <w:kern w:val="0"/>
                <w:sz w:val="24"/>
                <w:szCs w:val="20"/>
              </w:rPr>
              <w:t>项目厂界处的噪声值预测</w:t>
            </w:r>
          </w:p>
          <w:p w14:paraId="55EB0C7A">
            <w:pPr>
              <w:pageBreakBefore w:val="0"/>
              <w:wordWrap w:val="0"/>
              <w:overflowPunct/>
              <w:bidi w:val="0"/>
              <w:spacing w:line="360" w:lineRule="auto"/>
              <w:ind w:firstLine="480"/>
              <w:rPr>
                <w:rFonts w:cs="Times New Roman"/>
                <w:b w:val="0"/>
                <w:color w:val="auto"/>
                <w:kern w:val="0"/>
                <w:sz w:val="24"/>
                <w:szCs w:val="20"/>
              </w:rPr>
            </w:pPr>
            <w:r>
              <w:rPr>
                <w:rFonts w:cs="Times New Roman"/>
                <w:b w:val="0"/>
                <w:color w:val="auto"/>
                <w:kern w:val="0"/>
                <w:sz w:val="24"/>
                <w:szCs w:val="20"/>
              </w:rPr>
              <w:t>项目厂房每一面墙可以当成一个面源</w:t>
            </w:r>
            <w:r>
              <w:rPr>
                <w:rFonts w:hint="eastAsia" w:cs="Times New Roman"/>
                <w:b w:val="0"/>
                <w:color w:val="auto"/>
                <w:kern w:val="0"/>
                <w:sz w:val="24"/>
                <w:szCs w:val="20"/>
              </w:rPr>
              <w:t>，</w:t>
            </w:r>
            <w:r>
              <w:rPr>
                <w:rFonts w:cs="Times New Roman"/>
                <w:b w:val="0"/>
                <w:color w:val="auto"/>
                <w:kern w:val="0"/>
                <w:sz w:val="24"/>
                <w:szCs w:val="20"/>
              </w:rPr>
              <w:t>当预测点和面声源中心距离r处于以下条件时，可按下述方法近似计算</w:t>
            </w:r>
            <w:r>
              <w:rPr>
                <w:rFonts w:hint="eastAsia" w:cs="Times New Roman"/>
                <w:b w:val="0"/>
                <w:color w:val="auto"/>
                <w:kern w:val="0"/>
                <w:sz w:val="24"/>
                <w:szCs w:val="20"/>
              </w:rPr>
              <w:t>。</w:t>
            </w:r>
          </w:p>
          <w:p w14:paraId="45414955">
            <w:pPr>
              <w:pageBreakBefore w:val="0"/>
              <w:numPr>
                <w:ilvl w:val="0"/>
                <w:numId w:val="10"/>
              </w:numPr>
              <w:wordWrap w:val="0"/>
              <w:overflowPunct/>
              <w:bidi w:val="0"/>
              <w:spacing w:line="360" w:lineRule="auto"/>
              <w:ind w:left="26" w:leftChars="11" w:firstLine="400" w:firstLineChars="167"/>
              <w:textAlignment w:val="center"/>
              <w:rPr>
                <w:rFonts w:cs="Times New Roman"/>
                <w:b w:val="0"/>
                <w:color w:val="auto"/>
                <w:kern w:val="0"/>
                <w:sz w:val="24"/>
                <w:szCs w:val="20"/>
              </w:rPr>
            </w:pPr>
            <w:r>
              <w:rPr>
                <w:rFonts w:cs="Times New Roman"/>
                <w:b w:val="0"/>
                <w:color w:val="auto"/>
                <w:kern w:val="0"/>
                <w:sz w:val="24"/>
                <w:szCs w:val="20"/>
              </w:rPr>
              <w:t>r&lt;a/π时（a为车间这一侧墙面的高度），几乎不衰减（Adiv≈0），</w:t>
            </w:r>
            <w:r>
              <w:rPr>
                <w:rFonts w:hint="eastAsia" w:cs="Times New Roman"/>
                <w:b w:val="0"/>
                <w:color w:val="auto"/>
                <w:kern w:val="0"/>
                <w:sz w:val="24"/>
                <w:szCs w:val="20"/>
                <w:lang w:eastAsia="zh-CN"/>
              </w:rPr>
              <w:t>即</w:t>
            </w:r>
            <w:r>
              <w:rPr>
                <w:rFonts w:cs="Times New Roman"/>
                <w:b w:val="0"/>
                <w:color w:val="auto"/>
                <w:kern w:val="0"/>
                <w:sz w:val="24"/>
                <w:szCs w:val="20"/>
              </w:rPr>
              <w:t>车间边界与厂界非常接近时，不考虑衰减，直接以该侧车间边界值作为项目厂界预测值。</w:t>
            </w:r>
          </w:p>
          <w:p w14:paraId="6D8E9DFC">
            <w:pPr>
              <w:pageBreakBefore w:val="0"/>
              <w:numPr>
                <w:ilvl w:val="0"/>
                <w:numId w:val="10"/>
              </w:numPr>
              <w:wordWrap w:val="0"/>
              <w:overflowPunct/>
              <w:bidi w:val="0"/>
              <w:spacing w:line="360" w:lineRule="auto"/>
              <w:ind w:left="26" w:leftChars="11" w:firstLine="400" w:firstLineChars="167"/>
              <w:textAlignment w:val="center"/>
              <w:rPr>
                <w:rFonts w:cs="Times New Roman"/>
                <w:b w:val="0"/>
                <w:color w:val="auto"/>
                <w:kern w:val="0"/>
                <w:sz w:val="24"/>
                <w:szCs w:val="20"/>
              </w:rPr>
            </w:pPr>
            <w:r>
              <w:rPr>
                <w:rFonts w:cs="Times New Roman"/>
                <w:b w:val="0"/>
                <w:color w:val="auto"/>
                <w:kern w:val="0"/>
                <w:sz w:val="24"/>
                <w:szCs w:val="20"/>
              </w:rPr>
              <w:t>当a/π&lt;r&lt;b/π（a为车间这一侧墙面的高度，b为车间这一侧墙面的长度），距离加倍衰减3dB</w:t>
            </w:r>
            <w:r>
              <w:rPr>
                <w:rFonts w:hint="eastAsia" w:cs="Times New Roman"/>
                <w:b w:val="0"/>
                <w:color w:val="auto"/>
                <w:kern w:val="0"/>
                <w:sz w:val="24"/>
                <w:szCs w:val="20"/>
                <w:lang w:eastAsia="zh-CN"/>
              </w:rPr>
              <w:t>（</w:t>
            </w:r>
            <w:r>
              <w:rPr>
                <w:rFonts w:cs="Times New Roman"/>
                <w:b w:val="0"/>
                <w:color w:val="auto"/>
                <w:kern w:val="0"/>
                <w:sz w:val="24"/>
                <w:szCs w:val="20"/>
              </w:rPr>
              <w:t>A</w:t>
            </w:r>
            <w:r>
              <w:rPr>
                <w:rFonts w:hint="eastAsia" w:cs="Times New Roman"/>
                <w:b w:val="0"/>
                <w:color w:val="auto"/>
                <w:kern w:val="0"/>
                <w:sz w:val="24"/>
                <w:szCs w:val="20"/>
                <w:lang w:eastAsia="zh-CN"/>
              </w:rPr>
              <w:t>）</w:t>
            </w:r>
            <w:r>
              <w:rPr>
                <w:rFonts w:cs="Times New Roman"/>
                <w:b w:val="0"/>
                <w:color w:val="auto"/>
                <w:kern w:val="0"/>
                <w:sz w:val="24"/>
                <w:szCs w:val="20"/>
              </w:rPr>
              <w:t>左右，类似线声源衰减特性（Adiv≈10 lg（r/r0）），</w:t>
            </w:r>
            <w:r>
              <w:rPr>
                <w:rFonts w:hint="eastAsia" w:cs="Times New Roman"/>
                <w:b w:val="0"/>
                <w:color w:val="auto"/>
                <w:kern w:val="0"/>
                <w:sz w:val="24"/>
                <w:szCs w:val="20"/>
                <w:lang w:eastAsia="zh-CN"/>
              </w:rPr>
              <w:t>即</w:t>
            </w:r>
            <w:r>
              <w:rPr>
                <w:rFonts w:cs="Times New Roman"/>
                <w:b w:val="0"/>
                <w:color w:val="auto"/>
                <w:kern w:val="0"/>
                <w:sz w:val="24"/>
                <w:szCs w:val="20"/>
              </w:rPr>
              <w:t>按照线声源计算公式，计算衰减值。</w:t>
            </w:r>
          </w:p>
          <w:p w14:paraId="01302E2A">
            <w:pPr>
              <w:pageBreakBefore w:val="0"/>
              <w:wordWrap w:val="0"/>
              <w:overflowPunct/>
              <w:bidi w:val="0"/>
              <w:snapToGrid w:val="0"/>
              <w:ind w:firstLine="480" w:firstLineChars="200"/>
              <w:rPr>
                <w:rFonts w:hint="eastAsia" w:ascii="Times New Roman" w:hAnsi="Times New Roman" w:eastAsia="宋体" w:cs="Times New Roman"/>
                <w:color w:val="auto"/>
                <w:highlight w:val="none"/>
                <w:lang w:eastAsia="zh-CN"/>
              </w:rPr>
            </w:pPr>
            <w:r>
              <w:rPr>
                <w:rFonts w:cs="Times New Roman"/>
                <w:b w:val="0"/>
                <w:color w:val="auto"/>
                <w:kern w:val="0"/>
                <w:sz w:val="24"/>
                <w:szCs w:val="20"/>
              </w:rPr>
              <w:t>当r&gt;b/π时（b为车间这一侧墙面的长度），距离加倍衰减趋近于6dB(A)，类似点声源衰减特性（Adiv≈20 lg（r/r0）），</w:t>
            </w:r>
            <w:r>
              <w:rPr>
                <w:rFonts w:hint="eastAsia" w:cs="Times New Roman"/>
                <w:b w:val="0"/>
                <w:color w:val="auto"/>
                <w:kern w:val="0"/>
                <w:sz w:val="24"/>
                <w:szCs w:val="20"/>
                <w:lang w:eastAsia="zh-CN"/>
              </w:rPr>
              <w:t>即</w:t>
            </w:r>
            <w:r>
              <w:rPr>
                <w:rFonts w:cs="Times New Roman"/>
                <w:b w:val="0"/>
                <w:color w:val="auto"/>
                <w:kern w:val="0"/>
                <w:sz w:val="24"/>
                <w:szCs w:val="20"/>
              </w:rPr>
              <w:t>按照点声源计算公式，计算衰减值</w:t>
            </w:r>
            <w:r>
              <w:rPr>
                <w:rFonts w:hint="eastAsia" w:cs="Times New Roman"/>
                <w:b w:val="0"/>
                <w:color w:val="auto"/>
                <w:kern w:val="0"/>
                <w:sz w:val="24"/>
                <w:szCs w:val="20"/>
                <w:lang w:eastAsia="zh-CN"/>
              </w:rPr>
              <w:t>。</w:t>
            </w:r>
          </w:p>
          <w:p w14:paraId="237F8EA0">
            <w:pPr>
              <w:pageBreakBefore w:val="0"/>
              <w:wordWrap w:val="0"/>
              <w:overflowPunct/>
              <w:bidi w:val="0"/>
              <w:snapToGrid w:val="0"/>
              <w:ind w:firstLine="480" w:firstLineChars="200"/>
              <w:rPr>
                <w:rFonts w:hint="eastAsia" w:ascii="Times New Roman" w:hAnsi="Times New Roman" w:eastAsia="宋体" w:cs="Times New Roman"/>
                <w:b w:val="0"/>
                <w:color w:val="auto"/>
                <w:kern w:val="0"/>
                <w:sz w:val="24"/>
                <w:szCs w:val="20"/>
                <w:lang w:eastAsia="zh-CN"/>
              </w:rPr>
            </w:pPr>
            <w:r>
              <w:rPr>
                <w:rFonts w:hint="default" w:ascii="Times New Roman" w:hAnsi="Times New Roman" w:eastAsia="宋体" w:cs="Times New Roman"/>
                <w:b w:val="0"/>
                <w:color w:val="auto"/>
                <w:kern w:val="0"/>
                <w:sz w:val="24"/>
                <w:szCs w:val="20"/>
              </w:rPr>
              <w:t>根据类比调查得到的参考声级，将各噪声源合并为一个噪声源，通过计算得出噪声源在不采取噪声防治措施，仅由声传播过程由于受声点与声源距离产生的衰减情况下不同距离处的噪声预测值</w:t>
            </w:r>
            <w:r>
              <w:rPr>
                <w:rFonts w:hint="eastAsia" w:ascii="Times New Roman" w:hAnsi="Times New Roman" w:eastAsia="宋体" w:cs="Times New Roman"/>
                <w:b w:val="0"/>
                <w:color w:val="auto"/>
                <w:kern w:val="0"/>
                <w:sz w:val="24"/>
                <w:szCs w:val="20"/>
                <w:lang w:eastAsia="zh-CN"/>
              </w:rPr>
              <w:t>。</w:t>
            </w:r>
          </w:p>
          <w:p w14:paraId="01CB2FCD">
            <w:pPr>
              <w:pageBreakBefore w:val="0"/>
              <w:wordWrap w:val="0"/>
              <w:overflowPunct/>
              <w:bidi w:val="0"/>
              <w:snapToGrid w:val="0"/>
              <w:ind w:firstLine="480" w:firstLineChars="200"/>
              <w:rPr>
                <w:rFonts w:hint="default" w:ascii="Times New Roman" w:hAnsi="Times New Roman" w:eastAsia="宋体" w:cs="Times New Roman"/>
                <w:b w:val="0"/>
                <w:color w:val="auto"/>
                <w:kern w:val="0"/>
                <w:sz w:val="24"/>
                <w:szCs w:val="20"/>
                <w:lang w:val="en-US" w:eastAsia="zh-CN"/>
              </w:rPr>
            </w:pPr>
            <w:r>
              <w:rPr>
                <w:rFonts w:hint="default" w:ascii="Times New Roman" w:hAnsi="Times New Roman" w:eastAsia="宋体" w:cs="Times New Roman"/>
                <w:b w:val="0"/>
                <w:color w:val="auto"/>
                <w:kern w:val="0"/>
                <w:sz w:val="24"/>
                <w:szCs w:val="20"/>
                <w:lang w:val="en-US" w:eastAsia="zh-CN"/>
              </w:rPr>
              <w:t>根据本项目噪声源，利用预测模式计算四周噪声值，最终与现状背景噪声按声能量迭加得出预测结果如下表。</w:t>
            </w:r>
          </w:p>
          <w:p w14:paraId="28590364">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rPr>
            </w:pPr>
            <w:r>
              <w:rPr>
                <w:rFonts w:hint="default" w:ascii="Times New Roman" w:hAnsi="Times New Roman" w:cs="Times New Roman"/>
                <w:b/>
                <w:color w:val="auto"/>
              </w:rPr>
              <w:t>项目的噪声贡献值预测结果</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74"/>
              <w:gridCol w:w="1834"/>
              <w:gridCol w:w="1103"/>
              <w:gridCol w:w="1498"/>
              <w:gridCol w:w="1496"/>
              <w:gridCol w:w="1500"/>
              <w:gridCol w:w="2"/>
            </w:tblGrid>
            <w:tr w14:paraId="203D7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2" w:type="pct"/>
                  <w:tcBorders>
                    <w:top w:val="single" w:color="auto" w:sz="4" w:space="0"/>
                    <w:left w:val="single" w:color="auto" w:sz="4" w:space="0"/>
                    <w:bottom w:val="single" w:color="auto" w:sz="4" w:space="0"/>
                    <w:right w:val="single" w:color="auto" w:sz="4" w:space="0"/>
                  </w:tcBorders>
                  <w:vAlign w:val="center"/>
                </w:tcPr>
                <w:p w14:paraId="29E57B56">
                  <w:pPr>
                    <w:pageBreakBefore w:val="0"/>
                    <w:wordWrap w:val="0"/>
                    <w:overflowPunct/>
                    <w:bidi w:val="0"/>
                    <w:spacing w:line="0" w:lineRule="atLeast"/>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项目厂界</w:t>
                  </w:r>
                </w:p>
              </w:tc>
              <w:tc>
                <w:tcPr>
                  <w:tcW w:w="1053" w:type="pct"/>
                  <w:tcBorders>
                    <w:top w:val="single" w:color="auto" w:sz="4" w:space="0"/>
                    <w:left w:val="single" w:color="auto" w:sz="4" w:space="0"/>
                    <w:bottom w:val="single" w:color="auto" w:sz="4" w:space="0"/>
                    <w:right w:val="single" w:color="auto" w:sz="4" w:space="0"/>
                  </w:tcBorders>
                  <w:vAlign w:val="center"/>
                </w:tcPr>
                <w:p w14:paraId="6567DF5A">
                  <w:pPr>
                    <w:pageBreakBefore w:val="0"/>
                    <w:wordWrap w:val="0"/>
                    <w:overflowPunct/>
                    <w:bidi w:val="0"/>
                    <w:spacing w:line="0" w:lineRule="atLeast"/>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室内噪声源总声压级/dB（A）</w:t>
                  </w:r>
                </w:p>
              </w:tc>
              <w:tc>
                <w:tcPr>
                  <w:tcW w:w="633" w:type="pct"/>
                  <w:tcBorders>
                    <w:top w:val="single" w:color="auto" w:sz="4" w:space="0"/>
                    <w:left w:val="single" w:color="auto" w:sz="4" w:space="0"/>
                    <w:bottom w:val="single" w:color="auto" w:sz="4" w:space="0"/>
                    <w:right w:val="single" w:color="auto" w:sz="4" w:space="0"/>
                  </w:tcBorders>
                  <w:vAlign w:val="center"/>
                </w:tcPr>
                <w:p w14:paraId="7D5D141A">
                  <w:pPr>
                    <w:pageBreakBefore w:val="0"/>
                    <w:wordWrap w:val="0"/>
                    <w:overflowPunct/>
                    <w:bidi w:val="0"/>
                    <w:spacing w:line="0" w:lineRule="atLeast"/>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噪声源距各厂界最近距离</w:t>
                  </w:r>
                </w:p>
              </w:tc>
              <w:tc>
                <w:tcPr>
                  <w:tcW w:w="860" w:type="pct"/>
                  <w:tcBorders>
                    <w:top w:val="single" w:color="auto" w:sz="4" w:space="0"/>
                    <w:left w:val="single" w:color="auto" w:sz="4" w:space="0"/>
                    <w:bottom w:val="single" w:color="auto" w:sz="4" w:space="0"/>
                    <w:right w:val="single" w:color="auto" w:sz="4" w:space="0"/>
                  </w:tcBorders>
                  <w:vAlign w:val="center"/>
                </w:tcPr>
                <w:p w14:paraId="24C0CDAA">
                  <w:pPr>
                    <w:pageBreakBefore w:val="0"/>
                    <w:wordWrap w:val="0"/>
                    <w:overflowPunct/>
                    <w:bidi w:val="0"/>
                    <w:spacing w:line="0" w:lineRule="atLeast"/>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厂界贡献值</w:t>
                  </w:r>
                </w:p>
              </w:tc>
              <w:tc>
                <w:tcPr>
                  <w:tcW w:w="859" w:type="pct"/>
                  <w:tcBorders>
                    <w:top w:val="single" w:color="auto" w:sz="4" w:space="0"/>
                    <w:left w:val="single" w:color="auto" w:sz="4" w:space="0"/>
                    <w:bottom w:val="single" w:color="auto" w:sz="4" w:space="0"/>
                    <w:right w:val="single" w:color="auto" w:sz="4" w:space="0"/>
                  </w:tcBorders>
                  <w:vAlign w:val="center"/>
                </w:tcPr>
                <w:p w14:paraId="20603B93">
                  <w:pPr>
                    <w:pageBreakBefore w:val="0"/>
                    <w:wordWrap w:val="0"/>
                    <w:overflowPunct/>
                    <w:bidi w:val="0"/>
                    <w:spacing w:line="0" w:lineRule="atLeast"/>
                    <w:jc w:val="center"/>
                    <w:rPr>
                      <w:rFonts w:hint="eastAsia" w:ascii="Times New Roman" w:hAnsi="Times New Roman" w:eastAsia="宋体" w:cs="Times New Roman"/>
                      <w:b/>
                      <w:color w:val="auto"/>
                      <w:kern w:val="0"/>
                      <w:sz w:val="21"/>
                      <w:szCs w:val="21"/>
                      <w:highlight w:val="none"/>
                      <w:lang w:val="en-US" w:eastAsia="zh-CN"/>
                    </w:rPr>
                  </w:pPr>
                  <w:r>
                    <w:rPr>
                      <w:rFonts w:hint="eastAsia" w:cs="Times New Roman"/>
                      <w:b/>
                      <w:color w:val="auto"/>
                      <w:kern w:val="0"/>
                      <w:sz w:val="21"/>
                      <w:szCs w:val="21"/>
                      <w:highlight w:val="none"/>
                      <w:lang w:val="en-US" w:eastAsia="zh-CN"/>
                    </w:rPr>
                    <w:t>背景值</w:t>
                  </w:r>
                </w:p>
              </w:tc>
              <w:tc>
                <w:tcPr>
                  <w:tcW w:w="861" w:type="pct"/>
                  <w:gridSpan w:val="2"/>
                  <w:tcBorders>
                    <w:top w:val="single" w:color="auto" w:sz="4" w:space="0"/>
                    <w:left w:val="single" w:color="auto" w:sz="4" w:space="0"/>
                    <w:bottom w:val="single" w:color="auto" w:sz="4" w:space="0"/>
                    <w:right w:val="single" w:color="auto" w:sz="4" w:space="0"/>
                  </w:tcBorders>
                  <w:vAlign w:val="center"/>
                </w:tcPr>
                <w:p w14:paraId="12DE2F0B">
                  <w:pPr>
                    <w:pageBreakBefore w:val="0"/>
                    <w:wordWrap w:val="0"/>
                    <w:overflowPunct/>
                    <w:bidi w:val="0"/>
                    <w:spacing w:line="0" w:lineRule="atLeast"/>
                    <w:jc w:val="center"/>
                    <w:rPr>
                      <w:rFonts w:hint="default" w:cs="Times New Roman"/>
                      <w:b/>
                      <w:color w:val="auto"/>
                      <w:kern w:val="0"/>
                      <w:sz w:val="21"/>
                      <w:szCs w:val="21"/>
                      <w:highlight w:val="none"/>
                      <w:lang w:val="en-US" w:eastAsia="zh-CN"/>
                    </w:rPr>
                  </w:pPr>
                  <w:r>
                    <w:rPr>
                      <w:rFonts w:hint="eastAsia" w:cs="Times New Roman"/>
                      <w:b/>
                      <w:color w:val="auto"/>
                      <w:kern w:val="0"/>
                      <w:sz w:val="21"/>
                      <w:szCs w:val="21"/>
                      <w:highlight w:val="none"/>
                      <w:lang w:val="en-US" w:eastAsia="zh-CN"/>
                    </w:rPr>
                    <w:t>预测值</w:t>
                  </w:r>
                </w:p>
              </w:tc>
            </w:tr>
            <w:tr w14:paraId="6172F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2" w:type="pct"/>
                  <w:tcBorders>
                    <w:top w:val="single" w:color="auto" w:sz="4" w:space="0"/>
                    <w:left w:val="single" w:color="auto" w:sz="4" w:space="0"/>
                    <w:bottom w:val="single" w:color="auto" w:sz="4" w:space="0"/>
                    <w:right w:val="single" w:color="auto" w:sz="4" w:space="0"/>
                  </w:tcBorders>
                  <w:vAlign w:val="center"/>
                </w:tcPr>
                <w:p w14:paraId="16687CAB">
                  <w:pPr>
                    <w:pageBreakBefore w:val="0"/>
                    <w:wordWrap w:val="0"/>
                    <w:overflowPunct/>
                    <w:bidi w:val="0"/>
                    <w:spacing w:line="0" w:lineRule="atLeas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东侧厂界外1m</w:t>
                  </w:r>
                </w:p>
              </w:tc>
              <w:tc>
                <w:tcPr>
                  <w:tcW w:w="1053" w:type="pct"/>
                  <w:vMerge w:val="restart"/>
                  <w:tcBorders>
                    <w:top w:val="single" w:color="auto" w:sz="4" w:space="0"/>
                    <w:left w:val="single" w:color="auto" w:sz="4" w:space="0"/>
                    <w:right w:val="single" w:color="auto" w:sz="4" w:space="0"/>
                  </w:tcBorders>
                  <w:vAlign w:val="center"/>
                </w:tcPr>
                <w:p w14:paraId="0B19D2F5">
                  <w:pPr>
                    <w:pageBreakBefore w:val="0"/>
                    <w:wordWrap w:val="0"/>
                    <w:overflowPunct/>
                    <w:bidi w:val="0"/>
                    <w:spacing w:line="0" w:lineRule="atLeast"/>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59.27</w:t>
                  </w:r>
                </w:p>
              </w:tc>
              <w:tc>
                <w:tcPr>
                  <w:tcW w:w="633" w:type="pct"/>
                  <w:tcBorders>
                    <w:top w:val="single" w:color="auto" w:sz="4" w:space="0"/>
                    <w:left w:val="single" w:color="auto" w:sz="4" w:space="0"/>
                    <w:right w:val="single" w:color="auto" w:sz="4" w:space="0"/>
                  </w:tcBorders>
                  <w:vAlign w:val="center"/>
                </w:tcPr>
                <w:p w14:paraId="5CFBF1EC">
                  <w:pPr>
                    <w:pageBreakBefore w:val="0"/>
                    <w:wordWrap w:val="0"/>
                    <w:overflowPunct/>
                    <w:bidi w:val="0"/>
                    <w:spacing w:line="0" w:lineRule="atLeast"/>
                    <w:jc w:val="center"/>
                    <w:rPr>
                      <w:rFonts w:hint="default" w:ascii="Times New Roman" w:hAnsi="Times New Roman" w:eastAsia="宋体" w:cs="Times New Roman"/>
                      <w:color w:val="auto"/>
                      <w:kern w:val="0"/>
                      <w:sz w:val="21"/>
                      <w:szCs w:val="21"/>
                      <w:highlight w:val="none"/>
                    </w:rPr>
                  </w:pPr>
                  <w:r>
                    <w:rPr>
                      <w:rFonts w:hint="default" w:ascii="Times New Roman" w:hAnsi="Times New Roman" w:cs="Times New Roman"/>
                      <w:color w:val="auto"/>
                      <w:kern w:val="0"/>
                      <w:sz w:val="21"/>
                      <w:szCs w:val="21"/>
                      <w:highlight w:val="none"/>
                      <w:lang w:val="en-US" w:eastAsia="zh-CN"/>
                    </w:rPr>
                    <w:t>6</w:t>
                  </w:r>
                  <w:r>
                    <w:rPr>
                      <w:rFonts w:hint="default" w:ascii="Times New Roman" w:hAnsi="Times New Roman" w:eastAsia="宋体" w:cs="Times New Roman"/>
                      <w:color w:val="auto"/>
                      <w:kern w:val="0"/>
                      <w:sz w:val="21"/>
                      <w:szCs w:val="21"/>
                      <w:highlight w:val="none"/>
                    </w:rPr>
                    <w:t>m</w:t>
                  </w:r>
                </w:p>
              </w:tc>
              <w:tc>
                <w:tcPr>
                  <w:tcW w:w="860" w:type="pct"/>
                  <w:tcBorders>
                    <w:top w:val="single" w:color="auto" w:sz="4" w:space="0"/>
                    <w:left w:val="single" w:color="auto" w:sz="4" w:space="0"/>
                    <w:bottom w:val="single" w:color="auto" w:sz="4" w:space="0"/>
                    <w:right w:val="single" w:color="auto" w:sz="4" w:space="0"/>
                  </w:tcBorders>
                  <w:vAlign w:val="center"/>
                </w:tcPr>
                <w:p w14:paraId="69198E57">
                  <w:pPr>
                    <w:pageBreakBefore w:val="0"/>
                    <w:wordWrap w:val="0"/>
                    <w:overflowPunct/>
                    <w:bidi w:val="0"/>
                    <w:spacing w:line="0" w:lineRule="atLeast"/>
                    <w:jc w:val="center"/>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51.5</w:t>
                  </w:r>
                  <w:r>
                    <w:rPr>
                      <w:rFonts w:hint="default" w:ascii="Times New Roman" w:hAnsi="Times New Roman" w:eastAsia="宋体" w:cs="Times New Roman"/>
                      <w:bCs/>
                      <w:color w:val="auto"/>
                      <w:kern w:val="0"/>
                      <w:sz w:val="21"/>
                      <w:szCs w:val="21"/>
                      <w:highlight w:val="none"/>
                    </w:rPr>
                    <w:t>dB</w:t>
                  </w:r>
                  <w:r>
                    <w:rPr>
                      <w:rFonts w:hint="eastAsia"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rPr>
                    <w:t>A</w:t>
                  </w:r>
                  <w:r>
                    <w:rPr>
                      <w:rFonts w:hint="eastAsia" w:cs="Times New Roman"/>
                      <w:bCs/>
                      <w:color w:val="auto"/>
                      <w:kern w:val="0"/>
                      <w:sz w:val="21"/>
                      <w:szCs w:val="21"/>
                      <w:highlight w:val="none"/>
                      <w:lang w:eastAsia="zh-CN"/>
                    </w:rPr>
                    <w:t>)</w:t>
                  </w:r>
                </w:p>
              </w:tc>
              <w:tc>
                <w:tcPr>
                  <w:tcW w:w="859" w:type="pct"/>
                  <w:tcBorders>
                    <w:top w:val="single" w:color="auto" w:sz="4" w:space="0"/>
                    <w:left w:val="single" w:color="auto" w:sz="4" w:space="0"/>
                    <w:bottom w:val="single" w:color="auto" w:sz="4" w:space="0"/>
                    <w:right w:val="single" w:color="auto" w:sz="4" w:space="0"/>
                  </w:tcBorders>
                  <w:vAlign w:val="center"/>
                </w:tcPr>
                <w:p w14:paraId="41C5E4D2">
                  <w:pPr>
                    <w:pageBreakBefore w:val="0"/>
                    <w:wordWrap w:val="0"/>
                    <w:overflowPunct/>
                    <w:bidi w:val="0"/>
                    <w:spacing w:line="0" w:lineRule="atLeast"/>
                    <w:jc w:val="center"/>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58</w:t>
                  </w:r>
                  <w:r>
                    <w:rPr>
                      <w:rFonts w:hint="default" w:ascii="Times New Roman" w:hAnsi="Times New Roman" w:eastAsia="宋体" w:cs="Times New Roman"/>
                      <w:bCs/>
                      <w:color w:val="auto"/>
                      <w:kern w:val="0"/>
                      <w:sz w:val="21"/>
                      <w:szCs w:val="21"/>
                      <w:highlight w:val="none"/>
                    </w:rPr>
                    <w:t>dB</w:t>
                  </w:r>
                  <w:r>
                    <w:rPr>
                      <w:rFonts w:hint="eastAsia"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rPr>
                    <w:t>A</w:t>
                  </w:r>
                  <w:r>
                    <w:rPr>
                      <w:rFonts w:hint="eastAsia" w:cs="Times New Roman"/>
                      <w:bCs/>
                      <w:color w:val="auto"/>
                      <w:kern w:val="0"/>
                      <w:sz w:val="21"/>
                      <w:szCs w:val="21"/>
                      <w:highlight w:val="none"/>
                      <w:lang w:eastAsia="zh-CN"/>
                    </w:rPr>
                    <w:t>)</w:t>
                  </w:r>
                </w:p>
              </w:tc>
              <w:tc>
                <w:tcPr>
                  <w:tcW w:w="861" w:type="pct"/>
                  <w:gridSpan w:val="2"/>
                  <w:tcBorders>
                    <w:top w:val="single" w:color="auto" w:sz="4" w:space="0"/>
                    <w:left w:val="single" w:color="auto" w:sz="4" w:space="0"/>
                    <w:bottom w:val="single" w:color="auto" w:sz="4" w:space="0"/>
                    <w:right w:val="single" w:color="auto" w:sz="4" w:space="0"/>
                  </w:tcBorders>
                  <w:vAlign w:val="center"/>
                </w:tcPr>
                <w:p w14:paraId="6D78F60A">
                  <w:pPr>
                    <w:pageBreakBefore w:val="0"/>
                    <w:wordWrap w:val="0"/>
                    <w:overflowPunct/>
                    <w:bidi w:val="0"/>
                    <w:spacing w:line="0" w:lineRule="atLeast"/>
                    <w:jc w:val="center"/>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58.9</w:t>
                  </w:r>
                  <w:r>
                    <w:rPr>
                      <w:rFonts w:hint="default" w:ascii="Times New Roman" w:hAnsi="Times New Roman" w:eastAsia="宋体" w:cs="Times New Roman"/>
                      <w:color w:val="auto"/>
                      <w:kern w:val="0"/>
                      <w:sz w:val="21"/>
                      <w:szCs w:val="21"/>
                      <w:highlight w:val="none"/>
                      <w:lang w:val="en-US" w:eastAsia="zh-CN"/>
                    </w:rPr>
                    <w:t xml:space="preserve"> </w:t>
                  </w:r>
                  <w:r>
                    <w:rPr>
                      <w:rFonts w:hint="default" w:ascii="Times New Roman" w:hAnsi="Times New Roman" w:eastAsia="宋体" w:cs="Times New Roman"/>
                      <w:bCs/>
                      <w:color w:val="auto"/>
                      <w:kern w:val="0"/>
                      <w:sz w:val="21"/>
                      <w:szCs w:val="21"/>
                      <w:highlight w:val="none"/>
                    </w:rPr>
                    <w:t>dB</w:t>
                  </w:r>
                  <w:r>
                    <w:rPr>
                      <w:rFonts w:hint="eastAsia"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rPr>
                    <w:t>A</w:t>
                  </w:r>
                  <w:r>
                    <w:rPr>
                      <w:rFonts w:hint="eastAsia" w:cs="Times New Roman"/>
                      <w:bCs/>
                      <w:color w:val="auto"/>
                      <w:kern w:val="0"/>
                      <w:sz w:val="21"/>
                      <w:szCs w:val="21"/>
                      <w:highlight w:val="none"/>
                      <w:lang w:eastAsia="zh-CN"/>
                    </w:rPr>
                    <w:t>)</w:t>
                  </w:r>
                </w:p>
              </w:tc>
            </w:tr>
            <w:tr w14:paraId="2AF7A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2" w:type="pct"/>
                  <w:tcBorders>
                    <w:top w:val="single" w:color="auto" w:sz="4" w:space="0"/>
                    <w:left w:val="single" w:color="auto" w:sz="4" w:space="0"/>
                    <w:bottom w:val="single" w:color="auto" w:sz="4" w:space="0"/>
                    <w:right w:val="single" w:color="auto" w:sz="4" w:space="0"/>
                  </w:tcBorders>
                  <w:vAlign w:val="center"/>
                </w:tcPr>
                <w:p w14:paraId="4ED0DC79">
                  <w:pPr>
                    <w:pageBreakBefore w:val="0"/>
                    <w:wordWrap w:val="0"/>
                    <w:overflowPunct/>
                    <w:bidi w:val="0"/>
                    <w:spacing w:line="0" w:lineRule="atLeas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南侧厂界外1m</w:t>
                  </w:r>
                </w:p>
              </w:tc>
              <w:tc>
                <w:tcPr>
                  <w:tcW w:w="1053" w:type="pct"/>
                  <w:vMerge w:val="continue"/>
                  <w:tcBorders>
                    <w:left w:val="single" w:color="auto" w:sz="4" w:space="0"/>
                    <w:right w:val="single" w:color="auto" w:sz="4" w:space="0"/>
                  </w:tcBorders>
                  <w:vAlign w:val="center"/>
                </w:tcPr>
                <w:p w14:paraId="7780E7A3">
                  <w:pPr>
                    <w:pageBreakBefore w:val="0"/>
                    <w:widowControl/>
                    <w:wordWrap w:val="0"/>
                    <w:overflowPunct/>
                    <w:bidi w:val="0"/>
                    <w:spacing w:line="240" w:lineRule="auto"/>
                    <w:jc w:val="center"/>
                    <w:rPr>
                      <w:rFonts w:hint="default" w:ascii="Times New Roman" w:hAnsi="Times New Roman" w:eastAsia="宋体" w:cs="Times New Roman"/>
                      <w:color w:val="auto"/>
                      <w:kern w:val="0"/>
                      <w:sz w:val="21"/>
                      <w:szCs w:val="21"/>
                      <w:highlight w:val="none"/>
                    </w:rPr>
                  </w:pPr>
                </w:p>
              </w:tc>
              <w:tc>
                <w:tcPr>
                  <w:tcW w:w="633" w:type="pct"/>
                  <w:tcBorders>
                    <w:left w:val="single" w:color="auto" w:sz="4" w:space="0"/>
                    <w:right w:val="single" w:color="auto" w:sz="4" w:space="0"/>
                  </w:tcBorders>
                  <w:vAlign w:val="center"/>
                </w:tcPr>
                <w:p w14:paraId="7DB615D4">
                  <w:pPr>
                    <w:pageBreakBefore w:val="0"/>
                    <w:wordWrap w:val="0"/>
                    <w:overflowPunct/>
                    <w:bidi w:val="0"/>
                    <w:spacing w:line="0" w:lineRule="atLeast"/>
                    <w:jc w:val="center"/>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30</w:t>
                  </w:r>
                  <w:r>
                    <w:rPr>
                      <w:rFonts w:hint="default" w:ascii="Times New Roman" w:hAnsi="Times New Roman" w:eastAsia="宋体" w:cs="Times New Roman"/>
                      <w:color w:val="auto"/>
                      <w:kern w:val="0"/>
                      <w:sz w:val="21"/>
                      <w:szCs w:val="21"/>
                      <w:highlight w:val="none"/>
                    </w:rPr>
                    <w:t>m</w:t>
                  </w:r>
                </w:p>
              </w:tc>
              <w:tc>
                <w:tcPr>
                  <w:tcW w:w="860" w:type="pct"/>
                  <w:tcBorders>
                    <w:top w:val="single" w:color="auto" w:sz="4" w:space="0"/>
                    <w:left w:val="single" w:color="auto" w:sz="4" w:space="0"/>
                    <w:bottom w:val="single" w:color="auto" w:sz="4" w:space="0"/>
                    <w:right w:val="single" w:color="auto" w:sz="4" w:space="0"/>
                  </w:tcBorders>
                  <w:vAlign w:val="center"/>
                </w:tcPr>
                <w:p w14:paraId="5BEFC557">
                  <w:pPr>
                    <w:pageBreakBefore w:val="0"/>
                    <w:wordWrap w:val="0"/>
                    <w:overflowPunct/>
                    <w:bidi w:val="0"/>
                    <w:spacing w:line="0" w:lineRule="atLeast"/>
                    <w:jc w:val="center"/>
                    <w:rPr>
                      <w:rFonts w:hint="default" w:ascii="Times New Roman" w:hAnsi="Times New Roman" w:eastAsia="宋体" w:cs="Times New Roman"/>
                      <w:color w:val="auto"/>
                      <w:kern w:val="0"/>
                      <w:sz w:val="21"/>
                      <w:szCs w:val="21"/>
                      <w:highlight w:val="none"/>
                    </w:rPr>
                  </w:pPr>
                  <w:r>
                    <w:rPr>
                      <w:rFonts w:hint="eastAsia" w:cs="Times New Roman"/>
                      <w:bCs/>
                      <w:color w:val="auto"/>
                      <w:kern w:val="0"/>
                      <w:sz w:val="21"/>
                      <w:szCs w:val="21"/>
                      <w:highlight w:val="none"/>
                      <w:lang w:val="en-US" w:eastAsia="zh-CN"/>
                    </w:rPr>
                    <w:t>44.5</w:t>
                  </w:r>
                  <w:r>
                    <w:rPr>
                      <w:rFonts w:hint="default" w:ascii="Times New Roman" w:hAnsi="Times New Roman" w:eastAsia="宋体" w:cs="Times New Roman"/>
                      <w:bCs/>
                      <w:color w:val="auto"/>
                      <w:kern w:val="0"/>
                      <w:sz w:val="21"/>
                      <w:szCs w:val="21"/>
                      <w:highlight w:val="none"/>
                    </w:rPr>
                    <w:t>dB</w:t>
                  </w:r>
                  <w:r>
                    <w:rPr>
                      <w:rFonts w:hint="eastAsia"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rPr>
                    <w:t>A</w:t>
                  </w:r>
                  <w:r>
                    <w:rPr>
                      <w:rFonts w:hint="eastAsia" w:cs="Times New Roman"/>
                      <w:bCs/>
                      <w:color w:val="auto"/>
                      <w:kern w:val="0"/>
                      <w:sz w:val="21"/>
                      <w:szCs w:val="21"/>
                      <w:highlight w:val="none"/>
                      <w:lang w:eastAsia="zh-CN"/>
                    </w:rPr>
                    <w:t>)</w:t>
                  </w:r>
                </w:p>
              </w:tc>
              <w:tc>
                <w:tcPr>
                  <w:tcW w:w="859" w:type="pct"/>
                  <w:tcBorders>
                    <w:top w:val="single" w:color="auto" w:sz="4" w:space="0"/>
                    <w:left w:val="single" w:color="auto" w:sz="4" w:space="0"/>
                    <w:bottom w:val="single" w:color="auto" w:sz="4" w:space="0"/>
                    <w:right w:val="single" w:color="auto" w:sz="4" w:space="0"/>
                  </w:tcBorders>
                  <w:vAlign w:val="center"/>
                </w:tcPr>
                <w:p w14:paraId="4218080F">
                  <w:pPr>
                    <w:pageBreakBefore w:val="0"/>
                    <w:wordWrap w:val="0"/>
                    <w:overflowPunct/>
                    <w:bidi w:val="0"/>
                    <w:spacing w:line="0" w:lineRule="atLeast"/>
                    <w:jc w:val="center"/>
                    <w:rPr>
                      <w:rFonts w:hint="default" w:ascii="Times New Roman" w:hAnsi="Times New Roman" w:cs="Times New Roman"/>
                      <w:bCs/>
                      <w:color w:val="auto"/>
                      <w:kern w:val="0"/>
                      <w:sz w:val="21"/>
                      <w:szCs w:val="21"/>
                      <w:highlight w:val="none"/>
                      <w:lang w:val="en-US" w:eastAsia="zh-CN"/>
                    </w:rPr>
                  </w:pPr>
                  <w:r>
                    <w:rPr>
                      <w:rFonts w:hint="eastAsia" w:cs="Times New Roman"/>
                      <w:bCs/>
                      <w:color w:val="auto"/>
                      <w:kern w:val="0"/>
                      <w:sz w:val="21"/>
                      <w:szCs w:val="21"/>
                      <w:highlight w:val="none"/>
                      <w:lang w:val="en-US" w:eastAsia="zh-CN"/>
                    </w:rPr>
                    <w:t>58</w:t>
                  </w:r>
                  <w:r>
                    <w:rPr>
                      <w:rFonts w:hint="default" w:ascii="Times New Roman" w:hAnsi="Times New Roman" w:eastAsia="宋体" w:cs="Times New Roman"/>
                      <w:bCs/>
                      <w:color w:val="auto"/>
                      <w:kern w:val="0"/>
                      <w:sz w:val="21"/>
                      <w:szCs w:val="21"/>
                      <w:highlight w:val="none"/>
                    </w:rPr>
                    <w:t>dB</w:t>
                  </w:r>
                  <w:r>
                    <w:rPr>
                      <w:rFonts w:hint="eastAsia"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rPr>
                    <w:t>A</w:t>
                  </w:r>
                  <w:r>
                    <w:rPr>
                      <w:rFonts w:hint="eastAsia" w:cs="Times New Roman"/>
                      <w:bCs/>
                      <w:color w:val="auto"/>
                      <w:kern w:val="0"/>
                      <w:sz w:val="21"/>
                      <w:szCs w:val="21"/>
                      <w:highlight w:val="none"/>
                      <w:lang w:eastAsia="zh-CN"/>
                    </w:rPr>
                    <w:t>)</w:t>
                  </w:r>
                </w:p>
              </w:tc>
              <w:tc>
                <w:tcPr>
                  <w:tcW w:w="861" w:type="pct"/>
                  <w:gridSpan w:val="2"/>
                  <w:tcBorders>
                    <w:top w:val="single" w:color="auto" w:sz="4" w:space="0"/>
                    <w:left w:val="single" w:color="auto" w:sz="4" w:space="0"/>
                    <w:bottom w:val="single" w:color="auto" w:sz="4" w:space="0"/>
                    <w:right w:val="single" w:color="auto" w:sz="4" w:space="0"/>
                  </w:tcBorders>
                  <w:vAlign w:val="center"/>
                </w:tcPr>
                <w:p w14:paraId="46259812">
                  <w:pPr>
                    <w:pageBreakBefore w:val="0"/>
                    <w:wordWrap w:val="0"/>
                    <w:overflowPunct/>
                    <w:bidi w:val="0"/>
                    <w:spacing w:line="0" w:lineRule="atLeast"/>
                    <w:jc w:val="center"/>
                    <w:rPr>
                      <w:rFonts w:hint="default" w:ascii="Times New Roman" w:hAnsi="Times New Roman" w:cs="Times New Roman"/>
                      <w:bCs/>
                      <w:color w:val="auto"/>
                      <w:kern w:val="0"/>
                      <w:sz w:val="21"/>
                      <w:szCs w:val="21"/>
                      <w:highlight w:val="none"/>
                      <w:lang w:val="en-US" w:eastAsia="zh-CN"/>
                    </w:rPr>
                  </w:pPr>
                  <w:r>
                    <w:rPr>
                      <w:rFonts w:hint="eastAsia" w:cs="Times New Roman"/>
                      <w:bCs/>
                      <w:color w:val="auto"/>
                      <w:kern w:val="0"/>
                      <w:sz w:val="21"/>
                      <w:szCs w:val="21"/>
                      <w:highlight w:val="none"/>
                      <w:lang w:val="en-US" w:eastAsia="zh-CN"/>
                    </w:rPr>
                    <w:t>58.2</w:t>
                  </w:r>
                  <w:r>
                    <w:rPr>
                      <w:rFonts w:hint="default" w:ascii="Times New Roman" w:hAnsi="Times New Roman" w:eastAsia="宋体" w:cs="Times New Roman"/>
                      <w:bCs/>
                      <w:color w:val="auto"/>
                      <w:kern w:val="0"/>
                      <w:sz w:val="21"/>
                      <w:szCs w:val="21"/>
                      <w:highlight w:val="none"/>
                    </w:rPr>
                    <w:t>dB</w:t>
                  </w:r>
                  <w:r>
                    <w:rPr>
                      <w:rFonts w:hint="eastAsia"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rPr>
                    <w:t>A</w:t>
                  </w:r>
                  <w:r>
                    <w:rPr>
                      <w:rFonts w:hint="eastAsia" w:cs="Times New Roman"/>
                      <w:bCs/>
                      <w:color w:val="auto"/>
                      <w:kern w:val="0"/>
                      <w:sz w:val="21"/>
                      <w:szCs w:val="21"/>
                      <w:highlight w:val="none"/>
                      <w:lang w:eastAsia="zh-CN"/>
                    </w:rPr>
                    <w:t>)</w:t>
                  </w:r>
                </w:p>
              </w:tc>
            </w:tr>
            <w:tr w14:paraId="68482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2" w:type="pct"/>
                  <w:tcBorders>
                    <w:top w:val="single" w:color="auto" w:sz="4" w:space="0"/>
                    <w:left w:val="single" w:color="auto" w:sz="4" w:space="0"/>
                    <w:bottom w:val="single" w:color="auto" w:sz="4" w:space="0"/>
                    <w:right w:val="single" w:color="auto" w:sz="4" w:space="0"/>
                  </w:tcBorders>
                  <w:vAlign w:val="center"/>
                </w:tcPr>
                <w:p w14:paraId="1A474598">
                  <w:pPr>
                    <w:pageBreakBefore w:val="0"/>
                    <w:wordWrap w:val="0"/>
                    <w:overflowPunct/>
                    <w:bidi w:val="0"/>
                    <w:spacing w:line="0" w:lineRule="atLeas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北侧厂界外1m</w:t>
                  </w:r>
                </w:p>
              </w:tc>
              <w:tc>
                <w:tcPr>
                  <w:tcW w:w="1053" w:type="pct"/>
                  <w:vMerge w:val="continue"/>
                  <w:tcBorders>
                    <w:left w:val="single" w:color="auto" w:sz="4" w:space="0"/>
                    <w:right w:val="single" w:color="auto" w:sz="4" w:space="0"/>
                  </w:tcBorders>
                  <w:vAlign w:val="center"/>
                </w:tcPr>
                <w:p w14:paraId="392D7E2D">
                  <w:pPr>
                    <w:pageBreakBefore w:val="0"/>
                    <w:widowControl/>
                    <w:wordWrap w:val="0"/>
                    <w:overflowPunct/>
                    <w:bidi w:val="0"/>
                    <w:spacing w:line="240" w:lineRule="auto"/>
                    <w:jc w:val="center"/>
                    <w:rPr>
                      <w:rFonts w:hint="default" w:ascii="Times New Roman" w:hAnsi="Times New Roman" w:eastAsia="宋体" w:cs="Times New Roman"/>
                      <w:color w:val="auto"/>
                      <w:kern w:val="0"/>
                      <w:sz w:val="21"/>
                      <w:szCs w:val="21"/>
                      <w:highlight w:val="none"/>
                    </w:rPr>
                  </w:pPr>
                </w:p>
              </w:tc>
              <w:tc>
                <w:tcPr>
                  <w:tcW w:w="633" w:type="pct"/>
                  <w:tcBorders>
                    <w:left w:val="single" w:color="auto" w:sz="4" w:space="0"/>
                    <w:right w:val="single" w:color="auto" w:sz="4" w:space="0"/>
                  </w:tcBorders>
                  <w:vAlign w:val="center"/>
                </w:tcPr>
                <w:p w14:paraId="3039E5F3">
                  <w:pPr>
                    <w:pageBreakBefore w:val="0"/>
                    <w:wordWrap w:val="0"/>
                    <w:overflowPunct/>
                    <w:bidi w:val="0"/>
                    <w:spacing w:line="0" w:lineRule="atLeast"/>
                    <w:jc w:val="center"/>
                    <w:rPr>
                      <w:rFonts w:hint="default" w:ascii="Times New Roman" w:hAnsi="Times New Roman" w:eastAsia="宋体" w:cs="Times New Roman"/>
                      <w:color w:val="auto"/>
                      <w:kern w:val="0"/>
                      <w:sz w:val="21"/>
                      <w:szCs w:val="21"/>
                      <w:highlight w:val="none"/>
                    </w:rPr>
                  </w:pPr>
                  <w:r>
                    <w:rPr>
                      <w:rFonts w:hint="default" w:ascii="Times New Roman" w:hAnsi="Times New Roman" w:cs="Times New Roman"/>
                      <w:color w:val="auto"/>
                      <w:kern w:val="0"/>
                      <w:sz w:val="21"/>
                      <w:szCs w:val="21"/>
                      <w:highlight w:val="none"/>
                      <w:lang w:val="en-US" w:eastAsia="zh-CN"/>
                    </w:rPr>
                    <w:t>6</w:t>
                  </w:r>
                  <w:r>
                    <w:rPr>
                      <w:rFonts w:hint="default" w:ascii="Times New Roman" w:hAnsi="Times New Roman" w:eastAsia="宋体" w:cs="Times New Roman"/>
                      <w:color w:val="auto"/>
                      <w:kern w:val="0"/>
                      <w:sz w:val="21"/>
                      <w:szCs w:val="21"/>
                      <w:highlight w:val="none"/>
                    </w:rPr>
                    <w:t>m</w:t>
                  </w:r>
                </w:p>
              </w:tc>
              <w:tc>
                <w:tcPr>
                  <w:tcW w:w="860" w:type="pct"/>
                  <w:tcBorders>
                    <w:top w:val="single" w:color="auto" w:sz="4" w:space="0"/>
                    <w:left w:val="single" w:color="auto" w:sz="4" w:space="0"/>
                    <w:bottom w:val="single" w:color="auto" w:sz="4" w:space="0"/>
                    <w:right w:val="single" w:color="auto" w:sz="4" w:space="0"/>
                  </w:tcBorders>
                  <w:vAlign w:val="center"/>
                </w:tcPr>
                <w:p w14:paraId="2FBE302B">
                  <w:pPr>
                    <w:pageBreakBefore w:val="0"/>
                    <w:wordWrap w:val="0"/>
                    <w:overflowPunct/>
                    <w:bidi w:val="0"/>
                    <w:spacing w:line="0" w:lineRule="atLeast"/>
                    <w:jc w:val="center"/>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51.5</w:t>
                  </w:r>
                  <w:r>
                    <w:rPr>
                      <w:rFonts w:hint="default" w:ascii="Times New Roman" w:hAnsi="Times New Roman" w:eastAsia="宋体" w:cs="Times New Roman"/>
                      <w:color w:val="auto"/>
                      <w:kern w:val="0"/>
                      <w:sz w:val="21"/>
                      <w:szCs w:val="21"/>
                      <w:highlight w:val="none"/>
                      <w:lang w:val="en-US" w:eastAsia="zh-CN"/>
                    </w:rPr>
                    <w:t xml:space="preserve"> </w:t>
                  </w:r>
                  <w:r>
                    <w:rPr>
                      <w:rFonts w:hint="default" w:ascii="Times New Roman" w:hAnsi="Times New Roman" w:eastAsia="宋体" w:cs="Times New Roman"/>
                      <w:bCs/>
                      <w:color w:val="auto"/>
                      <w:kern w:val="0"/>
                      <w:sz w:val="21"/>
                      <w:szCs w:val="21"/>
                      <w:highlight w:val="none"/>
                    </w:rPr>
                    <w:t>dB</w:t>
                  </w:r>
                  <w:r>
                    <w:rPr>
                      <w:rFonts w:hint="eastAsia"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rPr>
                    <w:t>A</w:t>
                  </w:r>
                  <w:r>
                    <w:rPr>
                      <w:rFonts w:hint="eastAsia" w:cs="Times New Roman"/>
                      <w:bCs/>
                      <w:color w:val="auto"/>
                      <w:kern w:val="0"/>
                      <w:sz w:val="21"/>
                      <w:szCs w:val="21"/>
                      <w:highlight w:val="none"/>
                      <w:lang w:eastAsia="zh-CN"/>
                    </w:rPr>
                    <w:t>)</w:t>
                  </w:r>
                </w:p>
              </w:tc>
              <w:tc>
                <w:tcPr>
                  <w:tcW w:w="859" w:type="pct"/>
                  <w:tcBorders>
                    <w:top w:val="single" w:color="auto" w:sz="4" w:space="0"/>
                    <w:left w:val="single" w:color="auto" w:sz="4" w:space="0"/>
                    <w:bottom w:val="single" w:color="auto" w:sz="4" w:space="0"/>
                    <w:right w:val="single" w:color="auto" w:sz="4" w:space="0"/>
                  </w:tcBorders>
                  <w:vAlign w:val="center"/>
                </w:tcPr>
                <w:p w14:paraId="08E2A87A">
                  <w:pPr>
                    <w:pageBreakBefore w:val="0"/>
                    <w:wordWrap w:val="0"/>
                    <w:overflowPunct/>
                    <w:bidi w:val="0"/>
                    <w:spacing w:line="0" w:lineRule="atLeast"/>
                    <w:jc w:val="center"/>
                    <w:rPr>
                      <w:rFonts w:hint="default" w:ascii="Times New Roman" w:hAnsi="Times New Roman" w:cs="Times New Roman"/>
                      <w:bCs/>
                      <w:color w:val="auto"/>
                      <w:kern w:val="0"/>
                      <w:sz w:val="21"/>
                      <w:szCs w:val="21"/>
                      <w:highlight w:val="none"/>
                      <w:lang w:val="en-US" w:eastAsia="zh-CN"/>
                    </w:rPr>
                  </w:pPr>
                  <w:r>
                    <w:rPr>
                      <w:rFonts w:hint="eastAsia" w:cs="Times New Roman"/>
                      <w:color w:val="auto"/>
                      <w:kern w:val="0"/>
                      <w:sz w:val="21"/>
                      <w:szCs w:val="21"/>
                      <w:highlight w:val="none"/>
                      <w:lang w:val="en-US" w:eastAsia="zh-CN"/>
                    </w:rPr>
                    <w:t>55</w:t>
                  </w:r>
                  <w:r>
                    <w:rPr>
                      <w:rFonts w:hint="default" w:ascii="Times New Roman" w:hAnsi="Times New Roman" w:eastAsia="宋体" w:cs="Times New Roman"/>
                      <w:color w:val="auto"/>
                      <w:kern w:val="0"/>
                      <w:sz w:val="21"/>
                      <w:szCs w:val="21"/>
                      <w:highlight w:val="none"/>
                      <w:lang w:val="en-US" w:eastAsia="zh-CN"/>
                    </w:rPr>
                    <w:t xml:space="preserve"> </w:t>
                  </w:r>
                  <w:r>
                    <w:rPr>
                      <w:rFonts w:hint="default" w:ascii="Times New Roman" w:hAnsi="Times New Roman" w:eastAsia="宋体" w:cs="Times New Roman"/>
                      <w:bCs/>
                      <w:color w:val="auto"/>
                      <w:kern w:val="0"/>
                      <w:sz w:val="21"/>
                      <w:szCs w:val="21"/>
                      <w:highlight w:val="none"/>
                    </w:rPr>
                    <w:t>dB</w:t>
                  </w:r>
                  <w:r>
                    <w:rPr>
                      <w:rFonts w:hint="eastAsia"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rPr>
                    <w:t>A</w:t>
                  </w:r>
                  <w:r>
                    <w:rPr>
                      <w:rFonts w:hint="eastAsia" w:cs="Times New Roman"/>
                      <w:bCs/>
                      <w:color w:val="auto"/>
                      <w:kern w:val="0"/>
                      <w:sz w:val="21"/>
                      <w:szCs w:val="21"/>
                      <w:highlight w:val="none"/>
                      <w:lang w:eastAsia="zh-CN"/>
                    </w:rPr>
                    <w:t>)</w:t>
                  </w:r>
                </w:p>
              </w:tc>
              <w:tc>
                <w:tcPr>
                  <w:tcW w:w="861" w:type="pct"/>
                  <w:gridSpan w:val="2"/>
                  <w:tcBorders>
                    <w:top w:val="single" w:color="auto" w:sz="4" w:space="0"/>
                    <w:left w:val="single" w:color="auto" w:sz="4" w:space="0"/>
                    <w:bottom w:val="single" w:color="auto" w:sz="4" w:space="0"/>
                    <w:right w:val="single" w:color="auto" w:sz="4" w:space="0"/>
                  </w:tcBorders>
                  <w:vAlign w:val="center"/>
                </w:tcPr>
                <w:p w14:paraId="0CF1DB1A">
                  <w:pPr>
                    <w:pageBreakBefore w:val="0"/>
                    <w:wordWrap w:val="0"/>
                    <w:overflowPunct/>
                    <w:bidi w:val="0"/>
                    <w:spacing w:line="0" w:lineRule="atLeast"/>
                    <w:jc w:val="center"/>
                    <w:rPr>
                      <w:rFonts w:hint="default" w:ascii="Times New Roman" w:hAnsi="Times New Roman" w:cs="Times New Roman"/>
                      <w:bCs/>
                      <w:color w:val="auto"/>
                      <w:kern w:val="0"/>
                      <w:sz w:val="21"/>
                      <w:szCs w:val="21"/>
                      <w:highlight w:val="none"/>
                      <w:lang w:val="en-US" w:eastAsia="zh-CN"/>
                    </w:rPr>
                  </w:pPr>
                  <w:r>
                    <w:rPr>
                      <w:rFonts w:hint="eastAsia" w:cs="Times New Roman"/>
                      <w:color w:val="auto"/>
                      <w:kern w:val="0"/>
                      <w:sz w:val="21"/>
                      <w:szCs w:val="21"/>
                      <w:highlight w:val="none"/>
                      <w:lang w:val="en-US" w:eastAsia="zh-CN"/>
                    </w:rPr>
                    <w:t>56.6</w:t>
                  </w:r>
                  <w:r>
                    <w:rPr>
                      <w:rFonts w:hint="default" w:ascii="Times New Roman" w:hAnsi="Times New Roman" w:eastAsia="宋体" w:cs="Times New Roman"/>
                      <w:color w:val="auto"/>
                      <w:kern w:val="0"/>
                      <w:sz w:val="21"/>
                      <w:szCs w:val="21"/>
                      <w:highlight w:val="none"/>
                      <w:lang w:val="en-US" w:eastAsia="zh-CN"/>
                    </w:rPr>
                    <w:t xml:space="preserve"> </w:t>
                  </w:r>
                  <w:r>
                    <w:rPr>
                      <w:rFonts w:hint="default" w:ascii="Times New Roman" w:hAnsi="Times New Roman" w:eastAsia="宋体" w:cs="Times New Roman"/>
                      <w:bCs/>
                      <w:color w:val="auto"/>
                      <w:kern w:val="0"/>
                      <w:sz w:val="21"/>
                      <w:szCs w:val="21"/>
                      <w:highlight w:val="none"/>
                    </w:rPr>
                    <w:t>dB</w:t>
                  </w:r>
                  <w:r>
                    <w:rPr>
                      <w:rFonts w:hint="eastAsia"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rPr>
                    <w:t>A</w:t>
                  </w:r>
                  <w:r>
                    <w:rPr>
                      <w:rFonts w:hint="eastAsia" w:cs="Times New Roman"/>
                      <w:bCs/>
                      <w:color w:val="auto"/>
                      <w:kern w:val="0"/>
                      <w:sz w:val="21"/>
                      <w:szCs w:val="21"/>
                      <w:highlight w:val="none"/>
                      <w:lang w:eastAsia="zh-CN"/>
                    </w:rPr>
                    <w:t>)</w:t>
                  </w:r>
                </w:p>
              </w:tc>
            </w:tr>
            <w:tr w14:paraId="6FBCD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pct"/>
                <w:trHeight w:val="397" w:hRule="atLeast"/>
                <w:jc w:val="center"/>
              </w:trPr>
              <w:tc>
                <w:tcPr>
                  <w:tcW w:w="4998" w:type="pct"/>
                  <w:gridSpan w:val="6"/>
                  <w:tcBorders>
                    <w:top w:val="single" w:color="auto" w:sz="4" w:space="0"/>
                    <w:left w:val="single" w:color="auto" w:sz="4" w:space="0"/>
                    <w:bottom w:val="single" w:color="auto" w:sz="4" w:space="0"/>
                    <w:right w:val="single" w:color="auto" w:sz="4" w:space="0"/>
                  </w:tcBorders>
                  <w:vAlign w:val="center"/>
                </w:tcPr>
                <w:p w14:paraId="36263688">
                  <w:pPr>
                    <w:pageBreakBefore w:val="0"/>
                    <w:wordWrap w:val="0"/>
                    <w:overflowPunct/>
                    <w:bidi w:val="0"/>
                    <w:spacing w:line="0" w:lineRule="atLeast"/>
                    <w:jc w:val="left"/>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注：表格中室内噪声源总声压级/dB（A）均为未衰减值，厂界贡献值为室内噪声源总声压级/dB（A）经对应距离衰减后的叠加值。</w:t>
                  </w:r>
                </w:p>
                <w:p w14:paraId="7825C57A">
                  <w:pPr>
                    <w:pageBreakBefore w:val="0"/>
                    <w:wordWrap w:val="0"/>
                    <w:overflowPunct/>
                    <w:bidi w:val="0"/>
                    <w:spacing w:line="0" w:lineRule="atLeast"/>
                    <w:jc w:val="left"/>
                    <w:rPr>
                      <w:rFonts w:hint="default" w:ascii="Times New Roman" w:hAnsi="Times New Roman" w:eastAsia="宋体" w:cs="Times New Roman"/>
                      <w:bCs/>
                      <w:color w:val="auto"/>
                      <w:kern w:val="0"/>
                      <w:sz w:val="21"/>
                      <w:szCs w:val="21"/>
                      <w:highlight w:val="none"/>
                    </w:rPr>
                  </w:pPr>
                  <w:r>
                    <w:rPr>
                      <w:rFonts w:hint="eastAsia" w:ascii="Times New Roman" w:hAnsi="Times New Roman" w:eastAsia="宋体" w:cs="Times New Roman"/>
                      <w:bCs/>
                      <w:color w:val="auto"/>
                      <w:kern w:val="0"/>
                      <w:sz w:val="21"/>
                      <w:szCs w:val="21"/>
                      <w:highlight w:val="none"/>
                      <w:lang w:val="en-US" w:eastAsia="zh-CN"/>
                    </w:rPr>
                    <w:t>西厂界与其他企业共墙</w:t>
                  </w:r>
                  <w:r>
                    <w:rPr>
                      <w:rFonts w:hint="eastAsia" w:cs="Times New Roman"/>
                      <w:bCs/>
                      <w:color w:val="auto"/>
                      <w:kern w:val="0"/>
                      <w:sz w:val="21"/>
                      <w:szCs w:val="21"/>
                      <w:highlight w:val="none"/>
                      <w:lang w:val="en-US" w:eastAsia="zh-CN"/>
                    </w:rPr>
                    <w:t>。</w:t>
                  </w:r>
                </w:p>
              </w:tc>
            </w:tr>
          </w:tbl>
          <w:p w14:paraId="5C628B7F">
            <w:pPr>
              <w:pageBreakBefore w:val="0"/>
              <w:widowControl w:val="0"/>
              <w:wordWrap w:val="0"/>
              <w:overflowPunct/>
              <w:autoSpaceDE w:val="0"/>
              <w:autoSpaceDN w:val="0"/>
              <w:bidi w:val="0"/>
              <w:adjustRightInd w:val="0"/>
              <w:spacing w:line="360" w:lineRule="auto"/>
              <w:ind w:firstLine="480" w:firstLineChars="200"/>
              <w:jc w:val="both"/>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通过预测分析，生产噪声通过距离的衰减和厂房的声屏障效应后，</w:t>
            </w:r>
            <w:r>
              <w:rPr>
                <w:rFonts w:hint="default" w:ascii="Times New Roman" w:hAnsi="Times New Roman" w:eastAsia="宋体" w:cs="Times New Roman"/>
                <w:color w:val="auto"/>
                <w:kern w:val="0"/>
                <w:sz w:val="24"/>
                <w:szCs w:val="24"/>
                <w:highlight w:val="none"/>
                <w:lang w:val="en-US" w:eastAsia="zh-CN" w:bidi="ar-SA"/>
              </w:rPr>
              <w:t>项目厂房厂界外1米处</w:t>
            </w:r>
            <w:r>
              <w:rPr>
                <w:rFonts w:hint="default" w:ascii="Times New Roman" w:hAnsi="Times New Roman" w:eastAsia="宋体" w:cs="Times New Roman"/>
                <w:color w:val="auto"/>
                <w:kern w:val="2"/>
                <w:sz w:val="24"/>
                <w:szCs w:val="24"/>
                <w:highlight w:val="none"/>
                <w:lang w:val="en-US" w:eastAsia="zh-CN" w:bidi="ar-SA"/>
              </w:rPr>
              <w:t>可达到</w:t>
            </w:r>
            <w:r>
              <w:rPr>
                <w:rFonts w:hint="default" w:ascii="Times New Roman" w:hAnsi="Times New Roman" w:eastAsia="宋体" w:cs="Times New Roman"/>
                <w:color w:val="auto"/>
                <w:spacing w:val="-2"/>
                <w:kern w:val="2"/>
                <w:sz w:val="24"/>
                <w:szCs w:val="24"/>
                <w:highlight w:val="none"/>
                <w:lang w:val="en-US" w:eastAsia="zh-CN" w:bidi="ar-SA"/>
              </w:rPr>
              <w:t>《工业企业厂界环境噪声排放标准》（GB12348-2008）中的3类标准</w:t>
            </w:r>
            <w:r>
              <w:rPr>
                <w:rFonts w:hint="default" w:ascii="Times New Roman" w:hAnsi="Times New Roman" w:eastAsia="宋体" w:cs="Times New Roman"/>
                <w:color w:val="auto"/>
                <w:kern w:val="2"/>
                <w:sz w:val="24"/>
                <w:szCs w:val="24"/>
                <w:highlight w:val="none"/>
                <w:lang w:val="en-US" w:eastAsia="zh-CN" w:bidi="ar-SA"/>
              </w:rPr>
              <w:t>，即项目产生的噪声不会对周边环境造成太大影响。</w:t>
            </w:r>
          </w:p>
          <w:p w14:paraId="61703AF6">
            <w:pPr>
              <w:keepNext/>
              <w:keepLines/>
              <w:pageBreakBefore w:val="0"/>
              <w:widowControl w:val="0"/>
              <w:numPr>
                <w:ilvl w:val="3"/>
                <w:numId w:val="0"/>
              </w:numPr>
              <w:wordWrap w:val="0"/>
              <w:overflowPunct/>
              <w:bidi w:val="0"/>
              <w:spacing w:line="360" w:lineRule="auto"/>
              <w:ind w:left="0" w:firstLine="480" w:firstLineChars="200"/>
              <w:jc w:val="both"/>
              <w:outlineLvl w:val="3"/>
              <w:rPr>
                <w:rFonts w:hint="default" w:ascii="Times New Roman" w:hAnsi="Times New Roman" w:eastAsia="宋体" w:cs="Times New Roman"/>
                <w:b/>
                <w:bCs/>
                <w:color w:val="auto"/>
                <w:kern w:val="2"/>
                <w:sz w:val="24"/>
                <w:szCs w:val="28"/>
                <w:highlight w:val="none"/>
                <w:lang w:val="en-US" w:eastAsia="zh-CN" w:bidi="ar-SA"/>
              </w:rPr>
            </w:pPr>
            <w:r>
              <w:rPr>
                <w:rFonts w:hint="default" w:ascii="Times New Roman" w:hAnsi="Times New Roman" w:eastAsia="宋体" w:cs="Times New Roman"/>
                <w:b/>
                <w:bCs/>
                <w:color w:val="auto"/>
                <w:kern w:val="2"/>
                <w:sz w:val="24"/>
                <w:szCs w:val="28"/>
                <w:highlight w:val="none"/>
                <w:lang w:val="en-US" w:eastAsia="zh-CN" w:bidi="ar-SA"/>
              </w:rPr>
              <w:t>3、污染防治措施</w:t>
            </w:r>
          </w:p>
          <w:p w14:paraId="06937A2D">
            <w:pPr>
              <w:keepNext/>
              <w:keepLines/>
              <w:pageBreakBefore w:val="0"/>
              <w:widowControl w:val="0"/>
              <w:numPr>
                <w:ilvl w:val="0"/>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为确保厂界噪声满足《工业企业厂界环境噪声排放标准》（GB12348-2008）中的相应标准，项目拟采取以下治理措施：</w:t>
            </w:r>
          </w:p>
          <w:p w14:paraId="30F770FE">
            <w:pPr>
              <w:keepNext/>
              <w:keepLines/>
              <w:pageBreakBefore w:val="0"/>
              <w:widowControl w:val="0"/>
              <w:numPr>
                <w:ilvl w:val="0"/>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①合理布局：尽量将高噪声设备布置在厂房中间，尽可能地选择远离厂界的位置。</w:t>
            </w:r>
          </w:p>
          <w:p w14:paraId="1B032F9E">
            <w:pPr>
              <w:keepNext/>
              <w:keepLines/>
              <w:pageBreakBefore w:val="0"/>
              <w:widowControl w:val="0"/>
              <w:numPr>
                <w:ilvl w:val="0"/>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②落实设备基础减振以及厂房隔声：</w:t>
            </w:r>
          </w:p>
          <w:p w14:paraId="209C7BBC">
            <w:pPr>
              <w:keepNext/>
              <w:keepLines/>
              <w:pageBreakBefore w:val="0"/>
              <w:widowControl w:val="0"/>
              <w:numPr>
                <w:ilvl w:val="0"/>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A、在设备选型方面，在满足工艺生产的前提下，选用精度高、装配质量好、噪声低的设备；对设备基础进行减振；</w:t>
            </w:r>
          </w:p>
          <w:p w14:paraId="7C2280E2">
            <w:pPr>
              <w:keepNext/>
              <w:keepLines/>
              <w:pageBreakBefore w:val="0"/>
              <w:widowControl w:val="0"/>
              <w:numPr>
                <w:ilvl w:val="0"/>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B、重视厂房的使用状况，不设门窗或设隔声玻璃门窗。</w:t>
            </w:r>
          </w:p>
          <w:p w14:paraId="1E91E273">
            <w:pPr>
              <w:keepNext/>
              <w:keepLines/>
              <w:pageBreakBefore w:val="0"/>
              <w:widowControl w:val="0"/>
              <w:numPr>
                <w:ilvl w:val="0"/>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③加强内部管理：建立设备定期维护、保养的管理制度，以防止设备故障形成的非生产噪声，同时确保环保措施发挥最有效的功能；加强职工环保意识教育，提倡文明生产，防止人为噪声。</w:t>
            </w:r>
          </w:p>
          <w:p w14:paraId="2D146518">
            <w:pPr>
              <w:keepNext/>
              <w:keepLines/>
              <w:pageBreakBefore w:val="0"/>
              <w:widowControl w:val="0"/>
              <w:numPr>
                <w:ilvl w:val="0"/>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④合理安排生产时间：尽可能地安排在昼间进行生产，若夜间必须生产应控制夜间生产时间，特别夜间应停止高噪声设备，减少机械的噪声影响。</w:t>
            </w:r>
          </w:p>
          <w:p w14:paraId="4574E189">
            <w:pPr>
              <w:keepNext/>
              <w:keepLines/>
              <w:pageBreakBefore w:val="0"/>
              <w:widowControl w:val="0"/>
              <w:numPr>
                <w:ilvl w:val="0"/>
                <w:numId w:val="0"/>
              </w:numPr>
              <w:wordWrap w:val="0"/>
              <w:overflowPunct/>
              <w:bidi w:val="0"/>
              <w:spacing w:line="360" w:lineRule="auto"/>
              <w:ind w:firstLine="480" w:firstLineChars="200"/>
              <w:jc w:val="both"/>
              <w:outlineLvl w:val="5"/>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本项目周边50米范围内不存在声环境保护目标，经采取上述的降噪措施后，预计项目厂界噪声排放可达到《工业企业厂界环境噪声排放标准》（GB12348-2008）3类标准，噪声对声环境影响不大。</w:t>
            </w:r>
          </w:p>
          <w:p w14:paraId="77C0A9D8">
            <w:pPr>
              <w:keepNext/>
              <w:keepLines/>
              <w:pageBreakBefore w:val="0"/>
              <w:tabs>
                <w:tab w:val="left" w:pos="0"/>
              </w:tabs>
              <w:wordWrap w:val="0"/>
              <w:overflowPunct/>
              <w:bidi w:val="0"/>
              <w:ind w:firstLine="480" w:firstLineChars="200"/>
              <w:outlineLvl w:val="3"/>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4、监测要求</w:t>
            </w:r>
          </w:p>
          <w:p w14:paraId="4D1872AC">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根据《排污单位自行监测技术指南 总则》（HJ819-2017），监测要求见下表。</w:t>
            </w:r>
          </w:p>
          <w:p w14:paraId="4A236B36">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lang w:val="en-US" w:eastAsia="zh-CN"/>
              </w:rPr>
            </w:pPr>
            <w:r>
              <w:rPr>
                <w:rFonts w:hint="default" w:ascii="Times New Roman" w:hAnsi="Times New Roman" w:cs="Times New Roman"/>
                <w:b/>
                <w:color w:val="auto"/>
                <w:lang w:val="en-US" w:eastAsia="zh-CN"/>
              </w:rPr>
              <w:t>厂界噪声监测要求</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85" w:type="dxa"/>
                <w:left w:w="51" w:type="dxa"/>
                <w:bottom w:w="0" w:type="dxa"/>
                <w:right w:w="51" w:type="dxa"/>
              </w:tblCellMar>
            </w:tblPr>
            <w:tblGrid>
              <w:gridCol w:w="395"/>
              <w:gridCol w:w="1352"/>
              <w:gridCol w:w="1703"/>
              <w:gridCol w:w="1352"/>
              <w:gridCol w:w="1186"/>
              <w:gridCol w:w="2722"/>
            </w:tblGrid>
            <w:tr w14:paraId="7A6DF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90" w:hRule="atLeast"/>
                <w:jc w:val="center"/>
              </w:trPr>
              <w:tc>
                <w:tcPr>
                  <w:tcW w:w="0" w:type="auto"/>
                  <w:vAlign w:val="center"/>
                </w:tcPr>
                <w:p w14:paraId="3E527DF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类别</w:t>
                  </w:r>
                </w:p>
              </w:tc>
              <w:tc>
                <w:tcPr>
                  <w:tcW w:w="0" w:type="auto"/>
                  <w:vAlign w:val="center"/>
                </w:tcPr>
                <w:p w14:paraId="3B6EBE5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监测点位</w:t>
                  </w:r>
                </w:p>
              </w:tc>
              <w:tc>
                <w:tcPr>
                  <w:tcW w:w="0" w:type="auto"/>
                  <w:vAlign w:val="center"/>
                </w:tcPr>
                <w:p w14:paraId="61A3EC0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监测指标</w:t>
                  </w:r>
                </w:p>
              </w:tc>
              <w:tc>
                <w:tcPr>
                  <w:tcW w:w="0" w:type="auto"/>
                  <w:vAlign w:val="center"/>
                </w:tcPr>
                <w:p w14:paraId="28B6DBE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监测频次</w:t>
                  </w:r>
                </w:p>
              </w:tc>
              <w:tc>
                <w:tcPr>
                  <w:tcW w:w="0" w:type="auto"/>
                  <w:vAlign w:val="center"/>
                </w:tcPr>
                <w:p w14:paraId="726871A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监测采样和分析方法</w:t>
                  </w:r>
                </w:p>
              </w:tc>
              <w:tc>
                <w:tcPr>
                  <w:tcW w:w="0" w:type="auto"/>
                  <w:vAlign w:val="center"/>
                </w:tcPr>
                <w:p w14:paraId="79F64CA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排放执行标准</w:t>
                  </w:r>
                </w:p>
              </w:tc>
            </w:tr>
            <w:tr w14:paraId="06F13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90" w:hRule="atLeast"/>
                <w:jc w:val="center"/>
              </w:trPr>
              <w:tc>
                <w:tcPr>
                  <w:tcW w:w="0" w:type="auto"/>
                  <w:vAlign w:val="center"/>
                </w:tcPr>
                <w:p w14:paraId="0A784BC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w:t>
                  </w:r>
                </w:p>
              </w:tc>
              <w:tc>
                <w:tcPr>
                  <w:tcW w:w="0" w:type="auto"/>
                  <w:vAlign w:val="center"/>
                </w:tcPr>
                <w:p w14:paraId="6E0A84F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东、南、北面厂界外1米处</w:t>
                  </w:r>
                </w:p>
              </w:tc>
              <w:tc>
                <w:tcPr>
                  <w:tcW w:w="0" w:type="auto"/>
                  <w:vAlign w:val="center"/>
                </w:tcPr>
                <w:p w14:paraId="4213E99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等效连续A声级</w:t>
                  </w:r>
                  <w:r>
                    <w:rPr>
                      <w:rFonts w:hint="eastAsia" w:cs="Times New Roman"/>
                      <w:color w:val="auto"/>
                      <w:sz w:val="21"/>
                      <w:szCs w:val="21"/>
                      <w:highlight w:val="none"/>
                      <w:lang w:val="en-US" w:eastAsia="zh-CN"/>
                    </w:rPr>
                    <w:t>，夜间补充最大声级</w:t>
                  </w:r>
                </w:p>
              </w:tc>
              <w:tc>
                <w:tcPr>
                  <w:tcW w:w="0" w:type="auto"/>
                  <w:vAlign w:val="center"/>
                </w:tcPr>
                <w:p w14:paraId="71F8869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每季度1次，监测昼、夜间</w:t>
                  </w:r>
                </w:p>
              </w:tc>
              <w:tc>
                <w:tcPr>
                  <w:tcW w:w="0" w:type="auto"/>
                  <w:vAlign w:val="center"/>
                </w:tcPr>
                <w:p w14:paraId="6B87C3A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《环境监测技术规范》</w:t>
                  </w:r>
                </w:p>
              </w:tc>
              <w:tc>
                <w:tcPr>
                  <w:tcW w:w="0" w:type="auto"/>
                  <w:vAlign w:val="center"/>
                </w:tcPr>
                <w:p w14:paraId="40CC3BE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《工业企业厂界环境噪声排放标准》（GB12348-2 008）3类标准</w:t>
                  </w:r>
                </w:p>
              </w:tc>
            </w:tr>
          </w:tbl>
          <w:p w14:paraId="582381F5">
            <w:pPr>
              <w:keepNext/>
              <w:keepLines/>
              <w:pageBreakBefore w:val="0"/>
              <w:widowControl w:val="0"/>
              <w:numPr>
                <w:ilvl w:val="2"/>
                <w:numId w:val="0"/>
              </w:numPr>
              <w:wordWrap w:val="0"/>
              <w:overflowPunct/>
              <w:bidi w:val="0"/>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四、固体废物污染源</w:t>
            </w:r>
          </w:p>
          <w:p w14:paraId="71F3340E">
            <w:pPr>
              <w:keepNext/>
              <w:keepLines/>
              <w:pageBreakBefore w:val="0"/>
              <w:tabs>
                <w:tab w:val="left" w:pos="0"/>
              </w:tabs>
              <w:wordWrap w:val="0"/>
              <w:overflowPunct/>
              <w:bidi w:val="0"/>
              <w:ind w:left="480" w:left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1、固体废物源强</w:t>
            </w:r>
          </w:p>
          <w:p w14:paraId="1F5B0A82">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w:t>
            </w:r>
            <w:r>
              <w:rPr>
                <w:rFonts w:hint="default" w:ascii="Times New Roman" w:hAnsi="Times New Roman" w:cs="Times New Roman"/>
                <w:color w:val="auto"/>
                <w:highlight w:val="none"/>
                <w:lang w:val="en-US" w:eastAsia="zh-CN"/>
              </w:rPr>
              <w:t>次扩建项目</w:t>
            </w:r>
            <w:r>
              <w:rPr>
                <w:rFonts w:hint="default" w:ascii="Times New Roman" w:hAnsi="Times New Roman" w:eastAsia="宋体" w:cs="Times New Roman"/>
                <w:color w:val="auto"/>
                <w:highlight w:val="none"/>
              </w:rPr>
              <w:t>营运期产生的固体废物主要为一般工业固废（不合格品、边角料</w:t>
            </w:r>
            <w:r>
              <w:rPr>
                <w:rFonts w:hint="default" w:ascii="Times New Roman" w:hAnsi="Times New Roman" w:cs="Times New Roman"/>
                <w:color w:val="auto"/>
                <w:highlight w:val="none"/>
                <w:lang w:eastAsia="zh-CN"/>
              </w:rPr>
              <w:t>、废包装材料</w:t>
            </w:r>
            <w:r>
              <w:rPr>
                <w:rFonts w:hint="default" w:ascii="Times New Roman" w:hAnsi="Times New Roman" w:eastAsia="宋体" w:cs="Times New Roman"/>
                <w:color w:val="auto"/>
                <w:highlight w:val="none"/>
              </w:rPr>
              <w:t>）、危险废物（废油桶、</w:t>
            </w:r>
            <w:r>
              <w:rPr>
                <w:rFonts w:hint="default" w:ascii="Times New Roman" w:hAnsi="Times New Roman" w:cs="Times New Roman"/>
                <w:color w:val="auto"/>
                <w:highlight w:val="none"/>
                <w:lang w:val="en-US" w:eastAsia="zh-CN"/>
              </w:rPr>
              <w:t>废机油、</w:t>
            </w:r>
            <w:r>
              <w:rPr>
                <w:rFonts w:hint="default" w:ascii="Times New Roman" w:hAnsi="Times New Roman" w:eastAsia="宋体" w:cs="Times New Roman"/>
                <w:color w:val="auto"/>
                <w:highlight w:val="none"/>
              </w:rPr>
              <w:t>废抹布、</w:t>
            </w:r>
            <w:r>
              <w:rPr>
                <w:rFonts w:hint="eastAsia" w:cs="Times New Roman"/>
                <w:color w:val="auto"/>
                <w:highlight w:val="none"/>
                <w:lang w:eastAsia="zh-CN"/>
              </w:rPr>
              <w:t>喷枪清洗废液</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喷漆废水</w:t>
            </w:r>
            <w:r>
              <w:rPr>
                <w:rFonts w:hint="default" w:ascii="Times New Roman" w:hAnsi="Times New Roman" w:eastAsia="宋体" w:cs="Times New Roman"/>
                <w:color w:val="auto"/>
                <w:highlight w:val="none"/>
              </w:rPr>
              <w:t>、漆渣、废原料桶、废过滤棉、废活性炭</w:t>
            </w:r>
            <w:r>
              <w:rPr>
                <w:rFonts w:hint="eastAsia" w:cs="Times New Roman"/>
                <w:color w:val="auto"/>
                <w:highlight w:val="none"/>
                <w:lang w:eastAsia="zh-CN"/>
              </w:rPr>
              <w:t>、</w:t>
            </w:r>
            <w:r>
              <w:rPr>
                <w:rFonts w:hint="eastAsia" w:cs="Times New Roman"/>
                <w:color w:val="auto"/>
                <w:highlight w:val="none"/>
                <w:lang w:val="en-US" w:eastAsia="zh-CN"/>
              </w:rPr>
              <w:t>废稀释剂</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w:t>
            </w:r>
          </w:p>
          <w:p w14:paraId="5983DC91">
            <w:pPr>
              <w:pageBreakBefore w:val="0"/>
              <w:wordWrap w:val="0"/>
              <w:overflowPunct/>
              <w:bidi w:val="0"/>
              <w:ind w:firstLine="480" w:firstLineChars="20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w:t>
            </w:r>
            <w:r>
              <w:rPr>
                <w:rFonts w:hint="default" w:ascii="Times New Roman" w:hAnsi="Times New Roman" w:cs="Times New Roman"/>
                <w:b/>
                <w:bCs/>
                <w:color w:val="auto"/>
                <w:highlight w:val="none"/>
                <w:lang w:val="en-US" w:eastAsia="zh-CN"/>
              </w:rPr>
              <w:t>1</w:t>
            </w:r>
            <w:r>
              <w:rPr>
                <w:rFonts w:hint="default" w:ascii="Times New Roman" w:hAnsi="Times New Roman" w:eastAsia="宋体" w:cs="Times New Roman"/>
                <w:b/>
                <w:bCs/>
                <w:color w:val="auto"/>
                <w:highlight w:val="none"/>
                <w:lang w:val="en-US" w:eastAsia="zh-CN"/>
              </w:rPr>
              <w:t>）一般工业固体废物</w:t>
            </w:r>
          </w:p>
          <w:p w14:paraId="19BD29C5">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①废包装材料</w:t>
            </w:r>
          </w:p>
          <w:p w14:paraId="5B975F64">
            <w:pPr>
              <w:keepNext/>
              <w:keepLines/>
              <w:pageBreakBefore w:val="0"/>
              <w:widowControl w:val="0"/>
              <w:numPr>
                <w:ilvl w:val="0"/>
                <w:numId w:val="0"/>
              </w:numPr>
              <w:wordWrap w:val="0"/>
              <w:overflowPunct/>
              <w:bidi w:val="0"/>
              <w:spacing w:line="360" w:lineRule="auto"/>
              <w:ind w:firstLine="480" w:firstLineChars="200"/>
              <w:jc w:val="both"/>
              <w:outlineLvl w:val="5"/>
              <w:rPr>
                <w:rFonts w:hint="default" w:ascii="Times New Roman" w:hAnsi="Times New Roman" w:eastAsia="宋体" w:cs="Times New Roman"/>
                <w:bCs/>
                <w:color w:val="auto"/>
                <w:kern w:val="24"/>
                <w:sz w:val="24"/>
                <w:szCs w:val="24"/>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本项目生产过程中会产生废包装材料，产生量约为1t/a，属于一般工业固废，根据《固体废物分类与代码目录》（2024年 第4号）可知，废包装材料属于SW59其他工业固体废物，废物代码900-099-S59</w:t>
            </w:r>
            <w:r>
              <w:rPr>
                <w:rFonts w:hint="default" w:ascii="Times New Roman" w:hAnsi="Times New Roman" w:eastAsia="宋体" w:cs="Times New Roman"/>
                <w:color w:val="auto"/>
                <w:kern w:val="2"/>
                <w:sz w:val="24"/>
                <w:szCs w:val="24"/>
                <w:highlight w:val="none"/>
                <w:lang w:val="en-US" w:eastAsia="zh-CN" w:bidi="ar-SA"/>
              </w:rPr>
              <w:t>，统一收集后</w:t>
            </w:r>
            <w:r>
              <w:rPr>
                <w:rFonts w:hint="default" w:ascii="Times New Roman" w:hAnsi="Times New Roman" w:eastAsia="宋体" w:cs="Times New Roman"/>
                <w:color w:val="auto"/>
                <w:kern w:val="2"/>
                <w:sz w:val="24"/>
                <w:szCs w:val="21"/>
                <w:highlight w:val="none"/>
                <w:lang w:val="en-US" w:eastAsia="zh-CN" w:bidi="ar-SA"/>
              </w:rPr>
              <w:t>外售至资源回收利用单位。</w:t>
            </w:r>
          </w:p>
          <w:p w14:paraId="13E76F38">
            <w:pPr>
              <w:pageBreakBefore w:val="0"/>
              <w:wordWrap w:val="0"/>
              <w:overflowPunct/>
              <w:bidi w:val="0"/>
              <w:ind w:firstLine="480" w:firstLineChars="20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②不合格品、边角料</w:t>
            </w:r>
          </w:p>
          <w:p w14:paraId="778438C7">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本项目不合格品、边角料产生量约为</w:t>
            </w:r>
            <w:r>
              <w:rPr>
                <w:rFonts w:hint="default" w:ascii="Times New Roman" w:hAnsi="Times New Roman" w:cs="Times New Roman"/>
                <w:color w:val="auto"/>
                <w:highlight w:val="none"/>
                <w:lang w:val="en-US" w:eastAsia="zh-CN"/>
              </w:rPr>
              <w:t>100</w:t>
            </w:r>
            <w:r>
              <w:rPr>
                <w:rFonts w:hint="default" w:ascii="Times New Roman" w:hAnsi="Times New Roman" w:eastAsia="宋体" w:cs="Times New Roman"/>
                <w:color w:val="auto"/>
                <w:highlight w:val="none"/>
              </w:rPr>
              <w:t>t/a（约占原辅材料的</w:t>
            </w:r>
            <w:r>
              <w:rPr>
                <w:rFonts w:hint="default"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rPr>
              <w:t>%），收集后进入破碎机中进行破碎，破碎后回用于生产线，不外卖。根据《固体废物分类与代码目录》（2024年 第4号）可知，项目塑料边角料、不合格品属于SW17可再生类废物，废物代码900-003-S17。</w:t>
            </w:r>
          </w:p>
          <w:p w14:paraId="4861333A">
            <w:pPr>
              <w:keepNext/>
              <w:keepLines/>
              <w:pageBreakBefore w:val="0"/>
              <w:numPr>
                <w:ilvl w:val="4"/>
                <w:numId w:val="0"/>
              </w:numPr>
              <w:tabs>
                <w:tab w:val="left" w:pos="0"/>
              </w:tabs>
              <w:wordWrap w:val="0"/>
              <w:overflowPunct/>
              <w:bidi w:val="0"/>
              <w:ind w:firstLine="480" w:firstLineChars="200"/>
              <w:outlineLvl w:val="4"/>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w:t>
            </w:r>
            <w:r>
              <w:rPr>
                <w:rFonts w:hint="default" w:ascii="Times New Roman" w:hAnsi="Times New Roman" w:cs="Times New Roman"/>
                <w:b/>
                <w:bCs/>
                <w:color w:val="auto"/>
                <w:highlight w:val="none"/>
                <w:lang w:val="en-US" w:eastAsia="zh-CN"/>
              </w:rPr>
              <w:t>2</w:t>
            </w:r>
            <w:r>
              <w:rPr>
                <w:rFonts w:hint="default" w:ascii="Times New Roman" w:hAnsi="Times New Roman" w:eastAsia="宋体" w:cs="Times New Roman"/>
                <w:b/>
                <w:bCs/>
                <w:color w:val="auto"/>
                <w:highlight w:val="none"/>
              </w:rPr>
              <w:t>）危险废物</w:t>
            </w:r>
          </w:p>
          <w:p w14:paraId="4A9FA8EC">
            <w:pPr>
              <w:pageBreakBefore w:val="0"/>
              <w:widowControl w:val="0"/>
              <w:wordWrap w:val="0"/>
              <w:overflowPunct/>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危险废物类别根据《国家危险废物名录》（202</w:t>
            </w:r>
            <w:r>
              <w:rPr>
                <w:rFonts w:hint="default" w:ascii="Times New Roman" w:hAnsi="Times New Roman"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年版）进行辨识，分类收集后委托危险废物资质单位处理。</w:t>
            </w:r>
          </w:p>
          <w:p w14:paraId="74A7CAB5">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①漆渣</w:t>
            </w:r>
          </w:p>
          <w:p w14:paraId="188E7BEB">
            <w:pPr>
              <w:pageBreakBefore w:val="0"/>
              <w:widowControl w:val="0"/>
              <w:wordWrap w:val="0"/>
              <w:overflowPunct/>
              <w:autoSpaceDE w:val="0"/>
              <w:autoSpaceDN w:val="0"/>
              <w:bidi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本项目漆渣主要为水帘柜/水喷淋塔处理漆雾。根据污染源分析可知，被水帘柜/水喷淋去除的漆雾约为</w:t>
            </w:r>
            <w:r>
              <w:rPr>
                <w:rFonts w:hint="eastAsia" w:cs="Times New Roman"/>
                <w:color w:val="auto"/>
                <w:kern w:val="2"/>
                <w:sz w:val="24"/>
                <w:szCs w:val="24"/>
                <w:highlight w:val="none"/>
                <w:lang w:val="en-US" w:eastAsia="zh-CN" w:bidi="ar-SA"/>
              </w:rPr>
              <w:t>2.862</w:t>
            </w:r>
            <w:r>
              <w:rPr>
                <w:rFonts w:hint="default" w:ascii="Times New Roman" w:hAnsi="Times New Roman" w:eastAsia="宋体" w:cs="Times New Roman"/>
                <w:color w:val="auto"/>
                <w:kern w:val="2"/>
                <w:sz w:val="24"/>
                <w:szCs w:val="24"/>
                <w:highlight w:val="none"/>
                <w:lang w:val="en-US" w:eastAsia="zh-CN" w:bidi="ar-SA"/>
              </w:rPr>
              <w:t>t/a，以漆渣形式定期打捞，其含水率约为</w:t>
            </w:r>
            <w:r>
              <w:rPr>
                <w:rFonts w:hint="default" w:ascii="Times New Roman" w:hAnsi="Times New Roman" w:cs="Times New Roman"/>
                <w:color w:val="auto"/>
                <w:kern w:val="2"/>
                <w:sz w:val="24"/>
                <w:szCs w:val="24"/>
                <w:highlight w:val="none"/>
                <w:lang w:val="en-US" w:eastAsia="zh-CN" w:bidi="ar-SA"/>
              </w:rPr>
              <w:t>4</w:t>
            </w:r>
            <w:r>
              <w:rPr>
                <w:rFonts w:hint="default" w:ascii="Times New Roman" w:hAnsi="Times New Roman" w:eastAsia="宋体" w:cs="Times New Roman"/>
                <w:color w:val="auto"/>
                <w:kern w:val="2"/>
                <w:sz w:val="24"/>
                <w:szCs w:val="24"/>
                <w:highlight w:val="none"/>
                <w:lang w:val="en-US" w:eastAsia="zh-CN" w:bidi="ar-SA"/>
              </w:rPr>
              <w:t>0%，则漆渣产生量为</w:t>
            </w:r>
            <w:r>
              <w:rPr>
                <w:rFonts w:hint="eastAsia" w:cs="Times New Roman"/>
                <w:color w:val="auto"/>
                <w:kern w:val="2"/>
                <w:sz w:val="24"/>
                <w:szCs w:val="24"/>
                <w:highlight w:val="none"/>
                <w:lang w:val="en-US" w:eastAsia="zh-CN" w:bidi="ar-SA"/>
              </w:rPr>
              <w:t>4.709</w:t>
            </w:r>
            <w:r>
              <w:rPr>
                <w:rFonts w:hint="default" w:ascii="Times New Roman" w:hAnsi="Times New Roman" w:eastAsia="宋体" w:cs="Times New Roman"/>
                <w:color w:val="auto"/>
                <w:kern w:val="2"/>
                <w:sz w:val="24"/>
                <w:szCs w:val="24"/>
                <w:highlight w:val="none"/>
                <w:lang w:val="en-US" w:eastAsia="zh-CN" w:bidi="ar-SA"/>
              </w:rPr>
              <w:t>t/a。漆渣属于《国家危险废物名录（2025年版）》中HW12的危险废物，代码900-252-12，委托有资质单位处理。</w:t>
            </w:r>
          </w:p>
          <w:p w14:paraId="002A59FC">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②</w:t>
            </w:r>
            <w:r>
              <w:rPr>
                <w:rFonts w:hint="default" w:ascii="Times New Roman" w:hAnsi="Times New Roman" w:cs="Times New Roman"/>
                <w:b/>
                <w:bCs/>
                <w:color w:val="auto"/>
                <w:kern w:val="2"/>
                <w:sz w:val="24"/>
                <w:szCs w:val="24"/>
                <w:highlight w:val="none"/>
                <w:lang w:val="en-US" w:eastAsia="zh-CN" w:bidi="ar-SA"/>
              </w:rPr>
              <w:t>喷漆废水</w:t>
            </w:r>
          </w:p>
          <w:p w14:paraId="35B6777D">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本项目水帘柜、水喷淋塔处理会产生喷淋废水，统称为喷漆废水。</w:t>
            </w:r>
            <w:r>
              <w:rPr>
                <w:rFonts w:hint="eastAsia" w:cs="Times New Roman"/>
                <w:color w:val="auto"/>
                <w:kern w:val="2"/>
                <w:sz w:val="24"/>
                <w:szCs w:val="24"/>
                <w:highlight w:val="none"/>
                <w:lang w:val="en-US" w:eastAsia="zh-CN" w:bidi="ar-SA"/>
              </w:rPr>
              <w:t>根据上文分析，</w:t>
            </w:r>
            <w:r>
              <w:rPr>
                <w:rFonts w:hint="default" w:ascii="Times New Roman" w:hAnsi="Times New Roman" w:eastAsia="宋体" w:cs="Times New Roman"/>
                <w:color w:val="auto"/>
                <w:kern w:val="2"/>
                <w:sz w:val="24"/>
                <w:szCs w:val="24"/>
                <w:highlight w:val="none"/>
                <w:lang w:val="en-US" w:eastAsia="zh-CN" w:bidi="ar-SA"/>
              </w:rPr>
              <w:t>喷漆废水的产生量约为</w:t>
            </w:r>
            <w:r>
              <w:rPr>
                <w:rFonts w:hint="eastAsia" w:cs="Times New Roman"/>
                <w:color w:val="auto"/>
                <w:kern w:val="2"/>
                <w:sz w:val="24"/>
                <w:szCs w:val="24"/>
                <w:highlight w:val="none"/>
                <w:lang w:val="en-US" w:eastAsia="zh-CN" w:bidi="ar-SA"/>
              </w:rPr>
              <w:t>25.864</w:t>
            </w:r>
            <w:r>
              <w:rPr>
                <w:rFonts w:hint="default" w:ascii="Times New Roman" w:hAnsi="Times New Roman" w:eastAsia="宋体" w:cs="Times New Roman"/>
                <w:color w:val="auto"/>
                <w:kern w:val="2"/>
                <w:sz w:val="24"/>
                <w:szCs w:val="24"/>
                <w:highlight w:val="none"/>
                <w:lang w:val="en-US" w:eastAsia="zh-CN" w:bidi="ar-SA"/>
              </w:rPr>
              <w:t>t/a。喷漆废水属于《国家危险废物名录（2025年版）》中HW12的危险废物，危废代码900-250-12，委托有资质单位处理。</w:t>
            </w:r>
          </w:p>
          <w:p w14:paraId="759B249E">
            <w:pPr>
              <w:pageBreakBefore w:val="0"/>
              <w:wordWrap w:val="0"/>
              <w:overflowPunct/>
              <w:bidi w:val="0"/>
              <w:ind w:firstLine="480" w:firstLineChars="20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kern w:val="2"/>
                <w:sz w:val="24"/>
                <w:szCs w:val="21"/>
                <w:highlight w:val="none"/>
                <w:lang w:val="en-US" w:eastAsia="zh-CN" w:bidi="ar-SA"/>
              </w:rPr>
              <w:t>③废</w:t>
            </w:r>
            <w:r>
              <w:rPr>
                <w:rFonts w:hint="default" w:ascii="Times New Roman" w:hAnsi="Times New Roman" w:eastAsia="宋体" w:cs="Times New Roman"/>
                <w:b/>
                <w:bCs/>
                <w:color w:val="auto"/>
                <w:highlight w:val="none"/>
                <w:lang w:val="en-US" w:eastAsia="zh-CN"/>
              </w:rPr>
              <w:t>过滤棉</w:t>
            </w:r>
          </w:p>
          <w:p w14:paraId="1ECDBDEB">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废过滤棉产生于喷漆废气有机废气处理中的干式过滤。过滤棉每月更换一次，一次更换量0.02t，加上进入干式过滤的漆雾0.</w:t>
            </w:r>
            <w:r>
              <w:rPr>
                <w:rFonts w:hint="default" w:ascii="Times New Roman" w:hAnsi="Times New Roman" w:cs="Times New Roman"/>
                <w:color w:val="auto"/>
                <w:kern w:val="2"/>
                <w:sz w:val="24"/>
                <w:szCs w:val="21"/>
                <w:highlight w:val="none"/>
                <w:lang w:val="en-US" w:eastAsia="zh-CN" w:bidi="ar-SA"/>
              </w:rPr>
              <w:t>1</w:t>
            </w:r>
            <w:r>
              <w:rPr>
                <w:rFonts w:hint="eastAsia" w:cs="Times New Roman"/>
                <w:color w:val="auto"/>
                <w:kern w:val="2"/>
                <w:sz w:val="24"/>
                <w:szCs w:val="21"/>
                <w:highlight w:val="none"/>
                <w:lang w:val="en-US" w:eastAsia="zh-CN" w:bidi="ar-SA"/>
              </w:rPr>
              <w:t>19</w:t>
            </w:r>
            <w:r>
              <w:rPr>
                <w:rFonts w:hint="default" w:ascii="Times New Roman" w:hAnsi="Times New Roman" w:eastAsia="宋体" w:cs="Times New Roman"/>
                <w:color w:val="auto"/>
                <w:kern w:val="2"/>
                <w:sz w:val="24"/>
                <w:szCs w:val="21"/>
                <w:highlight w:val="none"/>
                <w:lang w:val="en-US" w:eastAsia="zh-CN" w:bidi="ar-SA"/>
              </w:rPr>
              <w:t>t/a，废过滤棉/过滤袋产生量</w:t>
            </w:r>
            <w:r>
              <w:rPr>
                <w:rFonts w:hint="eastAsia" w:cs="Times New Roman"/>
                <w:color w:val="auto"/>
                <w:kern w:val="2"/>
                <w:sz w:val="24"/>
                <w:szCs w:val="21"/>
                <w:highlight w:val="none"/>
                <w:lang w:val="en-US" w:eastAsia="zh-CN" w:bidi="ar-SA"/>
              </w:rPr>
              <w:t>0.139</w:t>
            </w:r>
            <w:r>
              <w:rPr>
                <w:rFonts w:hint="default" w:ascii="Times New Roman" w:hAnsi="Times New Roman" w:eastAsia="宋体" w:cs="Times New Roman"/>
                <w:color w:val="auto"/>
                <w:kern w:val="2"/>
                <w:sz w:val="24"/>
                <w:szCs w:val="21"/>
                <w:highlight w:val="none"/>
                <w:lang w:val="en-US" w:eastAsia="zh-CN" w:bidi="ar-SA"/>
              </w:rPr>
              <w:t>t/a。废过滤棉含有漆渣，根据《国家危险废物名录（2025年）》，废过滤棉属于HW49的危险废物，代码900-041-49，收集后委托有资质单位处理。</w:t>
            </w:r>
          </w:p>
          <w:p w14:paraId="79B37EBA">
            <w:pPr>
              <w:pageBreakBefore w:val="0"/>
              <w:wordWrap w:val="0"/>
              <w:overflowPunct/>
              <w:bidi w:val="0"/>
              <w:ind w:firstLine="480" w:firstLineChars="20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color w:val="auto"/>
                <w:kern w:val="24"/>
                <w:highlight w:val="none"/>
                <w:lang w:val="en-US" w:eastAsia="zh-CN"/>
              </w:rPr>
              <w:t>④</w:t>
            </w:r>
            <w:r>
              <w:rPr>
                <w:rFonts w:hint="default" w:ascii="Times New Roman" w:hAnsi="Times New Roman" w:eastAsia="宋体" w:cs="Times New Roman"/>
                <w:b/>
                <w:bCs/>
                <w:color w:val="auto"/>
                <w:highlight w:val="none"/>
              </w:rPr>
              <w:t>废</w:t>
            </w:r>
            <w:r>
              <w:rPr>
                <w:rFonts w:hint="default" w:ascii="Times New Roman" w:hAnsi="Times New Roman" w:eastAsia="宋体" w:cs="Times New Roman"/>
                <w:b/>
                <w:bCs/>
                <w:color w:val="auto"/>
                <w:highlight w:val="none"/>
                <w:lang w:val="en-US" w:eastAsia="zh-CN"/>
              </w:rPr>
              <w:t>活性炭</w:t>
            </w:r>
          </w:p>
          <w:p w14:paraId="588EB0A9">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本项目有机废气治理中使用的活性炭吸附饱和后需要定期更换，由此产生的废活性炭属于《国家危险废物名录（2025 年版）》中的HW49其他废物，代码为900-039-49，妥善收集后交由有资质单位处理。</w:t>
            </w:r>
          </w:p>
          <w:p w14:paraId="6F844AF5">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项目活性炭吸附装置的设计参数如下：</w:t>
            </w:r>
          </w:p>
          <w:p w14:paraId="30684929">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lang w:val="en-US" w:eastAsia="zh-CN"/>
              </w:rPr>
            </w:pPr>
            <w:r>
              <w:rPr>
                <w:rFonts w:hint="default" w:ascii="Times New Roman" w:hAnsi="Times New Roman" w:cs="Times New Roman"/>
                <w:b/>
                <w:color w:val="auto"/>
                <w:lang w:val="en-US" w:eastAsia="zh-CN"/>
              </w:rPr>
              <w:t>项目活性炭箱选型参数一览表</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8"/>
              <w:gridCol w:w="2216"/>
              <w:gridCol w:w="2920"/>
              <w:gridCol w:w="1984"/>
              <w:gridCol w:w="672"/>
            </w:tblGrid>
            <w:tr w14:paraId="700E3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Align w:val="center"/>
                </w:tcPr>
                <w:p w14:paraId="4665FB9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对应排气筒</w:t>
                  </w:r>
                </w:p>
              </w:tc>
              <w:tc>
                <w:tcPr>
                  <w:tcW w:w="0" w:type="auto"/>
                  <w:vAlign w:val="center"/>
                </w:tcPr>
                <w:p w14:paraId="4BEEBE8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指标</w:t>
                  </w:r>
                </w:p>
              </w:tc>
              <w:tc>
                <w:tcPr>
                  <w:tcW w:w="0" w:type="auto"/>
                  <w:vAlign w:val="center"/>
                </w:tcPr>
                <w:p w14:paraId="358BCA0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活性炭吸附箱参数</w:t>
                  </w:r>
                </w:p>
              </w:tc>
              <w:tc>
                <w:tcPr>
                  <w:tcW w:w="0" w:type="auto"/>
                  <w:vAlign w:val="center"/>
                </w:tcPr>
                <w:p w14:paraId="26ADDCC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设计要求</w:t>
                  </w:r>
                </w:p>
              </w:tc>
              <w:tc>
                <w:tcPr>
                  <w:tcW w:w="0" w:type="auto"/>
                  <w:vAlign w:val="center"/>
                </w:tcPr>
                <w:p w14:paraId="6C83530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相符性</w:t>
                  </w:r>
                </w:p>
              </w:tc>
            </w:tr>
            <w:tr w14:paraId="3A920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0" w:type="auto"/>
                  <w:vMerge w:val="restart"/>
                  <w:vAlign w:val="center"/>
                </w:tcPr>
                <w:p w14:paraId="24EAAA9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DA005</w:t>
                  </w:r>
                </w:p>
              </w:tc>
              <w:tc>
                <w:tcPr>
                  <w:tcW w:w="0" w:type="auto"/>
                  <w:vAlign w:val="center"/>
                </w:tcPr>
                <w:p w14:paraId="14776F9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风量L</w:t>
                  </w:r>
                </w:p>
              </w:tc>
              <w:tc>
                <w:tcPr>
                  <w:tcW w:w="0" w:type="auto"/>
                  <w:vAlign w:val="center"/>
                </w:tcPr>
                <w:p w14:paraId="599F7C8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lang w:val="en-US" w:eastAsia="zh-CN"/>
                    </w:rPr>
                    <w:t>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p>
              </w:tc>
              <w:tc>
                <w:tcPr>
                  <w:tcW w:w="0" w:type="auto"/>
                  <w:vAlign w:val="center"/>
                </w:tcPr>
                <w:p w14:paraId="3401175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vAlign w:val="center"/>
                </w:tcPr>
                <w:p w14:paraId="414C23A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4A52D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21A91EB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050B21B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设备尺寸（长*宽*高）</w:t>
                  </w:r>
                </w:p>
              </w:tc>
              <w:tc>
                <w:tcPr>
                  <w:tcW w:w="0" w:type="auto"/>
                  <w:vAlign w:val="center"/>
                </w:tcPr>
                <w:p w14:paraId="57A67D2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3500*3000*1100mm</w:t>
                  </w:r>
                </w:p>
              </w:tc>
              <w:tc>
                <w:tcPr>
                  <w:tcW w:w="0" w:type="auto"/>
                  <w:vAlign w:val="center"/>
                </w:tcPr>
                <w:p w14:paraId="615CE95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vAlign w:val="center"/>
                </w:tcPr>
                <w:p w14:paraId="31A31FC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68F7C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6FA09F0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1054089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数量</w:t>
                  </w:r>
                </w:p>
              </w:tc>
              <w:tc>
                <w:tcPr>
                  <w:tcW w:w="0" w:type="auto"/>
                  <w:vAlign w:val="center"/>
                </w:tcPr>
                <w:p w14:paraId="3B65783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0" w:type="auto"/>
                  <w:vAlign w:val="center"/>
                </w:tcPr>
                <w:p w14:paraId="768F437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0CE1E9A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17CDE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0" w:type="auto"/>
                  <w:vMerge w:val="continue"/>
                  <w:vAlign w:val="center"/>
                </w:tcPr>
                <w:p w14:paraId="1AF810A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04A96CC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流速（气体流量=风量/过滤面积）</w:t>
                  </w:r>
                </w:p>
              </w:tc>
              <w:tc>
                <w:tcPr>
                  <w:tcW w:w="0" w:type="auto"/>
                  <w:vAlign w:val="center"/>
                </w:tcPr>
                <w:p w14:paraId="5536967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lang w:val="en-US" w:eastAsia="zh-CN"/>
                    </w:rPr>
                    <w:t>000m3/h÷</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3600s*3.0m*2.5m*2层</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val="en-US" w:eastAsia="zh-CN"/>
                    </w:rPr>
                    <w:t>46</w:t>
                  </w:r>
                  <w:r>
                    <w:rPr>
                      <w:rFonts w:hint="default" w:ascii="Times New Roman" w:hAnsi="Times New Roman" w:eastAsia="宋体" w:cs="Times New Roman"/>
                      <w:color w:val="auto"/>
                      <w:sz w:val="21"/>
                      <w:szCs w:val="21"/>
                      <w:highlight w:val="none"/>
                      <w:lang w:val="en-US" w:eastAsia="zh-CN"/>
                    </w:rPr>
                    <w:t>m/s</w:t>
                  </w:r>
                </w:p>
              </w:tc>
              <w:tc>
                <w:tcPr>
                  <w:tcW w:w="0" w:type="auto"/>
                  <w:vAlign w:val="center"/>
                </w:tcPr>
                <w:p w14:paraId="76F0BC9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蜂窝状活性炭＜1.2m/s</w:t>
                  </w:r>
                </w:p>
              </w:tc>
              <w:tc>
                <w:tcPr>
                  <w:tcW w:w="0" w:type="auto"/>
                  <w:vAlign w:val="center"/>
                </w:tcPr>
                <w:p w14:paraId="6B5AD76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相符</w:t>
                  </w:r>
                </w:p>
              </w:tc>
            </w:tr>
            <w:tr w14:paraId="78B4F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3D7F38D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4068C07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停留时间</w:t>
                  </w:r>
                </w:p>
              </w:tc>
              <w:tc>
                <w:tcPr>
                  <w:tcW w:w="0" w:type="auto"/>
                  <w:vAlign w:val="center"/>
                </w:tcPr>
                <w:p w14:paraId="538C354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0.3 m÷0.</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6m/s=0.</w:t>
                  </w:r>
                  <w:r>
                    <w:rPr>
                      <w:rFonts w:hint="default" w:ascii="Times New Roman" w:hAnsi="Times New Roman" w:cs="Times New Roman"/>
                      <w:color w:val="auto"/>
                      <w:sz w:val="21"/>
                      <w:szCs w:val="21"/>
                      <w:highlight w:val="none"/>
                      <w:lang w:val="en-US" w:eastAsia="zh-CN"/>
                    </w:rPr>
                    <w:t>65</w:t>
                  </w:r>
                  <w:r>
                    <w:rPr>
                      <w:rFonts w:hint="default" w:ascii="Times New Roman" w:hAnsi="Times New Roman" w:eastAsia="宋体" w:cs="Times New Roman"/>
                      <w:color w:val="auto"/>
                      <w:sz w:val="21"/>
                      <w:szCs w:val="21"/>
                      <w:highlight w:val="none"/>
                      <w:lang w:val="en-US" w:eastAsia="zh-CN"/>
                    </w:rPr>
                    <w:t>s</w:t>
                  </w:r>
                </w:p>
              </w:tc>
              <w:tc>
                <w:tcPr>
                  <w:tcW w:w="0" w:type="auto"/>
                  <w:vAlign w:val="center"/>
                </w:tcPr>
                <w:p w14:paraId="30E5F28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0.5</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2s</w:t>
                  </w:r>
                </w:p>
              </w:tc>
              <w:tc>
                <w:tcPr>
                  <w:tcW w:w="0" w:type="auto"/>
                  <w:vAlign w:val="center"/>
                </w:tcPr>
                <w:p w14:paraId="0B3670E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相符</w:t>
                  </w:r>
                </w:p>
              </w:tc>
            </w:tr>
            <w:tr w14:paraId="6A805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0" w:type="auto"/>
                  <w:vMerge w:val="continue"/>
                  <w:vAlign w:val="center"/>
                </w:tcPr>
                <w:p w14:paraId="0C31D54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082D3EE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吸附面积S</w:t>
                  </w:r>
                </w:p>
              </w:tc>
              <w:tc>
                <w:tcPr>
                  <w:tcW w:w="0" w:type="auto"/>
                  <w:vAlign w:val="center"/>
                </w:tcPr>
                <w:p w14:paraId="17DFC4E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3.0m*2.5m*2层*2个=30m</w:t>
                  </w:r>
                  <w:r>
                    <w:rPr>
                      <w:rFonts w:hint="default" w:ascii="Times New Roman" w:hAnsi="Times New Roman" w:eastAsia="宋体" w:cs="Times New Roman"/>
                      <w:color w:val="auto"/>
                      <w:sz w:val="21"/>
                      <w:szCs w:val="21"/>
                      <w:highlight w:val="none"/>
                      <w:vertAlign w:val="superscript"/>
                      <w:lang w:val="en-US" w:eastAsia="zh-CN"/>
                    </w:rPr>
                    <w:t>2</w:t>
                  </w:r>
                </w:p>
              </w:tc>
              <w:tc>
                <w:tcPr>
                  <w:tcW w:w="0" w:type="auto"/>
                  <w:vAlign w:val="center"/>
                </w:tcPr>
                <w:p w14:paraId="1AE4308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vAlign w:val="center"/>
                </w:tcPr>
                <w:p w14:paraId="6E5CFDB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05922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0" w:type="auto"/>
                  <w:vMerge w:val="continue"/>
                  <w:vAlign w:val="center"/>
                </w:tcPr>
                <w:p w14:paraId="4491E1B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7F959DC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炭层厚度</w:t>
                  </w:r>
                </w:p>
              </w:tc>
              <w:tc>
                <w:tcPr>
                  <w:tcW w:w="0" w:type="auto"/>
                  <w:vAlign w:val="center"/>
                </w:tcPr>
                <w:p w14:paraId="74F78EB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0.3m</w:t>
                  </w:r>
                </w:p>
              </w:tc>
              <w:tc>
                <w:tcPr>
                  <w:tcW w:w="0" w:type="auto"/>
                  <w:vAlign w:val="center"/>
                </w:tcPr>
                <w:p w14:paraId="4BB6FCF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活性炭层装厚度不低于300mm</w:t>
                  </w:r>
                </w:p>
              </w:tc>
              <w:tc>
                <w:tcPr>
                  <w:tcW w:w="0" w:type="auto"/>
                  <w:vAlign w:val="center"/>
                </w:tcPr>
                <w:p w14:paraId="39E8119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相符</w:t>
                  </w:r>
                </w:p>
              </w:tc>
            </w:tr>
            <w:tr w14:paraId="05527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0" w:type="auto"/>
                  <w:vMerge w:val="continue"/>
                  <w:vAlign w:val="center"/>
                </w:tcPr>
                <w:p w14:paraId="6C2681B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1503E41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活性炭种类</w:t>
                  </w:r>
                </w:p>
              </w:tc>
              <w:tc>
                <w:tcPr>
                  <w:tcW w:w="0" w:type="auto"/>
                  <w:vAlign w:val="center"/>
                </w:tcPr>
                <w:p w14:paraId="60F5CFD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蜂窝状</w:t>
                  </w:r>
                </w:p>
              </w:tc>
              <w:tc>
                <w:tcPr>
                  <w:tcW w:w="0" w:type="auto"/>
                  <w:vAlign w:val="center"/>
                </w:tcPr>
                <w:p w14:paraId="5A20FD6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vAlign w:val="center"/>
                </w:tcPr>
                <w:p w14:paraId="114A496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7E4AD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 w:hRule="atLeast"/>
                <w:jc w:val="center"/>
              </w:trPr>
              <w:tc>
                <w:tcPr>
                  <w:tcW w:w="0" w:type="auto"/>
                  <w:vMerge w:val="continue"/>
                  <w:vAlign w:val="center"/>
                </w:tcPr>
                <w:p w14:paraId="107FACE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4A2F5D5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活性炭填充量V</w:t>
                  </w:r>
                </w:p>
              </w:tc>
              <w:tc>
                <w:tcPr>
                  <w:tcW w:w="0" w:type="auto"/>
                  <w:vAlign w:val="center"/>
                </w:tcPr>
                <w:p w14:paraId="0E25065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0.3m*3.0m*2.5m*2层*2个=9m</w:t>
                  </w:r>
                  <w:r>
                    <w:rPr>
                      <w:rFonts w:hint="default" w:ascii="Times New Roman" w:hAnsi="Times New Roman" w:eastAsia="宋体" w:cs="Times New Roman"/>
                      <w:color w:val="auto"/>
                      <w:sz w:val="21"/>
                      <w:szCs w:val="21"/>
                      <w:highlight w:val="none"/>
                      <w:vertAlign w:val="superscript"/>
                      <w:lang w:val="en-US" w:eastAsia="zh-CN"/>
                    </w:rPr>
                    <w:t>3</w:t>
                  </w:r>
                </w:p>
              </w:tc>
              <w:tc>
                <w:tcPr>
                  <w:tcW w:w="0" w:type="auto"/>
                  <w:vAlign w:val="center"/>
                </w:tcPr>
                <w:p w14:paraId="5F9D329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vAlign w:val="center"/>
                </w:tcPr>
                <w:p w14:paraId="1152314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7FB7A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 w:hRule="atLeast"/>
                <w:jc w:val="center"/>
              </w:trPr>
              <w:tc>
                <w:tcPr>
                  <w:tcW w:w="0" w:type="auto"/>
                  <w:vMerge w:val="continue"/>
                  <w:vAlign w:val="center"/>
                </w:tcPr>
                <w:p w14:paraId="6952CFE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03AF733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活性炭密度</w:t>
                  </w:r>
                </w:p>
              </w:tc>
              <w:tc>
                <w:tcPr>
                  <w:tcW w:w="0" w:type="auto"/>
                  <w:vAlign w:val="center"/>
                </w:tcPr>
                <w:p w14:paraId="545D3DB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0.45 g/cm</w:t>
                  </w:r>
                  <w:r>
                    <w:rPr>
                      <w:rFonts w:hint="default" w:ascii="Times New Roman" w:hAnsi="Times New Roman" w:eastAsia="宋体" w:cs="Times New Roman"/>
                      <w:color w:val="auto"/>
                      <w:sz w:val="21"/>
                      <w:szCs w:val="21"/>
                      <w:highlight w:val="none"/>
                      <w:vertAlign w:val="superscript"/>
                      <w:lang w:val="en-US" w:eastAsia="zh-CN"/>
                    </w:rPr>
                    <w:t>3</w:t>
                  </w:r>
                </w:p>
              </w:tc>
              <w:tc>
                <w:tcPr>
                  <w:tcW w:w="0" w:type="auto"/>
                  <w:vAlign w:val="center"/>
                </w:tcPr>
                <w:p w14:paraId="33EE051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vAlign w:val="center"/>
                </w:tcPr>
                <w:p w14:paraId="39D4EAB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48D19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0" w:type="auto"/>
                  <w:vMerge w:val="continue"/>
                  <w:vAlign w:val="center"/>
                </w:tcPr>
                <w:p w14:paraId="586D582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011FC0B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活性炭重量G</w:t>
                  </w:r>
                </w:p>
              </w:tc>
              <w:tc>
                <w:tcPr>
                  <w:tcW w:w="0" w:type="auto"/>
                  <w:vAlign w:val="center"/>
                </w:tcPr>
                <w:p w14:paraId="55860C9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0.45 g/cm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*9m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=4.05t</w:t>
                  </w:r>
                </w:p>
              </w:tc>
              <w:tc>
                <w:tcPr>
                  <w:tcW w:w="0" w:type="auto"/>
                  <w:vAlign w:val="center"/>
                </w:tcPr>
                <w:p w14:paraId="3160FD2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vAlign w:val="center"/>
                </w:tcPr>
                <w:p w14:paraId="3BC782C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3F0F1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60C3C4B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1B029AD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年更换次数</w:t>
                  </w:r>
                </w:p>
              </w:tc>
              <w:tc>
                <w:tcPr>
                  <w:tcW w:w="0" w:type="auto"/>
                  <w:vAlign w:val="center"/>
                </w:tcPr>
                <w:p w14:paraId="0E6C3C3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次（</w:t>
                  </w:r>
                  <w:r>
                    <w:rPr>
                      <w:rFonts w:hint="default"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个月一次）</w:t>
                  </w:r>
                </w:p>
              </w:tc>
              <w:tc>
                <w:tcPr>
                  <w:tcW w:w="0" w:type="auto"/>
                  <w:vAlign w:val="center"/>
                </w:tcPr>
                <w:p w14:paraId="4AFB771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vAlign w:val="center"/>
                </w:tcPr>
                <w:p w14:paraId="6165AFA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10CFC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0" w:type="auto"/>
                  <w:vMerge w:val="restart"/>
                  <w:vAlign w:val="center"/>
                </w:tcPr>
                <w:p w14:paraId="678EE51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DA006</w:t>
                  </w:r>
                </w:p>
              </w:tc>
              <w:tc>
                <w:tcPr>
                  <w:tcW w:w="0" w:type="auto"/>
                  <w:vAlign w:val="center"/>
                </w:tcPr>
                <w:p w14:paraId="14BA7F2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风量L</w:t>
                  </w:r>
                </w:p>
              </w:tc>
              <w:tc>
                <w:tcPr>
                  <w:tcW w:w="0" w:type="auto"/>
                  <w:vAlign w:val="center"/>
                </w:tcPr>
                <w:p w14:paraId="5CDD56C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22</w:t>
                  </w:r>
                  <w:r>
                    <w:rPr>
                      <w:rFonts w:hint="default" w:ascii="Times New Roman" w:hAnsi="Times New Roman" w:eastAsia="宋体" w:cs="Times New Roman"/>
                      <w:color w:val="auto"/>
                      <w:sz w:val="21"/>
                      <w:szCs w:val="21"/>
                      <w:highlight w:val="none"/>
                      <w:lang w:val="en-US" w:eastAsia="zh-CN"/>
                    </w:rPr>
                    <w:t>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p>
              </w:tc>
              <w:tc>
                <w:tcPr>
                  <w:tcW w:w="0" w:type="auto"/>
                  <w:vAlign w:val="center"/>
                </w:tcPr>
                <w:p w14:paraId="646E034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vAlign w:val="center"/>
                </w:tcPr>
                <w:p w14:paraId="1CB6982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313FF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70822BF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72A29D0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设备尺寸（长*宽*高）</w:t>
                  </w:r>
                </w:p>
              </w:tc>
              <w:tc>
                <w:tcPr>
                  <w:tcW w:w="0" w:type="auto"/>
                  <w:vAlign w:val="center"/>
                </w:tcPr>
                <w:p w14:paraId="47B5A0A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3500*3000*1100mm</w:t>
                  </w:r>
                </w:p>
              </w:tc>
              <w:tc>
                <w:tcPr>
                  <w:tcW w:w="0" w:type="auto"/>
                  <w:vAlign w:val="center"/>
                </w:tcPr>
                <w:p w14:paraId="09C3F66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vAlign w:val="center"/>
                </w:tcPr>
                <w:p w14:paraId="26724FF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79464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5758BEE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40643E3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数量</w:t>
                  </w:r>
                </w:p>
              </w:tc>
              <w:tc>
                <w:tcPr>
                  <w:tcW w:w="0" w:type="auto"/>
                  <w:vAlign w:val="center"/>
                </w:tcPr>
                <w:p w14:paraId="2A3514F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0" w:type="auto"/>
                  <w:vAlign w:val="center"/>
                </w:tcPr>
                <w:p w14:paraId="5B60238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79F6C77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325BF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0" w:type="auto"/>
                  <w:vMerge w:val="continue"/>
                  <w:vAlign w:val="center"/>
                </w:tcPr>
                <w:p w14:paraId="7C30F00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7B0BBAF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流速（气体流量=风量/过滤面积）</w:t>
                  </w:r>
                </w:p>
              </w:tc>
              <w:tc>
                <w:tcPr>
                  <w:tcW w:w="0" w:type="auto"/>
                  <w:vAlign w:val="center"/>
                </w:tcPr>
                <w:p w14:paraId="3E0F46E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22</w:t>
                  </w:r>
                  <w:r>
                    <w:rPr>
                      <w:rFonts w:hint="default" w:ascii="Times New Roman" w:hAnsi="Times New Roman" w:eastAsia="宋体" w:cs="Times New Roman"/>
                      <w:color w:val="auto"/>
                      <w:sz w:val="21"/>
                      <w:szCs w:val="21"/>
                      <w:highlight w:val="none"/>
                      <w:lang w:val="en-US" w:eastAsia="zh-CN"/>
                    </w:rPr>
                    <w:t>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3600s*3.0m*2.5m*2层</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val="en-US" w:eastAsia="zh-CN"/>
                    </w:rPr>
                    <w:t>41</w:t>
                  </w:r>
                  <w:r>
                    <w:rPr>
                      <w:rFonts w:hint="default" w:ascii="Times New Roman" w:hAnsi="Times New Roman" w:eastAsia="宋体" w:cs="Times New Roman"/>
                      <w:color w:val="auto"/>
                      <w:sz w:val="21"/>
                      <w:szCs w:val="21"/>
                      <w:highlight w:val="none"/>
                      <w:lang w:val="en-US" w:eastAsia="zh-CN"/>
                    </w:rPr>
                    <w:t>m/s</w:t>
                  </w:r>
                </w:p>
              </w:tc>
              <w:tc>
                <w:tcPr>
                  <w:tcW w:w="0" w:type="auto"/>
                  <w:vAlign w:val="center"/>
                </w:tcPr>
                <w:p w14:paraId="5FDFED9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蜂窝状活性炭＜1.2m/s</w:t>
                  </w:r>
                </w:p>
              </w:tc>
              <w:tc>
                <w:tcPr>
                  <w:tcW w:w="0" w:type="auto"/>
                  <w:vAlign w:val="center"/>
                </w:tcPr>
                <w:p w14:paraId="28616C5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相符</w:t>
                  </w:r>
                </w:p>
              </w:tc>
            </w:tr>
            <w:tr w14:paraId="683DD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76AEAFC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775F48F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停留时间</w:t>
                  </w:r>
                </w:p>
              </w:tc>
              <w:tc>
                <w:tcPr>
                  <w:tcW w:w="0" w:type="auto"/>
                  <w:vAlign w:val="center"/>
                </w:tcPr>
                <w:p w14:paraId="0388BFA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0.3 m÷0.</w:t>
                  </w:r>
                  <w:r>
                    <w:rPr>
                      <w:rFonts w:hint="default" w:ascii="Times New Roman" w:hAnsi="Times New Roman" w:cs="Times New Roman"/>
                      <w:color w:val="auto"/>
                      <w:sz w:val="21"/>
                      <w:szCs w:val="21"/>
                      <w:highlight w:val="none"/>
                      <w:lang w:val="en-US" w:eastAsia="zh-CN"/>
                    </w:rPr>
                    <w:t>41</w:t>
                  </w:r>
                  <w:r>
                    <w:rPr>
                      <w:rFonts w:hint="default" w:ascii="Times New Roman" w:hAnsi="Times New Roman" w:eastAsia="宋体" w:cs="Times New Roman"/>
                      <w:color w:val="auto"/>
                      <w:sz w:val="21"/>
                      <w:szCs w:val="21"/>
                      <w:highlight w:val="none"/>
                      <w:lang w:val="en-US" w:eastAsia="zh-CN"/>
                    </w:rPr>
                    <w:t>m/s=0.</w:t>
                  </w:r>
                  <w:r>
                    <w:rPr>
                      <w:rFonts w:hint="default" w:ascii="Times New Roman" w:hAnsi="Times New Roman" w:cs="Times New Roman"/>
                      <w:color w:val="auto"/>
                      <w:sz w:val="21"/>
                      <w:szCs w:val="21"/>
                      <w:highlight w:val="none"/>
                      <w:lang w:val="en-US" w:eastAsia="zh-CN"/>
                    </w:rPr>
                    <w:t>73</w:t>
                  </w:r>
                  <w:r>
                    <w:rPr>
                      <w:rFonts w:hint="default" w:ascii="Times New Roman" w:hAnsi="Times New Roman" w:eastAsia="宋体" w:cs="Times New Roman"/>
                      <w:color w:val="auto"/>
                      <w:sz w:val="21"/>
                      <w:szCs w:val="21"/>
                      <w:highlight w:val="none"/>
                      <w:lang w:val="en-US" w:eastAsia="zh-CN"/>
                    </w:rPr>
                    <w:t>s</w:t>
                  </w:r>
                </w:p>
              </w:tc>
              <w:tc>
                <w:tcPr>
                  <w:tcW w:w="0" w:type="auto"/>
                  <w:vAlign w:val="center"/>
                </w:tcPr>
                <w:p w14:paraId="670FD47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0.5</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2s</w:t>
                  </w:r>
                </w:p>
              </w:tc>
              <w:tc>
                <w:tcPr>
                  <w:tcW w:w="0" w:type="auto"/>
                  <w:vAlign w:val="center"/>
                </w:tcPr>
                <w:p w14:paraId="4A51812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相符</w:t>
                  </w:r>
                </w:p>
              </w:tc>
            </w:tr>
            <w:tr w14:paraId="6A288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0" w:type="auto"/>
                  <w:vMerge w:val="continue"/>
                  <w:vAlign w:val="center"/>
                </w:tcPr>
                <w:p w14:paraId="0CCFE02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2DA17FC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吸附面积S</w:t>
                  </w:r>
                </w:p>
              </w:tc>
              <w:tc>
                <w:tcPr>
                  <w:tcW w:w="0" w:type="auto"/>
                  <w:vAlign w:val="center"/>
                </w:tcPr>
                <w:p w14:paraId="79009DC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3.0m*2.5m*2层*2个=30m</w:t>
                  </w:r>
                  <w:r>
                    <w:rPr>
                      <w:rFonts w:hint="default" w:ascii="Times New Roman" w:hAnsi="Times New Roman" w:eastAsia="宋体" w:cs="Times New Roman"/>
                      <w:color w:val="auto"/>
                      <w:sz w:val="21"/>
                      <w:szCs w:val="21"/>
                      <w:highlight w:val="none"/>
                      <w:vertAlign w:val="superscript"/>
                      <w:lang w:val="en-US" w:eastAsia="zh-CN"/>
                    </w:rPr>
                    <w:t>2</w:t>
                  </w:r>
                </w:p>
              </w:tc>
              <w:tc>
                <w:tcPr>
                  <w:tcW w:w="0" w:type="auto"/>
                  <w:vAlign w:val="center"/>
                </w:tcPr>
                <w:p w14:paraId="3CD9D08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vAlign w:val="center"/>
                </w:tcPr>
                <w:p w14:paraId="0549B29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477D1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0" w:type="auto"/>
                  <w:vMerge w:val="continue"/>
                  <w:vAlign w:val="center"/>
                </w:tcPr>
                <w:p w14:paraId="0163C70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5AEEB1C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炭层厚度</w:t>
                  </w:r>
                </w:p>
              </w:tc>
              <w:tc>
                <w:tcPr>
                  <w:tcW w:w="0" w:type="auto"/>
                  <w:vAlign w:val="center"/>
                </w:tcPr>
                <w:p w14:paraId="0022F65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0.3m</w:t>
                  </w:r>
                </w:p>
              </w:tc>
              <w:tc>
                <w:tcPr>
                  <w:tcW w:w="0" w:type="auto"/>
                  <w:vAlign w:val="center"/>
                </w:tcPr>
                <w:p w14:paraId="07B2CF0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活性炭层装厚度不低于300mm</w:t>
                  </w:r>
                </w:p>
              </w:tc>
              <w:tc>
                <w:tcPr>
                  <w:tcW w:w="0" w:type="auto"/>
                  <w:vAlign w:val="center"/>
                </w:tcPr>
                <w:p w14:paraId="032AE77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相符</w:t>
                  </w:r>
                </w:p>
              </w:tc>
            </w:tr>
            <w:tr w14:paraId="4FCEC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0" w:type="auto"/>
                  <w:vMerge w:val="continue"/>
                  <w:vAlign w:val="center"/>
                </w:tcPr>
                <w:p w14:paraId="4CCFBB5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2EF7325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活性炭种类</w:t>
                  </w:r>
                </w:p>
              </w:tc>
              <w:tc>
                <w:tcPr>
                  <w:tcW w:w="0" w:type="auto"/>
                  <w:vAlign w:val="center"/>
                </w:tcPr>
                <w:p w14:paraId="4900B3C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蜂窝状</w:t>
                  </w:r>
                </w:p>
              </w:tc>
              <w:tc>
                <w:tcPr>
                  <w:tcW w:w="0" w:type="auto"/>
                  <w:vAlign w:val="center"/>
                </w:tcPr>
                <w:p w14:paraId="3D20A53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vAlign w:val="center"/>
                </w:tcPr>
                <w:p w14:paraId="42C373A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4AC55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 w:hRule="atLeast"/>
                <w:jc w:val="center"/>
              </w:trPr>
              <w:tc>
                <w:tcPr>
                  <w:tcW w:w="0" w:type="auto"/>
                  <w:vMerge w:val="continue"/>
                  <w:vAlign w:val="center"/>
                </w:tcPr>
                <w:p w14:paraId="1405F5A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768ECBF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活性炭填充量V</w:t>
                  </w:r>
                </w:p>
              </w:tc>
              <w:tc>
                <w:tcPr>
                  <w:tcW w:w="0" w:type="auto"/>
                  <w:vAlign w:val="center"/>
                </w:tcPr>
                <w:p w14:paraId="0FD432C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0.3m*3.0m*2.5m*2层*2个=9m</w:t>
                  </w:r>
                  <w:r>
                    <w:rPr>
                      <w:rFonts w:hint="default" w:ascii="Times New Roman" w:hAnsi="Times New Roman" w:eastAsia="宋体" w:cs="Times New Roman"/>
                      <w:color w:val="auto"/>
                      <w:sz w:val="21"/>
                      <w:szCs w:val="21"/>
                      <w:highlight w:val="none"/>
                      <w:vertAlign w:val="superscript"/>
                      <w:lang w:val="en-US" w:eastAsia="zh-CN"/>
                    </w:rPr>
                    <w:t>3</w:t>
                  </w:r>
                </w:p>
              </w:tc>
              <w:tc>
                <w:tcPr>
                  <w:tcW w:w="0" w:type="auto"/>
                  <w:vAlign w:val="center"/>
                </w:tcPr>
                <w:p w14:paraId="550C239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vAlign w:val="center"/>
                </w:tcPr>
                <w:p w14:paraId="0A5A440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05628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 w:hRule="atLeast"/>
                <w:jc w:val="center"/>
              </w:trPr>
              <w:tc>
                <w:tcPr>
                  <w:tcW w:w="0" w:type="auto"/>
                  <w:vMerge w:val="continue"/>
                  <w:vAlign w:val="center"/>
                </w:tcPr>
                <w:p w14:paraId="0E5D311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30E64DE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活性炭密度</w:t>
                  </w:r>
                </w:p>
              </w:tc>
              <w:tc>
                <w:tcPr>
                  <w:tcW w:w="0" w:type="auto"/>
                  <w:vAlign w:val="center"/>
                </w:tcPr>
                <w:p w14:paraId="63F8F98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0.45 g/cm</w:t>
                  </w:r>
                  <w:r>
                    <w:rPr>
                      <w:rFonts w:hint="default" w:ascii="Times New Roman" w:hAnsi="Times New Roman" w:eastAsia="宋体" w:cs="Times New Roman"/>
                      <w:color w:val="auto"/>
                      <w:sz w:val="21"/>
                      <w:szCs w:val="21"/>
                      <w:highlight w:val="none"/>
                      <w:vertAlign w:val="superscript"/>
                      <w:lang w:val="en-US" w:eastAsia="zh-CN"/>
                    </w:rPr>
                    <w:t>3</w:t>
                  </w:r>
                </w:p>
              </w:tc>
              <w:tc>
                <w:tcPr>
                  <w:tcW w:w="0" w:type="auto"/>
                  <w:vAlign w:val="center"/>
                </w:tcPr>
                <w:p w14:paraId="0D41ACB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vAlign w:val="center"/>
                </w:tcPr>
                <w:p w14:paraId="3AF9F3B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14159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0" w:type="auto"/>
                  <w:vMerge w:val="continue"/>
                  <w:vAlign w:val="center"/>
                </w:tcPr>
                <w:p w14:paraId="6099E2F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606F9A3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活性炭重量G</w:t>
                  </w:r>
                </w:p>
              </w:tc>
              <w:tc>
                <w:tcPr>
                  <w:tcW w:w="0" w:type="auto"/>
                  <w:vAlign w:val="center"/>
                </w:tcPr>
                <w:p w14:paraId="09EAD0B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0.45 g/cm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*9m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=4.05t</w:t>
                  </w:r>
                </w:p>
              </w:tc>
              <w:tc>
                <w:tcPr>
                  <w:tcW w:w="0" w:type="auto"/>
                  <w:vAlign w:val="center"/>
                </w:tcPr>
                <w:p w14:paraId="5FA698A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vAlign w:val="center"/>
                </w:tcPr>
                <w:p w14:paraId="650B86A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03017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7EF0086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0" w:type="auto"/>
                  <w:vAlign w:val="center"/>
                </w:tcPr>
                <w:p w14:paraId="3A1C6F5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年更换次数</w:t>
                  </w:r>
                </w:p>
              </w:tc>
              <w:tc>
                <w:tcPr>
                  <w:tcW w:w="0" w:type="auto"/>
                  <w:vAlign w:val="center"/>
                </w:tcPr>
                <w:p w14:paraId="62764E7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次（</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个月一次）</w:t>
                  </w:r>
                </w:p>
              </w:tc>
              <w:tc>
                <w:tcPr>
                  <w:tcW w:w="0" w:type="auto"/>
                  <w:vAlign w:val="center"/>
                </w:tcPr>
                <w:p w14:paraId="5272AB7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vAlign w:val="center"/>
                </w:tcPr>
                <w:p w14:paraId="5882BA3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bl>
          <w:p w14:paraId="019B73F5">
            <w:pPr>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cs="Times New Roman"/>
                <w:color w:val="auto"/>
                <w:szCs w:val="21"/>
                <w:lang w:val="en-US" w:eastAsia="zh-CN"/>
              </w:rPr>
              <w:t>根据上表，</w:t>
            </w:r>
            <w:r>
              <w:rPr>
                <w:rFonts w:hint="default" w:ascii="Times New Roman" w:hAnsi="Times New Roman" w:cs="Times New Roman"/>
                <w:color w:val="auto"/>
                <w:szCs w:val="21"/>
              </w:rPr>
              <w:t>DA00</w:t>
            </w:r>
            <w:r>
              <w:rPr>
                <w:rFonts w:hint="default" w:ascii="Times New Roman" w:hAnsi="Times New Roman" w:cs="Times New Roman"/>
                <w:color w:val="auto"/>
                <w:szCs w:val="21"/>
                <w:lang w:val="en-US" w:eastAsia="zh-CN"/>
              </w:rPr>
              <w:t>5、DA006</w:t>
            </w:r>
            <w:r>
              <w:rPr>
                <w:rFonts w:hint="default" w:ascii="Times New Roman" w:hAnsi="Times New Roman" w:cs="Times New Roman"/>
                <w:color w:val="auto"/>
                <w:szCs w:val="21"/>
              </w:rPr>
              <w:t>废活性炭产生量=4.05*</w:t>
            </w:r>
            <w:r>
              <w:rPr>
                <w:rFonts w:hint="default" w:ascii="Times New Roman" w:hAnsi="Times New Roman" w:cs="Times New Roman"/>
                <w:color w:val="auto"/>
                <w:szCs w:val="21"/>
                <w:lang w:val="en-US" w:eastAsia="zh-CN"/>
              </w:rPr>
              <w:t>6</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3.456+4.05*3+1.</w:t>
            </w:r>
            <w:r>
              <w:rPr>
                <w:rFonts w:hint="eastAsia" w:cs="Times New Roman"/>
                <w:color w:val="auto"/>
                <w:szCs w:val="21"/>
                <w:lang w:val="en-US" w:eastAsia="zh-CN"/>
              </w:rPr>
              <w:t>120</w:t>
            </w:r>
            <w:r>
              <w:rPr>
                <w:rFonts w:hint="default" w:ascii="Times New Roman" w:hAnsi="Times New Roman" w:cs="Times New Roman"/>
                <w:color w:val="auto"/>
                <w:szCs w:val="21"/>
              </w:rPr>
              <w:t>=</w:t>
            </w:r>
            <w:r>
              <w:rPr>
                <w:rFonts w:hint="eastAsia" w:cs="Times New Roman"/>
                <w:color w:val="auto"/>
                <w:szCs w:val="21"/>
                <w:lang w:val="en-US" w:eastAsia="zh-CN"/>
              </w:rPr>
              <w:t>41.026</w:t>
            </w:r>
            <w:r>
              <w:rPr>
                <w:rFonts w:hint="default" w:ascii="Times New Roman" w:hAnsi="Times New Roman" w:cs="Times New Roman"/>
                <w:color w:val="auto"/>
                <w:szCs w:val="21"/>
              </w:rPr>
              <w:t>t/a。根据《广东省工业源挥发性有机物减排量核算方法（2023年修订版）》中表3.3-3废气治理效率参考值，处理工艺为活性炭吸附时，建议直接将“活性炭年更换量</w:t>
            </w:r>
            <w:r>
              <w:rPr>
                <w:rFonts w:hint="default" w:ascii="Times New Roman" w:hAnsi="Times New Roman" w:cs="Times New Roman"/>
                <w:bCs/>
                <w:color w:val="auto"/>
                <w:szCs w:val="21"/>
              </w:rPr>
              <w:t>×活性炭吸附比例</w:t>
            </w:r>
            <w:r>
              <w:rPr>
                <w:rFonts w:hint="default" w:ascii="Times New Roman" w:hAnsi="Times New Roman" w:cs="Times New Roman"/>
                <w:color w:val="auto"/>
                <w:szCs w:val="21"/>
              </w:rPr>
              <w:t>”（吸附比例建议取值15%）作为废气处理设置VOCs削减量，并进行复核。因此本项目有效削减量为4.05*</w:t>
            </w:r>
            <w:r>
              <w:rPr>
                <w:rFonts w:hint="default" w:ascii="Times New Roman" w:hAnsi="Times New Roman" w:cs="Times New Roman"/>
                <w:color w:val="auto"/>
                <w:szCs w:val="21"/>
                <w:lang w:val="en-US" w:eastAsia="zh-CN"/>
              </w:rPr>
              <w:t>9</w:t>
            </w:r>
            <w:r>
              <w:rPr>
                <w:rFonts w:hint="default" w:ascii="Times New Roman" w:hAnsi="Times New Roman" w:cs="Times New Roman"/>
                <w:color w:val="auto"/>
                <w:szCs w:val="21"/>
              </w:rPr>
              <w:t>*15%=</w:t>
            </w:r>
            <w:r>
              <w:rPr>
                <w:rFonts w:hint="default" w:ascii="Times New Roman" w:hAnsi="Times New Roman" w:cs="Times New Roman"/>
                <w:color w:val="auto"/>
                <w:szCs w:val="21"/>
                <w:lang w:val="en-US" w:eastAsia="zh-CN"/>
              </w:rPr>
              <w:t>5.47</w:t>
            </w:r>
            <w:r>
              <w:rPr>
                <w:rFonts w:hint="default" w:ascii="Times New Roman" w:hAnsi="Times New Roman" w:cs="Times New Roman"/>
                <w:color w:val="auto"/>
                <w:szCs w:val="21"/>
              </w:rPr>
              <w:t>t/a，大于活性炭吸附装置吸附量</w:t>
            </w:r>
            <w:r>
              <w:rPr>
                <w:rFonts w:hint="default" w:ascii="Times New Roman" w:hAnsi="Times New Roman" w:cs="Times New Roman"/>
                <w:color w:val="auto"/>
                <w:szCs w:val="21"/>
                <w:lang w:val="en-US" w:eastAsia="zh-CN"/>
              </w:rPr>
              <w:t>3.456+1.</w:t>
            </w:r>
            <w:r>
              <w:rPr>
                <w:rFonts w:hint="eastAsia" w:cs="Times New Roman"/>
                <w:color w:val="auto"/>
                <w:szCs w:val="21"/>
                <w:lang w:val="en-US" w:eastAsia="zh-CN"/>
              </w:rPr>
              <w:t>120</w:t>
            </w:r>
            <w:r>
              <w:rPr>
                <w:rFonts w:hint="default" w:ascii="Times New Roman" w:hAnsi="Times New Roman" w:cs="Times New Roman"/>
                <w:color w:val="auto"/>
                <w:szCs w:val="21"/>
                <w:lang w:val="en-US" w:eastAsia="zh-CN"/>
              </w:rPr>
              <w:t>=4.</w:t>
            </w:r>
            <w:r>
              <w:rPr>
                <w:rFonts w:hint="eastAsia" w:cs="Times New Roman"/>
                <w:color w:val="auto"/>
                <w:szCs w:val="21"/>
                <w:lang w:val="en-US" w:eastAsia="zh-CN"/>
              </w:rPr>
              <w:t>576</w:t>
            </w:r>
            <w:r>
              <w:rPr>
                <w:rFonts w:hint="default" w:ascii="Times New Roman" w:hAnsi="Times New Roman" w:cs="Times New Roman"/>
                <w:color w:val="auto"/>
                <w:szCs w:val="21"/>
              </w:rPr>
              <w:t>t/a，满足要求</w:t>
            </w:r>
            <w:r>
              <w:rPr>
                <w:rFonts w:hint="default" w:ascii="Times New Roman" w:hAnsi="Times New Roman" w:cs="Times New Roman"/>
                <w:color w:val="auto"/>
                <w:szCs w:val="21"/>
                <w:lang w:eastAsia="zh-CN"/>
              </w:rPr>
              <w:t>。</w:t>
            </w:r>
          </w:p>
          <w:p w14:paraId="755E2764">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⑤</w:t>
            </w:r>
            <w:r>
              <w:rPr>
                <w:rFonts w:hint="default" w:ascii="Times New Roman" w:hAnsi="Times New Roman" w:eastAsia="宋体" w:cs="Times New Roman"/>
                <w:b/>
                <w:bCs/>
                <w:color w:val="auto"/>
                <w:kern w:val="2"/>
                <w:sz w:val="24"/>
                <w:szCs w:val="24"/>
                <w:highlight w:val="none"/>
                <w:lang w:val="en-US" w:eastAsia="zh-CN" w:bidi="ar-SA"/>
              </w:rPr>
              <w:t>废原料桶</w:t>
            </w:r>
          </w:p>
          <w:p w14:paraId="6CF2DC4A">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本项目油漆使用完后会产生废原料桶，产生量</w:t>
            </w:r>
            <w:r>
              <w:rPr>
                <w:rFonts w:hint="eastAsia" w:cs="Times New Roman"/>
                <w:color w:val="auto"/>
                <w:kern w:val="2"/>
                <w:sz w:val="24"/>
                <w:szCs w:val="24"/>
                <w:highlight w:val="none"/>
                <w:lang w:val="en-US" w:eastAsia="zh-CN" w:bidi="ar-SA"/>
              </w:rPr>
              <w:t>0.252</w:t>
            </w:r>
            <w:r>
              <w:rPr>
                <w:rFonts w:hint="default" w:ascii="Times New Roman" w:hAnsi="Times New Roman" w:eastAsia="宋体" w:cs="Times New Roman"/>
                <w:color w:val="auto"/>
                <w:kern w:val="2"/>
                <w:sz w:val="24"/>
                <w:szCs w:val="24"/>
                <w:highlight w:val="none"/>
                <w:lang w:val="en-US" w:eastAsia="zh-CN" w:bidi="ar-SA"/>
              </w:rPr>
              <w:t>t/a。属于《国家危险废物名录（2025年版）》中HW49其他废物，代码900-041-49，收集后委托有资质单位处理。</w:t>
            </w:r>
          </w:p>
          <w:p w14:paraId="27C47E5E">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lang w:val="en-US" w:eastAsia="zh-CN"/>
              </w:rPr>
            </w:pPr>
            <w:r>
              <w:rPr>
                <w:rFonts w:hint="default" w:ascii="Times New Roman" w:hAnsi="Times New Roman" w:cs="Times New Roman"/>
                <w:b/>
                <w:color w:val="auto"/>
                <w:lang w:val="en-US" w:eastAsia="zh-CN"/>
              </w:rPr>
              <w:t>废原料桶产生量核算一览表</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1"/>
              <w:gridCol w:w="817"/>
              <w:gridCol w:w="1452"/>
              <w:gridCol w:w="1012"/>
              <w:gridCol w:w="621"/>
              <w:gridCol w:w="2093"/>
              <w:gridCol w:w="2094"/>
            </w:tblGrid>
            <w:tr w14:paraId="5767E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14:paraId="24FA4ACE">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0" w:type="auto"/>
                  <w:vAlign w:val="center"/>
                </w:tcPr>
                <w:p w14:paraId="6EFBDF9E">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0" w:type="auto"/>
                  <w:vAlign w:val="center"/>
                </w:tcPr>
                <w:p w14:paraId="2A410CB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物料使用量t/a</w:t>
                  </w:r>
                </w:p>
              </w:tc>
              <w:tc>
                <w:tcPr>
                  <w:tcW w:w="0" w:type="auto"/>
                  <w:vAlign w:val="center"/>
                </w:tcPr>
                <w:p w14:paraId="047C62F0">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包装规格</w:t>
                  </w:r>
                </w:p>
              </w:tc>
              <w:tc>
                <w:tcPr>
                  <w:tcW w:w="0" w:type="auto"/>
                  <w:vAlign w:val="center"/>
                </w:tcPr>
                <w:p w14:paraId="0D26E184">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数量</w:t>
                  </w:r>
                </w:p>
              </w:tc>
              <w:tc>
                <w:tcPr>
                  <w:tcW w:w="0" w:type="auto"/>
                  <w:vAlign w:val="center"/>
                </w:tcPr>
                <w:p w14:paraId="12B4BB0F">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单个包装桶/袋质量kg</w:t>
                  </w:r>
                </w:p>
              </w:tc>
              <w:tc>
                <w:tcPr>
                  <w:tcW w:w="0" w:type="auto"/>
                  <w:vAlign w:val="center"/>
                </w:tcPr>
                <w:p w14:paraId="0F702A5D">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废包装/袋桶产生量t/a</w:t>
                  </w:r>
                </w:p>
              </w:tc>
            </w:tr>
            <w:tr w14:paraId="6ECC1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14:paraId="0BCD794D">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0" w:type="auto"/>
                  <w:vAlign w:val="center"/>
                </w:tcPr>
                <w:p w14:paraId="69D2A21A">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水性漆</w:t>
                  </w:r>
                </w:p>
              </w:tc>
              <w:tc>
                <w:tcPr>
                  <w:tcW w:w="1452" w:type="dxa"/>
                  <w:tcBorders>
                    <w:top w:val="single" w:color="auto" w:sz="4" w:space="0"/>
                    <w:left w:val="single" w:color="auto" w:sz="4" w:space="0"/>
                    <w:bottom w:val="single" w:color="auto" w:sz="4" w:space="0"/>
                    <w:right w:val="single" w:color="auto" w:sz="4" w:space="0"/>
                  </w:tcBorders>
                  <w:shd w:val="clear" w:color="auto" w:fill="auto"/>
                  <w:vAlign w:val="center"/>
                </w:tcPr>
                <w:p w14:paraId="5B8D36DD">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9.437 </w:t>
                  </w:r>
                </w:p>
              </w:tc>
              <w:tc>
                <w:tcPr>
                  <w:tcW w:w="1012" w:type="dxa"/>
                  <w:tcBorders>
                    <w:top w:val="single" w:color="auto" w:sz="4" w:space="0"/>
                    <w:left w:val="nil"/>
                    <w:bottom w:val="single" w:color="auto" w:sz="4" w:space="0"/>
                    <w:right w:val="single" w:color="auto" w:sz="4" w:space="0"/>
                  </w:tcBorders>
                  <w:shd w:val="clear" w:color="auto" w:fill="auto"/>
                  <w:vAlign w:val="center"/>
                </w:tcPr>
                <w:p w14:paraId="16E84844">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w:t>
                  </w:r>
                </w:p>
              </w:tc>
              <w:tc>
                <w:tcPr>
                  <w:tcW w:w="621" w:type="dxa"/>
                  <w:tcBorders>
                    <w:top w:val="single" w:color="auto" w:sz="4" w:space="0"/>
                    <w:left w:val="single" w:color="auto" w:sz="4" w:space="0"/>
                    <w:bottom w:val="single" w:color="auto" w:sz="4" w:space="0"/>
                    <w:right w:val="single" w:color="auto" w:sz="4" w:space="0"/>
                  </w:tcBorders>
                  <w:shd w:val="clear" w:color="auto" w:fill="auto"/>
                  <w:vAlign w:val="center"/>
                </w:tcPr>
                <w:p w14:paraId="13A2E83A">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377 </w:t>
                  </w:r>
                </w:p>
              </w:tc>
              <w:tc>
                <w:tcPr>
                  <w:tcW w:w="2093" w:type="dxa"/>
                  <w:tcBorders>
                    <w:top w:val="single" w:color="auto" w:sz="4" w:space="0"/>
                    <w:left w:val="nil"/>
                    <w:bottom w:val="single" w:color="auto" w:sz="4" w:space="0"/>
                    <w:right w:val="single" w:color="auto" w:sz="4" w:space="0"/>
                  </w:tcBorders>
                  <w:shd w:val="clear" w:color="auto" w:fill="auto"/>
                  <w:vAlign w:val="center"/>
                </w:tcPr>
                <w:p w14:paraId="5C665AAE">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0.5</w:t>
                  </w:r>
                </w:p>
              </w:tc>
              <w:tc>
                <w:tcPr>
                  <w:tcW w:w="2094" w:type="dxa"/>
                  <w:tcBorders>
                    <w:top w:val="single" w:color="auto" w:sz="4" w:space="0"/>
                    <w:left w:val="nil"/>
                    <w:bottom w:val="single" w:color="auto" w:sz="4" w:space="0"/>
                    <w:right w:val="single" w:color="auto" w:sz="4" w:space="0"/>
                  </w:tcBorders>
                  <w:shd w:val="clear" w:color="auto" w:fill="auto"/>
                  <w:vAlign w:val="center"/>
                </w:tcPr>
                <w:p w14:paraId="7B715659">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0.189 </w:t>
                  </w:r>
                </w:p>
              </w:tc>
            </w:tr>
            <w:tr w14:paraId="799D1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14:paraId="2D78BC47">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0" w:type="auto"/>
                  <w:vAlign w:val="center"/>
                </w:tcPr>
                <w:p w14:paraId="4D7CA475">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油性漆</w:t>
                  </w:r>
                </w:p>
              </w:tc>
              <w:tc>
                <w:tcPr>
                  <w:tcW w:w="1452" w:type="dxa"/>
                  <w:tcBorders>
                    <w:top w:val="nil"/>
                    <w:left w:val="single" w:color="auto" w:sz="4" w:space="0"/>
                    <w:bottom w:val="single" w:color="auto" w:sz="4" w:space="0"/>
                    <w:right w:val="single" w:color="auto" w:sz="4" w:space="0"/>
                  </w:tcBorders>
                  <w:shd w:val="clear" w:color="auto" w:fill="auto"/>
                  <w:vAlign w:val="center"/>
                </w:tcPr>
                <w:p w14:paraId="09141A92">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1.887 </w:t>
                  </w:r>
                </w:p>
              </w:tc>
              <w:tc>
                <w:tcPr>
                  <w:tcW w:w="1012" w:type="dxa"/>
                  <w:tcBorders>
                    <w:top w:val="nil"/>
                    <w:left w:val="nil"/>
                    <w:bottom w:val="single" w:color="auto" w:sz="4" w:space="0"/>
                    <w:right w:val="single" w:color="auto" w:sz="4" w:space="0"/>
                  </w:tcBorders>
                  <w:shd w:val="clear" w:color="auto" w:fill="auto"/>
                  <w:vAlign w:val="center"/>
                </w:tcPr>
                <w:p w14:paraId="4BF52009">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w:t>
                  </w:r>
                </w:p>
              </w:tc>
              <w:tc>
                <w:tcPr>
                  <w:tcW w:w="621" w:type="dxa"/>
                  <w:tcBorders>
                    <w:top w:val="nil"/>
                    <w:left w:val="single" w:color="auto" w:sz="4" w:space="0"/>
                    <w:bottom w:val="single" w:color="auto" w:sz="4" w:space="0"/>
                    <w:right w:val="single" w:color="auto" w:sz="4" w:space="0"/>
                  </w:tcBorders>
                  <w:shd w:val="clear" w:color="auto" w:fill="auto"/>
                  <w:vAlign w:val="center"/>
                </w:tcPr>
                <w:p w14:paraId="32BA58C2">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75 </w:t>
                  </w:r>
                </w:p>
              </w:tc>
              <w:tc>
                <w:tcPr>
                  <w:tcW w:w="2093" w:type="dxa"/>
                  <w:tcBorders>
                    <w:top w:val="nil"/>
                    <w:left w:val="nil"/>
                    <w:bottom w:val="single" w:color="auto" w:sz="4" w:space="0"/>
                    <w:right w:val="single" w:color="auto" w:sz="4" w:space="0"/>
                  </w:tcBorders>
                  <w:shd w:val="clear" w:color="auto" w:fill="auto"/>
                  <w:vAlign w:val="center"/>
                </w:tcPr>
                <w:p w14:paraId="5827BB06">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0.5</w:t>
                  </w:r>
                </w:p>
              </w:tc>
              <w:tc>
                <w:tcPr>
                  <w:tcW w:w="2094" w:type="dxa"/>
                  <w:tcBorders>
                    <w:top w:val="nil"/>
                    <w:left w:val="nil"/>
                    <w:bottom w:val="single" w:color="auto" w:sz="4" w:space="0"/>
                    <w:right w:val="single" w:color="auto" w:sz="4" w:space="0"/>
                  </w:tcBorders>
                  <w:shd w:val="clear" w:color="auto" w:fill="auto"/>
                  <w:vAlign w:val="center"/>
                </w:tcPr>
                <w:p w14:paraId="4054746E">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0.038 </w:t>
                  </w:r>
                </w:p>
              </w:tc>
            </w:tr>
            <w:tr w14:paraId="3AC48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14:paraId="36990E21">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0" w:type="auto"/>
                  <w:vAlign w:val="center"/>
                </w:tcPr>
                <w:p w14:paraId="2505F528">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稀释剂</w:t>
                  </w:r>
                </w:p>
              </w:tc>
              <w:tc>
                <w:tcPr>
                  <w:tcW w:w="1452" w:type="dxa"/>
                  <w:tcBorders>
                    <w:top w:val="nil"/>
                    <w:left w:val="single" w:color="auto" w:sz="4" w:space="0"/>
                    <w:bottom w:val="single" w:color="auto" w:sz="4" w:space="0"/>
                    <w:right w:val="single" w:color="auto" w:sz="4" w:space="0"/>
                  </w:tcBorders>
                  <w:shd w:val="clear" w:color="auto" w:fill="auto"/>
                  <w:vAlign w:val="center"/>
                </w:tcPr>
                <w:p w14:paraId="3A79CA77">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0.377 </w:t>
                  </w:r>
                </w:p>
              </w:tc>
              <w:tc>
                <w:tcPr>
                  <w:tcW w:w="1012" w:type="dxa"/>
                  <w:tcBorders>
                    <w:top w:val="nil"/>
                    <w:left w:val="nil"/>
                    <w:bottom w:val="single" w:color="auto" w:sz="4" w:space="0"/>
                    <w:right w:val="single" w:color="auto" w:sz="4" w:space="0"/>
                  </w:tcBorders>
                  <w:shd w:val="clear" w:color="auto" w:fill="auto"/>
                  <w:vAlign w:val="center"/>
                </w:tcPr>
                <w:p w14:paraId="4AD7FA34">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w:t>
                  </w:r>
                </w:p>
              </w:tc>
              <w:tc>
                <w:tcPr>
                  <w:tcW w:w="621" w:type="dxa"/>
                  <w:tcBorders>
                    <w:top w:val="nil"/>
                    <w:left w:val="single" w:color="auto" w:sz="4" w:space="0"/>
                    <w:bottom w:val="single" w:color="auto" w:sz="4" w:space="0"/>
                    <w:right w:val="single" w:color="auto" w:sz="4" w:space="0"/>
                  </w:tcBorders>
                  <w:shd w:val="clear" w:color="auto" w:fill="auto"/>
                  <w:vAlign w:val="center"/>
                </w:tcPr>
                <w:p w14:paraId="298AA11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15 </w:t>
                  </w:r>
                </w:p>
              </w:tc>
              <w:tc>
                <w:tcPr>
                  <w:tcW w:w="2093" w:type="dxa"/>
                  <w:tcBorders>
                    <w:top w:val="nil"/>
                    <w:left w:val="nil"/>
                    <w:bottom w:val="single" w:color="auto" w:sz="4" w:space="0"/>
                    <w:right w:val="single" w:color="auto" w:sz="4" w:space="0"/>
                  </w:tcBorders>
                  <w:shd w:val="clear" w:color="auto" w:fill="auto"/>
                  <w:vAlign w:val="center"/>
                </w:tcPr>
                <w:p w14:paraId="3FBC9E6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0.5</w:t>
                  </w:r>
                </w:p>
              </w:tc>
              <w:tc>
                <w:tcPr>
                  <w:tcW w:w="2094" w:type="dxa"/>
                  <w:tcBorders>
                    <w:top w:val="nil"/>
                    <w:left w:val="nil"/>
                    <w:bottom w:val="single" w:color="auto" w:sz="4" w:space="0"/>
                    <w:right w:val="single" w:color="auto" w:sz="4" w:space="0"/>
                  </w:tcBorders>
                  <w:shd w:val="clear" w:color="auto" w:fill="auto"/>
                  <w:vAlign w:val="center"/>
                </w:tcPr>
                <w:p w14:paraId="2BBE6308">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0.008 </w:t>
                  </w:r>
                </w:p>
              </w:tc>
            </w:tr>
            <w:tr w14:paraId="4608F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Align w:val="center"/>
                </w:tcPr>
                <w:p w14:paraId="1976C14F">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0" w:type="auto"/>
                  <w:gridSpan w:val="5"/>
                  <w:tcBorders>
                    <w:right w:val="single" w:color="auto" w:sz="4" w:space="0"/>
                  </w:tcBorders>
                  <w:vAlign w:val="center"/>
                </w:tcPr>
                <w:p w14:paraId="4F095A70">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　</w:t>
                  </w:r>
                </w:p>
              </w:tc>
              <w:tc>
                <w:tcPr>
                  <w:tcW w:w="0" w:type="auto"/>
                  <w:tcBorders>
                    <w:top w:val="nil"/>
                    <w:left w:val="nil"/>
                    <w:bottom w:val="single" w:color="auto" w:sz="4" w:space="0"/>
                    <w:right w:val="single" w:color="auto" w:sz="4" w:space="0"/>
                  </w:tcBorders>
                  <w:shd w:val="clear" w:color="auto" w:fill="auto"/>
                  <w:vAlign w:val="center"/>
                </w:tcPr>
                <w:p w14:paraId="2FC95059">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0.234</w:t>
                  </w:r>
                </w:p>
              </w:tc>
            </w:tr>
          </w:tbl>
          <w:p w14:paraId="7839A1B4">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⑥</w:t>
            </w:r>
            <w:r>
              <w:rPr>
                <w:rFonts w:hint="default" w:ascii="Times New Roman" w:hAnsi="Times New Roman" w:eastAsia="宋体" w:cs="Times New Roman"/>
                <w:b/>
                <w:bCs/>
                <w:color w:val="auto"/>
                <w:kern w:val="2"/>
                <w:sz w:val="24"/>
                <w:szCs w:val="24"/>
                <w:highlight w:val="none"/>
                <w:lang w:val="en-US" w:eastAsia="zh-CN" w:bidi="ar-SA"/>
              </w:rPr>
              <w:t>废油桶</w:t>
            </w:r>
          </w:p>
          <w:p w14:paraId="0A4A9006">
            <w:pPr>
              <w:pageBreakBefore w:val="0"/>
              <w:wordWrap w:val="0"/>
              <w:overflowPunct/>
              <w:bidi w:val="0"/>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保养设备设施会用到</w:t>
            </w:r>
            <w:r>
              <w:rPr>
                <w:rFonts w:hint="default" w:ascii="Times New Roman" w:hAnsi="Times New Roman" w:cs="Times New Roman"/>
                <w:color w:val="auto"/>
                <w:highlight w:val="none"/>
                <w:lang w:val="en-US" w:eastAsia="zh-CN"/>
              </w:rPr>
              <w:t>机</w:t>
            </w:r>
            <w:r>
              <w:rPr>
                <w:rFonts w:hint="default" w:ascii="Times New Roman" w:hAnsi="Times New Roman" w:eastAsia="宋体" w:cs="Times New Roman"/>
                <w:color w:val="auto"/>
                <w:highlight w:val="none"/>
                <w:lang w:val="en-US" w:eastAsia="zh-CN"/>
              </w:rPr>
              <w:t>油</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其规格为</w:t>
            </w:r>
            <w:r>
              <w:rPr>
                <w:rFonts w:hint="default" w:ascii="Times New Roman" w:hAnsi="Times New Roman" w:eastAsia="宋体" w:cs="Times New Roman"/>
                <w:color w:val="auto"/>
                <w:highlight w:val="none"/>
              </w:rPr>
              <w:t>20kg/桶，</w:t>
            </w:r>
            <w:r>
              <w:rPr>
                <w:rFonts w:hint="default" w:ascii="Times New Roman" w:hAnsi="Times New Roman" w:cs="Times New Roman"/>
                <w:color w:val="auto"/>
                <w:highlight w:val="none"/>
                <w:lang w:val="en-US" w:eastAsia="zh-CN"/>
              </w:rPr>
              <w:t>机</w:t>
            </w:r>
            <w:r>
              <w:rPr>
                <w:rFonts w:hint="default" w:ascii="Times New Roman" w:hAnsi="Times New Roman" w:eastAsia="宋体" w:cs="Times New Roman"/>
                <w:color w:val="auto"/>
                <w:highlight w:val="none"/>
                <w:lang w:val="en-US" w:eastAsia="zh-CN"/>
              </w:rPr>
              <w:t>油</w:t>
            </w:r>
            <w:r>
              <w:rPr>
                <w:rFonts w:hint="default" w:ascii="Times New Roman" w:hAnsi="Times New Roman" w:eastAsia="宋体" w:cs="Times New Roman"/>
                <w:color w:val="auto"/>
                <w:highlight w:val="none"/>
              </w:rPr>
              <w:t>空桶按1kg/桶计算</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本项目产生废油桶约</w:t>
            </w:r>
            <w:r>
              <w:rPr>
                <w:rFonts w:hint="default" w:ascii="Times New Roman" w:hAnsi="Times New Roman" w:cs="Times New Roman"/>
                <w:color w:val="auto"/>
                <w:highlight w:val="none"/>
                <w:lang w:val="en-US" w:eastAsia="zh-CN"/>
              </w:rPr>
              <w:t>25</w:t>
            </w:r>
            <w:r>
              <w:rPr>
                <w:rFonts w:hint="default" w:ascii="Times New Roman" w:hAnsi="Times New Roman" w:eastAsia="宋体" w:cs="Times New Roman"/>
                <w:color w:val="auto"/>
                <w:highlight w:val="none"/>
                <w:lang w:val="en-US" w:eastAsia="zh-CN"/>
              </w:rPr>
              <w:t>×</w:t>
            </w:r>
            <w:r>
              <w:rPr>
                <w:rFonts w:hint="default"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lang w:val="en-US" w:eastAsia="zh-CN"/>
              </w:rPr>
              <w:t>kg=</w:t>
            </w:r>
            <w:r>
              <w:rPr>
                <w:rFonts w:hint="default" w:ascii="Times New Roman" w:hAnsi="Times New Roman" w:cs="Times New Roman"/>
                <w:color w:val="auto"/>
                <w:highlight w:val="none"/>
                <w:lang w:val="en-US" w:eastAsia="zh-CN"/>
              </w:rPr>
              <w:t>0.025</w:t>
            </w:r>
            <w:r>
              <w:rPr>
                <w:rFonts w:hint="default" w:ascii="Times New Roman" w:hAnsi="Times New Roman" w:eastAsia="宋体" w:cs="Times New Roman"/>
                <w:color w:val="auto"/>
                <w:highlight w:val="none"/>
              </w:rPr>
              <w:t>t/a</w:t>
            </w:r>
            <w:r>
              <w:rPr>
                <w:rFonts w:hint="default" w:ascii="Times New Roman" w:hAnsi="Times New Roman" w:cs="Times New Roman"/>
                <w:color w:val="auto"/>
                <w:highlight w:val="none"/>
                <w:lang w:eastAsia="zh-CN"/>
              </w:rPr>
              <w:t>。</w:t>
            </w:r>
          </w:p>
          <w:p w14:paraId="0DBE55B6">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根据《国家危险废物名录》（202</w:t>
            </w:r>
            <w:r>
              <w:rPr>
                <w:rFonts w:hint="default"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rPr>
              <w:t>年版），废油桶</w:t>
            </w:r>
            <w:r>
              <w:rPr>
                <w:rFonts w:hint="default" w:ascii="Times New Roman" w:hAnsi="Times New Roman" w:eastAsia="宋体" w:cs="Times New Roman"/>
                <w:color w:val="auto"/>
                <w:highlight w:val="none"/>
                <w:lang w:val="en-US" w:eastAsia="zh-CN"/>
              </w:rPr>
              <w:t>按“</w:t>
            </w:r>
            <w:r>
              <w:rPr>
                <w:rFonts w:hint="default" w:ascii="Times New Roman" w:hAnsi="Times New Roman" w:eastAsia="宋体" w:cs="Times New Roman"/>
                <w:color w:val="auto"/>
                <w:highlight w:val="none"/>
              </w:rPr>
              <w:t>HW</w:t>
            </w:r>
            <w:r>
              <w:rPr>
                <w:rFonts w:hint="default" w:ascii="Times New Roman" w:hAnsi="Times New Roman" w:eastAsia="宋体" w:cs="Times New Roman"/>
                <w:color w:val="auto"/>
                <w:highlight w:val="none"/>
                <w:lang w:val="en-US" w:eastAsia="zh-CN"/>
              </w:rPr>
              <w:t>08废矿物油与含矿物油废物”分类</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其</w:t>
            </w:r>
            <w:r>
              <w:rPr>
                <w:rFonts w:hint="default" w:ascii="Times New Roman" w:hAnsi="Times New Roman" w:eastAsia="宋体" w:cs="Times New Roman"/>
                <w:color w:val="auto"/>
                <w:highlight w:val="none"/>
              </w:rPr>
              <w:t>代码</w:t>
            </w:r>
            <w:r>
              <w:rPr>
                <w:rFonts w:hint="default" w:ascii="Times New Roman" w:hAnsi="Times New Roman" w:eastAsia="宋体" w:cs="Times New Roman"/>
                <w:color w:val="auto"/>
                <w:highlight w:val="none"/>
                <w:lang w:val="en-US" w:eastAsia="zh-CN"/>
              </w:rPr>
              <w:t>为</w:t>
            </w:r>
            <w:r>
              <w:rPr>
                <w:rFonts w:hint="default" w:ascii="Times New Roman" w:hAnsi="Times New Roman" w:eastAsia="宋体" w:cs="Times New Roman"/>
                <w:color w:val="auto"/>
                <w:highlight w:val="none"/>
              </w:rPr>
              <w:t>900-249-08</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属于</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其他生产、销售、使用过程中产生的废矿物油及沾染矿物油的废弃包装物”，经统一收集后交由有危险废物处理资质的单位处理。</w:t>
            </w:r>
          </w:p>
          <w:p w14:paraId="3B8863C7">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1"/>
                <w:highlight w:val="none"/>
                <w:lang w:val="en-US" w:eastAsia="zh-CN" w:bidi="ar-SA"/>
              </w:rPr>
              <w:t>⑦</w:t>
            </w:r>
            <w:r>
              <w:rPr>
                <w:rFonts w:hint="default" w:ascii="Times New Roman" w:hAnsi="Times New Roman" w:eastAsia="宋体" w:cs="Times New Roman"/>
                <w:b/>
                <w:bCs/>
                <w:color w:val="auto"/>
                <w:kern w:val="2"/>
                <w:sz w:val="24"/>
                <w:szCs w:val="24"/>
                <w:highlight w:val="none"/>
                <w:lang w:val="en-US" w:eastAsia="zh-CN" w:bidi="ar-SA"/>
              </w:rPr>
              <w:t>废</w:t>
            </w:r>
            <w:r>
              <w:rPr>
                <w:rFonts w:hint="default" w:ascii="Times New Roman" w:hAnsi="Times New Roman" w:cs="Times New Roman"/>
                <w:b/>
                <w:bCs/>
                <w:color w:val="auto"/>
                <w:kern w:val="2"/>
                <w:sz w:val="24"/>
                <w:szCs w:val="24"/>
                <w:highlight w:val="none"/>
                <w:lang w:val="en-US" w:eastAsia="zh-CN" w:bidi="ar-SA"/>
              </w:rPr>
              <w:t>机</w:t>
            </w:r>
            <w:r>
              <w:rPr>
                <w:rFonts w:hint="default" w:ascii="Times New Roman" w:hAnsi="Times New Roman" w:eastAsia="宋体" w:cs="Times New Roman"/>
                <w:b/>
                <w:bCs/>
                <w:color w:val="auto"/>
                <w:kern w:val="2"/>
                <w:sz w:val="24"/>
                <w:szCs w:val="24"/>
                <w:highlight w:val="none"/>
                <w:lang w:val="en-US" w:eastAsia="zh-CN" w:bidi="ar-SA"/>
              </w:rPr>
              <w:t>油</w:t>
            </w:r>
          </w:p>
          <w:p w14:paraId="4183065C">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本项目在进行设备保养的过程中会产生废</w:t>
            </w:r>
            <w:r>
              <w:rPr>
                <w:rFonts w:hint="default" w:ascii="Times New Roman" w:hAnsi="Times New Roman" w:cs="Times New Roman"/>
                <w:color w:val="auto"/>
                <w:kern w:val="2"/>
                <w:sz w:val="24"/>
                <w:szCs w:val="21"/>
                <w:highlight w:val="none"/>
                <w:lang w:val="en-US" w:eastAsia="zh-CN" w:bidi="ar-SA"/>
              </w:rPr>
              <w:t>机</w:t>
            </w:r>
            <w:r>
              <w:rPr>
                <w:rFonts w:hint="default" w:ascii="Times New Roman" w:hAnsi="Times New Roman" w:eastAsia="宋体" w:cs="Times New Roman"/>
                <w:color w:val="auto"/>
                <w:kern w:val="2"/>
                <w:sz w:val="24"/>
                <w:szCs w:val="21"/>
                <w:highlight w:val="none"/>
                <w:lang w:val="en-US" w:eastAsia="zh-CN" w:bidi="ar-SA"/>
              </w:rPr>
              <w:t>油，产生量</w:t>
            </w:r>
            <w:r>
              <w:rPr>
                <w:rFonts w:hint="default" w:ascii="Times New Roman" w:hAnsi="Times New Roman" w:eastAsia="宋体" w:cs="Times New Roman"/>
                <w:color w:val="auto"/>
                <w:kern w:val="0"/>
                <w:sz w:val="24"/>
                <w:szCs w:val="24"/>
                <w:highlight w:val="none"/>
                <w:lang w:val="en-US" w:eastAsia="zh-CN" w:bidi="ar-SA"/>
              </w:rPr>
              <w:t>等于</w:t>
            </w:r>
            <w:r>
              <w:rPr>
                <w:rFonts w:hint="default" w:ascii="Times New Roman" w:hAnsi="Times New Roman" w:cs="Times New Roman"/>
                <w:color w:val="auto"/>
                <w:kern w:val="2"/>
                <w:sz w:val="24"/>
                <w:szCs w:val="21"/>
                <w:highlight w:val="none"/>
                <w:lang w:val="en-US" w:eastAsia="zh-CN" w:bidi="ar-SA"/>
              </w:rPr>
              <w:t>机</w:t>
            </w:r>
            <w:r>
              <w:rPr>
                <w:rFonts w:hint="default" w:ascii="Times New Roman" w:hAnsi="Times New Roman" w:eastAsia="宋体" w:cs="Times New Roman"/>
                <w:color w:val="auto"/>
                <w:kern w:val="2"/>
                <w:sz w:val="24"/>
                <w:szCs w:val="21"/>
                <w:highlight w:val="none"/>
                <w:lang w:val="en-US" w:eastAsia="zh-CN" w:bidi="ar-SA"/>
              </w:rPr>
              <w:t>油</w:t>
            </w:r>
            <w:r>
              <w:rPr>
                <w:rFonts w:hint="default" w:ascii="Times New Roman" w:hAnsi="Times New Roman" w:eastAsia="宋体" w:cs="Times New Roman"/>
                <w:color w:val="auto"/>
                <w:kern w:val="0"/>
                <w:sz w:val="24"/>
                <w:szCs w:val="24"/>
                <w:highlight w:val="none"/>
                <w:lang w:val="en-US" w:eastAsia="zh-CN" w:bidi="ar-SA"/>
              </w:rPr>
              <w:t>使用量</w:t>
            </w:r>
            <w:r>
              <w:rPr>
                <w:rFonts w:hint="default" w:ascii="Times New Roman" w:hAnsi="Times New Roman" w:cs="Times New Roman"/>
                <w:color w:val="auto"/>
                <w:kern w:val="0"/>
                <w:sz w:val="24"/>
                <w:szCs w:val="24"/>
                <w:highlight w:val="none"/>
                <w:lang w:val="en-US" w:eastAsia="zh-CN" w:bidi="ar-SA"/>
              </w:rPr>
              <w:t>0.5</w:t>
            </w:r>
            <w:r>
              <w:rPr>
                <w:rFonts w:hint="default" w:ascii="Times New Roman" w:hAnsi="Times New Roman" w:eastAsia="宋体" w:cs="Times New Roman"/>
                <w:color w:val="auto"/>
                <w:kern w:val="0"/>
                <w:sz w:val="24"/>
                <w:szCs w:val="24"/>
                <w:highlight w:val="none"/>
                <w:lang w:val="en-US" w:eastAsia="zh-CN" w:bidi="ar-SA"/>
              </w:rPr>
              <w:t>t/a</w:t>
            </w:r>
            <w:r>
              <w:rPr>
                <w:rFonts w:hint="default" w:ascii="Times New Roman" w:hAnsi="Times New Roman" w:eastAsia="宋体" w:cs="Times New Roman"/>
                <w:color w:val="auto"/>
                <w:kern w:val="2"/>
                <w:sz w:val="24"/>
                <w:szCs w:val="21"/>
                <w:highlight w:val="none"/>
                <w:lang w:val="en-US" w:eastAsia="zh-CN" w:bidi="ar-SA"/>
              </w:rPr>
              <w:t>。</w:t>
            </w:r>
          </w:p>
          <w:p w14:paraId="58086FC1">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根据《国家危险废物名录》（202</w:t>
            </w:r>
            <w:r>
              <w:rPr>
                <w:rFonts w:hint="default" w:ascii="Times New Roman" w:hAnsi="Times New Roman" w:cs="Times New Roman"/>
                <w:color w:val="auto"/>
                <w:kern w:val="2"/>
                <w:sz w:val="24"/>
                <w:szCs w:val="21"/>
                <w:highlight w:val="none"/>
                <w:lang w:val="en-US" w:eastAsia="zh-CN" w:bidi="ar-SA"/>
              </w:rPr>
              <w:t>5</w:t>
            </w:r>
            <w:r>
              <w:rPr>
                <w:rFonts w:hint="default" w:ascii="Times New Roman" w:hAnsi="Times New Roman" w:eastAsia="宋体" w:cs="Times New Roman"/>
                <w:color w:val="auto"/>
                <w:kern w:val="2"/>
                <w:sz w:val="24"/>
                <w:szCs w:val="21"/>
                <w:highlight w:val="none"/>
                <w:lang w:val="en-US" w:eastAsia="zh-CN" w:bidi="ar-SA"/>
              </w:rPr>
              <w:t>年版），废</w:t>
            </w:r>
            <w:r>
              <w:rPr>
                <w:rFonts w:hint="default" w:ascii="Times New Roman" w:hAnsi="Times New Roman" w:cs="Times New Roman"/>
                <w:color w:val="auto"/>
                <w:kern w:val="2"/>
                <w:sz w:val="24"/>
                <w:szCs w:val="21"/>
                <w:highlight w:val="none"/>
                <w:lang w:val="en-US" w:eastAsia="zh-CN" w:bidi="ar-SA"/>
              </w:rPr>
              <w:t>机</w:t>
            </w:r>
            <w:r>
              <w:rPr>
                <w:rFonts w:hint="default" w:ascii="Times New Roman" w:hAnsi="Times New Roman" w:eastAsia="宋体" w:cs="Times New Roman"/>
                <w:color w:val="auto"/>
                <w:kern w:val="2"/>
                <w:sz w:val="24"/>
                <w:szCs w:val="21"/>
                <w:highlight w:val="none"/>
                <w:lang w:val="en-US" w:eastAsia="zh-CN" w:bidi="ar-SA"/>
              </w:rPr>
              <w:t>油按“HW08废矿物油与含矿物油废物”分类，其代码为900-2</w:t>
            </w:r>
            <w:r>
              <w:rPr>
                <w:rFonts w:hint="default" w:ascii="Times New Roman" w:hAnsi="Times New Roman" w:cs="Times New Roman"/>
                <w:color w:val="auto"/>
                <w:kern w:val="2"/>
                <w:sz w:val="24"/>
                <w:szCs w:val="21"/>
                <w:highlight w:val="none"/>
                <w:lang w:val="en-US" w:eastAsia="zh-CN" w:bidi="ar-SA"/>
              </w:rPr>
              <w:t>49</w:t>
            </w:r>
            <w:r>
              <w:rPr>
                <w:rFonts w:hint="default" w:ascii="Times New Roman" w:hAnsi="Times New Roman" w:eastAsia="宋体" w:cs="Times New Roman"/>
                <w:color w:val="auto"/>
                <w:kern w:val="2"/>
                <w:sz w:val="24"/>
                <w:szCs w:val="21"/>
                <w:highlight w:val="none"/>
                <w:lang w:val="en-US" w:eastAsia="zh-CN" w:bidi="ar-SA"/>
              </w:rPr>
              <w:t>-08，属于“其他生产、销售、使用过程中产生的废矿物油及沾染矿物油的废弃包装物”，经统一收集后交由有危险废物处理资质的单位处理。</w:t>
            </w:r>
          </w:p>
          <w:p w14:paraId="68361526">
            <w:pPr>
              <w:pageBreakBefore w:val="0"/>
              <w:wordWrap w:val="0"/>
              <w:overflowPunct/>
              <w:bidi w:val="0"/>
              <w:ind w:firstLine="480" w:firstLineChars="200"/>
              <w:rPr>
                <w:rFonts w:hint="default" w:ascii="Times New Roman" w:hAnsi="Times New Roman" w:eastAsia="宋体" w:cs="Times New Roman"/>
                <w:b/>
                <w:bCs/>
                <w:color w:val="auto"/>
                <w:szCs w:val="24"/>
                <w:highlight w:val="none"/>
                <w:lang w:val="en-US" w:eastAsia="zh-CN"/>
              </w:rPr>
            </w:pPr>
            <w:r>
              <w:rPr>
                <w:rFonts w:hint="default" w:ascii="Times New Roman" w:hAnsi="Times New Roman" w:cs="Times New Roman"/>
                <w:b/>
                <w:bCs/>
                <w:color w:val="auto"/>
                <w:szCs w:val="24"/>
                <w:highlight w:val="none"/>
                <w:lang w:val="en-US" w:eastAsia="zh-CN"/>
              </w:rPr>
              <w:t>⑧</w:t>
            </w:r>
            <w:r>
              <w:rPr>
                <w:rFonts w:hint="default" w:ascii="Times New Roman" w:hAnsi="Times New Roman" w:eastAsia="宋体" w:cs="Times New Roman"/>
                <w:b/>
                <w:bCs/>
                <w:color w:val="auto"/>
                <w:szCs w:val="24"/>
                <w:highlight w:val="none"/>
                <w:lang w:val="en-US" w:eastAsia="zh-CN"/>
              </w:rPr>
              <w:t>废抹布</w:t>
            </w:r>
          </w:p>
          <w:p w14:paraId="41935A06">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0"/>
                <w:sz w:val="24"/>
                <w:szCs w:val="21"/>
                <w:lang w:val="en-US" w:eastAsia="zh-CN" w:bidi="ar"/>
              </w:rPr>
            </w:pPr>
            <w:r>
              <w:rPr>
                <w:rFonts w:hint="default" w:ascii="Times New Roman" w:hAnsi="Times New Roman" w:eastAsia="宋体" w:cs="Times New Roman"/>
                <w:color w:val="auto"/>
                <w:kern w:val="0"/>
                <w:sz w:val="24"/>
                <w:szCs w:val="21"/>
                <w:lang w:val="en-US" w:eastAsia="zh-CN" w:bidi="ar"/>
              </w:rPr>
              <w:t>设备维修和维护</w:t>
            </w:r>
            <w:r>
              <w:rPr>
                <w:rFonts w:hint="eastAsia" w:cs="Times New Roman"/>
                <w:color w:val="auto"/>
                <w:kern w:val="0"/>
                <w:sz w:val="24"/>
                <w:szCs w:val="21"/>
                <w:lang w:val="en-US" w:eastAsia="zh-CN" w:bidi="ar"/>
              </w:rPr>
              <w:t>以及</w:t>
            </w:r>
            <w:r>
              <w:rPr>
                <w:rFonts w:hint="default" w:ascii="Times New Roman" w:hAnsi="Times New Roman" w:eastAsia="宋体" w:cs="Times New Roman"/>
                <w:color w:val="auto"/>
                <w:kern w:val="0"/>
                <w:sz w:val="24"/>
                <w:szCs w:val="21"/>
                <w:lang w:val="en-US" w:eastAsia="zh-CN" w:bidi="ar"/>
              </w:rPr>
              <w:t>生产过程中会产生的沾染废</w:t>
            </w:r>
            <w:r>
              <w:rPr>
                <w:rFonts w:hint="default" w:ascii="Times New Roman" w:hAnsi="Times New Roman" w:cs="Times New Roman"/>
                <w:color w:val="auto"/>
                <w:kern w:val="0"/>
                <w:sz w:val="24"/>
                <w:szCs w:val="21"/>
                <w:lang w:val="en-US" w:eastAsia="zh-CN" w:bidi="ar"/>
              </w:rPr>
              <w:t>机</w:t>
            </w:r>
            <w:r>
              <w:rPr>
                <w:rFonts w:hint="default" w:ascii="Times New Roman" w:hAnsi="Times New Roman" w:eastAsia="宋体" w:cs="Times New Roman"/>
                <w:color w:val="auto"/>
                <w:kern w:val="0"/>
                <w:sz w:val="24"/>
                <w:szCs w:val="21"/>
                <w:lang w:val="en-US" w:eastAsia="zh-CN" w:bidi="ar"/>
              </w:rPr>
              <w:t>油的布料，产生量约0.01t/a。</w:t>
            </w:r>
          </w:p>
          <w:p w14:paraId="3DB296AC">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根据《国家危险废物名录》（202</w:t>
            </w:r>
            <w:r>
              <w:rPr>
                <w:rFonts w:hint="default" w:ascii="Times New Roman" w:hAnsi="Times New Roman" w:cs="Times New Roman"/>
                <w:color w:val="auto"/>
                <w:kern w:val="2"/>
                <w:sz w:val="24"/>
                <w:szCs w:val="21"/>
                <w:highlight w:val="none"/>
                <w:lang w:val="en-US" w:eastAsia="zh-CN" w:bidi="ar-SA"/>
              </w:rPr>
              <w:t>5</w:t>
            </w:r>
            <w:r>
              <w:rPr>
                <w:rFonts w:hint="default" w:ascii="Times New Roman" w:hAnsi="Times New Roman" w:eastAsia="宋体" w:cs="Times New Roman"/>
                <w:color w:val="auto"/>
                <w:kern w:val="2"/>
                <w:sz w:val="24"/>
                <w:szCs w:val="21"/>
                <w:highlight w:val="none"/>
                <w:lang w:val="en-US" w:eastAsia="zh-CN" w:bidi="ar-SA"/>
              </w:rPr>
              <w:t>年版），废含油抹布及手套按“HW49其他废物”分类，其代码为</w:t>
            </w:r>
            <w:r>
              <w:rPr>
                <w:rFonts w:hint="default" w:ascii="Times New Roman" w:hAnsi="Times New Roman" w:eastAsia="宋体" w:cs="Times New Roman"/>
                <w:color w:val="auto"/>
                <w:kern w:val="0"/>
                <w:sz w:val="24"/>
                <w:szCs w:val="21"/>
                <w:lang w:val="en-US" w:eastAsia="zh-CN" w:bidi="ar"/>
              </w:rPr>
              <w:t>900-041-49</w:t>
            </w:r>
            <w:r>
              <w:rPr>
                <w:rFonts w:hint="default" w:ascii="Times New Roman" w:hAnsi="Times New Roman" w:eastAsia="宋体" w:cs="Times New Roman"/>
                <w:color w:val="auto"/>
                <w:kern w:val="2"/>
                <w:sz w:val="24"/>
                <w:szCs w:val="21"/>
                <w:highlight w:val="none"/>
                <w:lang w:val="en-US" w:eastAsia="zh-CN" w:bidi="ar-SA"/>
              </w:rPr>
              <w:t>，属于“其他生产、销售、使用过程中产生的废矿物油及沾染矿物油的废弃包装物”，经统一收集后交由有危险废物处理资质的单位处理。</w:t>
            </w:r>
          </w:p>
          <w:p w14:paraId="17BC7C4A">
            <w:pPr>
              <w:pageBreakBefore w:val="0"/>
              <w:wordWrap w:val="0"/>
              <w:overflowPunct/>
              <w:bidi w:val="0"/>
              <w:ind w:firstLine="480" w:firstLineChars="200"/>
              <w:rPr>
                <w:rFonts w:hint="default" w:ascii="Times New Roman" w:hAnsi="Times New Roman" w:eastAsia="宋体" w:cs="Times New Roman"/>
                <w:b/>
                <w:bCs/>
                <w:color w:val="auto"/>
                <w:szCs w:val="24"/>
                <w:highlight w:val="none"/>
                <w:lang w:val="en-US" w:eastAsia="zh-CN"/>
              </w:rPr>
            </w:pPr>
            <w:r>
              <w:rPr>
                <w:rFonts w:hint="default" w:ascii="Times New Roman" w:hAnsi="Times New Roman" w:eastAsia="宋体" w:cs="Times New Roman"/>
                <w:b/>
                <w:bCs/>
                <w:color w:val="auto"/>
                <w:szCs w:val="24"/>
                <w:highlight w:val="none"/>
                <w:lang w:val="en-US" w:eastAsia="zh-CN"/>
              </w:rPr>
              <w:t>⑨喷枪清洗废液</w:t>
            </w:r>
          </w:p>
          <w:p w14:paraId="41F46686">
            <w:pPr>
              <w:pStyle w:val="43"/>
              <w:pageBreakBefore w:val="0"/>
              <w:wordWrap w:val="0"/>
              <w:overflowPunct/>
              <w:bidi w:val="0"/>
              <w:spacing w:line="360" w:lineRule="auto"/>
              <w:ind w:firstLine="480" w:firstLineChars="200"/>
              <w:rPr>
                <w:rFonts w:hint="default" w:ascii="Times New Roman" w:hAnsi="Times New Roman" w:cs="Times New Roman"/>
                <w:color w:val="auto"/>
              </w:rPr>
            </w:pPr>
            <w:r>
              <w:rPr>
                <w:rFonts w:hint="default" w:ascii="Times New Roman" w:hAnsi="Times New Roman" w:cs="Times New Roman"/>
                <w:bCs/>
                <w:color w:val="auto"/>
                <w:kern w:val="24"/>
              </w:rPr>
              <w:t>本项目水性漆喷枪采用清水清洗，清洗频率为清洗频次为1 次/天，每次清洗清水用量1L，合计年用量0.25t/a，产污系数取0.9，</w:t>
            </w:r>
            <w:r>
              <w:rPr>
                <w:rFonts w:hint="eastAsia" w:ascii="Times New Roman" w:cs="Times New Roman"/>
                <w:bCs/>
                <w:color w:val="auto"/>
                <w:kern w:val="24"/>
                <w:lang w:val="en-US" w:eastAsia="zh-CN"/>
              </w:rPr>
              <w:t>水性</w:t>
            </w:r>
            <w:r>
              <w:rPr>
                <w:rFonts w:hint="eastAsia" w:ascii="Times New Roman" w:cs="Times New Roman"/>
                <w:bCs/>
                <w:color w:val="auto"/>
                <w:kern w:val="24"/>
                <w:lang w:eastAsia="zh-CN"/>
              </w:rPr>
              <w:t>喷枪清洗废液</w:t>
            </w:r>
            <w:r>
              <w:rPr>
                <w:rFonts w:hint="default" w:ascii="Times New Roman" w:hAnsi="Times New Roman" w:cs="Times New Roman"/>
                <w:bCs/>
                <w:color w:val="auto"/>
                <w:kern w:val="24"/>
              </w:rPr>
              <w:t>产生量0.225t/a</w:t>
            </w:r>
            <w:r>
              <w:rPr>
                <w:rFonts w:hint="eastAsia" w:ascii="Times New Roman" w:cs="Times New Roman"/>
                <w:bCs/>
                <w:color w:val="auto"/>
                <w:kern w:val="24"/>
                <w:lang w:eastAsia="zh-CN"/>
              </w:rPr>
              <w:t>；</w:t>
            </w:r>
            <w:r>
              <w:rPr>
                <w:rFonts w:hint="eastAsia" w:ascii="Times New Roman" w:cs="Times New Roman"/>
                <w:bCs/>
                <w:color w:val="auto"/>
                <w:kern w:val="24"/>
                <w:lang w:val="en-US" w:eastAsia="zh-CN"/>
              </w:rPr>
              <w:t>根据上文分析，油性喷枪清洁用稀释剂用量为0.015t/a，废稀释剂产生量为0.015t/a；喷枪清洗废液总产生量为0.24t/a</w:t>
            </w:r>
            <w:r>
              <w:rPr>
                <w:rFonts w:hint="default" w:ascii="Times New Roman" w:hAnsi="Times New Roman" w:cs="Times New Roman"/>
                <w:bCs/>
                <w:color w:val="auto"/>
                <w:kern w:val="24"/>
              </w:rPr>
              <w:t>。</w:t>
            </w:r>
            <w:r>
              <w:rPr>
                <w:rFonts w:hint="eastAsia" w:ascii="Times New Roman" w:cs="Times New Roman"/>
                <w:bCs/>
                <w:color w:val="auto"/>
                <w:kern w:val="24"/>
                <w:lang w:eastAsia="zh-CN"/>
              </w:rPr>
              <w:t>喷枪清洗废液</w:t>
            </w:r>
            <w:r>
              <w:rPr>
                <w:rFonts w:hint="default" w:ascii="Times New Roman" w:hAnsi="Times New Roman" w:cs="Times New Roman"/>
                <w:bCs/>
                <w:color w:val="auto"/>
                <w:kern w:val="24"/>
              </w:rPr>
              <w:t>属于《国家危险废物名录（2025年版）》中HW12的危险废物，代码900-250-12，委托有资质单位处理。</w:t>
            </w:r>
          </w:p>
          <w:p w14:paraId="1796CCD7">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lang w:val="en-US" w:eastAsia="zh-CN"/>
              </w:rPr>
            </w:pPr>
            <w:r>
              <w:rPr>
                <w:rFonts w:hint="default" w:ascii="Times New Roman" w:hAnsi="Times New Roman" w:cs="Times New Roman"/>
                <w:b/>
                <w:color w:val="auto"/>
                <w:lang w:val="en-US" w:eastAsia="zh-CN"/>
              </w:rPr>
              <w:t>固体废物污染源源强核算结果及相关参数一览表</w:t>
            </w:r>
          </w:p>
          <w:tbl>
            <w:tblPr>
              <w:tblStyle w:val="3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07"/>
              <w:gridCol w:w="1158"/>
              <w:gridCol w:w="1373"/>
              <w:gridCol w:w="1216"/>
              <w:gridCol w:w="549"/>
              <w:gridCol w:w="561"/>
              <w:gridCol w:w="845"/>
              <w:gridCol w:w="1273"/>
              <w:gridCol w:w="1023"/>
            </w:tblGrid>
            <w:tr w14:paraId="632C3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restart"/>
                  <w:vAlign w:val="center"/>
                </w:tcPr>
                <w:p w14:paraId="3E4F54A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工序/生产线</w:t>
                  </w:r>
                </w:p>
              </w:tc>
              <w:tc>
                <w:tcPr>
                  <w:tcW w:w="665" w:type="pct"/>
                  <w:vMerge w:val="restart"/>
                  <w:vAlign w:val="center"/>
                </w:tcPr>
                <w:p w14:paraId="4866820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装置</w:t>
                  </w:r>
                </w:p>
              </w:tc>
              <w:tc>
                <w:tcPr>
                  <w:tcW w:w="788" w:type="pct"/>
                  <w:vMerge w:val="restart"/>
                  <w:vAlign w:val="center"/>
                </w:tcPr>
                <w:p w14:paraId="5BAA0FD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固体废物名称</w:t>
                  </w:r>
                </w:p>
              </w:tc>
              <w:tc>
                <w:tcPr>
                  <w:tcW w:w="698" w:type="pct"/>
                  <w:vMerge w:val="restart"/>
                  <w:vAlign w:val="center"/>
                </w:tcPr>
                <w:p w14:paraId="6DEDD19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代码</w:t>
                  </w:r>
                </w:p>
              </w:tc>
              <w:tc>
                <w:tcPr>
                  <w:tcW w:w="315" w:type="pct"/>
                  <w:vMerge w:val="restart"/>
                  <w:vAlign w:val="center"/>
                </w:tcPr>
                <w:p w14:paraId="632B3D6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固废属性</w:t>
                  </w:r>
                </w:p>
              </w:tc>
              <w:tc>
                <w:tcPr>
                  <w:tcW w:w="807" w:type="pct"/>
                  <w:gridSpan w:val="2"/>
                  <w:vAlign w:val="center"/>
                </w:tcPr>
                <w:p w14:paraId="7BDACCF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产生情况</w:t>
                  </w:r>
                </w:p>
              </w:tc>
              <w:tc>
                <w:tcPr>
                  <w:tcW w:w="1318" w:type="pct"/>
                  <w:gridSpan w:val="2"/>
                  <w:vAlign w:val="center"/>
                </w:tcPr>
                <w:p w14:paraId="46A07BF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处置措施</w:t>
                  </w:r>
                </w:p>
              </w:tc>
            </w:tr>
            <w:tr w14:paraId="7BD97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54615E5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42DE833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Merge w:val="continue"/>
                  <w:vAlign w:val="center"/>
                </w:tcPr>
                <w:p w14:paraId="2076350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98" w:type="pct"/>
                  <w:vMerge w:val="continue"/>
                  <w:vAlign w:val="center"/>
                </w:tcPr>
                <w:p w14:paraId="438BC96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15" w:type="pct"/>
                  <w:vMerge w:val="continue"/>
                  <w:vAlign w:val="center"/>
                </w:tcPr>
                <w:p w14:paraId="33AD837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Align w:val="center"/>
                </w:tcPr>
                <w:p w14:paraId="7163936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核算方法</w:t>
                  </w:r>
                </w:p>
              </w:tc>
              <w:tc>
                <w:tcPr>
                  <w:tcW w:w="485" w:type="pct"/>
                  <w:vAlign w:val="center"/>
                </w:tcPr>
                <w:p w14:paraId="4FA3717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产生量</w:t>
                  </w:r>
                </w:p>
                <w:p w14:paraId="5E0C7CC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t/a</w:t>
                  </w:r>
                </w:p>
              </w:tc>
              <w:tc>
                <w:tcPr>
                  <w:tcW w:w="731" w:type="pct"/>
                  <w:vAlign w:val="center"/>
                </w:tcPr>
                <w:p w14:paraId="4291267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工艺</w:t>
                  </w:r>
                </w:p>
              </w:tc>
              <w:tc>
                <w:tcPr>
                  <w:tcW w:w="587" w:type="pct"/>
                  <w:vAlign w:val="center"/>
                </w:tcPr>
                <w:p w14:paraId="6D0427B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处置量t/a</w:t>
                  </w:r>
                </w:p>
              </w:tc>
            </w:tr>
            <w:tr w14:paraId="27AEF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restart"/>
                  <w:vAlign w:val="center"/>
                </w:tcPr>
                <w:p w14:paraId="67BE694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生产过程</w:t>
                  </w:r>
                </w:p>
              </w:tc>
              <w:tc>
                <w:tcPr>
                  <w:tcW w:w="665" w:type="pct"/>
                  <w:vAlign w:val="center"/>
                </w:tcPr>
                <w:p w14:paraId="3383139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w:t>
                  </w:r>
                </w:p>
              </w:tc>
              <w:tc>
                <w:tcPr>
                  <w:tcW w:w="788" w:type="pct"/>
                  <w:vAlign w:val="center"/>
                </w:tcPr>
                <w:p w14:paraId="5C37F43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废包装材料</w:t>
                  </w:r>
                </w:p>
              </w:tc>
              <w:tc>
                <w:tcPr>
                  <w:tcW w:w="698" w:type="pct"/>
                  <w:vAlign w:val="center"/>
                </w:tcPr>
                <w:p w14:paraId="69A1E77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900-099-S59</w:t>
                  </w:r>
                </w:p>
              </w:tc>
              <w:tc>
                <w:tcPr>
                  <w:tcW w:w="315" w:type="pct"/>
                  <w:vMerge w:val="restart"/>
                  <w:vAlign w:val="center"/>
                </w:tcPr>
                <w:p w14:paraId="69C7CE2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一般工业固体废物</w:t>
                  </w:r>
                </w:p>
              </w:tc>
              <w:tc>
                <w:tcPr>
                  <w:tcW w:w="322" w:type="pct"/>
                  <w:vMerge w:val="restart"/>
                  <w:vAlign w:val="center"/>
                </w:tcPr>
                <w:p w14:paraId="1E693A3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产污系数法</w:t>
                  </w:r>
                </w:p>
              </w:tc>
              <w:tc>
                <w:tcPr>
                  <w:tcW w:w="485" w:type="pct"/>
                  <w:vAlign w:val="center"/>
                </w:tcPr>
                <w:p w14:paraId="71D1DB6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1</w:t>
                  </w:r>
                </w:p>
              </w:tc>
              <w:tc>
                <w:tcPr>
                  <w:tcW w:w="731" w:type="pct"/>
                  <w:vAlign w:val="center"/>
                </w:tcPr>
                <w:p w14:paraId="23777F2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外售至资源回收利用单位</w:t>
                  </w:r>
                </w:p>
              </w:tc>
              <w:tc>
                <w:tcPr>
                  <w:tcW w:w="587" w:type="pct"/>
                  <w:vAlign w:val="center"/>
                </w:tcPr>
                <w:p w14:paraId="419F0E6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w:t>
                  </w:r>
                </w:p>
              </w:tc>
            </w:tr>
            <w:tr w14:paraId="4C306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6CFF917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Align w:val="center"/>
                </w:tcPr>
                <w:p w14:paraId="38AF56B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注塑</w:t>
                  </w:r>
                </w:p>
              </w:tc>
              <w:tc>
                <w:tcPr>
                  <w:tcW w:w="788" w:type="pct"/>
                  <w:vAlign w:val="center"/>
                </w:tcPr>
                <w:p w14:paraId="6733775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不合格品、边角料</w:t>
                  </w:r>
                </w:p>
              </w:tc>
              <w:tc>
                <w:tcPr>
                  <w:tcW w:w="698" w:type="pct"/>
                  <w:vAlign w:val="center"/>
                </w:tcPr>
                <w:p w14:paraId="5E6F523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900-003-S17</w:t>
                  </w:r>
                </w:p>
              </w:tc>
              <w:tc>
                <w:tcPr>
                  <w:tcW w:w="315" w:type="pct"/>
                  <w:vMerge w:val="continue"/>
                  <w:vAlign w:val="center"/>
                </w:tcPr>
                <w:p w14:paraId="18345C3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73E304F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0E34ADF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100</w:t>
                  </w:r>
                </w:p>
              </w:tc>
              <w:tc>
                <w:tcPr>
                  <w:tcW w:w="731" w:type="pct"/>
                  <w:vAlign w:val="center"/>
                </w:tcPr>
                <w:p w14:paraId="2201698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破碎后回用</w:t>
                  </w:r>
                </w:p>
              </w:tc>
              <w:tc>
                <w:tcPr>
                  <w:tcW w:w="587" w:type="pct"/>
                  <w:vAlign w:val="center"/>
                </w:tcPr>
                <w:p w14:paraId="29A4885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100</w:t>
                  </w:r>
                </w:p>
              </w:tc>
            </w:tr>
            <w:tr w14:paraId="7E708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restart"/>
                  <w:vAlign w:val="center"/>
                </w:tcPr>
                <w:p w14:paraId="7FCBFB4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生产过程</w:t>
                  </w:r>
                </w:p>
              </w:tc>
              <w:tc>
                <w:tcPr>
                  <w:tcW w:w="665" w:type="pct"/>
                  <w:vMerge w:val="restart"/>
                  <w:vAlign w:val="center"/>
                </w:tcPr>
                <w:p w14:paraId="358F61F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注塑、喷涂等其他生产工序</w:t>
                  </w:r>
                </w:p>
              </w:tc>
              <w:tc>
                <w:tcPr>
                  <w:tcW w:w="788" w:type="pct"/>
                  <w:vAlign w:val="center"/>
                </w:tcPr>
                <w:p w14:paraId="0048411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废原料桶</w:t>
                  </w:r>
                </w:p>
              </w:tc>
              <w:tc>
                <w:tcPr>
                  <w:tcW w:w="698" w:type="pct"/>
                  <w:vAlign w:val="center"/>
                </w:tcPr>
                <w:p w14:paraId="4A30DF3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900-041-49</w:t>
                  </w:r>
                </w:p>
              </w:tc>
              <w:tc>
                <w:tcPr>
                  <w:tcW w:w="315" w:type="pct"/>
                  <w:vMerge w:val="restart"/>
                  <w:vAlign w:val="center"/>
                </w:tcPr>
                <w:p w14:paraId="3045E06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危险废物</w:t>
                  </w:r>
                </w:p>
              </w:tc>
              <w:tc>
                <w:tcPr>
                  <w:tcW w:w="322" w:type="pct"/>
                  <w:vMerge w:val="continue"/>
                  <w:vAlign w:val="center"/>
                </w:tcPr>
                <w:p w14:paraId="6B1392D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369330A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0.234</w:t>
                  </w:r>
                </w:p>
              </w:tc>
              <w:tc>
                <w:tcPr>
                  <w:tcW w:w="731" w:type="pct"/>
                  <w:vMerge w:val="restart"/>
                  <w:vAlign w:val="center"/>
                </w:tcPr>
                <w:p w14:paraId="134B317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交由有危险废物处理资质的单位处理</w:t>
                  </w:r>
                </w:p>
              </w:tc>
              <w:tc>
                <w:tcPr>
                  <w:tcW w:w="1023" w:type="dxa"/>
                  <w:vAlign w:val="center"/>
                </w:tcPr>
                <w:p w14:paraId="513CE0D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position w:val="-10"/>
                      <w:sz w:val="21"/>
                      <w:szCs w:val="21"/>
                      <w:highlight w:val="none"/>
                      <w:lang w:val="en-US" w:eastAsia="zh-CN" w:bidi="ar-SA"/>
                    </w:rPr>
                    <w:t>0.234</w:t>
                  </w:r>
                </w:p>
              </w:tc>
            </w:tr>
            <w:tr w14:paraId="465DB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7D6BC6A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665" w:type="pct"/>
                  <w:vMerge w:val="continue"/>
                  <w:vAlign w:val="center"/>
                </w:tcPr>
                <w:p w14:paraId="7879F13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788" w:type="pct"/>
                  <w:vAlign w:val="center"/>
                </w:tcPr>
                <w:p w14:paraId="6836367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废油桶</w:t>
                  </w:r>
                </w:p>
              </w:tc>
              <w:tc>
                <w:tcPr>
                  <w:tcW w:w="698" w:type="pct"/>
                  <w:vAlign w:val="center"/>
                </w:tcPr>
                <w:p w14:paraId="7134F6F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900-249-08</w:t>
                  </w:r>
                </w:p>
              </w:tc>
              <w:tc>
                <w:tcPr>
                  <w:tcW w:w="315" w:type="pct"/>
                  <w:vMerge w:val="continue"/>
                  <w:vAlign w:val="center"/>
                </w:tcPr>
                <w:p w14:paraId="125A2AA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322" w:type="pct"/>
                  <w:vMerge w:val="continue"/>
                  <w:vAlign w:val="center"/>
                </w:tcPr>
                <w:p w14:paraId="045E750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30A9DA9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0.025</w:t>
                  </w:r>
                </w:p>
              </w:tc>
              <w:tc>
                <w:tcPr>
                  <w:tcW w:w="731" w:type="pct"/>
                  <w:vMerge w:val="continue"/>
                  <w:vAlign w:val="center"/>
                </w:tcPr>
                <w:p w14:paraId="5F88AF6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1023" w:type="dxa"/>
                  <w:vAlign w:val="center"/>
                </w:tcPr>
                <w:p w14:paraId="2855B9F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0.025</w:t>
                  </w:r>
                </w:p>
              </w:tc>
            </w:tr>
            <w:tr w14:paraId="5F763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14E062D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54DF6CB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Align w:val="center"/>
                </w:tcPr>
                <w:p w14:paraId="7D5844E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废机油</w:t>
                  </w:r>
                </w:p>
              </w:tc>
              <w:tc>
                <w:tcPr>
                  <w:tcW w:w="698" w:type="pct"/>
                  <w:vAlign w:val="center"/>
                </w:tcPr>
                <w:p w14:paraId="266FC1E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900-249-08</w:t>
                  </w:r>
                </w:p>
              </w:tc>
              <w:tc>
                <w:tcPr>
                  <w:tcW w:w="315" w:type="pct"/>
                  <w:vMerge w:val="continue"/>
                  <w:vAlign w:val="center"/>
                </w:tcPr>
                <w:p w14:paraId="594CE1B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41ABE9E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49CF8F3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0.5</w:t>
                  </w:r>
                </w:p>
              </w:tc>
              <w:tc>
                <w:tcPr>
                  <w:tcW w:w="731" w:type="pct"/>
                  <w:vMerge w:val="continue"/>
                  <w:vAlign w:val="center"/>
                </w:tcPr>
                <w:p w14:paraId="339D48F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1023" w:type="dxa"/>
                  <w:vAlign w:val="center"/>
                </w:tcPr>
                <w:p w14:paraId="1175CA4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0.5</w:t>
                  </w:r>
                </w:p>
              </w:tc>
            </w:tr>
            <w:tr w14:paraId="367A6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68A7356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451E570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Align w:val="center"/>
                </w:tcPr>
                <w:p w14:paraId="30EA680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废抹布</w:t>
                  </w:r>
                </w:p>
              </w:tc>
              <w:tc>
                <w:tcPr>
                  <w:tcW w:w="698" w:type="pct"/>
                  <w:vAlign w:val="center"/>
                </w:tcPr>
                <w:p w14:paraId="6E0EFDA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900-041-49</w:t>
                  </w:r>
                </w:p>
              </w:tc>
              <w:tc>
                <w:tcPr>
                  <w:tcW w:w="315" w:type="pct"/>
                  <w:vMerge w:val="continue"/>
                  <w:vAlign w:val="center"/>
                </w:tcPr>
                <w:p w14:paraId="09BE3C7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4FD4CAA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33DC9EB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0.01</w:t>
                  </w:r>
                </w:p>
              </w:tc>
              <w:tc>
                <w:tcPr>
                  <w:tcW w:w="731" w:type="pct"/>
                  <w:vMerge w:val="continue"/>
                  <w:vAlign w:val="center"/>
                </w:tcPr>
                <w:p w14:paraId="172F96F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023" w:type="dxa"/>
                  <w:vAlign w:val="center"/>
                </w:tcPr>
                <w:p w14:paraId="63C07DD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0.01</w:t>
                  </w:r>
                </w:p>
              </w:tc>
            </w:tr>
            <w:tr w14:paraId="4BEDF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06A4BAF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6FF85B7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Align w:val="center"/>
                </w:tcPr>
                <w:p w14:paraId="736419A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喷枪清洗废液</w:t>
                  </w:r>
                </w:p>
              </w:tc>
              <w:tc>
                <w:tcPr>
                  <w:tcW w:w="698" w:type="pct"/>
                  <w:vAlign w:val="center"/>
                </w:tcPr>
                <w:p w14:paraId="04F9F58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900-250-12</w:t>
                  </w:r>
                </w:p>
              </w:tc>
              <w:tc>
                <w:tcPr>
                  <w:tcW w:w="315" w:type="pct"/>
                  <w:vMerge w:val="continue"/>
                  <w:vAlign w:val="center"/>
                </w:tcPr>
                <w:p w14:paraId="64861A4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10C3BD2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14A21E0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0.24</w:t>
                  </w:r>
                </w:p>
              </w:tc>
              <w:tc>
                <w:tcPr>
                  <w:tcW w:w="731" w:type="pct"/>
                  <w:vMerge w:val="continue"/>
                  <w:vAlign w:val="center"/>
                </w:tcPr>
                <w:p w14:paraId="437D5A2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023" w:type="dxa"/>
                  <w:vAlign w:val="center"/>
                </w:tcPr>
                <w:p w14:paraId="514D4B3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0.24</w:t>
                  </w:r>
                </w:p>
              </w:tc>
            </w:tr>
            <w:tr w14:paraId="746EE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restart"/>
                  <w:vAlign w:val="center"/>
                </w:tcPr>
                <w:p w14:paraId="0FC0662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污染治理</w:t>
                  </w:r>
                </w:p>
              </w:tc>
              <w:tc>
                <w:tcPr>
                  <w:tcW w:w="665" w:type="pct"/>
                  <w:vMerge w:val="restart"/>
                  <w:vAlign w:val="center"/>
                </w:tcPr>
                <w:p w14:paraId="2B544CE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废气治理设施</w:t>
                  </w:r>
                </w:p>
              </w:tc>
              <w:tc>
                <w:tcPr>
                  <w:tcW w:w="788" w:type="pct"/>
                  <w:vAlign w:val="center"/>
                </w:tcPr>
                <w:p w14:paraId="78BD10A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漆渣</w:t>
                  </w:r>
                </w:p>
              </w:tc>
              <w:tc>
                <w:tcPr>
                  <w:tcW w:w="698" w:type="pct"/>
                  <w:vAlign w:val="center"/>
                </w:tcPr>
                <w:p w14:paraId="426DA33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900-252-12</w:t>
                  </w:r>
                </w:p>
              </w:tc>
              <w:tc>
                <w:tcPr>
                  <w:tcW w:w="315" w:type="pct"/>
                  <w:vMerge w:val="continue"/>
                  <w:vAlign w:val="center"/>
                </w:tcPr>
                <w:p w14:paraId="6C6C54E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5CFD2CE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6797857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4.709</w:t>
                  </w:r>
                </w:p>
              </w:tc>
              <w:tc>
                <w:tcPr>
                  <w:tcW w:w="731" w:type="pct"/>
                  <w:vMerge w:val="continue"/>
                  <w:vAlign w:val="center"/>
                </w:tcPr>
                <w:p w14:paraId="706DAD8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023" w:type="dxa"/>
                  <w:vAlign w:val="center"/>
                </w:tcPr>
                <w:p w14:paraId="2DA3503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4.709</w:t>
                  </w:r>
                </w:p>
              </w:tc>
            </w:tr>
            <w:tr w14:paraId="05A34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491701E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76E826C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shd w:val="clear" w:color="auto" w:fill="auto"/>
                  <w:vAlign w:val="center"/>
                </w:tcPr>
                <w:p w14:paraId="7EB29CB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eastAsia="宋体" w:cs="Times New Roman"/>
                      <w:color w:val="auto"/>
                      <w:kern w:val="2"/>
                      <w:position w:val="-10"/>
                      <w:sz w:val="21"/>
                      <w:szCs w:val="21"/>
                      <w:highlight w:val="none"/>
                      <w:lang w:val="en-US" w:eastAsia="zh-CN" w:bidi="ar-SA"/>
                    </w:rPr>
                    <w:t>喷漆废水</w:t>
                  </w:r>
                </w:p>
              </w:tc>
              <w:tc>
                <w:tcPr>
                  <w:tcW w:w="698" w:type="pct"/>
                  <w:shd w:val="clear" w:color="auto" w:fill="auto"/>
                  <w:vAlign w:val="center"/>
                </w:tcPr>
                <w:p w14:paraId="42460BD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900-250-12</w:t>
                  </w:r>
                </w:p>
              </w:tc>
              <w:tc>
                <w:tcPr>
                  <w:tcW w:w="315" w:type="pct"/>
                  <w:vMerge w:val="continue"/>
                  <w:vAlign w:val="center"/>
                </w:tcPr>
                <w:p w14:paraId="1B08A4C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4846AFC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3710F86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25.864</w:t>
                  </w:r>
                </w:p>
              </w:tc>
              <w:tc>
                <w:tcPr>
                  <w:tcW w:w="731" w:type="pct"/>
                  <w:vMerge w:val="continue"/>
                  <w:vAlign w:val="center"/>
                </w:tcPr>
                <w:p w14:paraId="1A2A2C7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023" w:type="dxa"/>
                  <w:vAlign w:val="center"/>
                </w:tcPr>
                <w:p w14:paraId="2A5DE58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25.864</w:t>
                  </w:r>
                </w:p>
              </w:tc>
            </w:tr>
            <w:tr w14:paraId="1A544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2F3A707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2CA656D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Align w:val="center"/>
                </w:tcPr>
                <w:p w14:paraId="24459BC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废过滤棉</w:t>
                  </w:r>
                </w:p>
              </w:tc>
              <w:tc>
                <w:tcPr>
                  <w:tcW w:w="698" w:type="pct"/>
                  <w:vAlign w:val="center"/>
                </w:tcPr>
                <w:p w14:paraId="5D2760E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900-041-49</w:t>
                  </w:r>
                </w:p>
              </w:tc>
              <w:tc>
                <w:tcPr>
                  <w:tcW w:w="315" w:type="pct"/>
                  <w:vMerge w:val="continue"/>
                  <w:vAlign w:val="center"/>
                </w:tcPr>
                <w:p w14:paraId="244F98B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1A7F95D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21FB9F4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0.1</w:t>
                  </w:r>
                  <w:r>
                    <w:rPr>
                      <w:rFonts w:hint="eastAsia" w:cs="Times New Roman"/>
                      <w:color w:val="auto"/>
                      <w:position w:val="-10"/>
                      <w:sz w:val="21"/>
                      <w:szCs w:val="21"/>
                      <w:highlight w:val="none"/>
                      <w:lang w:val="en-US" w:eastAsia="zh-CN" w:bidi="ar-SA"/>
                    </w:rPr>
                    <w:t>39</w:t>
                  </w:r>
                </w:p>
              </w:tc>
              <w:tc>
                <w:tcPr>
                  <w:tcW w:w="731" w:type="pct"/>
                  <w:vMerge w:val="continue"/>
                  <w:vAlign w:val="center"/>
                </w:tcPr>
                <w:p w14:paraId="057C268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023" w:type="dxa"/>
                  <w:vAlign w:val="center"/>
                </w:tcPr>
                <w:p w14:paraId="5768C79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0.1</w:t>
                  </w:r>
                  <w:r>
                    <w:rPr>
                      <w:rFonts w:hint="eastAsia" w:cs="Times New Roman"/>
                      <w:color w:val="auto"/>
                      <w:position w:val="-10"/>
                      <w:sz w:val="21"/>
                      <w:szCs w:val="21"/>
                      <w:highlight w:val="none"/>
                      <w:lang w:val="en-US" w:eastAsia="zh-CN" w:bidi="ar-SA"/>
                    </w:rPr>
                    <w:t>39</w:t>
                  </w:r>
                </w:p>
              </w:tc>
            </w:tr>
            <w:tr w14:paraId="27E4D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450C6C1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6656D3A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Align w:val="center"/>
                </w:tcPr>
                <w:p w14:paraId="266C322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废活性炭</w:t>
                  </w:r>
                </w:p>
              </w:tc>
              <w:tc>
                <w:tcPr>
                  <w:tcW w:w="698" w:type="pct"/>
                  <w:vAlign w:val="center"/>
                </w:tcPr>
                <w:p w14:paraId="7350F11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900-039-49</w:t>
                  </w:r>
                </w:p>
              </w:tc>
              <w:tc>
                <w:tcPr>
                  <w:tcW w:w="315" w:type="pct"/>
                  <w:vMerge w:val="continue"/>
                  <w:vAlign w:val="center"/>
                </w:tcPr>
                <w:p w14:paraId="2B8F5C5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062B05B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43D7F7E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41.026</w:t>
                  </w:r>
                </w:p>
              </w:tc>
              <w:tc>
                <w:tcPr>
                  <w:tcW w:w="731" w:type="pct"/>
                  <w:vMerge w:val="continue"/>
                  <w:vAlign w:val="center"/>
                </w:tcPr>
                <w:p w14:paraId="70FF169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023" w:type="dxa"/>
                  <w:vAlign w:val="center"/>
                </w:tcPr>
                <w:p w14:paraId="220A814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41.026</w:t>
                  </w:r>
                </w:p>
              </w:tc>
            </w:tr>
          </w:tbl>
          <w:p w14:paraId="39909E71">
            <w:pPr>
              <w:keepNext/>
              <w:keepLines/>
              <w:pageBreakBefore w:val="0"/>
              <w:tabs>
                <w:tab w:val="left" w:pos="0"/>
              </w:tabs>
              <w:wordWrap w:val="0"/>
              <w:overflowPunct/>
              <w:bidi w:val="0"/>
              <w:ind w:left="480" w:left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2、固体废物贮存和处置情况</w:t>
            </w:r>
          </w:p>
          <w:p w14:paraId="0C8A0C60">
            <w:pPr>
              <w:pageBreakBefore w:val="0"/>
              <w:widowControl w:val="0"/>
              <w:wordWrap w:val="0"/>
              <w:overflowPunct/>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bookmarkStart w:id="108" w:name="_Ref10526"/>
            <w:r>
              <w:rPr>
                <w:rFonts w:hint="default" w:ascii="Times New Roman" w:hAnsi="Times New Roman" w:eastAsia="宋体" w:cs="Times New Roman"/>
                <w:color w:val="auto"/>
                <w:kern w:val="2"/>
                <w:sz w:val="24"/>
                <w:szCs w:val="24"/>
                <w:highlight w:val="none"/>
                <w:lang w:val="en-US" w:eastAsia="zh-CN" w:bidi="ar-SA"/>
              </w:rPr>
              <w:t>根据《国家危险废物名录》（202</w:t>
            </w:r>
            <w:r>
              <w:rPr>
                <w:rFonts w:hint="default" w:ascii="Times New Roman" w:hAnsi="Times New Roman"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年版），危险废物从产生、收集、贮运、转运、处置等各个环节都可能因管理不善而进入环境，因此在各个环节中，抛落、渗漏、丢弃等问题都可能存在，为了使各种危险废物能合法合理处置，本次评价拟按照《危险废物贮存污染控制标准》（GB 18597-2023）等国家相关法律，提出相应的治理措施，进一步规范收集、贮运、处置等操作过程。</w:t>
            </w:r>
          </w:p>
          <w:p w14:paraId="7B34FAF1">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lang w:val="en-US" w:eastAsia="zh-CN"/>
              </w:rPr>
            </w:pPr>
            <w:r>
              <w:rPr>
                <w:rFonts w:hint="default" w:ascii="Times New Roman" w:hAnsi="Times New Roman" w:cs="Times New Roman"/>
                <w:b/>
                <w:color w:val="auto"/>
                <w:lang w:val="en-US" w:eastAsia="zh-CN"/>
              </w:rPr>
              <w:t>危险废物汇总表</w:t>
            </w:r>
          </w:p>
          <w:tbl>
            <w:tblPr>
              <w:tblStyle w:val="37"/>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07"/>
              <w:gridCol w:w="839"/>
              <w:gridCol w:w="1252"/>
              <w:gridCol w:w="784"/>
              <w:gridCol w:w="764"/>
              <w:gridCol w:w="439"/>
              <w:gridCol w:w="759"/>
              <w:gridCol w:w="848"/>
              <w:gridCol w:w="543"/>
              <w:gridCol w:w="714"/>
              <w:gridCol w:w="751"/>
            </w:tblGrid>
            <w:tr w14:paraId="7E46E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51F8050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危险废物名称</w:t>
                  </w:r>
                </w:p>
              </w:tc>
              <w:tc>
                <w:tcPr>
                  <w:tcW w:w="482" w:type="pct"/>
                  <w:vAlign w:val="center"/>
                </w:tcPr>
                <w:p w14:paraId="07A5C4E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危险废物类别</w:t>
                  </w:r>
                </w:p>
              </w:tc>
              <w:tc>
                <w:tcPr>
                  <w:tcW w:w="719" w:type="pct"/>
                  <w:vAlign w:val="center"/>
                </w:tcPr>
                <w:p w14:paraId="4C9669C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危险废物代码</w:t>
                  </w:r>
                </w:p>
              </w:tc>
              <w:tc>
                <w:tcPr>
                  <w:tcW w:w="450" w:type="pct"/>
                  <w:vAlign w:val="center"/>
                </w:tcPr>
                <w:p w14:paraId="6696A3B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产生量t/a</w:t>
                  </w:r>
                </w:p>
              </w:tc>
              <w:tc>
                <w:tcPr>
                  <w:tcW w:w="439" w:type="pct"/>
                  <w:vAlign w:val="center"/>
                </w:tcPr>
                <w:p w14:paraId="6257A93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产生工序及装置</w:t>
                  </w:r>
                </w:p>
              </w:tc>
              <w:tc>
                <w:tcPr>
                  <w:tcW w:w="252" w:type="pct"/>
                  <w:vAlign w:val="center"/>
                </w:tcPr>
                <w:p w14:paraId="4840C15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形态</w:t>
                  </w:r>
                </w:p>
              </w:tc>
              <w:tc>
                <w:tcPr>
                  <w:tcW w:w="436" w:type="pct"/>
                  <w:vAlign w:val="center"/>
                </w:tcPr>
                <w:p w14:paraId="69A043B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主要成分</w:t>
                  </w:r>
                </w:p>
              </w:tc>
              <w:tc>
                <w:tcPr>
                  <w:tcW w:w="487" w:type="pct"/>
                  <w:vAlign w:val="center"/>
                </w:tcPr>
                <w:p w14:paraId="332390D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有害成分</w:t>
                  </w:r>
                </w:p>
              </w:tc>
              <w:tc>
                <w:tcPr>
                  <w:tcW w:w="312" w:type="pct"/>
                  <w:vAlign w:val="center"/>
                </w:tcPr>
                <w:p w14:paraId="60C81BF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产废周期</w:t>
                  </w:r>
                </w:p>
              </w:tc>
              <w:tc>
                <w:tcPr>
                  <w:tcW w:w="410" w:type="pct"/>
                  <w:vAlign w:val="center"/>
                </w:tcPr>
                <w:p w14:paraId="322B90C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危险特性</w:t>
                  </w:r>
                </w:p>
              </w:tc>
              <w:tc>
                <w:tcPr>
                  <w:tcW w:w="431" w:type="pct"/>
                  <w:vAlign w:val="center"/>
                </w:tcPr>
                <w:p w14:paraId="0450751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污染防治措施</w:t>
                  </w:r>
                </w:p>
              </w:tc>
            </w:tr>
            <w:tr w14:paraId="06799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0C88DCF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废原料桶</w:t>
                  </w:r>
                </w:p>
              </w:tc>
              <w:tc>
                <w:tcPr>
                  <w:tcW w:w="482" w:type="pct"/>
                  <w:vAlign w:val="center"/>
                </w:tcPr>
                <w:p w14:paraId="6105607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HW49</w:t>
                  </w:r>
                </w:p>
              </w:tc>
              <w:tc>
                <w:tcPr>
                  <w:tcW w:w="1252" w:type="dxa"/>
                  <w:vAlign w:val="center"/>
                </w:tcPr>
                <w:p w14:paraId="204BE56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900-041-49</w:t>
                  </w:r>
                </w:p>
              </w:tc>
              <w:tc>
                <w:tcPr>
                  <w:tcW w:w="784" w:type="dxa"/>
                  <w:vAlign w:val="center"/>
                </w:tcPr>
                <w:p w14:paraId="5C61214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eastAsia" w:cs="Times New Roman"/>
                      <w:color w:val="auto"/>
                      <w:position w:val="-10"/>
                      <w:sz w:val="21"/>
                      <w:szCs w:val="21"/>
                      <w:highlight w:val="none"/>
                      <w:lang w:val="en-US" w:eastAsia="zh-CN" w:bidi="ar-SA"/>
                    </w:rPr>
                    <w:t>0.234</w:t>
                  </w:r>
                </w:p>
              </w:tc>
              <w:tc>
                <w:tcPr>
                  <w:tcW w:w="439" w:type="pct"/>
                  <w:vMerge w:val="restart"/>
                  <w:vAlign w:val="center"/>
                </w:tcPr>
                <w:p w14:paraId="62522E1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成型加工、喷涂等其他生产工序</w:t>
                  </w:r>
                </w:p>
              </w:tc>
              <w:tc>
                <w:tcPr>
                  <w:tcW w:w="252" w:type="pct"/>
                  <w:vAlign w:val="center"/>
                </w:tcPr>
                <w:p w14:paraId="62F4CD2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固态</w:t>
                  </w:r>
                </w:p>
              </w:tc>
              <w:tc>
                <w:tcPr>
                  <w:tcW w:w="436" w:type="pct"/>
                  <w:vAlign w:val="center"/>
                </w:tcPr>
                <w:p w14:paraId="7CEE77E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有机溶剂</w:t>
                  </w:r>
                </w:p>
              </w:tc>
              <w:tc>
                <w:tcPr>
                  <w:tcW w:w="487" w:type="pct"/>
                  <w:vAlign w:val="center"/>
                </w:tcPr>
                <w:p w14:paraId="7B95B23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VOCs</w:t>
                  </w:r>
                </w:p>
              </w:tc>
              <w:tc>
                <w:tcPr>
                  <w:tcW w:w="312" w:type="pct"/>
                  <w:vAlign w:val="center"/>
                </w:tcPr>
                <w:p w14:paraId="5C3DB2E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每天</w:t>
                  </w:r>
                </w:p>
              </w:tc>
              <w:tc>
                <w:tcPr>
                  <w:tcW w:w="410" w:type="pct"/>
                  <w:vAlign w:val="center"/>
                </w:tcPr>
                <w:p w14:paraId="0CC656E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T,I</w:t>
                  </w:r>
                </w:p>
              </w:tc>
              <w:tc>
                <w:tcPr>
                  <w:tcW w:w="431" w:type="pct"/>
                  <w:vMerge w:val="restart"/>
                  <w:vAlign w:val="center"/>
                </w:tcPr>
                <w:p w14:paraId="07EB560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暂存在危险废物暂存间，定期由危废资质单位处理。</w:t>
                  </w:r>
                </w:p>
              </w:tc>
            </w:tr>
            <w:tr w14:paraId="4CD8A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18D5FFE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废油桶</w:t>
                  </w:r>
                </w:p>
              </w:tc>
              <w:tc>
                <w:tcPr>
                  <w:tcW w:w="482" w:type="pct"/>
                  <w:vAlign w:val="center"/>
                </w:tcPr>
                <w:p w14:paraId="51A1309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HW08</w:t>
                  </w:r>
                </w:p>
              </w:tc>
              <w:tc>
                <w:tcPr>
                  <w:tcW w:w="1252" w:type="dxa"/>
                  <w:vAlign w:val="center"/>
                </w:tcPr>
                <w:p w14:paraId="35FAFCA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900-249-08</w:t>
                  </w:r>
                </w:p>
              </w:tc>
              <w:tc>
                <w:tcPr>
                  <w:tcW w:w="784" w:type="dxa"/>
                  <w:vAlign w:val="center"/>
                </w:tcPr>
                <w:p w14:paraId="6D035C2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0.025</w:t>
                  </w:r>
                </w:p>
              </w:tc>
              <w:tc>
                <w:tcPr>
                  <w:tcW w:w="439" w:type="pct"/>
                  <w:vMerge w:val="continue"/>
                  <w:vAlign w:val="center"/>
                </w:tcPr>
                <w:p w14:paraId="7F6DBD2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p>
              </w:tc>
              <w:tc>
                <w:tcPr>
                  <w:tcW w:w="252" w:type="pct"/>
                  <w:vAlign w:val="center"/>
                </w:tcPr>
                <w:p w14:paraId="645B2D5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固态</w:t>
                  </w:r>
                </w:p>
              </w:tc>
              <w:tc>
                <w:tcPr>
                  <w:tcW w:w="436" w:type="pct"/>
                  <w:vAlign w:val="center"/>
                </w:tcPr>
                <w:p w14:paraId="401EEE5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矿物油</w:t>
                  </w:r>
                </w:p>
              </w:tc>
              <w:tc>
                <w:tcPr>
                  <w:tcW w:w="487" w:type="pct"/>
                  <w:vAlign w:val="center"/>
                </w:tcPr>
                <w:p w14:paraId="3B43A1E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矿物油</w:t>
                  </w:r>
                </w:p>
              </w:tc>
              <w:tc>
                <w:tcPr>
                  <w:tcW w:w="312" w:type="pct"/>
                  <w:vAlign w:val="center"/>
                </w:tcPr>
                <w:p w14:paraId="3E09B53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每年</w:t>
                  </w:r>
                </w:p>
              </w:tc>
              <w:tc>
                <w:tcPr>
                  <w:tcW w:w="410" w:type="pct"/>
                  <w:vAlign w:val="center"/>
                </w:tcPr>
                <w:p w14:paraId="20F9996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T,I</w:t>
                  </w:r>
                </w:p>
              </w:tc>
              <w:tc>
                <w:tcPr>
                  <w:tcW w:w="431" w:type="pct"/>
                  <w:vMerge w:val="continue"/>
                  <w:vAlign w:val="center"/>
                </w:tcPr>
                <w:p w14:paraId="4779E48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p>
              </w:tc>
            </w:tr>
            <w:tr w14:paraId="7C8E2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5005F4B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废机油</w:t>
                  </w:r>
                </w:p>
              </w:tc>
              <w:tc>
                <w:tcPr>
                  <w:tcW w:w="482" w:type="pct"/>
                  <w:vAlign w:val="center"/>
                </w:tcPr>
                <w:p w14:paraId="580B410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HW08</w:t>
                  </w:r>
                </w:p>
              </w:tc>
              <w:tc>
                <w:tcPr>
                  <w:tcW w:w="1252" w:type="dxa"/>
                  <w:vAlign w:val="center"/>
                </w:tcPr>
                <w:p w14:paraId="3D216C7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900-249-08</w:t>
                  </w:r>
                </w:p>
              </w:tc>
              <w:tc>
                <w:tcPr>
                  <w:tcW w:w="784" w:type="dxa"/>
                  <w:vAlign w:val="center"/>
                </w:tcPr>
                <w:p w14:paraId="3B9BCFC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0.5</w:t>
                  </w:r>
                </w:p>
              </w:tc>
              <w:tc>
                <w:tcPr>
                  <w:tcW w:w="439" w:type="pct"/>
                  <w:vMerge w:val="continue"/>
                  <w:vAlign w:val="center"/>
                </w:tcPr>
                <w:p w14:paraId="25F7034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p>
              </w:tc>
              <w:tc>
                <w:tcPr>
                  <w:tcW w:w="252" w:type="pct"/>
                  <w:vAlign w:val="center"/>
                </w:tcPr>
                <w:p w14:paraId="2D8385C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液态</w:t>
                  </w:r>
                </w:p>
              </w:tc>
              <w:tc>
                <w:tcPr>
                  <w:tcW w:w="436" w:type="pct"/>
                  <w:vAlign w:val="center"/>
                </w:tcPr>
                <w:p w14:paraId="5361BCC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矿物油</w:t>
                  </w:r>
                </w:p>
              </w:tc>
              <w:tc>
                <w:tcPr>
                  <w:tcW w:w="487" w:type="pct"/>
                  <w:vAlign w:val="center"/>
                </w:tcPr>
                <w:p w14:paraId="45E1380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矿物油</w:t>
                  </w:r>
                </w:p>
              </w:tc>
              <w:tc>
                <w:tcPr>
                  <w:tcW w:w="312" w:type="pct"/>
                  <w:vAlign w:val="center"/>
                </w:tcPr>
                <w:p w14:paraId="6A11475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每年</w:t>
                  </w:r>
                </w:p>
              </w:tc>
              <w:tc>
                <w:tcPr>
                  <w:tcW w:w="410" w:type="pct"/>
                  <w:vAlign w:val="center"/>
                </w:tcPr>
                <w:p w14:paraId="55B7921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T,I</w:t>
                  </w:r>
                </w:p>
              </w:tc>
              <w:tc>
                <w:tcPr>
                  <w:tcW w:w="431" w:type="pct"/>
                  <w:vMerge w:val="continue"/>
                  <w:vAlign w:val="center"/>
                </w:tcPr>
                <w:p w14:paraId="583D21B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p>
              </w:tc>
            </w:tr>
            <w:tr w14:paraId="49F53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32B2AC8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废抹布</w:t>
                  </w:r>
                </w:p>
              </w:tc>
              <w:tc>
                <w:tcPr>
                  <w:tcW w:w="482" w:type="pct"/>
                  <w:vAlign w:val="center"/>
                </w:tcPr>
                <w:p w14:paraId="54687AA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HW49</w:t>
                  </w:r>
                </w:p>
              </w:tc>
              <w:tc>
                <w:tcPr>
                  <w:tcW w:w="1252" w:type="dxa"/>
                  <w:vAlign w:val="center"/>
                </w:tcPr>
                <w:p w14:paraId="0E61314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900-041-49</w:t>
                  </w:r>
                </w:p>
              </w:tc>
              <w:tc>
                <w:tcPr>
                  <w:tcW w:w="784" w:type="dxa"/>
                  <w:vAlign w:val="center"/>
                </w:tcPr>
                <w:p w14:paraId="7CE58B0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0.01</w:t>
                  </w:r>
                </w:p>
              </w:tc>
              <w:tc>
                <w:tcPr>
                  <w:tcW w:w="439" w:type="pct"/>
                  <w:vMerge w:val="continue"/>
                  <w:vAlign w:val="center"/>
                </w:tcPr>
                <w:p w14:paraId="63B0763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p>
              </w:tc>
              <w:tc>
                <w:tcPr>
                  <w:tcW w:w="252" w:type="pct"/>
                  <w:vAlign w:val="center"/>
                </w:tcPr>
                <w:p w14:paraId="4ADA77E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固态</w:t>
                  </w:r>
                </w:p>
              </w:tc>
              <w:tc>
                <w:tcPr>
                  <w:tcW w:w="436" w:type="pct"/>
                  <w:vAlign w:val="center"/>
                </w:tcPr>
                <w:p w14:paraId="4426DF3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矿物油</w:t>
                  </w:r>
                </w:p>
              </w:tc>
              <w:tc>
                <w:tcPr>
                  <w:tcW w:w="487" w:type="pct"/>
                  <w:vAlign w:val="center"/>
                </w:tcPr>
                <w:p w14:paraId="38BDBC2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矿物油</w:t>
                  </w:r>
                </w:p>
              </w:tc>
              <w:tc>
                <w:tcPr>
                  <w:tcW w:w="312" w:type="pct"/>
                  <w:vAlign w:val="center"/>
                </w:tcPr>
                <w:p w14:paraId="6E5E827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每年</w:t>
                  </w:r>
                </w:p>
              </w:tc>
              <w:tc>
                <w:tcPr>
                  <w:tcW w:w="410" w:type="pct"/>
                  <w:vAlign w:val="center"/>
                </w:tcPr>
                <w:p w14:paraId="4E986BB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T,I</w:t>
                  </w:r>
                </w:p>
              </w:tc>
              <w:tc>
                <w:tcPr>
                  <w:tcW w:w="431" w:type="pct"/>
                  <w:vMerge w:val="continue"/>
                  <w:vAlign w:val="center"/>
                </w:tcPr>
                <w:p w14:paraId="61C3573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p>
              </w:tc>
            </w:tr>
            <w:tr w14:paraId="6C5B5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6B44FC7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喷枪清洗废液</w:t>
                  </w:r>
                </w:p>
              </w:tc>
              <w:tc>
                <w:tcPr>
                  <w:tcW w:w="482" w:type="pct"/>
                  <w:vAlign w:val="center"/>
                </w:tcPr>
                <w:p w14:paraId="6D339E3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HW12</w:t>
                  </w:r>
                </w:p>
              </w:tc>
              <w:tc>
                <w:tcPr>
                  <w:tcW w:w="1252" w:type="dxa"/>
                  <w:vAlign w:val="center"/>
                </w:tcPr>
                <w:p w14:paraId="7DD9FC3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900-250-12</w:t>
                  </w:r>
                </w:p>
              </w:tc>
              <w:tc>
                <w:tcPr>
                  <w:tcW w:w="784" w:type="dxa"/>
                  <w:vAlign w:val="center"/>
                </w:tcPr>
                <w:p w14:paraId="32EB112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eastAsia" w:cs="Times New Roman"/>
                      <w:color w:val="auto"/>
                      <w:position w:val="-10"/>
                      <w:sz w:val="21"/>
                      <w:szCs w:val="21"/>
                      <w:highlight w:val="none"/>
                      <w:lang w:val="en-US" w:eastAsia="zh-CN" w:bidi="ar-SA"/>
                    </w:rPr>
                    <w:t>0.24</w:t>
                  </w:r>
                </w:p>
              </w:tc>
              <w:tc>
                <w:tcPr>
                  <w:tcW w:w="439" w:type="pct"/>
                  <w:vMerge w:val="continue"/>
                  <w:vAlign w:val="center"/>
                </w:tcPr>
                <w:p w14:paraId="78EB659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p>
              </w:tc>
              <w:tc>
                <w:tcPr>
                  <w:tcW w:w="252" w:type="pct"/>
                  <w:vAlign w:val="center"/>
                </w:tcPr>
                <w:p w14:paraId="0ACB7D2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液态</w:t>
                  </w:r>
                </w:p>
              </w:tc>
              <w:tc>
                <w:tcPr>
                  <w:tcW w:w="759" w:type="dxa"/>
                  <w:vAlign w:val="center"/>
                </w:tcPr>
                <w:p w14:paraId="18B60B3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颗粒物、VOCs</w:t>
                  </w:r>
                </w:p>
              </w:tc>
              <w:tc>
                <w:tcPr>
                  <w:tcW w:w="848" w:type="dxa"/>
                  <w:vAlign w:val="center"/>
                </w:tcPr>
                <w:p w14:paraId="16DA080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颗粒物、VOCs</w:t>
                  </w:r>
                </w:p>
              </w:tc>
              <w:tc>
                <w:tcPr>
                  <w:tcW w:w="312" w:type="pct"/>
                  <w:vAlign w:val="center"/>
                </w:tcPr>
                <w:p w14:paraId="1723F96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每天</w:t>
                  </w:r>
                </w:p>
              </w:tc>
              <w:tc>
                <w:tcPr>
                  <w:tcW w:w="410" w:type="pct"/>
                  <w:vAlign w:val="center"/>
                </w:tcPr>
                <w:p w14:paraId="20A773B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T,I</w:t>
                  </w:r>
                </w:p>
              </w:tc>
              <w:tc>
                <w:tcPr>
                  <w:tcW w:w="431" w:type="pct"/>
                  <w:vMerge w:val="continue"/>
                  <w:vAlign w:val="center"/>
                </w:tcPr>
                <w:p w14:paraId="4E9EEC8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p>
              </w:tc>
            </w:tr>
            <w:tr w14:paraId="7ACDF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1DAA492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漆渣</w:t>
                  </w:r>
                </w:p>
              </w:tc>
              <w:tc>
                <w:tcPr>
                  <w:tcW w:w="482" w:type="pct"/>
                  <w:vAlign w:val="center"/>
                </w:tcPr>
                <w:p w14:paraId="176F788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HW12</w:t>
                  </w:r>
                </w:p>
              </w:tc>
              <w:tc>
                <w:tcPr>
                  <w:tcW w:w="1252" w:type="dxa"/>
                  <w:vAlign w:val="center"/>
                </w:tcPr>
                <w:p w14:paraId="1E001EF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900-252-12</w:t>
                  </w:r>
                </w:p>
              </w:tc>
              <w:tc>
                <w:tcPr>
                  <w:tcW w:w="784" w:type="dxa"/>
                  <w:vAlign w:val="center"/>
                </w:tcPr>
                <w:p w14:paraId="1E62DCD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eastAsia" w:cs="Times New Roman"/>
                      <w:color w:val="auto"/>
                      <w:position w:val="-10"/>
                      <w:sz w:val="21"/>
                      <w:szCs w:val="21"/>
                      <w:highlight w:val="none"/>
                      <w:lang w:val="en-US" w:eastAsia="zh-CN" w:bidi="ar-SA"/>
                    </w:rPr>
                    <w:t>4.709</w:t>
                  </w:r>
                </w:p>
              </w:tc>
              <w:tc>
                <w:tcPr>
                  <w:tcW w:w="439" w:type="pct"/>
                  <w:vMerge w:val="restart"/>
                  <w:vAlign w:val="center"/>
                </w:tcPr>
                <w:p w14:paraId="3E7DA6B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废气治理设施</w:t>
                  </w:r>
                </w:p>
              </w:tc>
              <w:tc>
                <w:tcPr>
                  <w:tcW w:w="252" w:type="pct"/>
                  <w:vAlign w:val="center"/>
                </w:tcPr>
                <w:p w14:paraId="3D132E3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固态</w:t>
                  </w:r>
                </w:p>
              </w:tc>
              <w:tc>
                <w:tcPr>
                  <w:tcW w:w="436" w:type="pct"/>
                  <w:vAlign w:val="center"/>
                </w:tcPr>
                <w:p w14:paraId="27DD8A8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颗粒物、VOCs</w:t>
                  </w:r>
                </w:p>
              </w:tc>
              <w:tc>
                <w:tcPr>
                  <w:tcW w:w="487" w:type="pct"/>
                  <w:vAlign w:val="center"/>
                </w:tcPr>
                <w:p w14:paraId="61BB7CE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颗粒物、VOCs</w:t>
                  </w:r>
                </w:p>
              </w:tc>
              <w:tc>
                <w:tcPr>
                  <w:tcW w:w="312" w:type="pct"/>
                  <w:vAlign w:val="center"/>
                </w:tcPr>
                <w:p w14:paraId="2962FBE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每天</w:t>
                  </w:r>
                </w:p>
              </w:tc>
              <w:tc>
                <w:tcPr>
                  <w:tcW w:w="410" w:type="pct"/>
                  <w:vAlign w:val="center"/>
                </w:tcPr>
                <w:p w14:paraId="34CB2F1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T,I</w:t>
                  </w:r>
                </w:p>
              </w:tc>
              <w:tc>
                <w:tcPr>
                  <w:tcW w:w="431" w:type="pct"/>
                  <w:vMerge w:val="continue"/>
                  <w:vAlign w:val="center"/>
                </w:tcPr>
                <w:p w14:paraId="0A3AD87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p>
              </w:tc>
            </w:tr>
            <w:tr w14:paraId="1E107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11AA3C4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喷漆废水</w:t>
                  </w:r>
                </w:p>
              </w:tc>
              <w:tc>
                <w:tcPr>
                  <w:tcW w:w="482" w:type="pct"/>
                  <w:vAlign w:val="center"/>
                </w:tcPr>
                <w:p w14:paraId="4821CED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HW12</w:t>
                  </w:r>
                </w:p>
              </w:tc>
              <w:tc>
                <w:tcPr>
                  <w:tcW w:w="1252" w:type="dxa"/>
                  <w:vAlign w:val="center"/>
                </w:tcPr>
                <w:p w14:paraId="50A81E2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900-250-12</w:t>
                  </w:r>
                </w:p>
              </w:tc>
              <w:tc>
                <w:tcPr>
                  <w:tcW w:w="784" w:type="dxa"/>
                  <w:vAlign w:val="center"/>
                </w:tcPr>
                <w:p w14:paraId="624771C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eastAsia" w:cs="Times New Roman"/>
                      <w:color w:val="auto"/>
                      <w:position w:val="-10"/>
                      <w:sz w:val="21"/>
                      <w:szCs w:val="21"/>
                      <w:highlight w:val="none"/>
                      <w:lang w:val="en-US" w:eastAsia="zh-CN" w:bidi="ar-SA"/>
                    </w:rPr>
                    <w:t>25.864</w:t>
                  </w:r>
                </w:p>
              </w:tc>
              <w:tc>
                <w:tcPr>
                  <w:tcW w:w="439" w:type="pct"/>
                  <w:vMerge w:val="continue"/>
                  <w:vAlign w:val="center"/>
                </w:tcPr>
                <w:p w14:paraId="5D62538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p>
              </w:tc>
              <w:tc>
                <w:tcPr>
                  <w:tcW w:w="252" w:type="pct"/>
                  <w:vAlign w:val="center"/>
                </w:tcPr>
                <w:p w14:paraId="0B47953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液态</w:t>
                  </w:r>
                </w:p>
              </w:tc>
              <w:tc>
                <w:tcPr>
                  <w:tcW w:w="436" w:type="pct"/>
                  <w:vAlign w:val="center"/>
                </w:tcPr>
                <w:p w14:paraId="2B8F91D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颗粒物、VOCs</w:t>
                  </w:r>
                </w:p>
              </w:tc>
              <w:tc>
                <w:tcPr>
                  <w:tcW w:w="487" w:type="pct"/>
                  <w:vAlign w:val="center"/>
                </w:tcPr>
                <w:p w14:paraId="5303880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颗粒物、VOCs</w:t>
                  </w:r>
                </w:p>
              </w:tc>
              <w:tc>
                <w:tcPr>
                  <w:tcW w:w="312" w:type="pct"/>
                  <w:vAlign w:val="center"/>
                </w:tcPr>
                <w:p w14:paraId="12CE7B1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每半年</w:t>
                  </w:r>
                </w:p>
              </w:tc>
              <w:tc>
                <w:tcPr>
                  <w:tcW w:w="410" w:type="pct"/>
                  <w:vAlign w:val="center"/>
                </w:tcPr>
                <w:p w14:paraId="159E51A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T,I</w:t>
                  </w:r>
                </w:p>
              </w:tc>
              <w:tc>
                <w:tcPr>
                  <w:tcW w:w="431" w:type="pct"/>
                  <w:vMerge w:val="continue"/>
                  <w:vAlign w:val="center"/>
                </w:tcPr>
                <w:p w14:paraId="0D4091D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p>
              </w:tc>
            </w:tr>
            <w:tr w14:paraId="465AF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72EC8DA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废过滤棉</w:t>
                  </w:r>
                </w:p>
              </w:tc>
              <w:tc>
                <w:tcPr>
                  <w:tcW w:w="482" w:type="pct"/>
                  <w:vAlign w:val="center"/>
                </w:tcPr>
                <w:p w14:paraId="10F36ED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HW49</w:t>
                  </w:r>
                </w:p>
              </w:tc>
              <w:tc>
                <w:tcPr>
                  <w:tcW w:w="1252" w:type="dxa"/>
                  <w:vAlign w:val="center"/>
                </w:tcPr>
                <w:p w14:paraId="7BDEE52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900-041-49</w:t>
                  </w:r>
                </w:p>
              </w:tc>
              <w:tc>
                <w:tcPr>
                  <w:tcW w:w="784" w:type="dxa"/>
                  <w:vAlign w:val="center"/>
                </w:tcPr>
                <w:p w14:paraId="650E18C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0.1</w:t>
                  </w:r>
                  <w:r>
                    <w:rPr>
                      <w:rFonts w:hint="eastAsia" w:cs="Times New Roman"/>
                      <w:color w:val="auto"/>
                      <w:position w:val="-10"/>
                      <w:sz w:val="21"/>
                      <w:szCs w:val="21"/>
                      <w:highlight w:val="none"/>
                      <w:lang w:val="en-US" w:eastAsia="zh-CN" w:bidi="ar-SA"/>
                    </w:rPr>
                    <w:t>39</w:t>
                  </w:r>
                </w:p>
              </w:tc>
              <w:tc>
                <w:tcPr>
                  <w:tcW w:w="439" w:type="pct"/>
                  <w:vMerge w:val="continue"/>
                  <w:vAlign w:val="center"/>
                </w:tcPr>
                <w:p w14:paraId="4BE2A03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p>
              </w:tc>
              <w:tc>
                <w:tcPr>
                  <w:tcW w:w="252" w:type="pct"/>
                  <w:vAlign w:val="center"/>
                </w:tcPr>
                <w:p w14:paraId="1FB2274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固态</w:t>
                  </w:r>
                </w:p>
              </w:tc>
              <w:tc>
                <w:tcPr>
                  <w:tcW w:w="436" w:type="pct"/>
                  <w:vAlign w:val="center"/>
                </w:tcPr>
                <w:p w14:paraId="3FAB85E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颗粒物、VOCs</w:t>
                  </w:r>
                </w:p>
              </w:tc>
              <w:tc>
                <w:tcPr>
                  <w:tcW w:w="487" w:type="pct"/>
                  <w:vAlign w:val="center"/>
                </w:tcPr>
                <w:p w14:paraId="15EBF2A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颗粒物、VOCs</w:t>
                  </w:r>
                </w:p>
              </w:tc>
              <w:tc>
                <w:tcPr>
                  <w:tcW w:w="312" w:type="pct"/>
                  <w:vAlign w:val="center"/>
                </w:tcPr>
                <w:p w14:paraId="17CC552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每月</w:t>
                  </w:r>
                </w:p>
              </w:tc>
              <w:tc>
                <w:tcPr>
                  <w:tcW w:w="410" w:type="pct"/>
                  <w:vAlign w:val="center"/>
                </w:tcPr>
                <w:p w14:paraId="1362826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T,I</w:t>
                  </w:r>
                </w:p>
              </w:tc>
              <w:tc>
                <w:tcPr>
                  <w:tcW w:w="431" w:type="pct"/>
                  <w:vMerge w:val="continue"/>
                  <w:vAlign w:val="center"/>
                </w:tcPr>
                <w:p w14:paraId="71D9A6B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p>
              </w:tc>
            </w:tr>
            <w:tr w14:paraId="4BE63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4C805DF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废活性炭</w:t>
                  </w:r>
                </w:p>
              </w:tc>
              <w:tc>
                <w:tcPr>
                  <w:tcW w:w="482" w:type="pct"/>
                  <w:vAlign w:val="center"/>
                </w:tcPr>
                <w:p w14:paraId="5C04080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HW49</w:t>
                  </w:r>
                </w:p>
              </w:tc>
              <w:tc>
                <w:tcPr>
                  <w:tcW w:w="1252" w:type="dxa"/>
                  <w:vAlign w:val="center"/>
                </w:tcPr>
                <w:p w14:paraId="348AD14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900-039-49</w:t>
                  </w:r>
                </w:p>
              </w:tc>
              <w:tc>
                <w:tcPr>
                  <w:tcW w:w="784" w:type="dxa"/>
                  <w:vAlign w:val="center"/>
                </w:tcPr>
                <w:p w14:paraId="7284499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eastAsia" w:cs="Times New Roman"/>
                      <w:color w:val="auto"/>
                      <w:position w:val="-10"/>
                      <w:sz w:val="21"/>
                      <w:szCs w:val="21"/>
                      <w:highlight w:val="none"/>
                      <w:lang w:val="en-US" w:eastAsia="zh-CN" w:bidi="ar-SA"/>
                    </w:rPr>
                    <w:t>41.026</w:t>
                  </w:r>
                </w:p>
              </w:tc>
              <w:tc>
                <w:tcPr>
                  <w:tcW w:w="439" w:type="pct"/>
                  <w:vMerge w:val="continue"/>
                  <w:vAlign w:val="center"/>
                </w:tcPr>
                <w:p w14:paraId="71AAF70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p>
              </w:tc>
              <w:tc>
                <w:tcPr>
                  <w:tcW w:w="252" w:type="pct"/>
                  <w:vAlign w:val="center"/>
                </w:tcPr>
                <w:p w14:paraId="4C72153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固态</w:t>
                  </w:r>
                </w:p>
              </w:tc>
              <w:tc>
                <w:tcPr>
                  <w:tcW w:w="436" w:type="pct"/>
                  <w:vAlign w:val="center"/>
                </w:tcPr>
                <w:p w14:paraId="41D9EE8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VOCs</w:t>
                  </w:r>
                </w:p>
              </w:tc>
              <w:tc>
                <w:tcPr>
                  <w:tcW w:w="487" w:type="pct"/>
                  <w:vAlign w:val="center"/>
                </w:tcPr>
                <w:p w14:paraId="7F9A59B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VOCs</w:t>
                  </w:r>
                </w:p>
              </w:tc>
              <w:tc>
                <w:tcPr>
                  <w:tcW w:w="312" w:type="pct"/>
                  <w:vAlign w:val="center"/>
                </w:tcPr>
                <w:p w14:paraId="3780452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每2个月</w:t>
                  </w:r>
                </w:p>
              </w:tc>
              <w:tc>
                <w:tcPr>
                  <w:tcW w:w="410" w:type="pct"/>
                  <w:vAlign w:val="center"/>
                </w:tcPr>
                <w:p w14:paraId="10A144F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T,I</w:t>
                  </w:r>
                </w:p>
              </w:tc>
              <w:tc>
                <w:tcPr>
                  <w:tcW w:w="431" w:type="pct"/>
                  <w:vMerge w:val="continue"/>
                  <w:vAlign w:val="center"/>
                </w:tcPr>
                <w:p w14:paraId="3CB28C0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p>
              </w:tc>
            </w:tr>
          </w:tbl>
          <w:p w14:paraId="53FF7D40">
            <w:pPr>
              <w:keepNext/>
              <w:keepLines/>
              <w:pageBreakBefore w:val="0"/>
              <w:numPr>
                <w:ilvl w:val="4"/>
                <w:numId w:val="0"/>
              </w:numPr>
              <w:wordWrap w:val="0"/>
              <w:overflowPunct/>
              <w:bidi w:val="0"/>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（1）产生和收集</w:t>
            </w:r>
          </w:p>
          <w:p w14:paraId="7BA38B08">
            <w:pPr>
              <w:pageBreakBefore w:val="0"/>
              <w:widowControl w:val="0"/>
              <w:wordWrap w:val="0"/>
              <w:overflowPunct/>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危险废物单次产生量很少，部分危险废物有感染性和毒性，其性质相对比较稳定，如果露天堆放，沾染、吸附的有机废气可能会因为日晒雨淋而逐步释放出来，进入大气、地表水体、土壤等环境要素，造成污染影响。</w:t>
            </w:r>
          </w:p>
          <w:p w14:paraId="756D61BB">
            <w:pPr>
              <w:pageBreakBefore w:val="0"/>
              <w:widowControl w:val="0"/>
              <w:wordWrap w:val="0"/>
              <w:overflowPunct/>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这些危险废物如果收集不当，随意丢弃，其中的有害成分容易因为跑冒滴漏或者混入其他生活垃圾而进入外部环境，造成污染影响。对此，各类危险废物在产生源头需要立即采用密闭性好、耐腐蚀、相容的塑料容器分类封装，避免遗漏和撒漏；然后移入厂区内部独立专用的贮存设施存放。本项目从产生源头到贮存设施的收集过程基本上都在本项目内部进行，不涉及外部运输和厂区外部环境，因此产生和收集阶段不会对外部环境造成影响。</w:t>
            </w:r>
          </w:p>
          <w:p w14:paraId="4803101B">
            <w:pPr>
              <w:keepNext/>
              <w:keepLines/>
              <w:pageBreakBefore w:val="0"/>
              <w:numPr>
                <w:ilvl w:val="4"/>
                <w:numId w:val="0"/>
              </w:numPr>
              <w:wordWrap w:val="0"/>
              <w:overflowPunct/>
              <w:bidi w:val="0"/>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（2）贮存库</w:t>
            </w:r>
          </w:p>
          <w:p w14:paraId="30432A12">
            <w:pPr>
              <w:pageBreakBefore w:val="0"/>
              <w:widowControl w:val="0"/>
              <w:wordWrap w:val="0"/>
              <w:overflowPunct/>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w:t>
            </w:r>
            <w:r>
              <w:rPr>
                <w:rFonts w:hint="default" w:ascii="Times New Roman" w:hAnsi="Times New Roman" w:cs="Times New Roman"/>
                <w:color w:val="auto"/>
                <w:kern w:val="2"/>
                <w:sz w:val="24"/>
                <w:szCs w:val="24"/>
                <w:highlight w:val="none"/>
                <w:lang w:val="en-US" w:eastAsia="zh-CN" w:bidi="ar-SA"/>
              </w:rPr>
              <w:t>新增</w:t>
            </w:r>
            <w:r>
              <w:rPr>
                <w:rFonts w:hint="default" w:ascii="Times New Roman" w:hAnsi="Times New Roman" w:eastAsia="宋体" w:cs="Times New Roman"/>
                <w:color w:val="auto"/>
                <w:kern w:val="2"/>
                <w:sz w:val="24"/>
                <w:szCs w:val="24"/>
                <w:highlight w:val="none"/>
                <w:lang w:val="en-US" w:eastAsia="zh-CN" w:bidi="ar-SA"/>
              </w:rPr>
              <w:t>设置一个固定的危险废物贮存库，危险废物贮存过程满足《危险废物贮存污染控制标准》（GB18597-2023）的要求，建设单位应根据废物特性设置符合《危险废物贮存污染控制标准》</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GB18597-2023</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要求的危险废物暂存场所，且在暂存场所上空设有防雨淋设施，地面采取防渗措施，危险废物收集后分别临时贮存于</w:t>
            </w:r>
            <w:r>
              <w:rPr>
                <w:rFonts w:hint="default" w:ascii="Times New Roman" w:hAnsi="Times New Roman" w:cs="Times New Roman"/>
                <w:color w:val="auto"/>
                <w:kern w:val="2"/>
                <w:sz w:val="24"/>
                <w:szCs w:val="24"/>
                <w:highlight w:val="none"/>
                <w:lang w:val="en-US" w:eastAsia="zh-CN" w:bidi="ar-SA"/>
              </w:rPr>
              <w:t>危险废物暂存间</w:t>
            </w:r>
            <w:r>
              <w:rPr>
                <w:rFonts w:hint="default" w:ascii="Times New Roman" w:hAnsi="Times New Roman" w:eastAsia="宋体" w:cs="Times New Roman"/>
                <w:color w:val="auto"/>
                <w:kern w:val="2"/>
                <w:sz w:val="24"/>
                <w:szCs w:val="24"/>
                <w:highlight w:val="none"/>
                <w:lang w:val="en-US" w:eastAsia="zh-CN" w:bidi="ar-SA"/>
              </w:rPr>
              <w:t>；根据生产需要合理设置贮存量，尽量减少厂内的物料贮存量：严禁将危险废物混入生活垃圾；堆放危险废物的地方要有明显的标志。贮存设施应根据危险废物的形态、物理化学性质、包装形式和污染物迁移途径，采取必要的防风、防晒、防雨、防漏、防渗、防腐以及其他环境污染防治措施，不应露天堆放危险废物。贮存设施应根据危险废物的类别、数量、形态、物理化学性质和污染防治等要求设置必要的贮存分区，避免不相容的危险废物接触、混合。危险废物贮存过程产生的液态废物和固态废物应分类收集，按其环境管理要求妥善处理。贮存库内不同贮存分区之间应采取隔离措施。隔离措施可根据危险废物特性采用过道、隔板或隔墙等方式。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default" w:ascii="Times New Roman" w:hAnsi="Times New Roman" w:eastAsia="宋体" w:cs="Times New Roman"/>
                <w:color w:val="auto"/>
                <w:kern w:val="2"/>
                <w:sz w:val="24"/>
                <w:szCs w:val="24"/>
                <w:highlight w:val="none"/>
                <w:vertAlign w:val="superscript"/>
                <w:lang w:val="en-US" w:eastAsia="zh-CN" w:bidi="ar-SA"/>
              </w:rPr>
              <w:t>-7</w:t>
            </w:r>
            <w:r>
              <w:rPr>
                <w:rFonts w:hint="default" w:ascii="Times New Roman" w:hAnsi="Times New Roman" w:eastAsia="宋体" w:cs="Times New Roman"/>
                <w:color w:val="auto"/>
                <w:kern w:val="2"/>
                <w:sz w:val="24"/>
                <w:szCs w:val="24"/>
                <w:highlight w:val="none"/>
                <w:lang w:val="en-US" w:eastAsia="zh-CN" w:bidi="ar-SA"/>
              </w:rPr>
              <w:t>cm/s），或至少2mm 厚高密度聚乙烯膜等人工防渗材料（渗透系数不大于10</w:t>
            </w:r>
            <w:r>
              <w:rPr>
                <w:rFonts w:hint="default" w:ascii="Times New Roman" w:hAnsi="Times New Roman" w:eastAsia="宋体" w:cs="Times New Roman"/>
                <w:color w:val="auto"/>
                <w:kern w:val="2"/>
                <w:sz w:val="24"/>
                <w:szCs w:val="24"/>
                <w:highlight w:val="none"/>
                <w:vertAlign w:val="superscript"/>
                <w:lang w:val="en-US" w:eastAsia="zh-CN" w:bidi="ar-SA"/>
              </w:rPr>
              <w:t>-10</w:t>
            </w:r>
            <w:r>
              <w:rPr>
                <w:rFonts w:hint="default" w:ascii="Times New Roman" w:hAnsi="Times New Roman" w:eastAsia="宋体" w:cs="Times New Roman"/>
                <w:color w:val="auto"/>
                <w:kern w:val="2"/>
                <w:sz w:val="24"/>
                <w:szCs w:val="24"/>
                <w:highlight w:val="none"/>
                <w:lang w:val="en-US" w:eastAsia="zh-CN" w:bidi="ar-SA"/>
              </w:rPr>
              <w:t>cm/s），或其他防渗性能等效的材料。</w:t>
            </w:r>
          </w:p>
          <w:p w14:paraId="65FEB2AA">
            <w:pPr>
              <w:pageBreakBefore w:val="0"/>
              <w:widowControl w:val="0"/>
              <w:wordWrap w:val="0"/>
              <w:overflowPunct/>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项目危险废物贮存场所基本情况见下表。</w:t>
            </w:r>
          </w:p>
          <w:p w14:paraId="24F7879E">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lang w:val="en-US" w:eastAsia="zh-CN"/>
              </w:rPr>
            </w:pPr>
            <w:r>
              <w:rPr>
                <w:rFonts w:hint="default" w:ascii="Times New Roman" w:hAnsi="Times New Roman" w:cs="Times New Roman"/>
                <w:b/>
                <w:color w:val="auto"/>
                <w:lang w:val="en-US" w:eastAsia="zh-CN"/>
              </w:rPr>
              <w:t>危险废物贮存场所（设施）基本情况表</w:t>
            </w:r>
          </w:p>
          <w:tbl>
            <w:tblPr>
              <w:tblStyle w:val="3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5"/>
              <w:gridCol w:w="1369"/>
              <w:gridCol w:w="826"/>
              <w:gridCol w:w="1264"/>
              <w:gridCol w:w="737"/>
              <w:gridCol w:w="672"/>
              <w:gridCol w:w="1095"/>
              <w:gridCol w:w="698"/>
              <w:gridCol w:w="807"/>
            </w:tblGrid>
            <w:tr w14:paraId="77C28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restart"/>
                  <w:vAlign w:val="center"/>
                </w:tcPr>
                <w:p w14:paraId="31F899C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贮存场所（设施）名称</w:t>
                  </w:r>
                </w:p>
              </w:tc>
              <w:tc>
                <w:tcPr>
                  <w:tcW w:w="1986" w:type="pct"/>
                  <w:gridSpan w:val="3"/>
                  <w:vAlign w:val="center"/>
                </w:tcPr>
                <w:p w14:paraId="6A17647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危险废物</w:t>
                  </w:r>
                </w:p>
              </w:tc>
              <w:tc>
                <w:tcPr>
                  <w:tcW w:w="423" w:type="pct"/>
                  <w:vMerge w:val="restart"/>
                  <w:vAlign w:val="center"/>
                </w:tcPr>
                <w:p w14:paraId="1626209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位置</w:t>
                  </w:r>
                </w:p>
              </w:tc>
              <w:tc>
                <w:tcPr>
                  <w:tcW w:w="386" w:type="pct"/>
                  <w:vMerge w:val="restart"/>
                  <w:vAlign w:val="center"/>
                </w:tcPr>
                <w:p w14:paraId="3392ECF5">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占地面积</w:t>
                  </w:r>
                </w:p>
              </w:tc>
              <w:tc>
                <w:tcPr>
                  <w:tcW w:w="629" w:type="pct"/>
                  <w:vMerge w:val="restart"/>
                  <w:vAlign w:val="center"/>
                </w:tcPr>
                <w:p w14:paraId="5253193C">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贮存方式</w:t>
                  </w:r>
                </w:p>
              </w:tc>
              <w:tc>
                <w:tcPr>
                  <w:tcW w:w="401" w:type="pct"/>
                  <w:vMerge w:val="restart"/>
                  <w:vAlign w:val="center"/>
                </w:tcPr>
                <w:p w14:paraId="42E8616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贮存能力</w:t>
                  </w:r>
                </w:p>
              </w:tc>
              <w:tc>
                <w:tcPr>
                  <w:tcW w:w="463" w:type="pct"/>
                  <w:vMerge w:val="restart"/>
                  <w:vAlign w:val="center"/>
                </w:tcPr>
                <w:p w14:paraId="79399A2C">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贮存周期</w:t>
                  </w:r>
                </w:p>
              </w:tc>
            </w:tr>
            <w:tr w14:paraId="4202E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149BBF9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5589253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名称</w:t>
                  </w:r>
                </w:p>
              </w:tc>
              <w:tc>
                <w:tcPr>
                  <w:tcW w:w="474" w:type="pct"/>
                  <w:vAlign w:val="center"/>
                </w:tcPr>
                <w:p w14:paraId="48756E1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类别</w:t>
                  </w:r>
                </w:p>
              </w:tc>
              <w:tc>
                <w:tcPr>
                  <w:tcW w:w="725" w:type="pct"/>
                  <w:vAlign w:val="center"/>
                </w:tcPr>
                <w:p w14:paraId="6B1093D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代码</w:t>
                  </w:r>
                </w:p>
              </w:tc>
              <w:tc>
                <w:tcPr>
                  <w:tcW w:w="423" w:type="pct"/>
                  <w:vMerge w:val="continue"/>
                  <w:vAlign w:val="center"/>
                </w:tcPr>
                <w:p w14:paraId="71C6BD8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3AFA936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504ED74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7C2746B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2B6A5202">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08DC1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restart"/>
                  <w:vAlign w:val="center"/>
                </w:tcPr>
                <w:p w14:paraId="547DA1A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危险废物贮存库</w:t>
                  </w:r>
                </w:p>
              </w:tc>
              <w:tc>
                <w:tcPr>
                  <w:tcW w:w="1369" w:type="dxa"/>
                  <w:vAlign w:val="center"/>
                </w:tcPr>
                <w:p w14:paraId="217C71E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废原料桶</w:t>
                  </w:r>
                </w:p>
              </w:tc>
              <w:tc>
                <w:tcPr>
                  <w:tcW w:w="826" w:type="dxa"/>
                  <w:vAlign w:val="center"/>
                </w:tcPr>
                <w:p w14:paraId="4523A57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HW49</w:t>
                  </w:r>
                </w:p>
              </w:tc>
              <w:tc>
                <w:tcPr>
                  <w:tcW w:w="1264" w:type="dxa"/>
                  <w:vAlign w:val="center"/>
                </w:tcPr>
                <w:p w14:paraId="6098E6D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900-041-49</w:t>
                  </w:r>
                </w:p>
              </w:tc>
              <w:tc>
                <w:tcPr>
                  <w:tcW w:w="423" w:type="pct"/>
                  <w:vMerge w:val="restart"/>
                  <w:vAlign w:val="center"/>
                </w:tcPr>
                <w:p w14:paraId="65ADC03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10号厂房西南侧</w:t>
                  </w:r>
                </w:p>
              </w:tc>
              <w:tc>
                <w:tcPr>
                  <w:tcW w:w="386" w:type="pct"/>
                  <w:vMerge w:val="restart"/>
                  <w:vAlign w:val="center"/>
                </w:tcPr>
                <w:p w14:paraId="0AC9B0A8">
                  <w:pPr>
                    <w:keepNext w:val="0"/>
                    <w:keepLines w:val="0"/>
                    <w:pageBreakBefore w:val="0"/>
                    <w:widowControl w:val="0"/>
                    <w:kinsoku/>
                    <w:wordWrap w:val="0"/>
                    <w:overflowPunct/>
                    <w:topLinePunct w:val="0"/>
                    <w:autoSpaceDE w:val="0"/>
                    <w:autoSpaceDN w:val="0"/>
                    <w:bidi w:val="0"/>
                    <w:adjustRightInd/>
                    <w:spacing w:line="240" w:lineRule="auto"/>
                    <w:jc w:val="both"/>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lang w:val="en-US" w:eastAsia="zh-CN" w:bidi="ar-SA"/>
                    </w:rPr>
                    <w:t>25m</w:t>
                  </w:r>
                  <w:r>
                    <w:rPr>
                      <w:rFonts w:hint="default" w:ascii="Times New Roman" w:hAnsi="Times New Roman" w:cs="Times New Roman"/>
                      <w:color w:val="auto"/>
                      <w:position w:val="-10"/>
                      <w:sz w:val="21"/>
                      <w:szCs w:val="21"/>
                      <w:vertAlign w:val="superscript"/>
                      <w:lang w:val="en-US" w:eastAsia="zh-CN" w:bidi="ar-SA"/>
                    </w:rPr>
                    <w:t>2</w:t>
                  </w:r>
                </w:p>
              </w:tc>
              <w:tc>
                <w:tcPr>
                  <w:tcW w:w="629" w:type="pct"/>
                  <w:vMerge w:val="restart"/>
                  <w:vAlign w:val="center"/>
                </w:tcPr>
                <w:p w14:paraId="701DEB1B">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采用密闭性好、耐腐蚀的塑料容器封存</w:t>
                  </w:r>
                </w:p>
              </w:tc>
              <w:tc>
                <w:tcPr>
                  <w:tcW w:w="401" w:type="pct"/>
                  <w:vMerge w:val="restart"/>
                  <w:vAlign w:val="center"/>
                </w:tcPr>
                <w:p w14:paraId="7F03027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50t</w:t>
                  </w:r>
                </w:p>
              </w:tc>
              <w:tc>
                <w:tcPr>
                  <w:tcW w:w="463" w:type="pct"/>
                  <w:vMerge w:val="restart"/>
                  <w:vAlign w:val="center"/>
                </w:tcPr>
                <w:p w14:paraId="5F36640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2个月</w:t>
                  </w:r>
                </w:p>
              </w:tc>
            </w:tr>
            <w:tr w14:paraId="0B28A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2342889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369" w:type="dxa"/>
                  <w:vAlign w:val="center"/>
                </w:tcPr>
                <w:p w14:paraId="443FE7A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废油桶</w:t>
                  </w:r>
                </w:p>
              </w:tc>
              <w:tc>
                <w:tcPr>
                  <w:tcW w:w="826" w:type="dxa"/>
                  <w:vAlign w:val="center"/>
                </w:tcPr>
                <w:p w14:paraId="2598F50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HW08</w:t>
                  </w:r>
                </w:p>
              </w:tc>
              <w:tc>
                <w:tcPr>
                  <w:tcW w:w="1264" w:type="dxa"/>
                  <w:vAlign w:val="center"/>
                </w:tcPr>
                <w:p w14:paraId="2A650F4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900-249-08</w:t>
                  </w:r>
                </w:p>
              </w:tc>
              <w:tc>
                <w:tcPr>
                  <w:tcW w:w="423" w:type="pct"/>
                  <w:vMerge w:val="continue"/>
                  <w:vAlign w:val="center"/>
                </w:tcPr>
                <w:p w14:paraId="6344DCF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1E62760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33E4DAE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26FC2C8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1BB74C54">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44532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393811B9">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369" w:type="dxa"/>
                  <w:vAlign w:val="center"/>
                </w:tcPr>
                <w:p w14:paraId="212F6C5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废机油</w:t>
                  </w:r>
                </w:p>
              </w:tc>
              <w:tc>
                <w:tcPr>
                  <w:tcW w:w="826" w:type="dxa"/>
                  <w:vAlign w:val="center"/>
                </w:tcPr>
                <w:p w14:paraId="3C62B8C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HW08</w:t>
                  </w:r>
                </w:p>
              </w:tc>
              <w:tc>
                <w:tcPr>
                  <w:tcW w:w="1264" w:type="dxa"/>
                  <w:vAlign w:val="center"/>
                </w:tcPr>
                <w:p w14:paraId="4F089FE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900-249-08</w:t>
                  </w:r>
                </w:p>
              </w:tc>
              <w:tc>
                <w:tcPr>
                  <w:tcW w:w="423" w:type="pct"/>
                  <w:vMerge w:val="continue"/>
                  <w:vAlign w:val="center"/>
                </w:tcPr>
                <w:p w14:paraId="66D78DE2">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4DDEC929">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4B67BD2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028E84A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745C6D9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1E2D0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12428AF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369" w:type="dxa"/>
                  <w:vAlign w:val="center"/>
                </w:tcPr>
                <w:p w14:paraId="27FB066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废抹布</w:t>
                  </w:r>
                </w:p>
              </w:tc>
              <w:tc>
                <w:tcPr>
                  <w:tcW w:w="826" w:type="dxa"/>
                  <w:vAlign w:val="center"/>
                </w:tcPr>
                <w:p w14:paraId="1AD8B8B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HW49</w:t>
                  </w:r>
                </w:p>
              </w:tc>
              <w:tc>
                <w:tcPr>
                  <w:tcW w:w="1264" w:type="dxa"/>
                  <w:vAlign w:val="center"/>
                </w:tcPr>
                <w:p w14:paraId="559CE2D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900-041-49</w:t>
                  </w:r>
                </w:p>
              </w:tc>
              <w:tc>
                <w:tcPr>
                  <w:tcW w:w="423" w:type="pct"/>
                  <w:vMerge w:val="continue"/>
                  <w:vAlign w:val="center"/>
                </w:tcPr>
                <w:p w14:paraId="6542A9B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5F8027B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1F50BB9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6B0A7F9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4104C225">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04001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4E3F22C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369" w:type="dxa"/>
                  <w:vAlign w:val="center"/>
                </w:tcPr>
                <w:p w14:paraId="75B8D89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喷枪清洗废液</w:t>
                  </w:r>
                </w:p>
              </w:tc>
              <w:tc>
                <w:tcPr>
                  <w:tcW w:w="826" w:type="dxa"/>
                  <w:vAlign w:val="center"/>
                </w:tcPr>
                <w:p w14:paraId="0AAF6D0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HW12</w:t>
                  </w:r>
                </w:p>
              </w:tc>
              <w:tc>
                <w:tcPr>
                  <w:tcW w:w="1264" w:type="dxa"/>
                  <w:vAlign w:val="center"/>
                </w:tcPr>
                <w:p w14:paraId="2657EAB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900-250-12</w:t>
                  </w:r>
                </w:p>
              </w:tc>
              <w:tc>
                <w:tcPr>
                  <w:tcW w:w="423" w:type="pct"/>
                  <w:vMerge w:val="continue"/>
                  <w:vAlign w:val="center"/>
                </w:tcPr>
                <w:p w14:paraId="0425FAD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092846B2">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3C9C36DC">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7AF8E7D9">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7B456B5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5B293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7ED47505">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369" w:type="dxa"/>
                  <w:vAlign w:val="center"/>
                </w:tcPr>
                <w:p w14:paraId="5A2BC3D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漆渣</w:t>
                  </w:r>
                </w:p>
              </w:tc>
              <w:tc>
                <w:tcPr>
                  <w:tcW w:w="826" w:type="dxa"/>
                  <w:vAlign w:val="center"/>
                </w:tcPr>
                <w:p w14:paraId="04B9082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HW12</w:t>
                  </w:r>
                </w:p>
              </w:tc>
              <w:tc>
                <w:tcPr>
                  <w:tcW w:w="1264" w:type="dxa"/>
                  <w:vAlign w:val="center"/>
                </w:tcPr>
                <w:p w14:paraId="498EA14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900-252-12</w:t>
                  </w:r>
                </w:p>
              </w:tc>
              <w:tc>
                <w:tcPr>
                  <w:tcW w:w="423" w:type="pct"/>
                  <w:vMerge w:val="continue"/>
                  <w:vAlign w:val="center"/>
                </w:tcPr>
                <w:p w14:paraId="3CECD5C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6B4C3D7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09B2EE48">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07BA45FC">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20E736B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5B108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1DB249A9">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369" w:type="dxa"/>
                  <w:vAlign w:val="center"/>
                </w:tcPr>
                <w:p w14:paraId="2B02E1A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喷漆废水</w:t>
                  </w:r>
                </w:p>
              </w:tc>
              <w:tc>
                <w:tcPr>
                  <w:tcW w:w="826" w:type="dxa"/>
                  <w:vAlign w:val="center"/>
                </w:tcPr>
                <w:p w14:paraId="50BF5E8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HW12</w:t>
                  </w:r>
                </w:p>
              </w:tc>
              <w:tc>
                <w:tcPr>
                  <w:tcW w:w="1264" w:type="dxa"/>
                  <w:vAlign w:val="center"/>
                </w:tcPr>
                <w:p w14:paraId="5765ABB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900-250-12</w:t>
                  </w:r>
                </w:p>
              </w:tc>
              <w:tc>
                <w:tcPr>
                  <w:tcW w:w="423" w:type="pct"/>
                  <w:vMerge w:val="continue"/>
                  <w:vAlign w:val="center"/>
                </w:tcPr>
                <w:p w14:paraId="06EBA2C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46DD1BB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2BBD917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64630EF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2DCABDB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4667C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7878767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369" w:type="dxa"/>
                  <w:vAlign w:val="center"/>
                </w:tcPr>
                <w:p w14:paraId="2F870AA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废过滤棉</w:t>
                  </w:r>
                </w:p>
              </w:tc>
              <w:tc>
                <w:tcPr>
                  <w:tcW w:w="826" w:type="dxa"/>
                  <w:vAlign w:val="center"/>
                </w:tcPr>
                <w:p w14:paraId="1DC99A6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HW49</w:t>
                  </w:r>
                </w:p>
              </w:tc>
              <w:tc>
                <w:tcPr>
                  <w:tcW w:w="1264" w:type="dxa"/>
                  <w:vAlign w:val="center"/>
                </w:tcPr>
                <w:p w14:paraId="156A976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900-041-49</w:t>
                  </w:r>
                </w:p>
              </w:tc>
              <w:tc>
                <w:tcPr>
                  <w:tcW w:w="423" w:type="pct"/>
                  <w:vMerge w:val="continue"/>
                  <w:vAlign w:val="center"/>
                </w:tcPr>
                <w:p w14:paraId="7821F71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3F34138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621CFAB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220372CC">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42D5425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5ABD6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7D0C34A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369" w:type="dxa"/>
                  <w:vAlign w:val="center"/>
                </w:tcPr>
                <w:p w14:paraId="0AB96B5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废活性炭</w:t>
                  </w:r>
                </w:p>
              </w:tc>
              <w:tc>
                <w:tcPr>
                  <w:tcW w:w="826" w:type="dxa"/>
                  <w:vAlign w:val="center"/>
                </w:tcPr>
                <w:p w14:paraId="63E73D7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HW49</w:t>
                  </w:r>
                </w:p>
              </w:tc>
              <w:tc>
                <w:tcPr>
                  <w:tcW w:w="1264" w:type="dxa"/>
                  <w:vAlign w:val="center"/>
                </w:tcPr>
                <w:p w14:paraId="7709455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900-039-49</w:t>
                  </w:r>
                </w:p>
              </w:tc>
              <w:tc>
                <w:tcPr>
                  <w:tcW w:w="423" w:type="pct"/>
                  <w:vMerge w:val="continue"/>
                  <w:vAlign w:val="center"/>
                </w:tcPr>
                <w:p w14:paraId="5F89E2A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3B632ED5">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5AC51EA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7D5BC4A9">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0C605FD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bl>
          <w:p w14:paraId="3EC68993">
            <w:pPr>
              <w:keepNext/>
              <w:keepLines/>
              <w:pageBreakBefore w:val="0"/>
              <w:tabs>
                <w:tab w:val="left" w:pos="0"/>
              </w:tabs>
              <w:wordWrap w:val="0"/>
              <w:overflowPunct/>
              <w:bidi w:val="0"/>
              <w:ind w:left="480"/>
              <w:outlineLvl w:val="4"/>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（3）转运、处置</w:t>
            </w:r>
          </w:p>
          <w:bookmarkEnd w:id="108"/>
          <w:p w14:paraId="4E8D8B62">
            <w:pPr>
              <w:pageBreakBefore w:val="0"/>
              <w:widowControl w:val="0"/>
              <w:wordWrap w:val="0"/>
              <w:overflowPunct/>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项目内部无利用或处置危险废物的能力和设施，需要委托具有危险废物处理资质的单位处置。根据广东省生态环境厅危险废物经营许可证颁发情况（截至202</w:t>
            </w:r>
            <w:r>
              <w:rPr>
                <w:rFonts w:hint="default" w:ascii="Times New Roman" w:hAnsi="Times New Roman" w:cs="Times New Roman"/>
                <w:color w:val="auto"/>
                <w:kern w:val="2"/>
                <w:sz w:val="24"/>
                <w:szCs w:val="24"/>
                <w:highlight w:val="none"/>
                <w:lang w:val="en-US" w:eastAsia="zh-CN" w:bidi="ar-SA"/>
              </w:rPr>
              <w:t>4</w:t>
            </w:r>
            <w:r>
              <w:rPr>
                <w:rFonts w:hint="default" w:ascii="Times New Roman" w:hAnsi="Times New Roman" w:eastAsia="宋体" w:cs="Times New Roman"/>
                <w:color w:val="auto"/>
                <w:kern w:val="2"/>
                <w:sz w:val="24"/>
                <w:szCs w:val="24"/>
                <w:highlight w:val="none"/>
                <w:lang w:val="en-US" w:eastAsia="zh-CN" w:bidi="ar-SA"/>
              </w:rPr>
              <w:t>年</w:t>
            </w:r>
            <w:r>
              <w:rPr>
                <w:rFonts w:hint="default" w:ascii="Times New Roman" w:hAnsi="Times New Roman" w:cs="Times New Roman"/>
                <w:color w:val="auto"/>
                <w:kern w:val="2"/>
                <w:sz w:val="24"/>
                <w:szCs w:val="24"/>
                <w:highlight w:val="none"/>
                <w:lang w:val="en-US" w:eastAsia="zh-CN" w:bidi="ar-SA"/>
              </w:rPr>
              <w:t>8</w:t>
            </w:r>
            <w:r>
              <w:rPr>
                <w:rFonts w:hint="default" w:ascii="Times New Roman" w:hAnsi="Times New Roman" w:eastAsia="宋体" w:cs="Times New Roman"/>
                <w:color w:val="auto"/>
                <w:kern w:val="2"/>
                <w:sz w:val="24"/>
                <w:szCs w:val="24"/>
                <w:highlight w:val="none"/>
                <w:lang w:val="en-US" w:eastAsia="zh-CN" w:bidi="ar-SA"/>
              </w:rPr>
              <w:t>月30日），广东省有可以处置本项目危险废物的企业，处理能力充足。建设单位可直接委托其转移处理。</w:t>
            </w:r>
          </w:p>
          <w:p w14:paraId="0E5FA302">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lang w:val="en-US" w:eastAsia="zh-CN"/>
              </w:rPr>
            </w:pPr>
            <w:r>
              <w:rPr>
                <w:rFonts w:hint="default" w:ascii="Times New Roman" w:hAnsi="Times New Roman" w:cs="Times New Roman"/>
                <w:b/>
                <w:color w:val="auto"/>
                <w:lang w:val="en-US" w:eastAsia="zh-CN"/>
              </w:rPr>
              <w:t>广东省内可接收本项目危险废物的处理单位一览表（摘录）</w:t>
            </w:r>
          </w:p>
          <w:tbl>
            <w:tblPr>
              <w:tblStyle w:val="37"/>
              <w:tblW w:w="87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38"/>
              <w:gridCol w:w="1093"/>
              <w:gridCol w:w="976"/>
              <w:gridCol w:w="706"/>
              <w:gridCol w:w="967"/>
              <w:gridCol w:w="4630"/>
            </w:tblGrid>
            <w:tr w14:paraId="03E03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45CB2290">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627" w:type="pct"/>
                  <w:vAlign w:val="center"/>
                </w:tcPr>
                <w:p w14:paraId="56FE56E7">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企业名称</w:t>
                  </w:r>
                </w:p>
              </w:tc>
              <w:tc>
                <w:tcPr>
                  <w:tcW w:w="560" w:type="pct"/>
                  <w:vAlign w:val="center"/>
                </w:tcPr>
                <w:p w14:paraId="6AB79CA6">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设施地址</w:t>
                  </w:r>
                </w:p>
              </w:tc>
              <w:tc>
                <w:tcPr>
                  <w:tcW w:w="405" w:type="pct"/>
                  <w:vAlign w:val="center"/>
                </w:tcPr>
                <w:p w14:paraId="22727861">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许可证编号</w:t>
                  </w:r>
                </w:p>
              </w:tc>
              <w:tc>
                <w:tcPr>
                  <w:tcW w:w="555" w:type="pct"/>
                  <w:vAlign w:val="center"/>
                </w:tcPr>
                <w:p w14:paraId="768488D4">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经营时间有效期</w:t>
                  </w:r>
                </w:p>
              </w:tc>
              <w:tc>
                <w:tcPr>
                  <w:tcW w:w="2657" w:type="pct"/>
                  <w:vAlign w:val="center"/>
                </w:tcPr>
                <w:p w14:paraId="4D349A35">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核准经营范围、类别</w:t>
                  </w:r>
                </w:p>
              </w:tc>
            </w:tr>
            <w:tr w14:paraId="1BCF2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0E8CF02B">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627" w:type="pct"/>
                  <w:vAlign w:val="center"/>
                </w:tcPr>
                <w:p w14:paraId="03B312C5">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广东中耀环境科技有限公司</w:t>
                  </w:r>
                </w:p>
              </w:tc>
              <w:tc>
                <w:tcPr>
                  <w:tcW w:w="560" w:type="pct"/>
                  <w:vAlign w:val="center"/>
                </w:tcPr>
                <w:p w14:paraId="2C20D1DC">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韶关市曲江区白土镇兴园南路18号</w:t>
                  </w:r>
                </w:p>
              </w:tc>
              <w:tc>
                <w:tcPr>
                  <w:tcW w:w="405" w:type="pct"/>
                  <w:vAlign w:val="center"/>
                </w:tcPr>
                <w:p w14:paraId="35D3701D">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440205230524</w:t>
                  </w:r>
                </w:p>
              </w:tc>
              <w:tc>
                <w:tcPr>
                  <w:tcW w:w="555" w:type="pct"/>
                  <w:vAlign w:val="center"/>
                </w:tcPr>
                <w:p w14:paraId="7A567F0B">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lang w:val="en-US" w:eastAsia="zh-CN" w:bidi="ar-SA"/>
                    </w:rPr>
                    <w:t>至202</w:t>
                  </w:r>
                  <w:r>
                    <w:rPr>
                      <w:rFonts w:hint="default" w:ascii="Times New Roman" w:hAnsi="Times New Roman" w:cs="Times New Roman"/>
                      <w:color w:val="auto"/>
                      <w:kern w:val="2"/>
                      <w:sz w:val="21"/>
                      <w:szCs w:val="21"/>
                      <w:highlight w:val="none"/>
                      <w:lang w:val="en-US" w:eastAsia="zh-CN" w:bidi="ar-SA"/>
                    </w:rPr>
                    <w:t>9</w:t>
                  </w:r>
                  <w:r>
                    <w:rPr>
                      <w:rFonts w:hint="default" w:ascii="Times New Roman" w:hAnsi="Times New Roman" w:eastAsia="宋体" w:cs="Times New Roman"/>
                      <w:color w:val="auto"/>
                      <w:kern w:val="2"/>
                      <w:sz w:val="21"/>
                      <w:szCs w:val="21"/>
                      <w:highlight w:val="none"/>
                      <w:lang w:val="en-US" w:eastAsia="zh-CN" w:bidi="ar-SA"/>
                    </w:rPr>
                    <w:t>年</w:t>
                  </w:r>
                  <w:r>
                    <w:rPr>
                      <w:rFonts w:hint="default" w:ascii="Times New Roman" w:hAnsi="Times New Roman" w:cs="Times New Roman"/>
                      <w:color w:val="auto"/>
                      <w:kern w:val="2"/>
                      <w:sz w:val="21"/>
                      <w:szCs w:val="21"/>
                      <w:highlight w:val="none"/>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月</w:t>
                  </w:r>
                  <w:r>
                    <w:rPr>
                      <w:rFonts w:hint="default" w:ascii="Times New Roman" w:hAnsi="Times New Roman" w:cs="Times New Roman"/>
                      <w:color w:val="auto"/>
                      <w:kern w:val="2"/>
                      <w:sz w:val="21"/>
                      <w:szCs w:val="21"/>
                      <w:highlight w:val="none"/>
                      <w:lang w:val="en-US" w:eastAsia="zh-CN" w:bidi="ar-SA"/>
                    </w:rPr>
                    <w:t>17</w:t>
                  </w:r>
                  <w:r>
                    <w:rPr>
                      <w:rFonts w:hint="default" w:ascii="Times New Roman" w:hAnsi="Times New Roman" w:eastAsia="宋体" w:cs="Times New Roman"/>
                      <w:color w:val="auto"/>
                      <w:kern w:val="2"/>
                      <w:sz w:val="21"/>
                      <w:szCs w:val="21"/>
                      <w:highlight w:val="none"/>
                      <w:lang w:val="en-US" w:eastAsia="zh-CN" w:bidi="ar-SA"/>
                    </w:rPr>
                    <w:t>日</w:t>
                  </w:r>
                </w:p>
              </w:tc>
              <w:tc>
                <w:tcPr>
                  <w:tcW w:w="2657" w:type="pct"/>
                  <w:vAlign w:val="center"/>
                </w:tcPr>
                <w:p w14:paraId="0B8F6C73">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【收集、贮存、处置（物化处理）】废有机溶剂与含有机溶剂废物（HW06类中900-404-06）3000吨/年、废矿物油与含矿物油废物（HW08类中251-001-08）3000吨/年、油/水、烃/水混合物或乳化液（HW09类）9000吨/年、染料、</w:t>
                  </w:r>
                  <w:r>
                    <w:rPr>
                      <w:rFonts w:hint="default" w:ascii="Times New Roman" w:hAnsi="Times New Roman" w:eastAsia="宋体" w:cs="Times New Roman"/>
                      <w:b/>
                      <w:bCs/>
                      <w:color w:val="auto"/>
                      <w:kern w:val="2"/>
                      <w:sz w:val="21"/>
                      <w:szCs w:val="21"/>
                      <w:highlight w:val="none"/>
                      <w:shd w:val="clear" w:color="auto" w:fill="FFFFFF"/>
                      <w:lang w:val="en-US" w:eastAsia="zh-CN" w:bidi="ar-SA"/>
                    </w:rPr>
                    <w:t>涂料废物（HW12类</w:t>
                  </w:r>
                  <w:r>
                    <w:rPr>
                      <w:rFonts w:hint="default" w:ascii="Times New Roman" w:hAnsi="Times New Roman" w:eastAsia="宋体" w:cs="Times New Roman"/>
                      <w:color w:val="auto"/>
                      <w:kern w:val="2"/>
                      <w:sz w:val="21"/>
                      <w:szCs w:val="21"/>
                      <w:highlight w:val="none"/>
                      <w:shd w:val="clear" w:color="auto" w:fill="FFFFFF"/>
                      <w:lang w:val="en-US" w:eastAsia="zh-CN" w:bidi="ar-SA"/>
                    </w:rPr>
                    <w:t>中264-011-12、</w:t>
                  </w:r>
                  <w:r>
                    <w:rPr>
                      <w:rFonts w:hint="default" w:ascii="Times New Roman" w:hAnsi="Times New Roman" w:eastAsia="宋体" w:cs="Times New Roman"/>
                      <w:b/>
                      <w:bCs/>
                      <w:color w:val="auto"/>
                      <w:kern w:val="2"/>
                      <w:sz w:val="21"/>
                      <w:szCs w:val="21"/>
                      <w:highlight w:val="none"/>
                      <w:shd w:val="clear" w:color="auto" w:fill="FFFFFF"/>
                      <w:lang w:val="en-US" w:eastAsia="zh-CN" w:bidi="ar-SA"/>
                    </w:rPr>
                    <w:t>900-252~253-12</w:t>
                  </w:r>
                  <w:r>
                    <w:rPr>
                      <w:rFonts w:hint="default" w:ascii="Times New Roman" w:hAnsi="Times New Roman" w:eastAsia="宋体" w:cs="Times New Roman"/>
                      <w:color w:val="auto"/>
                      <w:kern w:val="2"/>
                      <w:sz w:val="21"/>
                      <w:szCs w:val="21"/>
                      <w:highlight w:val="none"/>
                      <w:shd w:val="clear" w:color="auto" w:fill="FFFFFF"/>
                      <w:lang w:val="en-US" w:eastAsia="zh-CN" w:bidi="ar-SA"/>
                    </w:rPr>
                    <w:t>、900-255~256-12，限液态）5000吨/年、表面处理废物（HW17类中336-052~053-17、336-056-17，限液态）15000吨/年、无机氟化物废物（HW32类中900-026-32）5000吨/年、废酸（HW34类中251-014-34、264-013-34、261-058-34、313-001-34、336-105-34、398-005~007-34、900-300~308-34、900-349-34，限液态）5000吨/年、废碱（HW35类，限液态）5000吨/年、其他废物（HW49类中900-047-49，限液态）2000吨/年，共计52000吨/年。</w:t>
                  </w:r>
                </w:p>
              </w:tc>
            </w:tr>
            <w:tr w14:paraId="08EA5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94" w:type="pct"/>
                  <w:vAlign w:val="center"/>
                </w:tcPr>
                <w:p w14:paraId="482A270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627" w:type="pct"/>
                  <w:vAlign w:val="center"/>
                </w:tcPr>
                <w:p w14:paraId="509499F2">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韶关东江环保再生资源发展有限公司</w:t>
                  </w:r>
                </w:p>
              </w:tc>
              <w:tc>
                <w:tcPr>
                  <w:tcW w:w="560" w:type="pct"/>
                  <w:vAlign w:val="center"/>
                </w:tcPr>
                <w:p w14:paraId="5C8DF2DB">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韶关市翁源县铁龙林场</w:t>
                  </w:r>
                </w:p>
              </w:tc>
              <w:tc>
                <w:tcPr>
                  <w:tcW w:w="405" w:type="pct"/>
                  <w:vAlign w:val="center"/>
                </w:tcPr>
                <w:p w14:paraId="106C11E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440229141010</w:t>
                  </w:r>
                </w:p>
              </w:tc>
              <w:tc>
                <w:tcPr>
                  <w:tcW w:w="555" w:type="pct"/>
                  <w:vAlign w:val="center"/>
                </w:tcPr>
                <w:p w14:paraId="79934938">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至202</w:t>
                  </w:r>
                  <w:r>
                    <w:rPr>
                      <w:rFonts w:hint="default" w:ascii="Times New Roman" w:hAnsi="Times New Roman" w:cs="Times New Roman"/>
                      <w:color w:val="auto"/>
                      <w:kern w:val="2"/>
                      <w:sz w:val="21"/>
                      <w:szCs w:val="21"/>
                      <w:highlight w:val="none"/>
                      <w:lang w:val="en-US" w:eastAsia="zh-CN" w:bidi="ar-SA"/>
                    </w:rPr>
                    <w:t>9</w:t>
                  </w:r>
                  <w:r>
                    <w:rPr>
                      <w:rFonts w:hint="default" w:ascii="Times New Roman" w:hAnsi="Times New Roman" w:eastAsia="宋体" w:cs="Times New Roman"/>
                      <w:color w:val="auto"/>
                      <w:kern w:val="2"/>
                      <w:sz w:val="21"/>
                      <w:szCs w:val="21"/>
                      <w:highlight w:val="none"/>
                      <w:lang w:val="en-US" w:eastAsia="zh-CN" w:bidi="ar-SA"/>
                    </w:rPr>
                    <w:t>年</w:t>
                  </w:r>
                  <w:r>
                    <w:rPr>
                      <w:rFonts w:hint="default" w:ascii="Times New Roman" w:hAnsi="Times New Roman" w:cs="Times New Roman"/>
                      <w:color w:val="auto"/>
                      <w:kern w:val="2"/>
                      <w:sz w:val="21"/>
                      <w:szCs w:val="21"/>
                      <w:highlight w:val="none"/>
                      <w:lang w:val="en-US" w:eastAsia="zh-CN" w:bidi="ar-SA"/>
                    </w:rPr>
                    <w:t>1</w:t>
                  </w:r>
                  <w:r>
                    <w:rPr>
                      <w:rFonts w:hint="default" w:ascii="Times New Roman" w:hAnsi="Times New Roman" w:eastAsia="宋体" w:cs="Times New Roman"/>
                      <w:color w:val="auto"/>
                      <w:kern w:val="2"/>
                      <w:sz w:val="21"/>
                      <w:szCs w:val="21"/>
                      <w:highlight w:val="none"/>
                      <w:lang w:val="en-US" w:eastAsia="zh-CN" w:bidi="ar-SA"/>
                    </w:rPr>
                    <w:t>月</w:t>
                  </w:r>
                  <w:r>
                    <w:rPr>
                      <w:rFonts w:hint="default" w:ascii="Times New Roman" w:hAnsi="Times New Roman" w:cs="Times New Roman"/>
                      <w:color w:val="auto"/>
                      <w:kern w:val="2"/>
                      <w:sz w:val="21"/>
                      <w:szCs w:val="21"/>
                      <w:highlight w:val="none"/>
                      <w:lang w:val="en-US" w:eastAsia="zh-CN" w:bidi="ar-SA"/>
                    </w:rPr>
                    <w:t>9</w:t>
                  </w:r>
                  <w:r>
                    <w:rPr>
                      <w:rFonts w:hint="default" w:ascii="Times New Roman" w:hAnsi="Times New Roman" w:eastAsia="宋体" w:cs="Times New Roman"/>
                      <w:color w:val="auto"/>
                      <w:kern w:val="2"/>
                      <w:sz w:val="21"/>
                      <w:szCs w:val="21"/>
                      <w:highlight w:val="none"/>
                      <w:lang w:val="en-US" w:eastAsia="zh-CN" w:bidi="ar-SA"/>
                    </w:rPr>
                    <w:t>日</w:t>
                  </w:r>
                </w:p>
              </w:tc>
              <w:tc>
                <w:tcPr>
                  <w:tcW w:w="2657" w:type="pct"/>
                  <w:vAlign w:val="center"/>
                </w:tcPr>
                <w:p w14:paraId="3BB880A5">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【收集、贮存、处置（焚烧）】农药废物（HW04类）、木材防腐剂废物（HW05类）、废有机溶剂与含有机溶剂废物（HW06类，不包括900-401~402-06、900-404-06）、热处理含氰废物（HW07类）、</w:t>
                  </w:r>
                  <w:r>
                    <w:rPr>
                      <w:rFonts w:hint="default" w:ascii="Times New Roman" w:hAnsi="Times New Roman" w:eastAsia="宋体" w:cs="Times New Roman"/>
                      <w:b/>
                      <w:bCs/>
                      <w:color w:val="auto"/>
                      <w:kern w:val="2"/>
                      <w:sz w:val="21"/>
                      <w:szCs w:val="21"/>
                      <w:highlight w:val="none"/>
                      <w:shd w:val="clear" w:color="auto" w:fill="FFFFFF"/>
                      <w:lang w:val="en-US" w:eastAsia="zh-CN" w:bidi="ar-SA"/>
                    </w:rPr>
                    <w:t>废矿物油与含矿物油废物（HW08类，不包括沾染矿物油的废铁桶）</w:t>
                  </w:r>
                  <w:r>
                    <w:rPr>
                      <w:rFonts w:hint="default" w:ascii="Times New Roman" w:hAnsi="Times New Roman" w:eastAsia="宋体" w:cs="Times New Roman"/>
                      <w:color w:val="auto"/>
                      <w:kern w:val="2"/>
                      <w:sz w:val="21"/>
                      <w:szCs w:val="21"/>
                      <w:highlight w:val="none"/>
                      <w:shd w:val="clear" w:color="auto" w:fill="FFFFFF"/>
                      <w:lang w:val="en-US" w:eastAsia="zh-CN" w:bidi="ar-SA"/>
                    </w:rPr>
                    <w:t>、精（蒸）馏残渣（HW11类）、染料、涂料废物（HW12类）、有机树脂类废物（HW13类，不包括900-451-13）、感光材料废物（HW16类）、有机磷化合物废物（HW37类）、有机氰化物废物（HW38类）、含酚废物（HW39类）、含醚废物（HW40类）、含有机卤化物废物（HW45类）、其他废物（</w:t>
                  </w:r>
                  <w:r>
                    <w:rPr>
                      <w:rFonts w:hint="default" w:ascii="Times New Roman" w:hAnsi="Times New Roman" w:eastAsia="宋体" w:cs="Times New Roman"/>
                      <w:b/>
                      <w:bCs/>
                      <w:color w:val="auto"/>
                      <w:kern w:val="2"/>
                      <w:sz w:val="21"/>
                      <w:szCs w:val="21"/>
                      <w:highlight w:val="none"/>
                      <w:shd w:val="clear" w:color="auto" w:fill="FFFFFF"/>
                      <w:lang w:val="en-US" w:eastAsia="zh-CN" w:bidi="ar-SA"/>
                    </w:rPr>
                    <w:t>HW49类中的900-039-49、900-041-49，不包括废铁桶</w:t>
                  </w:r>
                  <w:r>
                    <w:rPr>
                      <w:rFonts w:hint="default" w:ascii="Times New Roman" w:hAnsi="Times New Roman" w:eastAsia="宋体" w:cs="Times New Roman"/>
                      <w:color w:val="auto"/>
                      <w:kern w:val="2"/>
                      <w:sz w:val="21"/>
                      <w:szCs w:val="21"/>
                      <w:highlight w:val="none"/>
                      <w:shd w:val="clear" w:color="auto" w:fill="FFFFFF"/>
                      <w:lang w:val="en-US" w:eastAsia="zh-CN" w:bidi="ar-SA"/>
                    </w:rPr>
                    <w:t>），共9500吨/年。</w:t>
                  </w:r>
                </w:p>
              </w:tc>
            </w:tr>
            <w:tr w14:paraId="0EA25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4F174F8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627" w:type="pct"/>
                  <w:vAlign w:val="center"/>
                </w:tcPr>
                <w:p w14:paraId="3BD86E14">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广东华欣环保科技有限公司</w:t>
                  </w:r>
                </w:p>
              </w:tc>
              <w:tc>
                <w:tcPr>
                  <w:tcW w:w="560" w:type="pct"/>
                  <w:vAlign w:val="center"/>
                </w:tcPr>
                <w:p w14:paraId="7E51CF20">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韶关市曲江区广东韶钢松山股份有限公司厂区内</w:t>
                  </w:r>
                </w:p>
              </w:tc>
              <w:tc>
                <w:tcPr>
                  <w:tcW w:w="405" w:type="pct"/>
                  <w:vAlign w:val="center"/>
                </w:tcPr>
                <w:p w14:paraId="0CB7A1BE">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440205220412</w:t>
                  </w:r>
                </w:p>
              </w:tc>
              <w:tc>
                <w:tcPr>
                  <w:tcW w:w="555" w:type="pct"/>
                  <w:vAlign w:val="center"/>
                </w:tcPr>
                <w:p w14:paraId="66027EB0">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至2028年4月9日</w:t>
                  </w:r>
                </w:p>
              </w:tc>
              <w:tc>
                <w:tcPr>
                  <w:tcW w:w="2657" w:type="pct"/>
                  <w:vAlign w:val="center"/>
                </w:tcPr>
                <w:p w14:paraId="3B4E73D1">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【收集、贮存、利用】废矿物油与含矿物油废物（</w:t>
                  </w:r>
                  <w:r>
                    <w:rPr>
                      <w:rFonts w:hint="default" w:ascii="Times New Roman" w:hAnsi="Times New Roman" w:eastAsia="宋体" w:cs="Times New Roman"/>
                      <w:b/>
                      <w:bCs/>
                      <w:color w:val="auto"/>
                      <w:kern w:val="2"/>
                      <w:sz w:val="21"/>
                      <w:szCs w:val="21"/>
                      <w:highlight w:val="none"/>
                      <w:shd w:val="clear" w:color="auto" w:fill="FFFFFF"/>
                      <w:lang w:val="en-US" w:eastAsia="zh-CN" w:bidi="ar-SA"/>
                    </w:rPr>
                    <w:t>HW08类中的900-249-08，仅限沾染矿物油的废铁质包装桶</w:t>
                  </w:r>
                  <w:r>
                    <w:rPr>
                      <w:rFonts w:hint="default" w:ascii="Times New Roman" w:hAnsi="Times New Roman" w:eastAsia="宋体" w:cs="Times New Roman"/>
                      <w:color w:val="auto"/>
                      <w:kern w:val="2"/>
                      <w:sz w:val="21"/>
                      <w:szCs w:val="21"/>
                      <w:highlight w:val="none"/>
                      <w:shd w:val="clear" w:color="auto" w:fill="FFFFFF"/>
                      <w:lang w:val="en-US" w:eastAsia="zh-CN" w:bidi="ar-SA"/>
                    </w:rPr>
                    <w:t xml:space="preserve"> ）1.8万吨/年、其他废物（</w:t>
                  </w:r>
                  <w:r>
                    <w:rPr>
                      <w:rFonts w:hint="default" w:ascii="Times New Roman" w:hAnsi="Times New Roman" w:eastAsia="宋体" w:cs="Times New Roman"/>
                      <w:b/>
                      <w:bCs/>
                      <w:color w:val="auto"/>
                      <w:kern w:val="2"/>
                      <w:sz w:val="21"/>
                      <w:szCs w:val="21"/>
                      <w:highlight w:val="none"/>
                      <w:shd w:val="clear" w:color="auto" w:fill="FFFFFF"/>
                      <w:lang w:val="en-US" w:eastAsia="zh-CN" w:bidi="ar-SA"/>
                    </w:rPr>
                    <w:t>HW49类中的900-041-49，仅限废铁质包装桶</w:t>
                  </w:r>
                  <w:r>
                    <w:rPr>
                      <w:rFonts w:hint="default" w:ascii="Times New Roman" w:hAnsi="Times New Roman" w:eastAsia="宋体" w:cs="Times New Roman"/>
                      <w:color w:val="auto"/>
                      <w:kern w:val="2"/>
                      <w:sz w:val="21"/>
                      <w:szCs w:val="21"/>
                      <w:highlight w:val="none"/>
                      <w:shd w:val="clear" w:color="auto" w:fill="FFFFFF"/>
                      <w:lang w:val="en-US" w:eastAsia="zh-CN" w:bidi="ar-SA"/>
                    </w:rPr>
                    <w:t>）3.2万吨/年、含铬废物（HW21类中的314-001~002-21）10万吨/年、含锌废物（HW23类中的312-001-23、336-103-23仅限集尘、除尘装置收集的粉尘）1万吨/年，共计16万吨/年。</w:t>
                  </w:r>
                </w:p>
              </w:tc>
            </w:tr>
          </w:tbl>
          <w:p w14:paraId="78B708A4">
            <w:pPr>
              <w:pageBreakBefore w:val="0"/>
              <w:widowControl w:val="0"/>
              <w:wordWrap w:val="0"/>
              <w:overflowPunct/>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本项目的危险废物性质较稳定，落实好上述措施后，从产生到转移处置的全过程环境风险均可得到有效控制，不存在重大隐患，不会对外部环境造成重大影响。</w:t>
            </w:r>
          </w:p>
          <w:p w14:paraId="46ECDBF4">
            <w:pPr>
              <w:keepNext/>
              <w:keepLines/>
              <w:pageBreakBefore w:val="0"/>
              <w:widowControl w:val="0"/>
              <w:numPr>
                <w:ilvl w:val="2"/>
                <w:numId w:val="0"/>
              </w:numPr>
              <w:wordWrap w:val="0"/>
              <w:overflowPunct/>
              <w:bidi w:val="0"/>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五、土壤、地下水环境影响分析</w:t>
            </w:r>
          </w:p>
          <w:p w14:paraId="4B6F20AC">
            <w:pPr>
              <w:pageBreakBefore w:val="0"/>
              <w:widowControl w:val="0"/>
              <w:wordWrap w:val="0"/>
              <w:overflowPunct/>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本项目厂区地面已全部硬化，危废间、</w:t>
            </w:r>
            <w:r>
              <w:rPr>
                <w:rFonts w:hint="default" w:ascii="Times New Roman" w:hAnsi="Times New Roman" w:cs="Times New Roman"/>
                <w:color w:val="auto"/>
                <w:kern w:val="2"/>
                <w:sz w:val="24"/>
                <w:szCs w:val="24"/>
                <w:highlight w:val="none"/>
                <w:lang w:val="en-US" w:eastAsia="zh-CN" w:bidi="ar-SA"/>
              </w:rPr>
              <w:t>物料仓库</w:t>
            </w:r>
            <w:r>
              <w:rPr>
                <w:rFonts w:hint="default" w:ascii="Times New Roman" w:hAnsi="Times New Roman" w:eastAsia="宋体" w:cs="Times New Roman"/>
                <w:color w:val="auto"/>
                <w:kern w:val="2"/>
                <w:sz w:val="24"/>
                <w:szCs w:val="24"/>
                <w:highlight w:val="none"/>
                <w:lang w:val="en-US" w:eastAsia="zh-CN" w:bidi="ar-SA"/>
              </w:rPr>
              <w:t>地面硬化，并刷环氧树脂漆防渗层、设置围堰，正常情况下可有效阻止地下水污染途径，对地下水环境不产生影响。本项目所采用的原辅材料组成不含重金属等土壤污染成分，对土壤环境影响极小。本项目厂区按照规范和要求对生产车间、仓库以及危险废物仓库等采取有效的防雨、防渗漏、防溢流等措施，生产车间和仓库已进行场地硬化，因此不进行土壤现状监测。</w:t>
            </w:r>
          </w:p>
          <w:p w14:paraId="68246996">
            <w:pPr>
              <w:pageBreakBefore w:val="0"/>
              <w:widowControl w:val="0"/>
              <w:wordWrap w:val="0"/>
              <w:overflowPunct/>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各原料组分不含有毒有害的重金属等污染物，也不涉及建设用地、农用地土壤污染风险筛选值和管制值的其他污染物，即项目不涉及土壤影响特征因子，不会引起土壤环境的盐化、酸化、碱化等生态环境变化，因此本次评价不做进一步的土壤累积影响预测。</w:t>
            </w:r>
          </w:p>
          <w:p w14:paraId="01D3216A">
            <w:pPr>
              <w:pageBreakBefore w:val="0"/>
              <w:widowControl w:val="0"/>
              <w:wordWrap w:val="0"/>
              <w:overflowPunct/>
              <w:autoSpaceDE w:val="0"/>
              <w:autoSpaceDN w:val="0"/>
              <w:bidi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分区管控：</w:t>
            </w:r>
          </w:p>
          <w:p w14:paraId="57D1553B">
            <w:pPr>
              <w:pageBreakBefore w:val="0"/>
              <w:widowControl w:val="0"/>
              <w:wordWrap w:val="0"/>
              <w:overflowPunct/>
              <w:bidi w:val="0"/>
              <w:spacing w:line="360" w:lineRule="auto"/>
              <w:ind w:left="0" w:firstLine="480" w:firstLineChars="200"/>
              <w:jc w:val="both"/>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①简单防渗区：办公室及无液态原料的区域仅进行一般地面硬化，无需进行防渗处理。</w:t>
            </w:r>
          </w:p>
          <w:p w14:paraId="6A79FAF7">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②一般防渗区：本项目不涉及重金属、持久性有机污染物，液态</w:t>
            </w:r>
            <w:r>
              <w:rPr>
                <w:rFonts w:hint="default" w:ascii="Times New Roman" w:hAnsi="Times New Roman" w:eastAsia="宋体" w:cs="Times New Roman"/>
                <w:color w:val="auto"/>
                <w:highlight w:val="none"/>
                <w:lang w:val="en-US" w:eastAsia="zh-CN"/>
              </w:rPr>
              <w:t>化学品</w:t>
            </w:r>
            <w:r>
              <w:rPr>
                <w:rFonts w:hint="default" w:ascii="Times New Roman" w:hAnsi="Times New Roman" w:eastAsia="宋体" w:cs="Times New Roman"/>
                <w:color w:val="auto"/>
                <w:highlight w:val="none"/>
              </w:rPr>
              <w:t>物料存在</w:t>
            </w:r>
            <w:r>
              <w:rPr>
                <w:rFonts w:hint="default" w:ascii="Times New Roman" w:hAnsi="Times New Roman" w:cs="Times New Roman"/>
                <w:color w:val="auto"/>
                <w:highlight w:val="none"/>
                <w:lang w:val="en-US" w:eastAsia="zh-CN"/>
              </w:rPr>
              <w:t>物料仓库</w:t>
            </w:r>
            <w:r>
              <w:rPr>
                <w:rFonts w:hint="default" w:ascii="Times New Roman" w:hAnsi="Times New Roman" w:eastAsia="宋体" w:cs="Times New Roman"/>
                <w:color w:val="auto"/>
                <w:highlight w:val="none"/>
              </w:rPr>
              <w:t>。因此对生产车间进行一般防渗处理，防渗要求按照等效黏土防渗层Mb≥1.5m，K≤1×10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cm/s或参照GB16889执行；</w:t>
            </w:r>
          </w:p>
          <w:p w14:paraId="41AAFA1A">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③重点防渗区：</w:t>
            </w:r>
            <w:r>
              <w:rPr>
                <w:rFonts w:hint="default" w:ascii="Times New Roman" w:hAnsi="Times New Roman" w:eastAsia="宋体" w:cs="Times New Roman"/>
                <w:color w:val="auto"/>
                <w:highlight w:val="none"/>
                <w:lang w:val="en-US" w:eastAsia="zh-CN"/>
              </w:rPr>
              <w:t>本项目</w:t>
            </w:r>
            <w:r>
              <w:rPr>
                <w:rFonts w:hint="default" w:ascii="Times New Roman" w:hAnsi="Times New Roman" w:eastAsia="宋体" w:cs="Times New Roman"/>
                <w:color w:val="auto"/>
                <w:highlight w:val="none"/>
              </w:rPr>
              <w:t>对</w:t>
            </w:r>
            <w:r>
              <w:rPr>
                <w:rFonts w:hint="default" w:ascii="Times New Roman" w:hAnsi="Times New Roman" w:cs="Times New Roman"/>
                <w:color w:val="auto"/>
                <w:highlight w:val="none"/>
                <w:lang w:val="en-US" w:eastAsia="zh-CN"/>
              </w:rPr>
              <w:t>物料仓库</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危废间进行重点防渗处理，要求按照等效黏土防渗层Mb≥6.0m，K≤1×10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cm/s或参照GB18598执行</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并设置围堰</w:t>
            </w:r>
            <w:r>
              <w:rPr>
                <w:rFonts w:hint="default" w:ascii="Times New Roman" w:hAnsi="Times New Roman" w:eastAsia="宋体" w:cs="Times New Roman"/>
                <w:color w:val="auto"/>
                <w:highlight w:val="none"/>
              </w:rPr>
              <w:t>。</w:t>
            </w:r>
          </w:p>
          <w:p w14:paraId="48D6A8A1">
            <w:pPr>
              <w:keepNext/>
              <w:keepLines/>
              <w:pageBreakBefore w:val="0"/>
              <w:tabs>
                <w:tab w:val="left" w:pos="0"/>
              </w:tabs>
              <w:wordWrap w:val="0"/>
              <w:overflowPunct/>
              <w:bidi w:val="0"/>
              <w:ind w:firstLine="480" w:firstLineChars="200"/>
              <w:outlineLvl w:val="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六、生态环境影响分析</w:t>
            </w:r>
          </w:p>
          <w:p w14:paraId="493CD18C">
            <w:pPr>
              <w:pageBreakBefore w:val="0"/>
              <w:wordWrap w:val="0"/>
              <w:overflowPunct/>
              <w:bidi w:val="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现场调查，项目周边500m范围内未发现珍稀、濒危植物，主要为人工绿化植物群落，植被覆盖率一般，无明显水土流失区；陆生动物以家禽、家畜为主；项目所在地周围100m范围内由于人为开发活动，已逐渐由自然生态环境转为城市人工生态环境，项目所在地属于非重要生境，没有特别受保护的生境和生物及水产资源，对周边生态环境影响较小。</w:t>
            </w:r>
          </w:p>
          <w:p w14:paraId="5E3D38A6">
            <w:pPr>
              <w:keepNext/>
              <w:keepLines/>
              <w:pageBreakBefore w:val="0"/>
              <w:tabs>
                <w:tab w:val="left" w:pos="0"/>
              </w:tabs>
              <w:wordWrap w:val="0"/>
              <w:overflowPunct/>
              <w:bidi w:val="0"/>
              <w:ind w:left="478"/>
              <w:outlineLvl w:val="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七、环境风险影响分析</w:t>
            </w:r>
          </w:p>
          <w:p w14:paraId="39308174">
            <w:pPr>
              <w:keepNext/>
              <w:keepLines/>
              <w:pageBreakBefore w:val="0"/>
              <w:tabs>
                <w:tab w:val="left" w:pos="0"/>
              </w:tabs>
              <w:wordWrap w:val="0"/>
              <w:overflowPunct/>
              <w:bidi w:val="0"/>
              <w:ind w:left="480" w:left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1、环境风险识别</w:t>
            </w:r>
          </w:p>
          <w:p w14:paraId="1CF78D31">
            <w:pPr>
              <w:pageBreakBefore w:val="0"/>
              <w:wordWrap w:val="0"/>
              <w:overflowPunct/>
              <w:bidi w:val="0"/>
              <w:ind w:firstLine="48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风险评价应以突发事故导致的危险物质环境急性损害防控为目标，对建设项目的环境风险进行分析、预测和评估，提出环境风险预防、控制、减缓措施，明确环境风险监控及应急建议要求，为建设项目环境风险防控提供科学依据。</w:t>
            </w:r>
          </w:p>
          <w:p w14:paraId="6F1679AD">
            <w:pPr>
              <w:keepNext/>
              <w:keepLines/>
              <w:pageBreakBefore w:val="0"/>
              <w:tabs>
                <w:tab w:val="left" w:pos="0"/>
              </w:tabs>
              <w:wordWrap w:val="0"/>
              <w:overflowPunct/>
              <w:bidi w:val="0"/>
              <w:ind w:left="480" w:left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2、评价依据</w:t>
            </w:r>
          </w:p>
          <w:p w14:paraId="668B550F">
            <w:pPr>
              <w:pageBreakBefore w:val="0"/>
              <w:wordWrap w:val="0"/>
              <w:overflowPunct/>
              <w:bidi w:val="0"/>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根据《建设项目环境影响报告表编制技术指南（污染影响类）（试行）》表1专项评价设置原则表，环境风险设置专项评价原则为有毒有害和易燃易爆危险物质存储量超过临界量的建设项目，临界量及其计算方法参考《建设项目环境风险评价技术导则》（HJ 169-2018）附录B、附录C。</w:t>
            </w:r>
          </w:p>
          <w:p w14:paraId="6A83DDB1">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val="en-US" w:eastAsia="zh-CN"/>
              </w:rPr>
              <w:t>本次扩建项目危险废物、原辅料与原项目分开储存，为独立风险单元；</w:t>
            </w:r>
            <w:r>
              <w:rPr>
                <w:rFonts w:hint="default" w:ascii="Times New Roman" w:hAnsi="Times New Roman" w:eastAsia="宋体" w:cs="Times New Roman"/>
                <w:color w:val="auto"/>
                <w:highlight w:val="none"/>
              </w:rPr>
              <w:t>所使用的原辅材料</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危险废物</w:t>
            </w:r>
            <w:r>
              <w:rPr>
                <w:rFonts w:hint="default" w:ascii="Times New Roman" w:hAnsi="Times New Roman" w:eastAsia="宋体" w:cs="Times New Roman"/>
                <w:color w:val="auto"/>
                <w:highlight w:val="none"/>
              </w:rPr>
              <w:t>首先根据（HJ169-2018 附录 B）表 B.1 判别，如未列入表B.1，则根据物质急性毒害危害分类类别，对照表B.2判别。结合项目风险源危险性及临界量Q值的计算公式，可确定项目Q值如下。</w:t>
            </w:r>
          </w:p>
          <w:p w14:paraId="73B29920">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lang w:val="en-US" w:eastAsia="zh-CN"/>
              </w:rPr>
            </w:pPr>
            <w:r>
              <w:rPr>
                <w:rFonts w:hint="default" w:ascii="Times New Roman" w:hAnsi="Times New Roman" w:cs="Times New Roman"/>
                <w:b/>
                <w:color w:val="auto"/>
                <w:lang w:val="en-US" w:eastAsia="zh-CN"/>
              </w:rPr>
              <w:t>建设项目Q值确定表</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3"/>
              <w:gridCol w:w="1597"/>
              <w:gridCol w:w="2590"/>
              <w:gridCol w:w="1258"/>
              <w:gridCol w:w="1532"/>
              <w:gridCol w:w="1170"/>
            </w:tblGrid>
            <w:tr w14:paraId="5CEE2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7" w:hRule="atLeast"/>
                <w:jc w:val="center"/>
              </w:trPr>
              <w:tc>
                <w:tcPr>
                  <w:tcW w:w="323" w:type="pct"/>
                  <w:tcBorders>
                    <w:top w:val="single" w:color="auto" w:sz="4" w:space="0"/>
                    <w:left w:val="single" w:color="auto" w:sz="4" w:space="0"/>
                    <w:bottom w:val="single" w:color="auto" w:sz="4" w:space="0"/>
                    <w:right w:val="single" w:color="auto" w:sz="4" w:space="0"/>
                  </w:tcBorders>
                  <w:vAlign w:val="center"/>
                </w:tcPr>
                <w:p w14:paraId="41542B4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序号</w:t>
                  </w:r>
                </w:p>
              </w:tc>
              <w:tc>
                <w:tcPr>
                  <w:tcW w:w="916" w:type="pct"/>
                  <w:tcBorders>
                    <w:top w:val="single" w:color="auto" w:sz="4" w:space="0"/>
                    <w:left w:val="single" w:color="auto" w:sz="4" w:space="0"/>
                    <w:bottom w:val="single" w:color="auto" w:sz="4" w:space="0"/>
                    <w:right w:val="single" w:color="auto" w:sz="4" w:space="0"/>
                  </w:tcBorders>
                  <w:vAlign w:val="center"/>
                </w:tcPr>
                <w:p w14:paraId="6D32FD1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危险物质名称</w:t>
                  </w:r>
                </w:p>
              </w:tc>
              <w:tc>
                <w:tcPr>
                  <w:tcW w:w="1486" w:type="pct"/>
                  <w:tcBorders>
                    <w:top w:val="single" w:color="auto" w:sz="4" w:space="0"/>
                    <w:left w:val="single" w:color="auto" w:sz="4" w:space="0"/>
                    <w:bottom w:val="single" w:color="auto" w:sz="4" w:space="0"/>
                    <w:right w:val="single" w:color="auto" w:sz="4" w:space="0"/>
                  </w:tcBorders>
                  <w:vAlign w:val="center"/>
                </w:tcPr>
                <w:p w14:paraId="6D37F05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对应（HJ169-2018）附录B名称</w:t>
                  </w:r>
                </w:p>
              </w:tc>
              <w:tc>
                <w:tcPr>
                  <w:tcW w:w="722" w:type="pct"/>
                  <w:tcBorders>
                    <w:top w:val="single" w:color="auto" w:sz="4" w:space="0"/>
                    <w:left w:val="single" w:color="auto" w:sz="4" w:space="0"/>
                    <w:bottom w:val="single" w:color="auto" w:sz="4" w:space="0"/>
                    <w:right w:val="single" w:color="auto" w:sz="4" w:space="0"/>
                  </w:tcBorders>
                  <w:vAlign w:val="center"/>
                </w:tcPr>
                <w:p w14:paraId="451368C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临界量（吨）</w:t>
                  </w:r>
                </w:p>
              </w:tc>
              <w:tc>
                <w:tcPr>
                  <w:tcW w:w="879" w:type="pct"/>
                  <w:tcBorders>
                    <w:top w:val="single" w:color="auto" w:sz="4" w:space="0"/>
                    <w:left w:val="single" w:color="auto" w:sz="4" w:space="0"/>
                    <w:bottom w:val="single" w:color="auto" w:sz="4" w:space="0"/>
                    <w:right w:val="single" w:color="auto" w:sz="4" w:space="0"/>
                  </w:tcBorders>
                  <w:vAlign w:val="center"/>
                </w:tcPr>
                <w:p w14:paraId="5C079EE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最大储存量（吨）</w:t>
                  </w:r>
                </w:p>
              </w:tc>
              <w:tc>
                <w:tcPr>
                  <w:tcW w:w="671" w:type="pct"/>
                  <w:tcBorders>
                    <w:top w:val="single" w:color="auto" w:sz="4" w:space="0"/>
                    <w:left w:val="single" w:color="auto" w:sz="4" w:space="0"/>
                    <w:bottom w:val="single" w:color="auto" w:sz="4" w:space="0"/>
                    <w:right w:val="single" w:color="auto" w:sz="4" w:space="0"/>
                  </w:tcBorders>
                  <w:vAlign w:val="center"/>
                </w:tcPr>
                <w:p w14:paraId="59F7E5C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Q</w:t>
                  </w:r>
                  <w:r>
                    <w:rPr>
                      <w:rFonts w:hint="eastAsia" w:cs="Times New Roman"/>
                      <w:color w:val="auto"/>
                      <w:kern w:val="2"/>
                      <w:position w:val="0"/>
                      <w:sz w:val="21"/>
                      <w:szCs w:val="21"/>
                      <w:highlight w:val="none"/>
                      <w:lang w:val="en-US" w:eastAsia="zh-CN" w:bidi="ar-SA"/>
                    </w:rPr>
                    <w:t>（</w:t>
                  </w:r>
                  <w:r>
                    <w:rPr>
                      <w:rFonts w:hint="default" w:ascii="Times New Roman" w:hAnsi="Times New Roman" w:cs="Times New Roman"/>
                      <w:color w:val="auto"/>
                      <w:kern w:val="2"/>
                      <w:position w:val="0"/>
                      <w:sz w:val="21"/>
                      <w:szCs w:val="21"/>
                      <w:highlight w:val="none"/>
                      <w:lang w:val="en-US" w:eastAsia="zh-CN" w:bidi="ar-SA"/>
                    </w:rPr>
                    <w:t>qn/Qn</w:t>
                  </w:r>
                  <w:r>
                    <w:rPr>
                      <w:rFonts w:hint="eastAsia" w:cs="Times New Roman"/>
                      <w:color w:val="auto"/>
                      <w:kern w:val="2"/>
                      <w:position w:val="0"/>
                      <w:sz w:val="21"/>
                      <w:szCs w:val="21"/>
                      <w:highlight w:val="none"/>
                      <w:lang w:val="en-US" w:eastAsia="zh-CN" w:bidi="ar-SA"/>
                    </w:rPr>
                    <w:t>)</w:t>
                  </w:r>
                </w:p>
              </w:tc>
            </w:tr>
            <w:tr w14:paraId="739B1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7" w:hRule="atLeast"/>
                <w:jc w:val="center"/>
              </w:trPr>
              <w:tc>
                <w:tcPr>
                  <w:tcW w:w="323" w:type="pct"/>
                  <w:tcBorders>
                    <w:top w:val="single" w:color="auto" w:sz="4" w:space="0"/>
                    <w:left w:val="single" w:color="auto" w:sz="4" w:space="0"/>
                    <w:bottom w:val="single" w:color="auto" w:sz="4" w:space="0"/>
                    <w:right w:val="single" w:color="auto" w:sz="4" w:space="0"/>
                  </w:tcBorders>
                  <w:vAlign w:val="center"/>
                </w:tcPr>
                <w:p w14:paraId="33834170">
                  <w:pPr>
                    <w:keepNext w:val="0"/>
                    <w:keepLines w:val="0"/>
                    <w:pageBreakBefore w:val="0"/>
                    <w:widowControl/>
                    <w:suppressLineNumbers w:val="0"/>
                    <w:wordWrap w:val="0"/>
                    <w:overflowPunct/>
                    <w:bidi w:val="0"/>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w:t>
                  </w:r>
                </w:p>
              </w:tc>
              <w:tc>
                <w:tcPr>
                  <w:tcW w:w="916" w:type="pct"/>
                  <w:tcBorders>
                    <w:top w:val="single" w:color="auto" w:sz="4" w:space="0"/>
                    <w:left w:val="single" w:color="auto" w:sz="4" w:space="0"/>
                    <w:bottom w:val="single" w:color="auto" w:sz="4" w:space="0"/>
                    <w:right w:val="single" w:color="auto" w:sz="4" w:space="0"/>
                  </w:tcBorders>
                  <w:vAlign w:val="center"/>
                </w:tcPr>
                <w:p w14:paraId="7E5E2D1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丁醇（来源稀释剂）</w:t>
                  </w:r>
                </w:p>
              </w:tc>
              <w:tc>
                <w:tcPr>
                  <w:tcW w:w="1486" w:type="pct"/>
                  <w:tcBorders>
                    <w:top w:val="single" w:color="auto" w:sz="4" w:space="0"/>
                    <w:left w:val="single" w:color="auto" w:sz="4" w:space="0"/>
                    <w:bottom w:val="single" w:color="auto" w:sz="4" w:space="0"/>
                    <w:right w:val="single" w:color="auto" w:sz="4" w:space="0"/>
                  </w:tcBorders>
                  <w:vAlign w:val="center"/>
                </w:tcPr>
                <w:p w14:paraId="6F1CDF1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丁醇</w:t>
                  </w:r>
                </w:p>
              </w:tc>
              <w:tc>
                <w:tcPr>
                  <w:tcW w:w="722" w:type="pct"/>
                  <w:tcBorders>
                    <w:top w:val="single" w:color="auto" w:sz="4" w:space="0"/>
                    <w:left w:val="single" w:color="auto" w:sz="4" w:space="0"/>
                    <w:bottom w:val="single" w:color="auto" w:sz="4" w:space="0"/>
                    <w:right w:val="single" w:color="auto" w:sz="4" w:space="0"/>
                  </w:tcBorders>
                  <w:vAlign w:val="center"/>
                </w:tcPr>
                <w:p w14:paraId="44EB635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10</w:t>
                  </w:r>
                </w:p>
              </w:tc>
              <w:tc>
                <w:tcPr>
                  <w:tcW w:w="879" w:type="pct"/>
                  <w:tcBorders>
                    <w:top w:val="single" w:color="auto" w:sz="4" w:space="0"/>
                    <w:left w:val="single" w:color="auto" w:sz="4" w:space="0"/>
                    <w:bottom w:val="single" w:color="auto" w:sz="4" w:space="0"/>
                    <w:right w:val="single" w:color="auto" w:sz="4" w:space="0"/>
                  </w:tcBorders>
                  <w:vAlign w:val="center"/>
                </w:tcPr>
                <w:p w14:paraId="5B52BA1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0.015（丁醇）</w:t>
                  </w:r>
                </w:p>
              </w:tc>
              <w:tc>
                <w:tcPr>
                  <w:tcW w:w="671" w:type="pct"/>
                  <w:tcBorders>
                    <w:top w:val="single" w:color="auto" w:sz="4" w:space="0"/>
                    <w:left w:val="single" w:color="auto" w:sz="4" w:space="0"/>
                    <w:bottom w:val="single" w:color="auto" w:sz="4" w:space="0"/>
                    <w:right w:val="single" w:color="auto" w:sz="4" w:space="0"/>
                  </w:tcBorders>
                  <w:vAlign w:val="center"/>
                </w:tcPr>
                <w:p w14:paraId="3942151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0.0015</w:t>
                  </w:r>
                </w:p>
              </w:tc>
            </w:tr>
            <w:tr w14:paraId="56477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7" w:hRule="atLeast"/>
                <w:jc w:val="center"/>
              </w:trPr>
              <w:tc>
                <w:tcPr>
                  <w:tcW w:w="323" w:type="pct"/>
                  <w:tcBorders>
                    <w:top w:val="single" w:color="auto" w:sz="4" w:space="0"/>
                    <w:left w:val="single" w:color="auto" w:sz="4" w:space="0"/>
                    <w:right w:val="single" w:color="auto" w:sz="4" w:space="0"/>
                  </w:tcBorders>
                  <w:vAlign w:val="center"/>
                </w:tcPr>
                <w:p w14:paraId="59BB61D6">
                  <w:pPr>
                    <w:keepNext w:val="0"/>
                    <w:keepLines w:val="0"/>
                    <w:pageBreakBefore w:val="0"/>
                    <w:widowControl/>
                    <w:suppressLineNumbers w:val="0"/>
                    <w:wordWrap w:val="0"/>
                    <w:overflowPunct/>
                    <w:bidi w:val="0"/>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w:t>
                  </w:r>
                </w:p>
              </w:tc>
              <w:tc>
                <w:tcPr>
                  <w:tcW w:w="916" w:type="pct"/>
                  <w:tcBorders>
                    <w:top w:val="single" w:color="auto" w:sz="4" w:space="0"/>
                    <w:left w:val="single" w:color="auto" w:sz="4" w:space="0"/>
                    <w:bottom w:val="single" w:color="auto" w:sz="4" w:space="0"/>
                    <w:right w:val="single" w:color="auto" w:sz="4" w:space="0"/>
                  </w:tcBorders>
                  <w:vAlign w:val="center"/>
                </w:tcPr>
                <w:p w14:paraId="339EBCD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油性漆</w:t>
                  </w:r>
                </w:p>
              </w:tc>
              <w:tc>
                <w:tcPr>
                  <w:tcW w:w="1486" w:type="pct"/>
                  <w:tcBorders>
                    <w:top w:val="single" w:color="auto" w:sz="4" w:space="0"/>
                    <w:left w:val="single" w:color="auto" w:sz="4" w:space="0"/>
                    <w:bottom w:val="single" w:color="auto" w:sz="4" w:space="0"/>
                    <w:right w:val="single" w:color="auto" w:sz="4" w:space="0"/>
                  </w:tcBorders>
                  <w:vAlign w:val="center"/>
                </w:tcPr>
                <w:p w14:paraId="6967361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危害水环境物质</w:t>
                  </w:r>
                </w:p>
              </w:tc>
              <w:tc>
                <w:tcPr>
                  <w:tcW w:w="722" w:type="pct"/>
                  <w:tcBorders>
                    <w:top w:val="single" w:color="auto" w:sz="4" w:space="0"/>
                    <w:left w:val="single" w:color="auto" w:sz="4" w:space="0"/>
                    <w:bottom w:val="single" w:color="auto" w:sz="4" w:space="0"/>
                    <w:right w:val="single" w:color="auto" w:sz="4" w:space="0"/>
                  </w:tcBorders>
                  <w:vAlign w:val="center"/>
                </w:tcPr>
                <w:p w14:paraId="6E8CFAB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100</w:t>
                  </w:r>
                </w:p>
              </w:tc>
              <w:tc>
                <w:tcPr>
                  <w:tcW w:w="879" w:type="pct"/>
                  <w:tcBorders>
                    <w:top w:val="single" w:color="auto" w:sz="4" w:space="0"/>
                    <w:left w:val="single" w:color="auto" w:sz="4" w:space="0"/>
                    <w:bottom w:val="single" w:color="auto" w:sz="4" w:space="0"/>
                    <w:right w:val="single" w:color="auto" w:sz="4" w:space="0"/>
                  </w:tcBorders>
                  <w:vAlign w:val="center"/>
                </w:tcPr>
                <w:p w14:paraId="7869521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0.5</w:t>
                  </w:r>
                </w:p>
              </w:tc>
              <w:tc>
                <w:tcPr>
                  <w:tcW w:w="671" w:type="pct"/>
                  <w:tcBorders>
                    <w:top w:val="single" w:color="auto" w:sz="4" w:space="0"/>
                    <w:left w:val="single" w:color="auto" w:sz="4" w:space="0"/>
                    <w:bottom w:val="single" w:color="auto" w:sz="4" w:space="0"/>
                    <w:right w:val="single" w:color="auto" w:sz="4" w:space="0"/>
                  </w:tcBorders>
                  <w:shd w:val="clear" w:color="auto" w:fill="auto"/>
                  <w:vAlign w:val="center"/>
                </w:tcPr>
                <w:p w14:paraId="2B5D15D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0.0050</w:t>
                  </w:r>
                </w:p>
              </w:tc>
            </w:tr>
            <w:tr w14:paraId="648A2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7" w:hRule="atLeast"/>
                <w:jc w:val="center"/>
              </w:trPr>
              <w:tc>
                <w:tcPr>
                  <w:tcW w:w="323" w:type="pct"/>
                  <w:tcBorders>
                    <w:top w:val="single" w:color="auto" w:sz="4" w:space="0"/>
                    <w:left w:val="single" w:color="auto" w:sz="4" w:space="0"/>
                    <w:right w:val="single" w:color="auto" w:sz="4" w:space="0"/>
                  </w:tcBorders>
                  <w:vAlign w:val="center"/>
                </w:tcPr>
                <w:p w14:paraId="70C794BF">
                  <w:pPr>
                    <w:keepNext w:val="0"/>
                    <w:keepLines w:val="0"/>
                    <w:pageBreakBefore w:val="0"/>
                    <w:widowControl/>
                    <w:suppressLineNumbers w:val="0"/>
                    <w:wordWrap w:val="0"/>
                    <w:overflowPunct/>
                    <w:bidi w:val="0"/>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w:t>
                  </w:r>
                </w:p>
              </w:tc>
              <w:tc>
                <w:tcPr>
                  <w:tcW w:w="916" w:type="pct"/>
                  <w:tcBorders>
                    <w:top w:val="single" w:color="auto" w:sz="4" w:space="0"/>
                    <w:left w:val="single" w:color="auto" w:sz="4" w:space="0"/>
                    <w:bottom w:val="single" w:color="auto" w:sz="4" w:space="0"/>
                    <w:right w:val="single" w:color="auto" w:sz="4" w:space="0"/>
                  </w:tcBorders>
                  <w:vAlign w:val="center"/>
                </w:tcPr>
                <w:p w14:paraId="7E02E98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喷枪清洗废液</w:t>
                  </w:r>
                </w:p>
              </w:tc>
              <w:tc>
                <w:tcPr>
                  <w:tcW w:w="1486" w:type="pct"/>
                  <w:tcBorders>
                    <w:top w:val="single" w:color="auto" w:sz="4" w:space="0"/>
                    <w:left w:val="single" w:color="auto" w:sz="4" w:space="0"/>
                    <w:bottom w:val="single" w:color="auto" w:sz="4" w:space="0"/>
                    <w:right w:val="single" w:color="auto" w:sz="4" w:space="0"/>
                  </w:tcBorders>
                  <w:vAlign w:val="center"/>
                </w:tcPr>
                <w:p w14:paraId="2391E40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危害水环境物质</w:t>
                  </w:r>
                </w:p>
              </w:tc>
              <w:tc>
                <w:tcPr>
                  <w:tcW w:w="722" w:type="pct"/>
                  <w:tcBorders>
                    <w:top w:val="single" w:color="auto" w:sz="4" w:space="0"/>
                    <w:left w:val="single" w:color="auto" w:sz="4" w:space="0"/>
                    <w:bottom w:val="single" w:color="auto" w:sz="4" w:space="0"/>
                    <w:right w:val="single" w:color="auto" w:sz="4" w:space="0"/>
                  </w:tcBorders>
                  <w:vAlign w:val="center"/>
                </w:tcPr>
                <w:p w14:paraId="3819CA1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100</w:t>
                  </w:r>
                </w:p>
              </w:tc>
              <w:tc>
                <w:tcPr>
                  <w:tcW w:w="879" w:type="pct"/>
                  <w:tcBorders>
                    <w:top w:val="single" w:color="auto" w:sz="4" w:space="0"/>
                    <w:left w:val="single" w:color="auto" w:sz="4" w:space="0"/>
                    <w:bottom w:val="single" w:color="auto" w:sz="4" w:space="0"/>
                    <w:right w:val="single" w:color="auto" w:sz="4" w:space="0"/>
                  </w:tcBorders>
                  <w:vAlign w:val="center"/>
                </w:tcPr>
                <w:p w14:paraId="6C205D9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0.24</w:t>
                  </w:r>
                </w:p>
              </w:tc>
              <w:tc>
                <w:tcPr>
                  <w:tcW w:w="671" w:type="pct"/>
                  <w:tcBorders>
                    <w:top w:val="nil"/>
                    <w:left w:val="single" w:color="auto" w:sz="4" w:space="0"/>
                    <w:bottom w:val="single" w:color="auto" w:sz="4" w:space="0"/>
                    <w:right w:val="single" w:color="auto" w:sz="4" w:space="0"/>
                  </w:tcBorders>
                  <w:shd w:val="clear" w:color="auto" w:fill="auto"/>
                  <w:vAlign w:val="center"/>
                </w:tcPr>
                <w:p w14:paraId="7D92514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0.002</w:t>
                  </w:r>
                  <w:r>
                    <w:rPr>
                      <w:rFonts w:hint="eastAsia" w:cs="Times New Roman"/>
                      <w:color w:val="auto"/>
                      <w:kern w:val="2"/>
                      <w:position w:val="0"/>
                      <w:sz w:val="21"/>
                      <w:szCs w:val="21"/>
                      <w:highlight w:val="none"/>
                      <w:lang w:val="en-US" w:eastAsia="zh-CN" w:bidi="ar-SA"/>
                    </w:rPr>
                    <w:t>4</w:t>
                  </w:r>
                </w:p>
              </w:tc>
            </w:tr>
            <w:tr w14:paraId="16448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7" w:hRule="atLeast"/>
                <w:jc w:val="center"/>
              </w:trPr>
              <w:tc>
                <w:tcPr>
                  <w:tcW w:w="323" w:type="pct"/>
                  <w:tcBorders>
                    <w:top w:val="single" w:color="auto" w:sz="4" w:space="0"/>
                    <w:left w:val="single" w:color="auto" w:sz="4" w:space="0"/>
                    <w:right w:val="single" w:color="auto" w:sz="4" w:space="0"/>
                  </w:tcBorders>
                  <w:vAlign w:val="center"/>
                </w:tcPr>
                <w:p w14:paraId="5DA69DAC">
                  <w:pPr>
                    <w:keepNext w:val="0"/>
                    <w:keepLines w:val="0"/>
                    <w:pageBreakBefore w:val="0"/>
                    <w:widowControl/>
                    <w:suppressLineNumbers w:val="0"/>
                    <w:wordWrap w:val="0"/>
                    <w:overflowPunct/>
                    <w:bidi w:val="0"/>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w:t>
                  </w:r>
                </w:p>
              </w:tc>
              <w:tc>
                <w:tcPr>
                  <w:tcW w:w="916" w:type="pct"/>
                  <w:tcBorders>
                    <w:top w:val="single" w:color="auto" w:sz="4" w:space="0"/>
                    <w:left w:val="single" w:color="auto" w:sz="4" w:space="0"/>
                    <w:bottom w:val="single" w:color="auto" w:sz="4" w:space="0"/>
                    <w:right w:val="single" w:color="auto" w:sz="4" w:space="0"/>
                  </w:tcBorders>
                  <w:vAlign w:val="center"/>
                </w:tcPr>
                <w:p w14:paraId="48D91CE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喷漆废水</w:t>
                  </w:r>
                </w:p>
              </w:tc>
              <w:tc>
                <w:tcPr>
                  <w:tcW w:w="1486" w:type="pct"/>
                  <w:tcBorders>
                    <w:top w:val="single" w:color="auto" w:sz="4" w:space="0"/>
                    <w:left w:val="single" w:color="auto" w:sz="4" w:space="0"/>
                    <w:bottom w:val="single" w:color="auto" w:sz="4" w:space="0"/>
                    <w:right w:val="single" w:color="auto" w:sz="4" w:space="0"/>
                  </w:tcBorders>
                  <w:vAlign w:val="center"/>
                </w:tcPr>
                <w:p w14:paraId="2DE6D37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危害水环境物质</w:t>
                  </w:r>
                </w:p>
              </w:tc>
              <w:tc>
                <w:tcPr>
                  <w:tcW w:w="722" w:type="pct"/>
                  <w:tcBorders>
                    <w:top w:val="single" w:color="auto" w:sz="4" w:space="0"/>
                    <w:left w:val="single" w:color="auto" w:sz="4" w:space="0"/>
                    <w:bottom w:val="single" w:color="auto" w:sz="4" w:space="0"/>
                    <w:right w:val="single" w:color="auto" w:sz="4" w:space="0"/>
                  </w:tcBorders>
                  <w:vAlign w:val="center"/>
                </w:tcPr>
                <w:p w14:paraId="22B1A33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100</w:t>
                  </w:r>
                </w:p>
              </w:tc>
              <w:tc>
                <w:tcPr>
                  <w:tcW w:w="879" w:type="pct"/>
                  <w:tcBorders>
                    <w:top w:val="single" w:color="auto" w:sz="4" w:space="0"/>
                    <w:left w:val="single" w:color="auto" w:sz="4" w:space="0"/>
                    <w:bottom w:val="single" w:color="auto" w:sz="4" w:space="0"/>
                    <w:right w:val="single" w:color="auto" w:sz="4" w:space="0"/>
                  </w:tcBorders>
                  <w:vAlign w:val="center"/>
                </w:tcPr>
                <w:p w14:paraId="1D2B890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5.314</w:t>
                  </w:r>
                </w:p>
              </w:tc>
              <w:tc>
                <w:tcPr>
                  <w:tcW w:w="671" w:type="pct"/>
                  <w:tcBorders>
                    <w:top w:val="nil"/>
                    <w:left w:val="single" w:color="auto" w:sz="4" w:space="0"/>
                    <w:bottom w:val="single" w:color="auto" w:sz="4" w:space="0"/>
                    <w:right w:val="single" w:color="auto" w:sz="4" w:space="0"/>
                  </w:tcBorders>
                  <w:shd w:val="clear" w:color="auto" w:fill="auto"/>
                  <w:vAlign w:val="center"/>
                </w:tcPr>
                <w:p w14:paraId="2BA3869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0.0611</w:t>
                  </w:r>
                </w:p>
              </w:tc>
            </w:tr>
            <w:tr w14:paraId="2C0B2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7" w:hRule="atLeast"/>
                <w:jc w:val="center"/>
              </w:trPr>
              <w:tc>
                <w:tcPr>
                  <w:tcW w:w="323" w:type="pct"/>
                  <w:tcBorders>
                    <w:top w:val="single" w:color="auto" w:sz="4" w:space="0"/>
                    <w:left w:val="single" w:color="auto" w:sz="4" w:space="0"/>
                    <w:right w:val="single" w:color="auto" w:sz="4" w:space="0"/>
                  </w:tcBorders>
                  <w:vAlign w:val="center"/>
                </w:tcPr>
                <w:p w14:paraId="15D2A86A">
                  <w:pPr>
                    <w:keepNext w:val="0"/>
                    <w:keepLines w:val="0"/>
                    <w:pageBreakBefore w:val="0"/>
                    <w:widowControl/>
                    <w:suppressLineNumbers w:val="0"/>
                    <w:wordWrap w:val="0"/>
                    <w:overflowPunct/>
                    <w:bidi w:val="0"/>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w:t>
                  </w:r>
                </w:p>
              </w:tc>
              <w:tc>
                <w:tcPr>
                  <w:tcW w:w="916" w:type="pct"/>
                  <w:tcBorders>
                    <w:top w:val="single" w:color="auto" w:sz="4" w:space="0"/>
                    <w:left w:val="single" w:color="auto" w:sz="4" w:space="0"/>
                    <w:bottom w:val="single" w:color="auto" w:sz="4" w:space="0"/>
                    <w:right w:val="single" w:color="auto" w:sz="4" w:space="0"/>
                  </w:tcBorders>
                  <w:vAlign w:val="center"/>
                </w:tcPr>
                <w:p w14:paraId="09452E5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废原料桶</w:t>
                  </w:r>
                </w:p>
              </w:tc>
              <w:tc>
                <w:tcPr>
                  <w:tcW w:w="1486" w:type="pct"/>
                  <w:tcBorders>
                    <w:top w:val="single" w:color="auto" w:sz="4" w:space="0"/>
                    <w:left w:val="single" w:color="auto" w:sz="4" w:space="0"/>
                    <w:bottom w:val="single" w:color="auto" w:sz="4" w:space="0"/>
                    <w:right w:val="single" w:color="auto" w:sz="4" w:space="0"/>
                  </w:tcBorders>
                  <w:vAlign w:val="center"/>
                </w:tcPr>
                <w:p w14:paraId="046A95E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危害水环境物质</w:t>
                  </w:r>
                </w:p>
              </w:tc>
              <w:tc>
                <w:tcPr>
                  <w:tcW w:w="722" w:type="pct"/>
                  <w:tcBorders>
                    <w:top w:val="single" w:color="auto" w:sz="4" w:space="0"/>
                    <w:left w:val="single" w:color="auto" w:sz="4" w:space="0"/>
                    <w:bottom w:val="single" w:color="auto" w:sz="4" w:space="0"/>
                    <w:right w:val="single" w:color="auto" w:sz="4" w:space="0"/>
                  </w:tcBorders>
                  <w:vAlign w:val="center"/>
                </w:tcPr>
                <w:p w14:paraId="1A81DAF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100</w:t>
                  </w:r>
                </w:p>
              </w:tc>
              <w:tc>
                <w:tcPr>
                  <w:tcW w:w="879" w:type="pct"/>
                  <w:tcBorders>
                    <w:top w:val="single" w:color="auto" w:sz="4" w:space="0"/>
                    <w:left w:val="single" w:color="auto" w:sz="4" w:space="0"/>
                    <w:bottom w:val="single" w:color="auto" w:sz="4" w:space="0"/>
                    <w:right w:val="single" w:color="auto" w:sz="4" w:space="0"/>
                  </w:tcBorders>
                  <w:vAlign w:val="center"/>
                </w:tcPr>
                <w:p w14:paraId="42B0043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0.234</w:t>
                  </w:r>
                </w:p>
              </w:tc>
              <w:tc>
                <w:tcPr>
                  <w:tcW w:w="671" w:type="pct"/>
                  <w:tcBorders>
                    <w:top w:val="nil"/>
                    <w:left w:val="single" w:color="auto" w:sz="4" w:space="0"/>
                    <w:bottom w:val="single" w:color="auto" w:sz="4" w:space="0"/>
                    <w:right w:val="single" w:color="auto" w:sz="4" w:space="0"/>
                  </w:tcBorders>
                  <w:shd w:val="clear" w:color="auto" w:fill="auto"/>
                  <w:vAlign w:val="center"/>
                </w:tcPr>
                <w:p w14:paraId="3DDC33C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0.0028</w:t>
                  </w:r>
                </w:p>
              </w:tc>
            </w:tr>
            <w:tr w14:paraId="0E0D8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7" w:hRule="atLeast"/>
                <w:jc w:val="center"/>
              </w:trPr>
              <w:tc>
                <w:tcPr>
                  <w:tcW w:w="323" w:type="pct"/>
                  <w:tcBorders>
                    <w:top w:val="single" w:color="auto" w:sz="4" w:space="0"/>
                    <w:left w:val="single" w:color="auto" w:sz="4" w:space="0"/>
                    <w:bottom w:val="single" w:color="auto" w:sz="4" w:space="0"/>
                    <w:right w:val="single" w:color="auto" w:sz="4" w:space="0"/>
                  </w:tcBorders>
                  <w:vAlign w:val="center"/>
                </w:tcPr>
                <w:p w14:paraId="573C5B3D">
                  <w:pPr>
                    <w:keepNext w:val="0"/>
                    <w:keepLines w:val="0"/>
                    <w:pageBreakBefore w:val="0"/>
                    <w:widowControl/>
                    <w:suppressLineNumbers w:val="0"/>
                    <w:wordWrap w:val="0"/>
                    <w:overflowPunct/>
                    <w:bidi w:val="0"/>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w:t>
                  </w:r>
                </w:p>
              </w:tc>
              <w:tc>
                <w:tcPr>
                  <w:tcW w:w="916" w:type="pct"/>
                  <w:tcBorders>
                    <w:top w:val="single" w:color="auto" w:sz="4" w:space="0"/>
                    <w:left w:val="single" w:color="auto" w:sz="4" w:space="0"/>
                    <w:bottom w:val="single" w:color="auto" w:sz="4" w:space="0"/>
                    <w:right w:val="single" w:color="auto" w:sz="4" w:space="0"/>
                  </w:tcBorders>
                  <w:vAlign w:val="center"/>
                </w:tcPr>
                <w:p w14:paraId="6FD5492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漆渣</w:t>
                  </w:r>
                </w:p>
              </w:tc>
              <w:tc>
                <w:tcPr>
                  <w:tcW w:w="1486" w:type="pct"/>
                  <w:tcBorders>
                    <w:top w:val="single" w:color="auto" w:sz="4" w:space="0"/>
                    <w:left w:val="single" w:color="auto" w:sz="4" w:space="0"/>
                    <w:bottom w:val="single" w:color="auto" w:sz="4" w:space="0"/>
                    <w:right w:val="single" w:color="auto" w:sz="4" w:space="0"/>
                  </w:tcBorders>
                  <w:vAlign w:val="center"/>
                </w:tcPr>
                <w:p w14:paraId="7158DF5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危害水环境物质</w:t>
                  </w:r>
                </w:p>
              </w:tc>
              <w:tc>
                <w:tcPr>
                  <w:tcW w:w="722" w:type="pct"/>
                  <w:tcBorders>
                    <w:top w:val="single" w:color="auto" w:sz="4" w:space="0"/>
                    <w:left w:val="single" w:color="auto" w:sz="4" w:space="0"/>
                    <w:bottom w:val="single" w:color="auto" w:sz="4" w:space="0"/>
                    <w:right w:val="single" w:color="auto" w:sz="4" w:space="0"/>
                  </w:tcBorders>
                  <w:vAlign w:val="center"/>
                </w:tcPr>
                <w:p w14:paraId="38DE84D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100</w:t>
                  </w:r>
                </w:p>
              </w:tc>
              <w:tc>
                <w:tcPr>
                  <w:tcW w:w="879" w:type="pct"/>
                  <w:tcBorders>
                    <w:top w:val="single" w:color="auto" w:sz="4" w:space="0"/>
                    <w:left w:val="single" w:color="auto" w:sz="4" w:space="0"/>
                    <w:bottom w:val="single" w:color="auto" w:sz="4" w:space="0"/>
                    <w:right w:val="single" w:color="auto" w:sz="4" w:space="0"/>
                  </w:tcBorders>
                  <w:vAlign w:val="center"/>
                </w:tcPr>
                <w:p w14:paraId="1FF1BC7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4.709</w:t>
                  </w:r>
                </w:p>
              </w:tc>
              <w:tc>
                <w:tcPr>
                  <w:tcW w:w="671" w:type="pct"/>
                  <w:tcBorders>
                    <w:top w:val="nil"/>
                    <w:left w:val="single" w:color="auto" w:sz="4" w:space="0"/>
                    <w:bottom w:val="single" w:color="auto" w:sz="4" w:space="0"/>
                    <w:right w:val="single" w:color="auto" w:sz="4" w:space="0"/>
                  </w:tcBorders>
                  <w:shd w:val="clear" w:color="auto" w:fill="auto"/>
                  <w:vAlign w:val="center"/>
                </w:tcPr>
                <w:p w14:paraId="09997C9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0.0494</w:t>
                  </w:r>
                </w:p>
              </w:tc>
            </w:tr>
            <w:tr w14:paraId="51EC9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7" w:hRule="atLeast"/>
                <w:jc w:val="center"/>
              </w:trPr>
              <w:tc>
                <w:tcPr>
                  <w:tcW w:w="323" w:type="pct"/>
                  <w:tcBorders>
                    <w:top w:val="single" w:color="auto" w:sz="4" w:space="0"/>
                    <w:left w:val="single" w:color="auto" w:sz="4" w:space="0"/>
                    <w:bottom w:val="single" w:color="auto" w:sz="4" w:space="0"/>
                    <w:right w:val="single" w:color="auto" w:sz="4" w:space="0"/>
                  </w:tcBorders>
                  <w:vAlign w:val="center"/>
                </w:tcPr>
                <w:p w14:paraId="321CB64A">
                  <w:pPr>
                    <w:keepNext w:val="0"/>
                    <w:keepLines w:val="0"/>
                    <w:pageBreakBefore w:val="0"/>
                    <w:widowControl/>
                    <w:suppressLineNumbers w:val="0"/>
                    <w:wordWrap w:val="0"/>
                    <w:overflowPunct/>
                    <w:bidi w:val="0"/>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w:t>
                  </w:r>
                </w:p>
              </w:tc>
              <w:tc>
                <w:tcPr>
                  <w:tcW w:w="916" w:type="pct"/>
                  <w:tcBorders>
                    <w:top w:val="single" w:color="auto" w:sz="4" w:space="0"/>
                    <w:left w:val="single" w:color="auto" w:sz="4" w:space="0"/>
                    <w:bottom w:val="single" w:color="auto" w:sz="4" w:space="0"/>
                    <w:right w:val="single" w:color="auto" w:sz="4" w:space="0"/>
                  </w:tcBorders>
                  <w:vAlign w:val="center"/>
                </w:tcPr>
                <w:p w14:paraId="69E3A95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废过滤棉</w:t>
                  </w:r>
                </w:p>
              </w:tc>
              <w:tc>
                <w:tcPr>
                  <w:tcW w:w="1486" w:type="pct"/>
                  <w:tcBorders>
                    <w:top w:val="single" w:color="auto" w:sz="4" w:space="0"/>
                    <w:left w:val="single" w:color="auto" w:sz="4" w:space="0"/>
                    <w:bottom w:val="single" w:color="auto" w:sz="4" w:space="0"/>
                    <w:right w:val="single" w:color="auto" w:sz="4" w:space="0"/>
                  </w:tcBorders>
                  <w:vAlign w:val="center"/>
                </w:tcPr>
                <w:p w14:paraId="53DCF84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危害水环境物质</w:t>
                  </w:r>
                </w:p>
              </w:tc>
              <w:tc>
                <w:tcPr>
                  <w:tcW w:w="722" w:type="pct"/>
                  <w:tcBorders>
                    <w:top w:val="single" w:color="auto" w:sz="4" w:space="0"/>
                    <w:left w:val="single" w:color="auto" w:sz="4" w:space="0"/>
                    <w:bottom w:val="single" w:color="auto" w:sz="4" w:space="0"/>
                    <w:right w:val="single" w:color="auto" w:sz="4" w:space="0"/>
                  </w:tcBorders>
                  <w:vAlign w:val="center"/>
                </w:tcPr>
                <w:p w14:paraId="2BE2C1D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100</w:t>
                  </w:r>
                </w:p>
              </w:tc>
              <w:tc>
                <w:tcPr>
                  <w:tcW w:w="879" w:type="pct"/>
                  <w:tcBorders>
                    <w:top w:val="single" w:color="auto" w:sz="4" w:space="0"/>
                    <w:left w:val="single" w:color="auto" w:sz="4" w:space="0"/>
                    <w:bottom w:val="single" w:color="auto" w:sz="4" w:space="0"/>
                    <w:right w:val="single" w:color="auto" w:sz="4" w:space="0"/>
                  </w:tcBorders>
                  <w:vAlign w:val="center"/>
                </w:tcPr>
                <w:p w14:paraId="6F7B8A7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0.1</w:t>
                  </w:r>
                  <w:r>
                    <w:rPr>
                      <w:rFonts w:hint="eastAsia" w:cs="Times New Roman"/>
                      <w:color w:val="auto"/>
                      <w:kern w:val="2"/>
                      <w:position w:val="0"/>
                      <w:sz w:val="21"/>
                      <w:szCs w:val="21"/>
                      <w:highlight w:val="none"/>
                      <w:lang w:val="en-US" w:eastAsia="zh-CN" w:bidi="ar-SA"/>
                    </w:rPr>
                    <w:t>39</w:t>
                  </w:r>
                </w:p>
              </w:tc>
              <w:tc>
                <w:tcPr>
                  <w:tcW w:w="671" w:type="pct"/>
                  <w:tcBorders>
                    <w:top w:val="nil"/>
                    <w:left w:val="single" w:color="auto" w:sz="4" w:space="0"/>
                    <w:bottom w:val="single" w:color="auto" w:sz="4" w:space="0"/>
                    <w:right w:val="single" w:color="auto" w:sz="4" w:space="0"/>
                  </w:tcBorders>
                  <w:shd w:val="clear" w:color="auto" w:fill="auto"/>
                  <w:vAlign w:val="center"/>
                </w:tcPr>
                <w:p w14:paraId="6B952C2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0.0014</w:t>
                  </w:r>
                </w:p>
              </w:tc>
            </w:tr>
            <w:tr w14:paraId="01B18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7" w:hRule="atLeast"/>
                <w:jc w:val="center"/>
              </w:trPr>
              <w:tc>
                <w:tcPr>
                  <w:tcW w:w="323" w:type="pct"/>
                  <w:tcBorders>
                    <w:top w:val="single" w:color="auto" w:sz="4" w:space="0"/>
                    <w:left w:val="single" w:color="auto" w:sz="4" w:space="0"/>
                    <w:bottom w:val="single" w:color="auto" w:sz="4" w:space="0"/>
                    <w:right w:val="single" w:color="auto" w:sz="4" w:space="0"/>
                  </w:tcBorders>
                  <w:vAlign w:val="center"/>
                </w:tcPr>
                <w:p w14:paraId="3C2AF680">
                  <w:pPr>
                    <w:keepNext w:val="0"/>
                    <w:keepLines w:val="0"/>
                    <w:pageBreakBefore w:val="0"/>
                    <w:widowControl/>
                    <w:suppressLineNumbers w:val="0"/>
                    <w:wordWrap w:val="0"/>
                    <w:overflowPunct/>
                    <w:bidi w:val="0"/>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w:t>
                  </w:r>
                </w:p>
              </w:tc>
              <w:tc>
                <w:tcPr>
                  <w:tcW w:w="916" w:type="pct"/>
                  <w:tcBorders>
                    <w:top w:val="single" w:color="auto" w:sz="4" w:space="0"/>
                    <w:left w:val="single" w:color="auto" w:sz="4" w:space="0"/>
                    <w:bottom w:val="single" w:color="auto" w:sz="4" w:space="0"/>
                    <w:right w:val="single" w:color="auto" w:sz="4" w:space="0"/>
                  </w:tcBorders>
                  <w:vAlign w:val="center"/>
                </w:tcPr>
                <w:p w14:paraId="2588445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废活性炭</w:t>
                  </w:r>
                </w:p>
              </w:tc>
              <w:tc>
                <w:tcPr>
                  <w:tcW w:w="1486" w:type="pct"/>
                  <w:tcBorders>
                    <w:top w:val="single" w:color="auto" w:sz="4" w:space="0"/>
                    <w:left w:val="single" w:color="auto" w:sz="4" w:space="0"/>
                    <w:bottom w:val="single" w:color="auto" w:sz="4" w:space="0"/>
                    <w:right w:val="single" w:color="auto" w:sz="4" w:space="0"/>
                  </w:tcBorders>
                  <w:vAlign w:val="center"/>
                </w:tcPr>
                <w:p w14:paraId="7E287CD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危害水环境物质</w:t>
                  </w:r>
                </w:p>
              </w:tc>
              <w:tc>
                <w:tcPr>
                  <w:tcW w:w="722" w:type="pct"/>
                  <w:tcBorders>
                    <w:top w:val="single" w:color="auto" w:sz="4" w:space="0"/>
                    <w:left w:val="single" w:color="auto" w:sz="4" w:space="0"/>
                    <w:bottom w:val="single" w:color="auto" w:sz="4" w:space="0"/>
                    <w:right w:val="single" w:color="auto" w:sz="4" w:space="0"/>
                  </w:tcBorders>
                  <w:vAlign w:val="center"/>
                </w:tcPr>
                <w:p w14:paraId="3E1FCA7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100</w:t>
                  </w:r>
                </w:p>
              </w:tc>
              <w:tc>
                <w:tcPr>
                  <w:tcW w:w="879" w:type="pct"/>
                  <w:tcBorders>
                    <w:top w:val="single" w:color="auto" w:sz="4" w:space="0"/>
                    <w:left w:val="single" w:color="auto" w:sz="4" w:space="0"/>
                    <w:bottom w:val="single" w:color="auto" w:sz="4" w:space="0"/>
                    <w:right w:val="single" w:color="auto" w:sz="4" w:space="0"/>
                  </w:tcBorders>
                  <w:vAlign w:val="center"/>
                </w:tcPr>
                <w:p w14:paraId="1D6D391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6.</w:t>
                  </w:r>
                  <w:r>
                    <w:rPr>
                      <w:rFonts w:hint="eastAsia" w:cs="Times New Roman"/>
                      <w:color w:val="auto"/>
                      <w:kern w:val="2"/>
                      <w:position w:val="0"/>
                      <w:sz w:val="21"/>
                      <w:szCs w:val="21"/>
                      <w:highlight w:val="none"/>
                      <w:lang w:val="en-US" w:eastAsia="zh-CN" w:bidi="ar-SA"/>
                    </w:rPr>
                    <w:t>838</w:t>
                  </w:r>
                </w:p>
              </w:tc>
              <w:tc>
                <w:tcPr>
                  <w:tcW w:w="671" w:type="pct"/>
                  <w:tcBorders>
                    <w:top w:val="nil"/>
                    <w:left w:val="single" w:color="auto" w:sz="4" w:space="0"/>
                    <w:bottom w:val="single" w:color="auto" w:sz="4" w:space="0"/>
                    <w:right w:val="single" w:color="auto" w:sz="4" w:space="0"/>
                  </w:tcBorders>
                  <w:shd w:val="clear" w:color="auto" w:fill="auto"/>
                  <w:vAlign w:val="center"/>
                </w:tcPr>
                <w:p w14:paraId="3EE2D09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0.0691</w:t>
                  </w:r>
                </w:p>
              </w:tc>
            </w:tr>
            <w:tr w14:paraId="363DA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7" w:hRule="atLeast"/>
                <w:jc w:val="center"/>
              </w:trPr>
              <w:tc>
                <w:tcPr>
                  <w:tcW w:w="323" w:type="pct"/>
                  <w:tcBorders>
                    <w:top w:val="single" w:color="auto" w:sz="4" w:space="0"/>
                    <w:left w:val="single" w:color="auto" w:sz="4" w:space="0"/>
                    <w:bottom w:val="single" w:color="auto" w:sz="4" w:space="0"/>
                    <w:right w:val="single" w:color="auto" w:sz="4" w:space="0"/>
                  </w:tcBorders>
                  <w:vAlign w:val="center"/>
                </w:tcPr>
                <w:p w14:paraId="4E9A66F3">
                  <w:pPr>
                    <w:keepNext w:val="0"/>
                    <w:keepLines w:val="0"/>
                    <w:pageBreakBefore w:val="0"/>
                    <w:widowControl/>
                    <w:suppressLineNumbers w:val="0"/>
                    <w:wordWrap w:val="0"/>
                    <w:overflowPunct/>
                    <w:bidi w:val="0"/>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9</w:t>
                  </w:r>
                </w:p>
              </w:tc>
              <w:tc>
                <w:tcPr>
                  <w:tcW w:w="916" w:type="pct"/>
                  <w:tcBorders>
                    <w:top w:val="single" w:color="auto" w:sz="4" w:space="0"/>
                    <w:left w:val="single" w:color="auto" w:sz="4" w:space="0"/>
                    <w:bottom w:val="single" w:color="auto" w:sz="4" w:space="0"/>
                    <w:right w:val="single" w:color="auto" w:sz="4" w:space="0"/>
                  </w:tcBorders>
                  <w:vAlign w:val="center"/>
                </w:tcPr>
                <w:p w14:paraId="3997EE5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废机油</w:t>
                  </w:r>
                </w:p>
              </w:tc>
              <w:tc>
                <w:tcPr>
                  <w:tcW w:w="1486" w:type="pct"/>
                  <w:tcBorders>
                    <w:top w:val="single" w:color="auto" w:sz="4" w:space="0"/>
                    <w:left w:val="single" w:color="auto" w:sz="4" w:space="0"/>
                    <w:bottom w:val="single" w:color="auto" w:sz="4" w:space="0"/>
                    <w:right w:val="single" w:color="auto" w:sz="4" w:space="0"/>
                  </w:tcBorders>
                  <w:vAlign w:val="center"/>
                </w:tcPr>
                <w:p w14:paraId="25517C7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油类物质</w:t>
                  </w:r>
                </w:p>
              </w:tc>
              <w:tc>
                <w:tcPr>
                  <w:tcW w:w="722" w:type="pct"/>
                  <w:tcBorders>
                    <w:top w:val="single" w:color="auto" w:sz="4" w:space="0"/>
                    <w:left w:val="single" w:color="auto" w:sz="4" w:space="0"/>
                    <w:bottom w:val="single" w:color="auto" w:sz="4" w:space="0"/>
                    <w:right w:val="single" w:color="auto" w:sz="4" w:space="0"/>
                  </w:tcBorders>
                  <w:vAlign w:val="center"/>
                </w:tcPr>
                <w:p w14:paraId="02DED59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2500</w:t>
                  </w:r>
                </w:p>
              </w:tc>
              <w:tc>
                <w:tcPr>
                  <w:tcW w:w="879" w:type="pct"/>
                  <w:tcBorders>
                    <w:top w:val="single" w:color="auto" w:sz="4" w:space="0"/>
                    <w:left w:val="single" w:color="auto" w:sz="4" w:space="0"/>
                    <w:bottom w:val="single" w:color="auto" w:sz="4" w:space="0"/>
                    <w:right w:val="single" w:color="auto" w:sz="4" w:space="0"/>
                  </w:tcBorders>
                  <w:vAlign w:val="center"/>
                </w:tcPr>
                <w:p w14:paraId="4546C65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0.5</w:t>
                  </w:r>
                </w:p>
              </w:tc>
              <w:tc>
                <w:tcPr>
                  <w:tcW w:w="671" w:type="pct"/>
                  <w:tcBorders>
                    <w:top w:val="nil"/>
                    <w:left w:val="single" w:color="auto" w:sz="4" w:space="0"/>
                    <w:bottom w:val="single" w:color="auto" w:sz="4" w:space="0"/>
                    <w:right w:val="single" w:color="auto" w:sz="4" w:space="0"/>
                  </w:tcBorders>
                  <w:shd w:val="clear" w:color="auto" w:fill="auto"/>
                  <w:vAlign w:val="center"/>
                </w:tcPr>
                <w:p w14:paraId="5F1BF58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0.0002</w:t>
                  </w:r>
                </w:p>
              </w:tc>
            </w:tr>
            <w:tr w14:paraId="72D3D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7" w:hRule="atLeast"/>
                <w:jc w:val="center"/>
              </w:trPr>
              <w:tc>
                <w:tcPr>
                  <w:tcW w:w="323" w:type="pct"/>
                  <w:tcBorders>
                    <w:top w:val="single" w:color="auto" w:sz="4" w:space="0"/>
                    <w:left w:val="single" w:color="auto" w:sz="4" w:space="0"/>
                    <w:bottom w:val="single" w:color="auto" w:sz="4" w:space="0"/>
                    <w:right w:val="single" w:color="auto" w:sz="4" w:space="0"/>
                  </w:tcBorders>
                  <w:vAlign w:val="center"/>
                </w:tcPr>
                <w:p w14:paraId="7F19456F">
                  <w:pPr>
                    <w:keepNext w:val="0"/>
                    <w:keepLines w:val="0"/>
                    <w:pageBreakBefore w:val="0"/>
                    <w:widowControl/>
                    <w:suppressLineNumbers w:val="0"/>
                    <w:wordWrap w:val="0"/>
                    <w:overflowPunct/>
                    <w:bidi w:val="0"/>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w:t>
                  </w:r>
                </w:p>
              </w:tc>
              <w:tc>
                <w:tcPr>
                  <w:tcW w:w="916" w:type="pct"/>
                  <w:tcBorders>
                    <w:top w:val="single" w:color="auto" w:sz="4" w:space="0"/>
                    <w:left w:val="single" w:color="auto" w:sz="4" w:space="0"/>
                    <w:bottom w:val="single" w:color="auto" w:sz="4" w:space="0"/>
                    <w:right w:val="single" w:color="auto" w:sz="4" w:space="0"/>
                  </w:tcBorders>
                  <w:vAlign w:val="center"/>
                </w:tcPr>
                <w:p w14:paraId="528B666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机油</w:t>
                  </w:r>
                </w:p>
              </w:tc>
              <w:tc>
                <w:tcPr>
                  <w:tcW w:w="1486" w:type="pct"/>
                  <w:tcBorders>
                    <w:top w:val="single" w:color="auto" w:sz="4" w:space="0"/>
                    <w:left w:val="single" w:color="auto" w:sz="4" w:space="0"/>
                    <w:bottom w:val="single" w:color="auto" w:sz="4" w:space="0"/>
                    <w:right w:val="single" w:color="auto" w:sz="4" w:space="0"/>
                  </w:tcBorders>
                  <w:vAlign w:val="center"/>
                </w:tcPr>
                <w:p w14:paraId="60A9B25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油类物质</w:t>
                  </w:r>
                </w:p>
              </w:tc>
              <w:tc>
                <w:tcPr>
                  <w:tcW w:w="722" w:type="pct"/>
                  <w:tcBorders>
                    <w:top w:val="single" w:color="auto" w:sz="4" w:space="0"/>
                    <w:left w:val="single" w:color="auto" w:sz="4" w:space="0"/>
                    <w:bottom w:val="single" w:color="auto" w:sz="4" w:space="0"/>
                    <w:right w:val="single" w:color="auto" w:sz="4" w:space="0"/>
                  </w:tcBorders>
                  <w:vAlign w:val="center"/>
                </w:tcPr>
                <w:p w14:paraId="184139C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2500</w:t>
                  </w:r>
                </w:p>
              </w:tc>
              <w:tc>
                <w:tcPr>
                  <w:tcW w:w="879" w:type="pct"/>
                  <w:tcBorders>
                    <w:top w:val="single" w:color="auto" w:sz="4" w:space="0"/>
                    <w:left w:val="single" w:color="auto" w:sz="4" w:space="0"/>
                    <w:bottom w:val="single" w:color="auto" w:sz="4" w:space="0"/>
                    <w:right w:val="single" w:color="auto" w:sz="4" w:space="0"/>
                  </w:tcBorders>
                  <w:vAlign w:val="center"/>
                </w:tcPr>
                <w:p w14:paraId="4179980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0.5</w:t>
                  </w:r>
                </w:p>
              </w:tc>
              <w:tc>
                <w:tcPr>
                  <w:tcW w:w="671" w:type="pct"/>
                  <w:tcBorders>
                    <w:top w:val="nil"/>
                    <w:left w:val="single" w:color="auto" w:sz="4" w:space="0"/>
                    <w:bottom w:val="single" w:color="auto" w:sz="4" w:space="0"/>
                    <w:right w:val="single" w:color="auto" w:sz="4" w:space="0"/>
                  </w:tcBorders>
                  <w:shd w:val="clear" w:color="auto" w:fill="auto"/>
                  <w:vAlign w:val="center"/>
                </w:tcPr>
                <w:p w14:paraId="05CC81A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0.0002</w:t>
                  </w:r>
                </w:p>
              </w:tc>
            </w:tr>
            <w:tr w14:paraId="3B2A0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7" w:hRule="atLeast"/>
                <w:jc w:val="center"/>
              </w:trPr>
              <w:tc>
                <w:tcPr>
                  <w:tcW w:w="323" w:type="pct"/>
                  <w:tcBorders>
                    <w:top w:val="single" w:color="auto" w:sz="4" w:space="0"/>
                    <w:left w:val="single" w:color="auto" w:sz="4" w:space="0"/>
                    <w:bottom w:val="single" w:color="auto" w:sz="4" w:space="0"/>
                    <w:right w:val="single" w:color="auto" w:sz="4" w:space="0"/>
                  </w:tcBorders>
                  <w:vAlign w:val="center"/>
                </w:tcPr>
                <w:p w14:paraId="1DB873A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w:t>
                  </w:r>
                </w:p>
              </w:tc>
              <w:tc>
                <w:tcPr>
                  <w:tcW w:w="916" w:type="pct"/>
                  <w:tcBorders>
                    <w:top w:val="single" w:color="auto" w:sz="4" w:space="0"/>
                    <w:left w:val="single" w:color="auto" w:sz="4" w:space="0"/>
                    <w:bottom w:val="single" w:color="auto" w:sz="4" w:space="0"/>
                    <w:right w:val="single" w:color="auto" w:sz="4" w:space="0"/>
                  </w:tcBorders>
                  <w:vAlign w:val="center"/>
                </w:tcPr>
                <w:p w14:paraId="3798B9B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合计</w:t>
                  </w:r>
                </w:p>
              </w:tc>
              <w:tc>
                <w:tcPr>
                  <w:tcW w:w="2208" w:type="pct"/>
                  <w:gridSpan w:val="2"/>
                  <w:tcBorders>
                    <w:top w:val="single" w:color="auto" w:sz="4" w:space="0"/>
                    <w:left w:val="single" w:color="auto" w:sz="4" w:space="0"/>
                    <w:bottom w:val="single" w:color="auto" w:sz="4" w:space="0"/>
                    <w:right w:val="single" w:color="auto" w:sz="4" w:space="0"/>
                  </w:tcBorders>
                  <w:vAlign w:val="center"/>
                </w:tcPr>
                <w:p w14:paraId="7C08446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w:t>
                  </w:r>
                </w:p>
              </w:tc>
              <w:tc>
                <w:tcPr>
                  <w:tcW w:w="1532" w:type="dxa"/>
                  <w:tcBorders>
                    <w:top w:val="single" w:color="auto" w:sz="4" w:space="0"/>
                    <w:left w:val="single" w:color="auto" w:sz="4" w:space="0"/>
                    <w:bottom w:val="single" w:color="auto" w:sz="4" w:space="0"/>
                    <w:right w:val="single" w:color="auto" w:sz="4" w:space="0"/>
                  </w:tcBorders>
                  <w:shd w:val="clear" w:color="auto" w:fill="auto"/>
                  <w:vAlign w:val="center"/>
                </w:tcPr>
                <w:p w14:paraId="4977FE7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18.989</w:t>
                  </w:r>
                </w:p>
              </w:tc>
              <w:tc>
                <w:tcPr>
                  <w:tcW w:w="1170" w:type="dxa"/>
                  <w:tcBorders>
                    <w:top w:val="nil"/>
                    <w:left w:val="single" w:color="auto" w:sz="4" w:space="0"/>
                    <w:bottom w:val="single" w:color="auto" w:sz="4" w:space="0"/>
                    <w:right w:val="single" w:color="auto" w:sz="4" w:space="0"/>
                  </w:tcBorders>
                  <w:shd w:val="clear" w:color="auto" w:fill="auto"/>
                  <w:vAlign w:val="center"/>
                </w:tcPr>
                <w:p w14:paraId="0A2B2F4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0.1931</w:t>
                  </w:r>
                </w:p>
              </w:tc>
            </w:tr>
          </w:tbl>
          <w:p w14:paraId="77B10DF7">
            <w:pPr>
              <w:pageBreakBefore w:val="0"/>
              <w:wordWrap w:val="0"/>
              <w:overflowPunct/>
              <w:bidi w:val="0"/>
              <w:ind w:firstLine="48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spacing w:val="-2"/>
                <w:highlight w:val="none"/>
              </w:rPr>
              <w:t>《建设项目环境</w:t>
            </w:r>
            <w:r>
              <w:rPr>
                <w:rFonts w:hint="default" w:ascii="Times New Roman" w:hAnsi="Times New Roman" w:eastAsia="宋体" w:cs="Times New Roman"/>
                <w:color w:val="auto"/>
                <w:spacing w:val="-2"/>
                <w:highlight w:val="none"/>
                <w:lang w:val="en-US" w:eastAsia="zh-CN"/>
              </w:rPr>
              <w:t>影响报告表编制技术指南</w:t>
            </w:r>
            <w:r>
              <w:rPr>
                <w:rFonts w:hint="default" w:ascii="Times New Roman" w:hAnsi="Times New Roman" w:eastAsia="宋体" w:cs="Times New Roman"/>
                <w:color w:val="auto"/>
                <w:spacing w:val="-2"/>
                <w:highlight w:val="none"/>
              </w:rPr>
              <w:t>》（</w:t>
            </w:r>
            <w:r>
              <w:rPr>
                <w:rFonts w:hint="default" w:ascii="Times New Roman" w:hAnsi="Times New Roman" w:eastAsia="宋体" w:cs="Times New Roman"/>
                <w:color w:val="auto"/>
                <w:spacing w:val="-2"/>
                <w:highlight w:val="none"/>
                <w:lang w:val="en-US" w:eastAsia="zh-CN"/>
              </w:rPr>
              <w:t>污染影响类</w:t>
            </w:r>
            <w:r>
              <w:rPr>
                <w:rFonts w:hint="default" w:ascii="Times New Roman" w:hAnsi="Times New Roman" w:eastAsia="宋体" w:cs="Times New Roman"/>
                <w:color w:val="auto"/>
                <w:spacing w:val="-2"/>
                <w:highlight w:val="none"/>
              </w:rPr>
              <w:t>）</w:t>
            </w:r>
            <w:r>
              <w:rPr>
                <w:rFonts w:hint="default" w:ascii="Times New Roman" w:hAnsi="Times New Roman" w:eastAsia="宋体" w:cs="Times New Roman"/>
                <w:color w:val="auto"/>
                <w:spacing w:val="-2"/>
                <w:highlight w:val="none"/>
                <w:lang w:eastAsia="zh-CN"/>
              </w:rPr>
              <w:t>（</w:t>
            </w:r>
            <w:r>
              <w:rPr>
                <w:rFonts w:hint="default" w:ascii="Times New Roman" w:hAnsi="Times New Roman" w:eastAsia="宋体" w:cs="Times New Roman"/>
                <w:color w:val="auto"/>
                <w:spacing w:val="-2"/>
                <w:highlight w:val="none"/>
                <w:lang w:val="en-US" w:eastAsia="zh-CN"/>
              </w:rPr>
              <w:t>试行</w:t>
            </w:r>
            <w:r>
              <w:rPr>
                <w:rFonts w:hint="default" w:ascii="Times New Roman" w:hAnsi="Times New Roman" w:eastAsia="宋体" w:cs="Times New Roman"/>
                <w:color w:val="auto"/>
                <w:spacing w:val="-2"/>
                <w:highlight w:val="none"/>
                <w:lang w:eastAsia="zh-CN"/>
              </w:rPr>
              <w:t>）</w:t>
            </w:r>
            <w:r>
              <w:rPr>
                <w:rFonts w:hint="default" w:ascii="Times New Roman" w:hAnsi="Times New Roman" w:eastAsia="宋体" w:cs="Times New Roman"/>
                <w:color w:val="auto"/>
                <w:spacing w:val="-2"/>
                <w:highlight w:val="none"/>
              </w:rPr>
              <w:t>，当Q</w:t>
            </w:r>
            <w:r>
              <w:rPr>
                <w:rFonts w:hint="default" w:ascii="Times New Roman" w:hAnsi="Times New Roman" w:cs="Times New Roman"/>
                <w:color w:val="auto"/>
                <w:spacing w:val="-2"/>
                <w:highlight w:val="none"/>
                <w:lang w:val="en-US" w:eastAsia="zh-CN"/>
              </w:rPr>
              <w:t>=0.19</w:t>
            </w:r>
            <w:r>
              <w:rPr>
                <w:rFonts w:hint="eastAsia" w:cs="Times New Roman"/>
                <w:color w:val="auto"/>
                <w:spacing w:val="-2"/>
                <w:highlight w:val="none"/>
                <w:lang w:val="en-US" w:eastAsia="zh-CN"/>
              </w:rPr>
              <w:t>31</w:t>
            </w:r>
            <w:r>
              <w:rPr>
                <w:rFonts w:hint="default" w:ascii="Times New Roman" w:hAnsi="Times New Roman" w:cs="Times New Roman"/>
                <w:color w:val="auto"/>
                <w:spacing w:val="-2"/>
                <w:highlight w:val="none"/>
                <w:lang w:val="en-US" w:eastAsia="zh-CN"/>
              </w:rPr>
              <w:t>＜</w:t>
            </w:r>
            <w:r>
              <w:rPr>
                <w:rFonts w:hint="default" w:ascii="Times New Roman" w:hAnsi="Times New Roman" w:eastAsia="宋体" w:cs="Times New Roman"/>
                <w:color w:val="auto"/>
                <w:spacing w:val="-2"/>
                <w:highlight w:val="none"/>
              </w:rPr>
              <w:t>1时，</w:t>
            </w:r>
            <w:r>
              <w:rPr>
                <w:rFonts w:hint="default" w:ascii="Times New Roman" w:hAnsi="Times New Roman" w:cs="Times New Roman"/>
                <w:color w:val="auto"/>
                <w:spacing w:val="-2"/>
                <w:highlight w:val="none"/>
                <w:lang w:val="en-US" w:eastAsia="zh-CN"/>
              </w:rPr>
              <w:t>无需编制环境风险专项评价</w:t>
            </w:r>
            <w:r>
              <w:rPr>
                <w:rFonts w:hint="default" w:ascii="Times New Roman" w:hAnsi="Times New Roman" w:eastAsia="宋体" w:cs="Times New Roman"/>
                <w:color w:val="auto"/>
                <w:spacing w:val="-2"/>
                <w:highlight w:val="none"/>
              </w:rPr>
              <w:t>。</w:t>
            </w:r>
          </w:p>
          <w:p w14:paraId="58B430AB">
            <w:pPr>
              <w:keepNext/>
              <w:keepLines/>
              <w:pageBreakBefore w:val="0"/>
              <w:numPr>
                <w:ilvl w:val="4"/>
                <w:numId w:val="0"/>
              </w:numPr>
              <w:wordWrap w:val="0"/>
              <w:overflowPunct/>
              <w:bidi w:val="0"/>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3、环境敏感目标调查</w:t>
            </w:r>
          </w:p>
          <w:p w14:paraId="1AA8022B">
            <w:pPr>
              <w:pageBreakBefore w:val="0"/>
              <w:wordWrap w:val="0"/>
              <w:overflowPunct/>
              <w:bidi w:val="0"/>
              <w:ind w:firstLine="480" w:firstLineChars="200"/>
              <w:jc w:val="left"/>
              <w:rPr>
                <w:rFonts w:hint="default" w:ascii="Times New Roman" w:hAnsi="Times New Roman" w:eastAsia="宋体" w:cs="Times New Roman"/>
                <w:color w:val="auto"/>
                <w:highlight w:val="none"/>
              </w:rPr>
            </w:pPr>
            <w:r>
              <w:rPr>
                <w:rFonts w:hint="default" w:ascii="Times New Roman" w:hAnsi="Times New Roman" w:cs="Times New Roman"/>
                <w:color w:val="auto"/>
                <w:kern w:val="0"/>
                <w:sz w:val="24"/>
                <w:szCs w:val="24"/>
                <w:lang w:val="en-US" w:eastAsia="zh-CN" w:bidi="ar"/>
              </w:rPr>
              <w:t>本项目位于</w:t>
            </w:r>
            <w:r>
              <w:rPr>
                <w:rFonts w:hint="eastAsia" w:cs="Times New Roman"/>
                <w:color w:val="auto"/>
                <w:kern w:val="0"/>
                <w:sz w:val="24"/>
                <w:szCs w:val="24"/>
                <w:lang w:val="en-US" w:eastAsia="zh-CN" w:bidi="ar"/>
              </w:rPr>
              <w:t>韶关市乐昌市廊田镇乐昌市乐昌产业转移工业园金岭四路7号（广东乐昌经济开发区）</w:t>
            </w:r>
            <w:r>
              <w:rPr>
                <w:rFonts w:hint="default" w:ascii="Times New Roman" w:hAnsi="Times New Roman" w:eastAsia="宋体" w:cs="Times New Roman"/>
                <w:color w:val="auto"/>
                <w:kern w:val="0"/>
                <w:sz w:val="24"/>
                <w:szCs w:val="24"/>
                <w:lang w:val="en-US" w:eastAsia="zh-CN" w:bidi="ar"/>
              </w:rPr>
              <w:t>（广东乐昌经济开发区）</w:t>
            </w:r>
            <w:r>
              <w:rPr>
                <w:rFonts w:hint="default" w:ascii="Times New Roman" w:hAnsi="Times New Roman" w:eastAsia="宋体" w:cs="Times New Roman"/>
                <w:color w:val="auto"/>
                <w:highlight w:val="none"/>
              </w:rPr>
              <w:t>，厂区四周为</w:t>
            </w:r>
            <w:r>
              <w:rPr>
                <w:rFonts w:hint="default" w:ascii="Times New Roman" w:hAnsi="Times New Roman" w:cs="Times New Roman"/>
                <w:color w:val="auto"/>
                <w:highlight w:val="none"/>
                <w:lang w:val="en-US" w:eastAsia="zh-CN"/>
              </w:rPr>
              <w:t>园区道路</w:t>
            </w:r>
            <w:r>
              <w:rPr>
                <w:rFonts w:hint="default" w:ascii="Times New Roman" w:hAnsi="Times New Roman" w:eastAsia="宋体" w:cs="Times New Roman"/>
                <w:color w:val="auto"/>
                <w:highlight w:val="none"/>
              </w:rPr>
              <w:t>、</w:t>
            </w:r>
            <w:r>
              <w:rPr>
                <w:rFonts w:hint="default" w:ascii="Times New Roman" w:hAnsi="Times New Roman" w:cs="Times New Roman"/>
                <w:color w:val="auto"/>
                <w:highlight w:val="none"/>
                <w:lang w:val="en-US" w:eastAsia="zh-CN"/>
              </w:rPr>
              <w:t>工厂</w:t>
            </w:r>
            <w:r>
              <w:rPr>
                <w:rFonts w:hint="default" w:ascii="Times New Roman" w:hAnsi="Times New Roman" w:eastAsia="宋体" w:cs="Times New Roman"/>
                <w:color w:val="auto"/>
                <w:highlight w:val="none"/>
              </w:rPr>
              <w:t>，项目边界周围500m范围内无环境保护目标。</w:t>
            </w:r>
          </w:p>
          <w:p w14:paraId="72D96654">
            <w:pPr>
              <w:keepNext/>
              <w:keepLines/>
              <w:pageBreakBefore w:val="0"/>
              <w:numPr>
                <w:ilvl w:val="4"/>
                <w:numId w:val="0"/>
              </w:numPr>
              <w:wordWrap w:val="0"/>
              <w:overflowPunct/>
              <w:bidi w:val="0"/>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4、环境风险分析</w:t>
            </w:r>
          </w:p>
          <w:p w14:paraId="421A0DFF">
            <w:pPr>
              <w:keepNext/>
              <w:keepLines/>
              <w:pageBreakBefore w:val="0"/>
              <w:numPr>
                <w:ilvl w:val="4"/>
                <w:numId w:val="0"/>
              </w:numPr>
              <w:wordWrap w:val="0"/>
              <w:overflowPunct/>
              <w:bidi w:val="0"/>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（1）大气环境风险分析</w:t>
            </w:r>
          </w:p>
          <w:p w14:paraId="475E72FA">
            <w:pPr>
              <w:pageBreakBefore w:val="0"/>
              <w:widowControl/>
              <w:wordWrap w:val="0"/>
              <w:overflowPunct/>
              <w:bidi w:val="0"/>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物料在运输、装卸、储存和使用过程中发生泄漏、火灾，有毒有害物质在高温情况下散发到空气中，泄漏的物料、物料燃烧产生的次生污染物如烟尘等将对周边的环境空气带来较为严重的污染甚至对人群健康造成危害。当项目的废气治理设施出现故障时废气污染物未能达标排放，也会对周边环境造成一定的影响；特别是本项目主要大气污染物废气，如未经处理直接排放，对周边环境会造成较显著的影响。</w:t>
            </w:r>
          </w:p>
          <w:p w14:paraId="1EF9CBF2">
            <w:pPr>
              <w:pageBreakBefore w:val="0"/>
              <w:widowControl/>
              <w:wordWrap w:val="0"/>
              <w:overflowPunct/>
              <w:bidi w:val="0"/>
              <w:ind w:firstLine="480"/>
              <w:jc w:val="left"/>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根据上述环境风险影响情况，公司应注意因储存设施不良或管理失职造成的环境风险，制定严格的生产管理和环保管理制度，加强化学品的运输、贮存、使用过程的管理；制定具有可操作性的事故应急预案，防止发生丢失、泄漏引起爆炸、火灾等事故引发环境污染事故</w:t>
            </w:r>
            <w:r>
              <w:rPr>
                <w:rFonts w:hint="eastAsia" w:cs="Times New Roman"/>
                <w:color w:val="auto"/>
                <w:highlight w:val="none"/>
                <w:lang w:eastAsia="zh-CN"/>
              </w:rPr>
              <w:t>。</w:t>
            </w:r>
          </w:p>
          <w:p w14:paraId="75A2EAD4">
            <w:pPr>
              <w:keepNext/>
              <w:keepLines/>
              <w:pageBreakBefore w:val="0"/>
              <w:numPr>
                <w:ilvl w:val="4"/>
                <w:numId w:val="0"/>
              </w:numPr>
              <w:wordWrap w:val="0"/>
              <w:overflowPunct/>
              <w:bidi w:val="0"/>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（2）地表水、地下水环境风险分析</w:t>
            </w:r>
          </w:p>
          <w:p w14:paraId="677AF0D9">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液态有毒有害物质经地表径流或雨水管进入周边水体，或通过地表下渗污染地下水水质，严重污染河涌、水道水质，比如，液态有毒有害物质在运输、装卸、储存和使用过程中发生泄漏，危险废物仓库防渗层损坏等，对地表水、地下水环境带来较为严重的污染。本项目液态化学品均储存在厂房设置的</w:t>
            </w:r>
            <w:r>
              <w:rPr>
                <w:rFonts w:hint="default" w:ascii="Times New Roman" w:hAnsi="Times New Roman" w:cs="Times New Roman"/>
                <w:color w:val="auto"/>
                <w:highlight w:val="none"/>
                <w:lang w:eastAsia="zh-CN"/>
              </w:rPr>
              <w:t>物料仓库</w:t>
            </w:r>
            <w:r>
              <w:rPr>
                <w:rFonts w:hint="default" w:ascii="Times New Roman" w:hAnsi="Times New Roman" w:eastAsia="宋体" w:cs="Times New Roman"/>
                <w:color w:val="auto"/>
                <w:highlight w:val="none"/>
              </w:rPr>
              <w:t>内，且出入口处设置围堰围挡，物料随用随取，不使用时密闭封存，本项目厂区内均已进行地面硬化，厂界四周设置围墙围挡，仅保留厂区出入口，且厂区与</w:t>
            </w:r>
            <w:r>
              <w:rPr>
                <w:rFonts w:hint="default" w:ascii="Times New Roman" w:hAnsi="Times New Roman" w:cs="Times New Roman"/>
                <w:bCs/>
                <w:color w:val="auto"/>
                <w:kern w:val="28"/>
                <w:sz w:val="24"/>
                <w:highlight w:val="none"/>
                <w:lang w:val="en-US" w:eastAsia="zh-CN"/>
              </w:rPr>
              <w:t>东南侧廊田河最小距离为3625</w:t>
            </w:r>
            <w:r>
              <w:rPr>
                <w:rFonts w:hint="default" w:ascii="Times New Roman" w:hAnsi="Times New Roman" w:cs="Times New Roman"/>
                <w:bCs/>
                <w:color w:val="auto"/>
                <w:kern w:val="28"/>
                <w:sz w:val="24"/>
                <w:highlight w:val="none"/>
              </w:rPr>
              <w:t>m</w:t>
            </w:r>
            <w:r>
              <w:rPr>
                <w:rFonts w:hint="default" w:ascii="Times New Roman" w:hAnsi="Times New Roman" w:cs="Times New Roman"/>
                <w:bCs/>
                <w:color w:val="auto"/>
                <w:kern w:val="28"/>
                <w:sz w:val="24"/>
                <w:highlight w:val="none"/>
                <w:lang w:val="en-US" w:eastAsia="zh-CN"/>
              </w:rPr>
              <w:t>处</w:t>
            </w:r>
            <w:r>
              <w:rPr>
                <w:rFonts w:hint="default" w:ascii="Times New Roman" w:hAnsi="Times New Roman" w:cs="Times New Roman"/>
                <w:bCs/>
                <w:color w:val="auto"/>
                <w:kern w:val="28"/>
                <w:sz w:val="24"/>
                <w:highlight w:val="none"/>
              </w:rPr>
              <w:t>，</w:t>
            </w:r>
            <w:r>
              <w:rPr>
                <w:rFonts w:hint="default" w:ascii="Times New Roman" w:hAnsi="Times New Roman" w:cs="Times New Roman"/>
                <w:bCs/>
                <w:color w:val="auto"/>
                <w:kern w:val="28"/>
                <w:sz w:val="24"/>
                <w:highlight w:val="none"/>
                <w:lang w:val="en-US" w:eastAsia="zh-CN"/>
              </w:rPr>
              <w:t>在园区道路阻隔，重力引流情况下，本项目厂区内</w:t>
            </w:r>
            <w:r>
              <w:rPr>
                <w:rFonts w:hint="default" w:ascii="Times New Roman" w:hAnsi="Times New Roman" w:cs="Times New Roman"/>
                <w:bCs/>
                <w:color w:val="auto"/>
                <w:kern w:val="28"/>
                <w:sz w:val="24"/>
                <w:highlight w:val="none"/>
              </w:rPr>
              <w:t>地表径流</w:t>
            </w:r>
            <w:r>
              <w:rPr>
                <w:rFonts w:hint="default" w:ascii="Times New Roman" w:hAnsi="Times New Roman" w:cs="Times New Roman"/>
                <w:bCs/>
                <w:color w:val="auto"/>
                <w:kern w:val="28"/>
                <w:sz w:val="24"/>
                <w:highlight w:val="none"/>
                <w:lang w:val="en-US" w:eastAsia="zh-CN"/>
              </w:rPr>
              <w:t>无法</w:t>
            </w:r>
            <w:r>
              <w:rPr>
                <w:rFonts w:hint="default" w:ascii="Times New Roman" w:hAnsi="Times New Roman" w:cs="Times New Roman"/>
                <w:bCs/>
                <w:color w:val="auto"/>
                <w:kern w:val="28"/>
                <w:sz w:val="24"/>
                <w:highlight w:val="none"/>
              </w:rPr>
              <w:t>直接进入</w:t>
            </w:r>
            <w:r>
              <w:rPr>
                <w:rFonts w:hint="default" w:ascii="Times New Roman" w:hAnsi="Times New Roman" w:cs="Times New Roman"/>
                <w:bCs/>
                <w:color w:val="auto"/>
                <w:kern w:val="28"/>
                <w:sz w:val="24"/>
                <w:highlight w:val="none"/>
                <w:lang w:val="en-US" w:eastAsia="zh-CN"/>
              </w:rPr>
              <w:t>廊田河</w:t>
            </w:r>
            <w:r>
              <w:rPr>
                <w:rFonts w:hint="default" w:ascii="Times New Roman" w:hAnsi="Times New Roman" w:cs="Times New Roman"/>
                <w:bCs/>
                <w:color w:val="auto"/>
                <w:kern w:val="28"/>
                <w:sz w:val="24"/>
                <w:highlight w:val="none"/>
              </w:rPr>
              <w:t>水体中。</w:t>
            </w:r>
            <w:r>
              <w:rPr>
                <w:rFonts w:hint="default" w:ascii="Times New Roman" w:hAnsi="Times New Roman" w:eastAsia="宋体" w:cs="Times New Roman"/>
                <w:color w:val="auto"/>
                <w:highlight w:val="none"/>
              </w:rPr>
              <w:t>因此</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本项目</w:t>
            </w:r>
            <w:r>
              <w:rPr>
                <w:rFonts w:hint="default" w:ascii="Times New Roman" w:hAnsi="Times New Roman" w:eastAsia="宋体" w:cs="Times New Roman"/>
                <w:color w:val="auto"/>
                <w:highlight w:val="none"/>
              </w:rPr>
              <w:t>地表水、地下水环境污染途径</w:t>
            </w:r>
            <w:r>
              <w:rPr>
                <w:rFonts w:hint="default" w:ascii="Times New Roman" w:hAnsi="Times New Roman" w:eastAsia="宋体" w:cs="Times New Roman"/>
                <w:color w:val="auto"/>
                <w:highlight w:val="none"/>
                <w:lang w:val="en-US" w:eastAsia="zh-CN"/>
              </w:rPr>
              <w:t>较少，且有对应防范措施</w:t>
            </w:r>
            <w:r>
              <w:rPr>
                <w:rFonts w:hint="default" w:ascii="Times New Roman" w:hAnsi="Times New Roman" w:eastAsia="宋体" w:cs="Times New Roman"/>
                <w:color w:val="auto"/>
                <w:highlight w:val="none"/>
              </w:rPr>
              <w:t>。</w:t>
            </w:r>
          </w:p>
          <w:p w14:paraId="237D0D84">
            <w:pPr>
              <w:keepNext/>
              <w:keepLines/>
              <w:pageBreakBefore w:val="0"/>
              <w:widowControl w:val="0"/>
              <w:numPr>
                <w:ilvl w:val="3"/>
                <w:numId w:val="0"/>
              </w:numPr>
              <w:wordWrap w:val="0"/>
              <w:overflowPunct/>
              <w:bidi w:val="0"/>
              <w:spacing w:line="360" w:lineRule="auto"/>
              <w:ind w:firstLine="480" w:firstLineChars="200"/>
              <w:jc w:val="both"/>
              <w:outlineLvl w:val="3"/>
              <w:rPr>
                <w:rFonts w:hint="default" w:ascii="Times New Roman" w:hAnsi="Times New Roman" w:eastAsia="宋体" w:cs="Times New Roman"/>
                <w:b/>
                <w:bCs/>
                <w:color w:val="auto"/>
                <w:kern w:val="2"/>
                <w:sz w:val="24"/>
                <w:szCs w:val="28"/>
                <w:highlight w:val="none"/>
                <w:lang w:val="en-US" w:eastAsia="zh-CN" w:bidi="ar-SA"/>
              </w:rPr>
            </w:pPr>
            <w:r>
              <w:rPr>
                <w:rFonts w:hint="default" w:ascii="Times New Roman" w:hAnsi="Times New Roman" w:eastAsia="宋体" w:cs="Times New Roman"/>
                <w:b/>
                <w:bCs/>
                <w:color w:val="auto"/>
                <w:kern w:val="2"/>
                <w:sz w:val="24"/>
                <w:szCs w:val="28"/>
                <w:highlight w:val="none"/>
                <w:lang w:val="en-US" w:eastAsia="zh-CN" w:bidi="ar-SA"/>
              </w:rPr>
              <w:t>5、环境风险防范措施及应急要求</w:t>
            </w:r>
          </w:p>
          <w:p w14:paraId="6F58F35B">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①严格执行应急管理、消防等相关规范，从总图布置和建筑安全方面进行风险防范，预留疏散通道或安置场所。</w:t>
            </w:r>
          </w:p>
          <w:p w14:paraId="26848F60">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②从优化改进生产工艺、减少储存量、改善储存条件等方面降低风险程度。</w:t>
            </w:r>
          </w:p>
          <w:p w14:paraId="41B31097">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③加强日常管理，降低管理失误而出现的风险事故，提高员工规范性操作水平，减少误操作引发的风险事故。</w:t>
            </w:r>
          </w:p>
          <w:p w14:paraId="366862F4">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④根据贮存的相关要求进行贮存、使用，设置满足要求的围堰区。遵循“源头控制，分区防渗”的原则，做好仓库、车间、危废暂存间的防渗措施，满足相应标准要求。危废间在建筑物内部，达到防风防雨防晒要求，地面硬化并刷环氧树脂漆防渗，四周设置围堰，满足四防要求。</w:t>
            </w:r>
          </w:p>
          <w:p w14:paraId="6B06A254">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项目风险防范措施详见下表：</w:t>
            </w:r>
          </w:p>
          <w:p w14:paraId="37772163">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lang w:val="en-US" w:eastAsia="zh-CN"/>
              </w:rPr>
            </w:pPr>
            <w:r>
              <w:rPr>
                <w:rFonts w:hint="default" w:ascii="Times New Roman" w:hAnsi="Times New Roman" w:cs="Times New Roman"/>
                <w:b/>
                <w:color w:val="auto"/>
                <w:lang w:val="en-US" w:eastAsia="zh-CN"/>
              </w:rPr>
              <w:t>项目风险防范措施一览表</w:t>
            </w:r>
          </w:p>
          <w:tbl>
            <w:tblPr>
              <w:tblStyle w:val="38"/>
              <w:tblW w:w="86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1221"/>
              <w:gridCol w:w="3279"/>
              <w:gridCol w:w="3413"/>
            </w:tblGrid>
            <w:tr w14:paraId="5B218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18" w:type="dxa"/>
                  <w:gridSpan w:val="2"/>
                  <w:vAlign w:val="center"/>
                </w:tcPr>
                <w:p w14:paraId="08778A84">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环境风险因素</w:t>
                  </w:r>
                </w:p>
              </w:tc>
              <w:tc>
                <w:tcPr>
                  <w:tcW w:w="3279" w:type="dxa"/>
                  <w:vAlign w:val="center"/>
                </w:tcPr>
                <w:p w14:paraId="153F0119">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环境风险影响</w:t>
                  </w:r>
                </w:p>
              </w:tc>
              <w:tc>
                <w:tcPr>
                  <w:tcW w:w="3413" w:type="dxa"/>
                  <w:vAlign w:val="center"/>
                </w:tcPr>
                <w:p w14:paraId="350D9AF9">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风险防范措施</w:t>
                  </w:r>
                </w:p>
              </w:tc>
            </w:tr>
            <w:tr w14:paraId="61277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18" w:type="dxa"/>
                  <w:gridSpan w:val="2"/>
                  <w:vAlign w:val="center"/>
                </w:tcPr>
                <w:p w14:paraId="6A4620D2">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物料仓库</w:t>
                  </w:r>
                </w:p>
              </w:tc>
              <w:tc>
                <w:tcPr>
                  <w:tcW w:w="3279" w:type="dxa"/>
                  <w:vAlign w:val="center"/>
                </w:tcPr>
                <w:p w14:paraId="7BC218D9">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火灾爆炸事故次生环境事件</w:t>
                  </w:r>
                </w:p>
              </w:tc>
              <w:tc>
                <w:tcPr>
                  <w:tcW w:w="3413" w:type="dxa"/>
                  <w:vAlign w:val="center"/>
                </w:tcPr>
                <w:p w14:paraId="40C07DA4">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安排专人定期巡检，配备一定的消防、环境应急物资</w:t>
                  </w:r>
                </w:p>
              </w:tc>
            </w:tr>
            <w:tr w14:paraId="5BB3C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dxa"/>
                  <w:vMerge w:val="restart"/>
                  <w:vAlign w:val="center"/>
                </w:tcPr>
                <w:p w14:paraId="40BCDADB">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储运工程</w:t>
                  </w:r>
                </w:p>
              </w:tc>
              <w:tc>
                <w:tcPr>
                  <w:tcW w:w="1221" w:type="dxa"/>
                  <w:vAlign w:val="center"/>
                </w:tcPr>
                <w:p w14:paraId="0D5E390B">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原辅材料泄漏</w:t>
                  </w:r>
                </w:p>
              </w:tc>
              <w:tc>
                <w:tcPr>
                  <w:tcW w:w="3279" w:type="dxa"/>
                  <w:vAlign w:val="center"/>
                </w:tcPr>
                <w:p w14:paraId="397940A2">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油漆、稀释剂、机油</w:t>
                  </w:r>
                  <w:r>
                    <w:rPr>
                      <w:rFonts w:hint="default" w:ascii="Times New Roman" w:hAnsi="Times New Roman" w:eastAsia="宋体" w:cs="Times New Roman"/>
                      <w:b w:val="0"/>
                      <w:bCs w:val="0"/>
                      <w:color w:val="auto"/>
                      <w:kern w:val="2"/>
                      <w:sz w:val="21"/>
                      <w:szCs w:val="21"/>
                      <w:highlight w:val="none"/>
                      <w:lang w:val="en-US" w:eastAsia="zh-CN" w:bidi="ar-SA"/>
                    </w:rPr>
                    <w:t>等物质在存储、使用、转运过程中</w:t>
                  </w:r>
                </w:p>
              </w:tc>
              <w:tc>
                <w:tcPr>
                  <w:tcW w:w="3413" w:type="dxa"/>
                  <w:vAlign w:val="center"/>
                </w:tcPr>
                <w:p w14:paraId="44173FD4">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用于储存危险化学品的</w:t>
                  </w:r>
                  <w:r>
                    <w:rPr>
                      <w:rFonts w:hint="default" w:ascii="Times New Roman" w:hAnsi="Times New Roman" w:cs="Times New Roman"/>
                      <w:b w:val="0"/>
                      <w:bCs w:val="0"/>
                      <w:color w:val="auto"/>
                      <w:kern w:val="2"/>
                      <w:sz w:val="21"/>
                      <w:szCs w:val="21"/>
                      <w:highlight w:val="none"/>
                      <w:lang w:val="en-US" w:eastAsia="zh-CN" w:bidi="ar-SA"/>
                    </w:rPr>
                    <w:t>物料仓库</w:t>
                  </w:r>
                  <w:r>
                    <w:rPr>
                      <w:rFonts w:hint="default" w:ascii="Times New Roman" w:hAnsi="Times New Roman" w:eastAsia="宋体" w:cs="Times New Roman"/>
                      <w:b w:val="0"/>
                      <w:bCs w:val="0"/>
                      <w:color w:val="auto"/>
                      <w:kern w:val="2"/>
                      <w:sz w:val="21"/>
                      <w:szCs w:val="21"/>
                      <w:highlight w:val="none"/>
                      <w:lang w:val="en-US" w:eastAsia="zh-CN" w:bidi="ar-SA"/>
                    </w:rPr>
                    <w:t>进行重点防渗，并设置围堰，其余区域作一般防渗，安全操作；配备一定的环境应急物资</w:t>
                  </w:r>
                </w:p>
              </w:tc>
            </w:tr>
            <w:tr w14:paraId="683C2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dxa"/>
                  <w:vMerge w:val="continue"/>
                  <w:vAlign w:val="center"/>
                </w:tcPr>
                <w:p w14:paraId="10470BB1">
                  <w:pPr>
                    <w:keepNext w:val="0"/>
                    <w:keepLines w:val="0"/>
                    <w:pageBreakBefore w:val="0"/>
                    <w:widowControl w:val="0"/>
                    <w:kinsoku/>
                    <w:wordWrap w:val="0"/>
                    <w:overflowPunct/>
                    <w:topLinePunct w:val="0"/>
                    <w:autoSpaceDE/>
                    <w:autoSpaceDN/>
                    <w:bidi w:val="0"/>
                    <w:adjustRightInd/>
                    <w:snapToGrid/>
                    <w:spacing w:line="240" w:lineRule="auto"/>
                    <w:ind w:left="24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p>
              </w:tc>
              <w:tc>
                <w:tcPr>
                  <w:tcW w:w="1221" w:type="dxa"/>
                  <w:vAlign w:val="center"/>
                </w:tcPr>
                <w:p w14:paraId="4A6CBB39">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危险废物泄漏</w:t>
                  </w:r>
                </w:p>
              </w:tc>
              <w:tc>
                <w:tcPr>
                  <w:tcW w:w="3279" w:type="dxa"/>
                  <w:vAlign w:val="center"/>
                </w:tcPr>
                <w:p w14:paraId="4CCFAF60">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废原料桶</w:t>
                  </w:r>
                  <w:r>
                    <w:rPr>
                      <w:rFonts w:hint="default" w:ascii="Times New Roman" w:hAnsi="Times New Roman" w:eastAsia="宋体" w:cs="Times New Roman"/>
                      <w:b w:val="0"/>
                      <w:bCs w:val="0"/>
                      <w:color w:val="auto"/>
                      <w:kern w:val="2"/>
                      <w:sz w:val="21"/>
                      <w:szCs w:val="21"/>
                      <w:highlight w:val="none"/>
                      <w:lang w:val="en-US" w:eastAsia="zh-CN" w:bidi="ar-SA"/>
                    </w:rPr>
                    <w:t>、废活性炭等危险废物在存储、转运过程中发生泄漏事件，导致项目有毒有害物质经地表径流或雨水管道进入周边水体或通过地表下渗污染地下水水质</w:t>
                  </w:r>
                </w:p>
              </w:tc>
              <w:tc>
                <w:tcPr>
                  <w:tcW w:w="3413" w:type="dxa"/>
                  <w:vAlign w:val="center"/>
                </w:tcPr>
                <w:p w14:paraId="24143D3E">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危废间进行重点防渗，安全操作配备一定的环境应急物资</w:t>
                  </w:r>
                </w:p>
              </w:tc>
            </w:tr>
            <w:tr w14:paraId="40648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dxa"/>
                  <w:vAlign w:val="center"/>
                </w:tcPr>
                <w:p w14:paraId="75339645">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环保工程</w:t>
                  </w:r>
                </w:p>
              </w:tc>
              <w:tc>
                <w:tcPr>
                  <w:tcW w:w="1221" w:type="dxa"/>
                  <w:vAlign w:val="center"/>
                </w:tcPr>
                <w:p w14:paraId="6EFFB35D">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废气处理措施故障</w:t>
                  </w:r>
                </w:p>
              </w:tc>
              <w:tc>
                <w:tcPr>
                  <w:tcW w:w="3279" w:type="dxa"/>
                  <w:vAlign w:val="center"/>
                </w:tcPr>
                <w:p w14:paraId="05FBE82D">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废气超标排放，影响区域大气环境</w:t>
                  </w:r>
                </w:p>
              </w:tc>
              <w:tc>
                <w:tcPr>
                  <w:tcW w:w="3413" w:type="dxa"/>
                  <w:vAlign w:val="center"/>
                </w:tcPr>
                <w:p w14:paraId="149C0D5E">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定期进行检修，及时排除故障，废气处理设施故障时及时停产检修</w:t>
                  </w:r>
                </w:p>
              </w:tc>
            </w:tr>
          </w:tbl>
          <w:p w14:paraId="0D35F4B1">
            <w:pPr>
              <w:keepNext/>
              <w:keepLines/>
              <w:pageBreakBefore w:val="0"/>
              <w:widowControl w:val="0"/>
              <w:numPr>
                <w:ilvl w:val="3"/>
                <w:numId w:val="0"/>
              </w:numPr>
              <w:wordWrap w:val="0"/>
              <w:overflowPunct/>
              <w:bidi w:val="0"/>
              <w:spacing w:line="360" w:lineRule="auto"/>
              <w:ind w:firstLine="480" w:firstLineChars="200"/>
              <w:jc w:val="both"/>
              <w:outlineLvl w:val="3"/>
              <w:rPr>
                <w:rFonts w:hint="default" w:ascii="Times New Roman" w:hAnsi="Times New Roman" w:eastAsia="宋体" w:cs="Times New Roman"/>
                <w:b/>
                <w:bCs/>
                <w:color w:val="auto"/>
                <w:kern w:val="2"/>
                <w:sz w:val="24"/>
                <w:szCs w:val="28"/>
                <w:highlight w:val="none"/>
                <w:lang w:val="en-US" w:eastAsia="zh-CN" w:bidi="ar-SA"/>
              </w:rPr>
            </w:pPr>
            <w:r>
              <w:rPr>
                <w:rFonts w:hint="default" w:ascii="Times New Roman" w:hAnsi="Times New Roman" w:eastAsia="宋体" w:cs="Times New Roman"/>
                <w:b/>
                <w:bCs/>
                <w:color w:val="auto"/>
                <w:kern w:val="2"/>
                <w:sz w:val="24"/>
                <w:szCs w:val="28"/>
                <w:highlight w:val="none"/>
                <w:lang w:val="en-US" w:eastAsia="zh-CN" w:bidi="ar-SA"/>
              </w:rPr>
              <w:t>6、项目制定突发环境事件应急措施</w:t>
            </w:r>
          </w:p>
          <w:p w14:paraId="4372A622">
            <w:pPr>
              <w:pageBreakBefore w:val="0"/>
              <w:widowControl w:val="0"/>
              <w:wordWrap w:val="0"/>
              <w:overflowPunct/>
              <w:autoSpaceDE w:val="0"/>
              <w:autoSpaceDN w:val="0"/>
              <w:bidi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为有效防范突发环境事件的发生，及时、合理处置可能发生的各类重大、特大环境污染事故，保障人民群众身心健康及正常生产、生活活动，本项目应依据《中华人民共和国环境保护法》及相关法律的规定，制定本项目的应急预案，详见</w:t>
            </w:r>
            <w:r>
              <w:rPr>
                <w:rFonts w:hint="default" w:ascii="Times New Roman" w:hAnsi="Times New Roman" w:cs="Times New Roman"/>
                <w:color w:val="auto"/>
                <w:kern w:val="2"/>
                <w:sz w:val="24"/>
                <w:szCs w:val="24"/>
                <w:highlight w:val="none"/>
                <w:lang w:val="en-US" w:eastAsia="zh-CN" w:bidi="ar-SA"/>
              </w:rPr>
              <w:t>下表</w:t>
            </w:r>
            <w:r>
              <w:rPr>
                <w:rFonts w:hint="default" w:ascii="Times New Roman" w:hAnsi="Times New Roman" w:eastAsia="宋体" w:cs="Times New Roman"/>
                <w:color w:val="auto"/>
                <w:kern w:val="2"/>
                <w:sz w:val="24"/>
                <w:szCs w:val="24"/>
                <w:highlight w:val="none"/>
                <w:lang w:val="en-US" w:eastAsia="zh-CN" w:bidi="ar-SA"/>
              </w:rPr>
              <w:t>突发事故应急预案要点。</w:t>
            </w:r>
          </w:p>
          <w:p w14:paraId="20EB156A">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lang w:val="en-US" w:eastAsia="zh-CN"/>
              </w:rPr>
            </w:pPr>
            <w:r>
              <w:rPr>
                <w:rFonts w:hint="default" w:ascii="Times New Roman" w:hAnsi="Times New Roman" w:cs="Times New Roman"/>
                <w:b/>
                <w:color w:val="auto"/>
                <w:lang w:val="en-US" w:eastAsia="zh-CN"/>
              </w:rPr>
              <w:t xml:space="preserve"> 突发环境事件应急预案表</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2165"/>
              <w:gridCol w:w="5805"/>
            </w:tblGrid>
            <w:tr w14:paraId="67A7C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3FB1DEA6">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序号</w:t>
                  </w:r>
                </w:p>
              </w:tc>
              <w:tc>
                <w:tcPr>
                  <w:tcW w:w="1243" w:type="pct"/>
                  <w:noWrap w:val="0"/>
                  <w:vAlign w:val="center"/>
                </w:tcPr>
                <w:p w14:paraId="1203E414">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项目</w:t>
                  </w:r>
                </w:p>
              </w:tc>
              <w:tc>
                <w:tcPr>
                  <w:tcW w:w="3333" w:type="pct"/>
                  <w:noWrap w:val="0"/>
                  <w:vAlign w:val="center"/>
                </w:tcPr>
                <w:p w14:paraId="68B29A4A">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内容及要求</w:t>
                  </w:r>
                </w:p>
              </w:tc>
            </w:tr>
            <w:tr w14:paraId="03169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423" w:type="pct"/>
                  <w:noWrap w:val="0"/>
                  <w:vAlign w:val="center"/>
                </w:tcPr>
                <w:p w14:paraId="049F643D">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w:t>
                  </w:r>
                </w:p>
              </w:tc>
              <w:tc>
                <w:tcPr>
                  <w:tcW w:w="1243" w:type="pct"/>
                  <w:noWrap w:val="0"/>
                  <w:vAlign w:val="center"/>
                </w:tcPr>
                <w:p w14:paraId="627BBA00">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应急组织机构、人员</w:t>
                  </w:r>
                </w:p>
              </w:tc>
              <w:tc>
                <w:tcPr>
                  <w:tcW w:w="3333" w:type="pct"/>
                  <w:noWrap w:val="0"/>
                  <w:vAlign w:val="center"/>
                </w:tcPr>
                <w:p w14:paraId="231D2C5C">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设立事故应急机构、人员由企业主要领导、安全负责人、环保负责人等主要人员组成</w:t>
                  </w:r>
                </w:p>
              </w:tc>
            </w:tr>
            <w:tr w14:paraId="09F84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584CB484">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2</w:t>
                  </w:r>
                </w:p>
              </w:tc>
              <w:tc>
                <w:tcPr>
                  <w:tcW w:w="1243" w:type="pct"/>
                  <w:noWrap w:val="0"/>
                  <w:vAlign w:val="center"/>
                </w:tcPr>
                <w:p w14:paraId="5BCC331C">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预案分级响应条件</w:t>
                  </w:r>
                </w:p>
              </w:tc>
              <w:tc>
                <w:tcPr>
                  <w:tcW w:w="3333" w:type="pct"/>
                  <w:noWrap w:val="0"/>
                  <w:vAlign w:val="center"/>
                </w:tcPr>
                <w:p w14:paraId="47626304">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规定预案的级别及分级响应程序</w:t>
                  </w:r>
                </w:p>
              </w:tc>
            </w:tr>
            <w:tr w14:paraId="69FF2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0907256E">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w:t>
                  </w:r>
                </w:p>
              </w:tc>
              <w:tc>
                <w:tcPr>
                  <w:tcW w:w="1243" w:type="pct"/>
                  <w:noWrap w:val="0"/>
                  <w:vAlign w:val="center"/>
                </w:tcPr>
                <w:p w14:paraId="2E69E75C">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应急救援保障</w:t>
                  </w:r>
                </w:p>
              </w:tc>
              <w:tc>
                <w:tcPr>
                  <w:tcW w:w="3333" w:type="pct"/>
                  <w:noWrap w:val="0"/>
                  <w:vAlign w:val="center"/>
                </w:tcPr>
                <w:p w14:paraId="0338DDBD">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企业应配备必要的应急设施设备器材：事故易发的工作岗位配备必需的防护用品等</w:t>
                  </w:r>
                </w:p>
              </w:tc>
            </w:tr>
            <w:tr w14:paraId="20B51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717CE67B">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4</w:t>
                  </w:r>
                </w:p>
              </w:tc>
              <w:tc>
                <w:tcPr>
                  <w:tcW w:w="1243" w:type="pct"/>
                  <w:noWrap w:val="0"/>
                  <w:vAlign w:val="center"/>
                </w:tcPr>
                <w:p w14:paraId="6D0AD488">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报警、通讯联络方式</w:t>
                  </w:r>
                </w:p>
              </w:tc>
              <w:tc>
                <w:tcPr>
                  <w:tcW w:w="3333" w:type="pct"/>
                  <w:noWrap w:val="0"/>
                  <w:vAlign w:val="center"/>
                </w:tcPr>
                <w:p w14:paraId="0CF8DE6A">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建立专用的报警和通讯线路，保证指挥部人员与现场人员手机与信息交流的渠道畅通</w:t>
                  </w:r>
                </w:p>
              </w:tc>
            </w:tr>
            <w:tr w14:paraId="68B88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7701560F">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5</w:t>
                  </w:r>
                </w:p>
              </w:tc>
              <w:tc>
                <w:tcPr>
                  <w:tcW w:w="1243" w:type="pct"/>
                  <w:noWrap w:val="0"/>
                  <w:vAlign w:val="center"/>
                </w:tcPr>
                <w:p w14:paraId="7F6067C9">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应急监测、抢险救援及控制措施</w:t>
                  </w:r>
                </w:p>
              </w:tc>
              <w:tc>
                <w:tcPr>
                  <w:tcW w:w="3333" w:type="pct"/>
                  <w:noWrap w:val="0"/>
                  <w:vAlign w:val="center"/>
                </w:tcPr>
                <w:p w14:paraId="3571EDB1">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发生事故时，要保证现场的事故处理设施和全厂的应急处理系统能够紧急启动，并对事故产生的污染物进行有效的控制，同时启动当地的环境应急监测系统</w:t>
                  </w:r>
                </w:p>
              </w:tc>
            </w:tr>
            <w:tr w14:paraId="74E8E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76FA9EB9">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6</w:t>
                  </w:r>
                </w:p>
              </w:tc>
              <w:tc>
                <w:tcPr>
                  <w:tcW w:w="1243" w:type="pct"/>
                  <w:noWrap w:val="0"/>
                  <w:vAlign w:val="center"/>
                </w:tcPr>
                <w:p w14:paraId="6708B955">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应急监测、防护措施、泄漏措施和器材</w:t>
                  </w:r>
                </w:p>
              </w:tc>
              <w:tc>
                <w:tcPr>
                  <w:tcW w:w="3333" w:type="pct"/>
                  <w:noWrap w:val="0"/>
                  <w:vAlign w:val="center"/>
                </w:tcPr>
                <w:p w14:paraId="379D2EF9">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设立必要的控制和清除污染的相应措施。事故发生时，要及时发现事故发生地点和环节，并利用已有的防护措施减少污染物的排放</w:t>
                  </w:r>
                </w:p>
              </w:tc>
            </w:tr>
            <w:tr w14:paraId="58098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7B315359">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7</w:t>
                  </w:r>
                </w:p>
              </w:tc>
              <w:tc>
                <w:tcPr>
                  <w:tcW w:w="1243" w:type="pct"/>
                  <w:noWrap w:val="0"/>
                  <w:vAlign w:val="center"/>
                </w:tcPr>
                <w:p w14:paraId="3614E780">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人员紧急撤离、疏散组织计划</w:t>
                  </w:r>
                </w:p>
              </w:tc>
              <w:tc>
                <w:tcPr>
                  <w:tcW w:w="3333" w:type="pct"/>
                  <w:noWrap w:val="0"/>
                  <w:vAlign w:val="center"/>
                </w:tcPr>
                <w:p w14:paraId="25ACCF56">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由事故应急现场指挥部负责及时向上级各有关部门及周边邻近单位和居民点告知事故的危险程度及严重性，指派人员协助邻近单位、村民疏散、撤离至安全地带。</w:t>
                  </w:r>
                </w:p>
              </w:tc>
            </w:tr>
            <w:tr w14:paraId="3A859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0B9B257C">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8</w:t>
                  </w:r>
                </w:p>
              </w:tc>
              <w:tc>
                <w:tcPr>
                  <w:tcW w:w="1243" w:type="pct"/>
                  <w:noWrap w:val="0"/>
                  <w:vAlign w:val="center"/>
                </w:tcPr>
                <w:p w14:paraId="6765B84E">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事故应急救援关闭程序与恢复措施</w:t>
                  </w:r>
                </w:p>
              </w:tc>
              <w:tc>
                <w:tcPr>
                  <w:tcW w:w="3333" w:type="pct"/>
                  <w:noWrap w:val="0"/>
                  <w:vAlign w:val="center"/>
                </w:tcPr>
                <w:p w14:paraId="1F369925">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规定应急状态终止程序、事故现场善后处理、邻近区域解除事故警戒及善后恢复措施</w:t>
                  </w:r>
                </w:p>
              </w:tc>
            </w:tr>
            <w:tr w14:paraId="1A3D1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4BE299C6">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9</w:t>
                  </w:r>
                </w:p>
              </w:tc>
              <w:tc>
                <w:tcPr>
                  <w:tcW w:w="1243" w:type="pct"/>
                  <w:noWrap w:val="0"/>
                  <w:vAlign w:val="center"/>
                </w:tcPr>
                <w:p w14:paraId="061210DF">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应急培训计划</w:t>
                  </w:r>
                </w:p>
              </w:tc>
              <w:tc>
                <w:tcPr>
                  <w:tcW w:w="3333" w:type="pct"/>
                  <w:noWrap w:val="0"/>
                  <w:vAlign w:val="center"/>
                </w:tcPr>
                <w:p w14:paraId="6B5219CE">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企业要注意日常工作中对事故应急处理的培训，以提高职工的安全防范意识</w:t>
                  </w:r>
                </w:p>
              </w:tc>
            </w:tr>
            <w:tr w14:paraId="50D60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7316DD07">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10</w:t>
                  </w:r>
                </w:p>
              </w:tc>
              <w:tc>
                <w:tcPr>
                  <w:tcW w:w="1243" w:type="pct"/>
                  <w:noWrap w:val="0"/>
                  <w:vAlign w:val="center"/>
                </w:tcPr>
                <w:p w14:paraId="0875A54E">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公众教育和信息</w:t>
                  </w:r>
                </w:p>
              </w:tc>
              <w:tc>
                <w:tcPr>
                  <w:tcW w:w="3333" w:type="pct"/>
                  <w:noWrap w:val="0"/>
                  <w:vAlign w:val="center"/>
                </w:tcPr>
                <w:p w14:paraId="52FB3B02">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通过各种方式，对周围居民等进行事故防范宣传</w:t>
                  </w:r>
                </w:p>
              </w:tc>
            </w:tr>
          </w:tbl>
          <w:p w14:paraId="6D214812">
            <w:pPr>
              <w:keepNext/>
              <w:keepLines/>
              <w:pageBreakBefore w:val="0"/>
              <w:widowControl w:val="0"/>
              <w:numPr>
                <w:ilvl w:val="3"/>
                <w:numId w:val="0"/>
              </w:numPr>
              <w:wordWrap w:val="0"/>
              <w:overflowPunct/>
              <w:bidi w:val="0"/>
              <w:spacing w:line="360" w:lineRule="auto"/>
              <w:ind w:firstLine="480" w:firstLineChars="200"/>
              <w:jc w:val="both"/>
              <w:outlineLvl w:val="3"/>
              <w:rPr>
                <w:rFonts w:hint="default" w:ascii="Times New Roman" w:hAnsi="Times New Roman" w:eastAsia="宋体" w:cs="Times New Roman"/>
                <w:b/>
                <w:bCs/>
                <w:color w:val="auto"/>
                <w:kern w:val="2"/>
                <w:sz w:val="24"/>
                <w:szCs w:val="28"/>
                <w:highlight w:val="none"/>
                <w:lang w:val="en-US" w:eastAsia="zh-CN" w:bidi="ar-SA"/>
              </w:rPr>
            </w:pPr>
            <w:r>
              <w:rPr>
                <w:rFonts w:hint="default" w:ascii="Times New Roman" w:hAnsi="Times New Roman" w:eastAsia="宋体" w:cs="Times New Roman"/>
                <w:b/>
                <w:bCs/>
                <w:color w:val="auto"/>
                <w:kern w:val="2"/>
                <w:sz w:val="24"/>
                <w:szCs w:val="28"/>
                <w:highlight w:val="none"/>
                <w:lang w:val="en-US" w:eastAsia="zh-CN" w:bidi="ar-SA"/>
              </w:rPr>
              <w:t>7、环境风险分析小结与建议</w:t>
            </w:r>
          </w:p>
          <w:p w14:paraId="7DABD082">
            <w:pPr>
              <w:keepNext w:val="0"/>
              <w:keepLines w:val="0"/>
              <w:pageBreakBefore w:val="0"/>
              <w:wordWrap w:val="0"/>
              <w:overflowPunct/>
              <w:bidi w:val="0"/>
              <w:ind w:left="0" w:firstLine="480" w:firstLineChars="200"/>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本项目泄漏、火灾、爆炸等事故发生概率较低，物质泄漏、火灾、爆炸等事故下引发的伴生/次生污染物排放的风险隐患较低，在落实上述防范措施后，生产过程的环境风险总体可控。</w:t>
            </w:r>
          </w:p>
          <w:p w14:paraId="651A8965">
            <w:pPr>
              <w:pageBreakBefore w:val="0"/>
              <w:wordWrap w:val="0"/>
              <w:overflowPunct/>
              <w:bidi w:val="0"/>
              <w:ind w:firstLine="480" w:firstLineChars="200"/>
              <w:jc w:val="left"/>
              <w:rPr>
                <w:rFonts w:hint="default" w:ascii="Times New Roman" w:hAnsi="Times New Roman" w:eastAsia="宋体" w:cs="Times New Roman"/>
                <w:b/>
                <w:bCs/>
                <w:color w:val="auto"/>
                <w:kern w:val="0"/>
                <w:sz w:val="24"/>
                <w:szCs w:val="24"/>
                <w:highlight w:val="none"/>
              </w:rPr>
            </w:pPr>
            <w:r>
              <w:rPr>
                <w:rFonts w:hint="default" w:ascii="Times New Roman" w:hAnsi="Times New Roman" w:eastAsia="宋体" w:cs="Times New Roman"/>
                <w:b/>
                <w:bCs/>
                <w:color w:val="auto"/>
                <w:kern w:val="0"/>
                <w:sz w:val="24"/>
                <w:szCs w:val="24"/>
                <w:highlight w:val="none"/>
              </w:rPr>
              <w:t>8、环保验收“三同时”</w:t>
            </w:r>
          </w:p>
          <w:p w14:paraId="321F0CA1">
            <w:pPr>
              <w:keepNext/>
              <w:keepLines/>
              <w:pageBreakBefore w:val="0"/>
              <w:tabs>
                <w:tab w:val="left" w:pos="0"/>
              </w:tabs>
              <w:wordWrap w:val="0"/>
              <w:overflowPunct/>
              <w:bidi w:val="0"/>
              <w:ind w:firstLine="480" w:firstLineChars="200"/>
              <w:outlineLvl w:val="2"/>
              <w:rPr>
                <w:rFonts w:hint="default" w:ascii="Times New Roman" w:hAnsi="Times New Roman" w:cs="Times New Roman"/>
                <w:color w:val="auto"/>
              </w:rPr>
            </w:pPr>
            <w:r>
              <w:rPr>
                <w:rFonts w:hint="default" w:ascii="Times New Roman" w:hAnsi="Times New Roman" w:eastAsia="宋体" w:cs="Times New Roman"/>
                <w:b w:val="0"/>
                <w:bCs w:val="0"/>
                <w:color w:val="auto"/>
                <w:kern w:val="0"/>
                <w:sz w:val="24"/>
                <w:szCs w:val="24"/>
                <w:highlight w:val="none"/>
              </w:rPr>
              <w:t>建设单位应严格按照国家“三同时”政策及时做好有关工作，保证环保工程与主体工程同时设计、同时施工、同时投入使用，切实履行本评价所提出的各项污染防治对策与建议，保证做到各污染物达标排放。项目“三同时”环境保护验收情况见下表：</w:t>
            </w:r>
          </w:p>
          <w:p w14:paraId="7537DC2D">
            <w:pPr>
              <w:pStyle w:val="19"/>
              <w:pageBreakBefore w:val="0"/>
              <w:numPr>
                <w:ilvl w:val="0"/>
                <w:numId w:val="9"/>
              </w:numPr>
              <w:wordWrap w:val="0"/>
              <w:overflowPunct/>
              <w:bidi w:val="0"/>
              <w:spacing w:line="240" w:lineRule="auto"/>
              <w:ind w:left="0" w:leftChars="0" w:firstLine="0" w:firstLineChars="0"/>
              <w:rPr>
                <w:rFonts w:hint="default" w:ascii="Times New Roman" w:hAnsi="Times New Roman" w:cs="Times New Roman"/>
                <w:b/>
                <w:color w:val="auto"/>
                <w:lang w:val="en-US" w:eastAsia="zh-CN"/>
              </w:rPr>
            </w:pPr>
            <w:r>
              <w:rPr>
                <w:rFonts w:hint="default" w:ascii="Times New Roman" w:hAnsi="Times New Roman" w:cs="Times New Roman"/>
                <w:b/>
                <w:color w:val="auto"/>
                <w:lang w:val="en-US" w:eastAsia="zh-CN"/>
              </w:rPr>
              <w:t>项目环境保护“三同时”验收一览表</w:t>
            </w:r>
          </w:p>
          <w:tbl>
            <w:tblPr>
              <w:tblStyle w:val="37"/>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287"/>
              <w:gridCol w:w="805"/>
              <w:gridCol w:w="806"/>
              <w:gridCol w:w="1792"/>
              <w:gridCol w:w="1792"/>
              <w:gridCol w:w="3223"/>
            </w:tblGrid>
            <w:tr w14:paraId="6A4F96A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0" w:type="auto"/>
                  <w:noWrap w:val="0"/>
                  <w:vAlign w:val="center"/>
                </w:tcPr>
                <w:p w14:paraId="01C0306F">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类别</w:t>
                  </w:r>
                </w:p>
              </w:tc>
              <w:tc>
                <w:tcPr>
                  <w:tcW w:w="0" w:type="auto"/>
                  <w:noWrap w:val="0"/>
                  <w:vAlign w:val="center"/>
                </w:tcPr>
                <w:p w14:paraId="506A48A8">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污染源</w:t>
                  </w:r>
                </w:p>
              </w:tc>
              <w:tc>
                <w:tcPr>
                  <w:tcW w:w="0" w:type="auto"/>
                  <w:noWrap w:val="0"/>
                  <w:vAlign w:val="center"/>
                </w:tcPr>
                <w:p w14:paraId="34B6CD1A">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污染物</w:t>
                  </w:r>
                </w:p>
              </w:tc>
              <w:tc>
                <w:tcPr>
                  <w:tcW w:w="0" w:type="auto"/>
                  <w:noWrap w:val="0"/>
                  <w:vAlign w:val="center"/>
                </w:tcPr>
                <w:p w14:paraId="582C1165">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污染防</w:t>
                  </w:r>
                </w:p>
                <w:p w14:paraId="242F05B4">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治措施</w:t>
                  </w:r>
                </w:p>
              </w:tc>
              <w:tc>
                <w:tcPr>
                  <w:tcW w:w="0" w:type="auto"/>
                  <w:noWrap w:val="0"/>
                  <w:vAlign w:val="center"/>
                </w:tcPr>
                <w:p w14:paraId="0A86C0C4">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验收及监测内容</w:t>
                  </w:r>
                </w:p>
              </w:tc>
              <w:tc>
                <w:tcPr>
                  <w:tcW w:w="0" w:type="auto"/>
                  <w:noWrap w:val="0"/>
                  <w:vAlign w:val="center"/>
                </w:tcPr>
                <w:p w14:paraId="4F535C93">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预期效果</w:t>
                  </w:r>
                </w:p>
              </w:tc>
            </w:tr>
            <w:tr w14:paraId="24D40F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vMerge w:val="restart"/>
                  <w:noWrap w:val="0"/>
                  <w:vAlign w:val="center"/>
                </w:tcPr>
                <w:p w14:paraId="0A2EFFFD">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废气</w:t>
                  </w:r>
                </w:p>
              </w:tc>
              <w:tc>
                <w:tcPr>
                  <w:tcW w:w="0" w:type="auto"/>
                  <w:vMerge w:val="restart"/>
                  <w:noWrap w:val="0"/>
                  <w:vAlign w:val="center"/>
                </w:tcPr>
                <w:p w14:paraId="74688B0E">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有组织DA005</w:t>
                  </w:r>
                </w:p>
              </w:tc>
              <w:tc>
                <w:tcPr>
                  <w:tcW w:w="0" w:type="auto"/>
                  <w:noWrap w:val="0"/>
                  <w:vAlign w:val="center"/>
                </w:tcPr>
                <w:p w14:paraId="3081E665">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非甲烷总烃</w:t>
                  </w:r>
                </w:p>
              </w:tc>
              <w:tc>
                <w:tcPr>
                  <w:tcW w:w="0" w:type="auto"/>
                  <w:vMerge w:val="restart"/>
                  <w:noWrap w:val="0"/>
                  <w:vAlign w:val="center"/>
                </w:tcPr>
                <w:p w14:paraId="22FCC501">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二级活性炭吸附装置</w:t>
                  </w:r>
                </w:p>
              </w:tc>
              <w:tc>
                <w:tcPr>
                  <w:tcW w:w="0" w:type="auto"/>
                  <w:vMerge w:val="restart"/>
                  <w:noWrap w:val="0"/>
                  <w:vAlign w:val="center"/>
                </w:tcPr>
                <w:p w14:paraId="5AFEB214">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收集处理装置、排气筒设置情况；污染物实际排放浓度</w:t>
                  </w:r>
                </w:p>
              </w:tc>
              <w:tc>
                <w:tcPr>
                  <w:tcW w:w="0" w:type="auto"/>
                  <w:noWrap w:val="0"/>
                  <w:vAlign w:val="center"/>
                </w:tcPr>
                <w:p w14:paraId="6C684B2D">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《合成树脂工业污染物排放标准》（GB 31572-2015，含2024年修改单）表5污染物特别排放限值</w:t>
                  </w:r>
                </w:p>
              </w:tc>
            </w:tr>
            <w:tr w14:paraId="4D5FB52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vMerge w:val="continue"/>
                  <w:noWrap w:val="0"/>
                  <w:vAlign w:val="center"/>
                </w:tcPr>
                <w:p w14:paraId="7C9A0068">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39287C13">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70A0B2E8">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臭气浓度</w:t>
                  </w:r>
                </w:p>
              </w:tc>
              <w:tc>
                <w:tcPr>
                  <w:tcW w:w="0" w:type="auto"/>
                  <w:vMerge w:val="continue"/>
                  <w:noWrap w:val="0"/>
                  <w:vAlign w:val="center"/>
                </w:tcPr>
                <w:p w14:paraId="5C2300A4">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76CF4F46">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2EA12090">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《恶臭污染物排放标准》（GB14554-93）表2 恶臭污染物排放标准值</w:t>
                  </w:r>
                </w:p>
              </w:tc>
            </w:tr>
            <w:tr w14:paraId="6E2C9CB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vMerge w:val="continue"/>
                  <w:noWrap w:val="0"/>
                  <w:vAlign w:val="center"/>
                </w:tcPr>
                <w:p w14:paraId="14ACF2C2">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restart"/>
                  <w:noWrap w:val="0"/>
                  <w:vAlign w:val="center"/>
                </w:tcPr>
                <w:p w14:paraId="261BB609">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有组织DA006</w:t>
                  </w:r>
                </w:p>
              </w:tc>
              <w:tc>
                <w:tcPr>
                  <w:tcW w:w="0" w:type="auto"/>
                  <w:noWrap w:val="0"/>
                  <w:vAlign w:val="center"/>
                </w:tcPr>
                <w:p w14:paraId="2FF65D19">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颗粒物</w:t>
                  </w:r>
                </w:p>
              </w:tc>
              <w:tc>
                <w:tcPr>
                  <w:tcW w:w="0" w:type="auto"/>
                  <w:vMerge w:val="restart"/>
                  <w:noWrap w:val="0"/>
                  <w:vAlign w:val="center"/>
                </w:tcPr>
                <w:p w14:paraId="7724AE62">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水喷淋+干式过滤器+二级活性炭</w:t>
                  </w:r>
                </w:p>
              </w:tc>
              <w:tc>
                <w:tcPr>
                  <w:tcW w:w="0" w:type="auto"/>
                  <w:vMerge w:val="restart"/>
                  <w:noWrap w:val="0"/>
                  <w:vAlign w:val="center"/>
                </w:tcPr>
                <w:p w14:paraId="03050175">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收集处理装置、排气筒设置情况；污染物实际排放浓度</w:t>
                  </w:r>
                </w:p>
              </w:tc>
              <w:tc>
                <w:tcPr>
                  <w:tcW w:w="0" w:type="auto"/>
                  <w:noWrap w:val="0"/>
                  <w:vAlign w:val="center"/>
                </w:tcPr>
                <w:p w14:paraId="12DC4F6C">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广东省《大气污染物排放限值》（DB44/27-2001</w:t>
                  </w:r>
                  <w:r>
                    <w:rPr>
                      <w:rFonts w:hint="eastAsia" w:cs="Times New Roman"/>
                      <w:b w:val="0"/>
                      <w:bCs/>
                      <w:color w:val="auto"/>
                      <w:sz w:val="21"/>
                      <w:szCs w:val="21"/>
                      <w:highlight w:val="none"/>
                      <w:lang w:val="en-US" w:eastAsia="zh-CN"/>
                    </w:rPr>
                    <w:t>）</w:t>
                  </w:r>
                  <w:r>
                    <w:rPr>
                      <w:rFonts w:hint="default" w:ascii="Times New Roman" w:hAnsi="Times New Roman" w:eastAsia="宋体" w:cs="Times New Roman"/>
                      <w:b w:val="0"/>
                      <w:bCs/>
                      <w:color w:val="auto"/>
                      <w:sz w:val="21"/>
                      <w:szCs w:val="21"/>
                      <w:highlight w:val="none"/>
                      <w:lang w:val="en-US" w:eastAsia="zh-CN"/>
                    </w:rPr>
                    <w:t>第二时段二级标准</w:t>
                  </w:r>
                </w:p>
              </w:tc>
            </w:tr>
            <w:tr w14:paraId="3D771A3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vMerge w:val="continue"/>
                  <w:noWrap w:val="0"/>
                  <w:vAlign w:val="center"/>
                </w:tcPr>
                <w:p w14:paraId="17DFBC14">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67046F9B">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1E84058A">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非甲烷总烃</w:t>
                  </w:r>
                </w:p>
              </w:tc>
              <w:tc>
                <w:tcPr>
                  <w:tcW w:w="0" w:type="auto"/>
                  <w:vMerge w:val="continue"/>
                  <w:noWrap w:val="0"/>
                  <w:vAlign w:val="center"/>
                </w:tcPr>
                <w:p w14:paraId="18268D04">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083AD09F">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7CFB08E5">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广东省《固定污染源挥发性有机物综合排放标准》（DB44/2367-2022）中表1挥发性有机物排放限值要求</w:t>
                  </w:r>
                </w:p>
              </w:tc>
            </w:tr>
            <w:tr w14:paraId="087820F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vMerge w:val="continue"/>
                  <w:noWrap w:val="0"/>
                  <w:vAlign w:val="center"/>
                </w:tcPr>
                <w:p w14:paraId="531B1D3C">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tcBorders>
                    <w:bottom w:val="single" w:color="auto" w:sz="4" w:space="0"/>
                  </w:tcBorders>
                  <w:noWrap w:val="0"/>
                  <w:vAlign w:val="center"/>
                </w:tcPr>
                <w:p w14:paraId="343D4D3D">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63FEC98B">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臭气浓度</w:t>
                  </w:r>
                </w:p>
              </w:tc>
              <w:tc>
                <w:tcPr>
                  <w:tcW w:w="0" w:type="auto"/>
                  <w:vMerge w:val="continue"/>
                  <w:tcBorders>
                    <w:bottom w:val="single" w:color="auto" w:sz="4" w:space="0"/>
                  </w:tcBorders>
                  <w:noWrap w:val="0"/>
                  <w:vAlign w:val="center"/>
                </w:tcPr>
                <w:p w14:paraId="45CA6E95">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tcBorders>
                    <w:bottom w:val="single" w:color="auto" w:sz="4" w:space="0"/>
                  </w:tcBorders>
                  <w:noWrap w:val="0"/>
                  <w:vAlign w:val="center"/>
                </w:tcPr>
                <w:p w14:paraId="019F2703">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12475113">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《恶臭污染物排放标准》（GB14554-93）表2 恶臭污染物排放标准值</w:t>
                  </w:r>
                </w:p>
              </w:tc>
            </w:tr>
            <w:tr w14:paraId="3D10E04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vMerge w:val="continue"/>
                  <w:noWrap w:val="0"/>
                  <w:vAlign w:val="center"/>
                </w:tcPr>
                <w:p w14:paraId="26F494B2">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restart"/>
                  <w:noWrap w:val="0"/>
                  <w:vAlign w:val="center"/>
                </w:tcPr>
                <w:p w14:paraId="064BBA0F">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无组织</w:t>
                  </w:r>
                </w:p>
              </w:tc>
              <w:tc>
                <w:tcPr>
                  <w:tcW w:w="0" w:type="auto"/>
                  <w:noWrap w:val="0"/>
                  <w:vAlign w:val="center"/>
                </w:tcPr>
                <w:p w14:paraId="2010C156">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厂区内非甲烷总烃</w:t>
                  </w:r>
                </w:p>
              </w:tc>
              <w:tc>
                <w:tcPr>
                  <w:tcW w:w="0" w:type="auto"/>
                  <w:vMerge w:val="restart"/>
                  <w:noWrap w:val="0"/>
                  <w:vAlign w:val="center"/>
                </w:tcPr>
                <w:p w14:paraId="5691504B">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设置在密闭车间内，并加强车间管理，减少无组织排放</w:t>
                  </w:r>
                </w:p>
              </w:tc>
              <w:tc>
                <w:tcPr>
                  <w:tcW w:w="0" w:type="auto"/>
                  <w:vMerge w:val="restart"/>
                  <w:noWrap w:val="0"/>
                  <w:vAlign w:val="center"/>
                </w:tcPr>
                <w:p w14:paraId="737E1302">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设置在密闭车间内，并加强车间管理，减少无组织排放</w:t>
                  </w:r>
                </w:p>
              </w:tc>
              <w:tc>
                <w:tcPr>
                  <w:tcW w:w="0" w:type="auto"/>
                  <w:noWrap w:val="0"/>
                  <w:vAlign w:val="center"/>
                </w:tcPr>
                <w:p w14:paraId="1F213067">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广东省《固定污染源挥发性有机物综合排放标准》（DB44/2367-2022）中表3厂区内VOCs无组织排放限值</w:t>
                  </w:r>
                </w:p>
              </w:tc>
            </w:tr>
            <w:tr w14:paraId="7B90C0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0" w:type="auto"/>
                  <w:vMerge w:val="continue"/>
                  <w:noWrap w:val="0"/>
                  <w:vAlign w:val="center"/>
                </w:tcPr>
                <w:p w14:paraId="4B67D3DE">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0C9DC786">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212187F0">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颗粒物</w:t>
                  </w:r>
                </w:p>
              </w:tc>
              <w:tc>
                <w:tcPr>
                  <w:tcW w:w="0" w:type="auto"/>
                  <w:vMerge w:val="continue"/>
                  <w:noWrap w:val="0"/>
                  <w:vAlign w:val="center"/>
                </w:tcPr>
                <w:p w14:paraId="5C6AFBD5">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20D24F3E">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34B01C47">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《合成树脂工业污染物排放标准》（GB 31572-2015，含2024年修改单）</w:t>
                  </w:r>
                  <w:r>
                    <w:rPr>
                      <w:rFonts w:hint="default" w:ascii="Times New Roman" w:hAnsi="Times New Roman" w:eastAsia="宋体" w:cs="Times New Roman"/>
                      <w:b w:val="0"/>
                      <w:bCs/>
                      <w:color w:val="auto"/>
                      <w:sz w:val="21"/>
                      <w:szCs w:val="21"/>
                      <w:highlight w:val="none"/>
                      <w:lang w:val="en-US" w:eastAsia="zh-CN"/>
                    </w:rPr>
                    <w:t>表9企业边界大气污染物浓度限值</w:t>
                  </w:r>
                </w:p>
              </w:tc>
            </w:tr>
            <w:tr w14:paraId="3F41FF0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vMerge w:val="continue"/>
                  <w:noWrap w:val="0"/>
                  <w:vAlign w:val="center"/>
                </w:tcPr>
                <w:p w14:paraId="162D73D4">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07D2B3F4">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38864FCD">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非甲烷总烃</w:t>
                  </w:r>
                </w:p>
              </w:tc>
              <w:tc>
                <w:tcPr>
                  <w:tcW w:w="0" w:type="auto"/>
                  <w:vMerge w:val="continue"/>
                  <w:noWrap w:val="0"/>
                  <w:vAlign w:val="center"/>
                </w:tcPr>
                <w:p w14:paraId="53F80E35">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0D74542B">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6CA7B506">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《合成树脂工业污染物排放标准》（GB 31572-2015，含2024年修改单）表9企业边界大气污染物浓度限值</w:t>
                  </w:r>
                </w:p>
              </w:tc>
            </w:tr>
            <w:tr w14:paraId="0EA5789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vMerge w:val="continue"/>
                  <w:tcBorders>
                    <w:bottom w:val="single" w:color="auto" w:sz="4" w:space="0"/>
                  </w:tcBorders>
                  <w:noWrap w:val="0"/>
                  <w:vAlign w:val="center"/>
                </w:tcPr>
                <w:p w14:paraId="2D7E9701">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tcBorders>
                    <w:bottom w:val="single" w:color="auto" w:sz="4" w:space="0"/>
                  </w:tcBorders>
                  <w:noWrap w:val="0"/>
                  <w:vAlign w:val="center"/>
                </w:tcPr>
                <w:p w14:paraId="43E63B9D">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2161D1CC">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臭气浓度</w:t>
                  </w:r>
                </w:p>
              </w:tc>
              <w:tc>
                <w:tcPr>
                  <w:tcW w:w="0" w:type="auto"/>
                  <w:vMerge w:val="continue"/>
                  <w:tcBorders>
                    <w:bottom w:val="single" w:color="auto" w:sz="4" w:space="0"/>
                  </w:tcBorders>
                  <w:noWrap w:val="0"/>
                  <w:vAlign w:val="center"/>
                </w:tcPr>
                <w:p w14:paraId="4D2BC7B8">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tcBorders>
                    <w:bottom w:val="single" w:color="auto" w:sz="4" w:space="0"/>
                  </w:tcBorders>
                  <w:noWrap w:val="0"/>
                  <w:vAlign w:val="center"/>
                </w:tcPr>
                <w:p w14:paraId="03148E63">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58EAEE26">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《恶臭污染物排放标准》（GB14554-93）中表1恶臭污染物厂界标准值二级新扩改建标准</w:t>
                  </w:r>
                </w:p>
              </w:tc>
            </w:tr>
            <w:tr w14:paraId="60D5F10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noWrap w:val="0"/>
                  <w:vAlign w:val="center"/>
                </w:tcPr>
                <w:p w14:paraId="082065BE">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噪声</w:t>
                  </w:r>
                </w:p>
              </w:tc>
              <w:tc>
                <w:tcPr>
                  <w:tcW w:w="0" w:type="auto"/>
                  <w:noWrap w:val="0"/>
                  <w:vAlign w:val="center"/>
                </w:tcPr>
                <w:p w14:paraId="19BF830E">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设备噪声</w:t>
                  </w:r>
                </w:p>
              </w:tc>
              <w:tc>
                <w:tcPr>
                  <w:tcW w:w="0" w:type="auto"/>
                  <w:noWrap w:val="0"/>
                  <w:vAlign w:val="center"/>
                </w:tcPr>
                <w:p w14:paraId="30DF1B91">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边界等效声级</w:t>
                  </w:r>
                </w:p>
              </w:tc>
              <w:tc>
                <w:tcPr>
                  <w:tcW w:w="0" w:type="auto"/>
                  <w:noWrap w:val="0"/>
                  <w:vAlign w:val="center"/>
                </w:tcPr>
                <w:p w14:paraId="68C5507D">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减振、隔声、吸声、消声等</w:t>
                  </w:r>
                </w:p>
              </w:tc>
              <w:tc>
                <w:tcPr>
                  <w:tcW w:w="0" w:type="auto"/>
                  <w:noWrap w:val="0"/>
                  <w:vAlign w:val="center"/>
                </w:tcPr>
                <w:p w14:paraId="34C9E101">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厂界噪声</w:t>
                  </w:r>
                </w:p>
              </w:tc>
              <w:tc>
                <w:tcPr>
                  <w:tcW w:w="0" w:type="auto"/>
                  <w:noWrap w:val="0"/>
                  <w:vAlign w:val="center"/>
                </w:tcPr>
                <w:p w14:paraId="3613CC77">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满足《工业企业厂界环境噪声排放标准》</w:t>
                  </w:r>
                  <w:r>
                    <w:rPr>
                      <w:rFonts w:hint="eastAsia" w:cs="Times New Roman"/>
                      <w:b w:val="0"/>
                      <w:bCs/>
                      <w:color w:val="auto"/>
                      <w:sz w:val="21"/>
                      <w:szCs w:val="21"/>
                      <w:highlight w:val="none"/>
                      <w:lang w:val="en-US" w:eastAsia="zh-CN"/>
                    </w:rPr>
                    <w:t>（</w:t>
                  </w:r>
                  <w:r>
                    <w:rPr>
                      <w:rFonts w:hint="default" w:ascii="Times New Roman" w:hAnsi="Times New Roman" w:eastAsia="宋体" w:cs="Times New Roman"/>
                      <w:b w:val="0"/>
                      <w:bCs/>
                      <w:color w:val="auto"/>
                      <w:sz w:val="21"/>
                      <w:szCs w:val="21"/>
                      <w:highlight w:val="none"/>
                      <w:lang w:val="en-US" w:eastAsia="zh-CN"/>
                    </w:rPr>
                    <w:t>GB12348-2008</w:t>
                  </w:r>
                  <w:r>
                    <w:rPr>
                      <w:rFonts w:hint="eastAsia" w:cs="Times New Roman"/>
                      <w:b w:val="0"/>
                      <w:bCs/>
                      <w:color w:val="auto"/>
                      <w:sz w:val="21"/>
                      <w:szCs w:val="21"/>
                      <w:highlight w:val="none"/>
                      <w:lang w:val="en-US" w:eastAsia="zh-CN"/>
                    </w:rPr>
                    <w:t>）</w:t>
                  </w:r>
                  <w:r>
                    <w:rPr>
                      <w:rFonts w:hint="default" w:ascii="Times New Roman" w:hAnsi="Times New Roman" w:eastAsia="宋体" w:cs="Times New Roman"/>
                      <w:b w:val="0"/>
                      <w:bCs/>
                      <w:color w:val="auto"/>
                      <w:sz w:val="21"/>
                      <w:szCs w:val="21"/>
                      <w:highlight w:val="none"/>
                      <w:lang w:val="en-US" w:eastAsia="zh-CN"/>
                    </w:rPr>
                    <w:t>的3类标准</w:t>
                  </w:r>
                </w:p>
              </w:tc>
            </w:tr>
            <w:tr w14:paraId="77EA6DC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vMerge w:val="restart"/>
                  <w:noWrap w:val="0"/>
                  <w:vAlign w:val="center"/>
                </w:tcPr>
                <w:p w14:paraId="25F9AB6A">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固体</w:t>
                  </w:r>
                </w:p>
                <w:p w14:paraId="4B3D84C8">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废物</w:t>
                  </w:r>
                </w:p>
              </w:tc>
              <w:tc>
                <w:tcPr>
                  <w:tcW w:w="0" w:type="auto"/>
                  <w:noWrap w:val="0"/>
                  <w:vAlign w:val="center"/>
                </w:tcPr>
                <w:p w14:paraId="401DC55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color w:val="auto"/>
                      <w:position w:val="-10"/>
                      <w:sz w:val="21"/>
                      <w:szCs w:val="21"/>
                      <w:highlight w:val="none"/>
                      <w:lang w:val="en-US" w:eastAsia="zh-CN" w:bidi="ar-SA"/>
                    </w:rPr>
                    <w:t>废包装材料</w:t>
                  </w:r>
                </w:p>
              </w:tc>
              <w:tc>
                <w:tcPr>
                  <w:tcW w:w="0" w:type="auto"/>
                  <w:noWrap w:val="0"/>
                  <w:vAlign w:val="center"/>
                </w:tcPr>
                <w:p w14:paraId="1BB7120F">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0" w:type="auto"/>
                  <w:noWrap w:val="0"/>
                  <w:vAlign w:val="center"/>
                </w:tcPr>
                <w:p w14:paraId="3CBA3D0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color w:val="auto"/>
                      <w:position w:val="-10"/>
                      <w:sz w:val="21"/>
                      <w:szCs w:val="21"/>
                      <w:highlight w:val="none"/>
                      <w:lang w:val="en-US" w:eastAsia="zh-CN" w:bidi="ar-SA"/>
                    </w:rPr>
                    <w:t>外售至资源回收利用单位</w:t>
                  </w:r>
                </w:p>
              </w:tc>
              <w:tc>
                <w:tcPr>
                  <w:tcW w:w="0" w:type="auto"/>
                  <w:vMerge w:val="restart"/>
                  <w:noWrap w:val="0"/>
                  <w:vAlign w:val="center"/>
                </w:tcPr>
                <w:p w14:paraId="669A8286">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检查固废收集、储存、处置方式</w:t>
                  </w:r>
                </w:p>
              </w:tc>
              <w:tc>
                <w:tcPr>
                  <w:tcW w:w="0" w:type="auto"/>
                  <w:vMerge w:val="restart"/>
                  <w:noWrap w:val="0"/>
                  <w:vAlign w:val="center"/>
                </w:tcPr>
                <w:p w14:paraId="6EA662A0">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对项目所在地环境无不良影响</w:t>
                  </w:r>
                </w:p>
              </w:tc>
            </w:tr>
            <w:tr w14:paraId="59318D3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0" w:type="auto"/>
                  <w:vMerge w:val="continue"/>
                  <w:noWrap w:val="0"/>
                  <w:vAlign w:val="center"/>
                </w:tcPr>
                <w:p w14:paraId="7AE0B8B7">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4649ED6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color w:val="auto"/>
                      <w:position w:val="-10"/>
                      <w:sz w:val="21"/>
                      <w:szCs w:val="21"/>
                      <w:highlight w:val="none"/>
                      <w:lang w:val="en-US" w:eastAsia="zh-CN" w:bidi="ar-SA"/>
                    </w:rPr>
                    <w:t>不合格品、边角料</w:t>
                  </w:r>
                </w:p>
              </w:tc>
              <w:tc>
                <w:tcPr>
                  <w:tcW w:w="0" w:type="auto"/>
                  <w:noWrap w:val="0"/>
                  <w:vAlign w:val="center"/>
                </w:tcPr>
                <w:p w14:paraId="14AE62DC">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0" w:type="auto"/>
                  <w:noWrap w:val="0"/>
                  <w:vAlign w:val="center"/>
                </w:tcPr>
                <w:p w14:paraId="0BB3E3E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color w:val="auto"/>
                      <w:position w:val="-10"/>
                      <w:sz w:val="21"/>
                      <w:szCs w:val="21"/>
                      <w:highlight w:val="none"/>
                      <w:lang w:val="en-US" w:eastAsia="zh-CN" w:bidi="ar-SA"/>
                    </w:rPr>
                    <w:t>破碎后回用</w:t>
                  </w:r>
                </w:p>
              </w:tc>
              <w:tc>
                <w:tcPr>
                  <w:tcW w:w="0" w:type="auto"/>
                  <w:vMerge w:val="continue"/>
                  <w:noWrap w:val="0"/>
                  <w:vAlign w:val="center"/>
                </w:tcPr>
                <w:p w14:paraId="2F43654F">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6D7B5973">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r>
            <w:tr w14:paraId="0100C8E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vMerge w:val="continue"/>
                  <w:noWrap w:val="0"/>
                  <w:vAlign w:val="center"/>
                </w:tcPr>
                <w:p w14:paraId="12334338">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3B32D8F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color w:val="auto"/>
                      <w:position w:val="-10"/>
                      <w:sz w:val="21"/>
                      <w:szCs w:val="21"/>
                      <w:highlight w:val="none"/>
                      <w:lang w:val="en-US" w:eastAsia="zh-CN" w:bidi="ar-SA"/>
                    </w:rPr>
                    <w:t>废原料桶</w:t>
                  </w:r>
                </w:p>
              </w:tc>
              <w:tc>
                <w:tcPr>
                  <w:tcW w:w="0" w:type="auto"/>
                  <w:noWrap w:val="0"/>
                  <w:vAlign w:val="center"/>
                </w:tcPr>
                <w:p w14:paraId="6BEC0DE5">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有机物</w:t>
                  </w:r>
                </w:p>
              </w:tc>
              <w:tc>
                <w:tcPr>
                  <w:tcW w:w="0" w:type="auto"/>
                  <w:vMerge w:val="restart"/>
                  <w:noWrap w:val="0"/>
                  <w:vAlign w:val="center"/>
                </w:tcPr>
                <w:p w14:paraId="7A4FABFC">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交由有危险废物处理资质的单位处理</w:t>
                  </w:r>
                </w:p>
              </w:tc>
              <w:tc>
                <w:tcPr>
                  <w:tcW w:w="0" w:type="auto"/>
                  <w:vMerge w:val="restart"/>
                  <w:noWrap w:val="0"/>
                  <w:vAlign w:val="center"/>
                </w:tcPr>
                <w:p w14:paraId="387A5B73">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检查固废收集、储存、处置方式</w:t>
                  </w:r>
                </w:p>
              </w:tc>
              <w:tc>
                <w:tcPr>
                  <w:tcW w:w="0" w:type="auto"/>
                  <w:vMerge w:val="restart"/>
                  <w:noWrap w:val="0"/>
                  <w:vAlign w:val="center"/>
                </w:tcPr>
                <w:p w14:paraId="0F000CD3">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对项目所在地环境无不良影响</w:t>
                  </w:r>
                </w:p>
              </w:tc>
            </w:tr>
            <w:tr w14:paraId="0A8C8A5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vMerge w:val="continue"/>
                  <w:noWrap w:val="0"/>
                  <w:vAlign w:val="center"/>
                </w:tcPr>
                <w:p w14:paraId="6289ABCD">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793BCA0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color w:val="auto"/>
                      <w:position w:val="-10"/>
                      <w:sz w:val="21"/>
                      <w:szCs w:val="21"/>
                      <w:highlight w:val="none"/>
                      <w:lang w:val="en-US" w:eastAsia="zh-CN" w:bidi="ar-SA"/>
                    </w:rPr>
                    <w:t>废油桶</w:t>
                  </w:r>
                </w:p>
              </w:tc>
              <w:tc>
                <w:tcPr>
                  <w:tcW w:w="0" w:type="auto"/>
                  <w:noWrap w:val="0"/>
                  <w:vAlign w:val="center"/>
                </w:tcPr>
                <w:p w14:paraId="27E16BAD">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矿物油</w:t>
                  </w:r>
                </w:p>
              </w:tc>
              <w:tc>
                <w:tcPr>
                  <w:tcW w:w="0" w:type="auto"/>
                  <w:vMerge w:val="continue"/>
                  <w:noWrap w:val="0"/>
                  <w:vAlign w:val="center"/>
                </w:tcPr>
                <w:p w14:paraId="524FA43F">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672B153C">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7170DA59">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r>
            <w:tr w14:paraId="35CBCAC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vMerge w:val="continue"/>
                  <w:noWrap w:val="0"/>
                  <w:vAlign w:val="center"/>
                </w:tcPr>
                <w:p w14:paraId="632776AE">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17EA06E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color w:val="auto"/>
                      <w:position w:val="-10"/>
                      <w:sz w:val="21"/>
                      <w:szCs w:val="21"/>
                      <w:highlight w:val="none"/>
                      <w:lang w:val="en-US" w:eastAsia="zh-CN" w:bidi="ar-SA"/>
                    </w:rPr>
                    <w:t>废机油</w:t>
                  </w:r>
                </w:p>
              </w:tc>
              <w:tc>
                <w:tcPr>
                  <w:tcW w:w="0" w:type="auto"/>
                  <w:noWrap w:val="0"/>
                  <w:vAlign w:val="center"/>
                </w:tcPr>
                <w:p w14:paraId="363F077E">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矿物油</w:t>
                  </w:r>
                </w:p>
              </w:tc>
              <w:tc>
                <w:tcPr>
                  <w:tcW w:w="0" w:type="auto"/>
                  <w:vMerge w:val="continue"/>
                  <w:noWrap w:val="0"/>
                  <w:vAlign w:val="center"/>
                </w:tcPr>
                <w:p w14:paraId="2693AC8B">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2A267114">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4EC18EE2">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r>
            <w:tr w14:paraId="0208156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vMerge w:val="continue"/>
                  <w:noWrap w:val="0"/>
                  <w:vAlign w:val="center"/>
                </w:tcPr>
                <w:p w14:paraId="3D929C2B">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597935A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color w:val="auto"/>
                      <w:position w:val="-10"/>
                      <w:sz w:val="21"/>
                      <w:szCs w:val="21"/>
                      <w:highlight w:val="none"/>
                      <w:lang w:val="en-US" w:eastAsia="zh-CN" w:bidi="ar-SA"/>
                    </w:rPr>
                    <w:t>废抹布</w:t>
                  </w:r>
                </w:p>
              </w:tc>
              <w:tc>
                <w:tcPr>
                  <w:tcW w:w="0" w:type="auto"/>
                  <w:noWrap w:val="0"/>
                  <w:vAlign w:val="center"/>
                </w:tcPr>
                <w:p w14:paraId="419F1A5B">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矿物油</w:t>
                  </w:r>
                </w:p>
              </w:tc>
              <w:tc>
                <w:tcPr>
                  <w:tcW w:w="0" w:type="auto"/>
                  <w:vMerge w:val="continue"/>
                  <w:noWrap w:val="0"/>
                  <w:vAlign w:val="center"/>
                </w:tcPr>
                <w:p w14:paraId="22C5255B">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4F9ACFC9">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2F0A2843">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r>
            <w:tr w14:paraId="11D0838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vMerge w:val="continue"/>
                  <w:noWrap w:val="0"/>
                  <w:vAlign w:val="center"/>
                </w:tcPr>
                <w:p w14:paraId="0C5FB1F3">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44C8726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color w:val="auto"/>
                      <w:position w:val="-10"/>
                      <w:sz w:val="21"/>
                      <w:szCs w:val="21"/>
                      <w:highlight w:val="none"/>
                      <w:lang w:val="en-US" w:eastAsia="zh-CN" w:bidi="ar-SA"/>
                    </w:rPr>
                    <w:t>喷枪清洗废液</w:t>
                  </w:r>
                </w:p>
              </w:tc>
              <w:tc>
                <w:tcPr>
                  <w:tcW w:w="0" w:type="auto"/>
                  <w:noWrap w:val="0"/>
                  <w:vAlign w:val="center"/>
                </w:tcPr>
                <w:p w14:paraId="3F4BE297">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有机物</w:t>
                  </w:r>
                </w:p>
              </w:tc>
              <w:tc>
                <w:tcPr>
                  <w:tcW w:w="0" w:type="auto"/>
                  <w:vMerge w:val="continue"/>
                  <w:noWrap w:val="0"/>
                  <w:vAlign w:val="center"/>
                </w:tcPr>
                <w:p w14:paraId="554A3CC2">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02ECEAF1">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3C0C9032">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r>
            <w:tr w14:paraId="1EBF492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vMerge w:val="continue"/>
                  <w:noWrap w:val="0"/>
                  <w:vAlign w:val="center"/>
                </w:tcPr>
                <w:p w14:paraId="55FCF8BD">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2976DA4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color w:val="auto"/>
                      <w:position w:val="-10"/>
                      <w:sz w:val="21"/>
                      <w:szCs w:val="21"/>
                      <w:highlight w:val="none"/>
                      <w:lang w:val="en-US" w:eastAsia="zh-CN" w:bidi="ar-SA"/>
                    </w:rPr>
                    <w:t>漆渣</w:t>
                  </w:r>
                </w:p>
              </w:tc>
              <w:tc>
                <w:tcPr>
                  <w:tcW w:w="0" w:type="auto"/>
                  <w:noWrap w:val="0"/>
                  <w:vAlign w:val="center"/>
                </w:tcPr>
                <w:p w14:paraId="621DF437">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有机物</w:t>
                  </w:r>
                </w:p>
              </w:tc>
              <w:tc>
                <w:tcPr>
                  <w:tcW w:w="0" w:type="auto"/>
                  <w:vMerge w:val="continue"/>
                  <w:noWrap w:val="0"/>
                  <w:vAlign w:val="center"/>
                </w:tcPr>
                <w:p w14:paraId="28EF9867">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6EFC5C53">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1F204C4B">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r>
            <w:tr w14:paraId="427B520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vMerge w:val="continue"/>
                  <w:noWrap w:val="0"/>
                  <w:vAlign w:val="center"/>
                </w:tcPr>
                <w:p w14:paraId="67F8485E">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6C63FA6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color w:val="auto"/>
                      <w:kern w:val="2"/>
                      <w:position w:val="-10"/>
                      <w:sz w:val="21"/>
                      <w:szCs w:val="21"/>
                      <w:highlight w:val="none"/>
                      <w:lang w:val="en-US" w:eastAsia="zh-CN" w:bidi="ar-SA"/>
                    </w:rPr>
                    <w:t>喷漆废水</w:t>
                  </w:r>
                </w:p>
              </w:tc>
              <w:tc>
                <w:tcPr>
                  <w:tcW w:w="0" w:type="auto"/>
                  <w:noWrap w:val="0"/>
                  <w:vAlign w:val="center"/>
                </w:tcPr>
                <w:p w14:paraId="6F8700C6">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有机物</w:t>
                  </w:r>
                </w:p>
              </w:tc>
              <w:tc>
                <w:tcPr>
                  <w:tcW w:w="0" w:type="auto"/>
                  <w:vMerge w:val="continue"/>
                  <w:noWrap w:val="0"/>
                  <w:vAlign w:val="center"/>
                </w:tcPr>
                <w:p w14:paraId="0C10B02A">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7E14850D">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75D0CCB2">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r>
            <w:tr w14:paraId="3F6AC0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vMerge w:val="continue"/>
                  <w:noWrap w:val="0"/>
                  <w:vAlign w:val="center"/>
                </w:tcPr>
                <w:p w14:paraId="51603D8A">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290D46D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color w:val="auto"/>
                      <w:position w:val="-10"/>
                      <w:sz w:val="21"/>
                      <w:szCs w:val="21"/>
                      <w:highlight w:val="none"/>
                      <w:lang w:val="en-US" w:eastAsia="zh-CN" w:bidi="ar-SA"/>
                    </w:rPr>
                    <w:t>废过滤棉</w:t>
                  </w:r>
                </w:p>
              </w:tc>
              <w:tc>
                <w:tcPr>
                  <w:tcW w:w="0" w:type="auto"/>
                  <w:noWrap w:val="0"/>
                  <w:vAlign w:val="center"/>
                </w:tcPr>
                <w:p w14:paraId="2BCC0392">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有机物</w:t>
                  </w:r>
                </w:p>
              </w:tc>
              <w:tc>
                <w:tcPr>
                  <w:tcW w:w="0" w:type="auto"/>
                  <w:vMerge w:val="continue"/>
                  <w:noWrap w:val="0"/>
                  <w:vAlign w:val="center"/>
                </w:tcPr>
                <w:p w14:paraId="02271FB9">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0413B6C0">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1B7EB79B">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r>
            <w:tr w14:paraId="7A8A0D4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vMerge w:val="continue"/>
                  <w:noWrap w:val="0"/>
                  <w:vAlign w:val="center"/>
                </w:tcPr>
                <w:p w14:paraId="0B4D4216">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noWrap w:val="0"/>
                  <w:vAlign w:val="center"/>
                </w:tcPr>
                <w:p w14:paraId="1D55929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废活性炭</w:t>
                  </w:r>
                </w:p>
              </w:tc>
              <w:tc>
                <w:tcPr>
                  <w:tcW w:w="0" w:type="auto"/>
                  <w:noWrap w:val="0"/>
                  <w:vAlign w:val="center"/>
                </w:tcPr>
                <w:p w14:paraId="5859B02C">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有机物、炭</w:t>
                  </w:r>
                </w:p>
              </w:tc>
              <w:tc>
                <w:tcPr>
                  <w:tcW w:w="0" w:type="auto"/>
                  <w:vMerge w:val="continue"/>
                  <w:noWrap w:val="0"/>
                  <w:vAlign w:val="center"/>
                </w:tcPr>
                <w:p w14:paraId="715305C8">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66216F95">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c>
                <w:tcPr>
                  <w:tcW w:w="0" w:type="auto"/>
                  <w:vMerge w:val="continue"/>
                  <w:noWrap w:val="0"/>
                  <w:vAlign w:val="center"/>
                </w:tcPr>
                <w:p w14:paraId="5E3A2FC4">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p>
              </w:tc>
            </w:tr>
          </w:tbl>
          <w:p w14:paraId="7963E2DE">
            <w:pPr>
              <w:keepNext/>
              <w:keepLines/>
              <w:pageBreakBefore w:val="0"/>
              <w:tabs>
                <w:tab w:val="left" w:pos="0"/>
              </w:tabs>
              <w:wordWrap w:val="0"/>
              <w:overflowPunct/>
              <w:bidi w:val="0"/>
              <w:ind w:firstLine="480" w:firstLineChars="200"/>
              <w:outlineLvl w:val="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八、电磁辐射环境</w:t>
            </w:r>
          </w:p>
          <w:p w14:paraId="610CC260">
            <w:pPr>
              <w:pageBreakBefore w:val="0"/>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4"/>
                <w:szCs w:val="24"/>
                <w:highlight w:val="none"/>
                <w:lang w:val="en-US" w:eastAsia="zh-CN" w:bidi="ar-SA"/>
              </w:rPr>
              <w:t>本项目不存在电磁辐射影响。</w:t>
            </w:r>
          </w:p>
        </w:tc>
      </w:tr>
    </w:tbl>
    <w:p w14:paraId="79106AE1">
      <w:pPr>
        <w:pageBreakBefore w:val="0"/>
        <w:wordWrap w:val="0"/>
        <w:overflowPunct/>
        <w:bidi w:val="0"/>
        <w:rPr>
          <w:rFonts w:hint="default" w:ascii="Times New Roman" w:hAnsi="Times New Roman" w:cs="Times New Roman"/>
          <w:color w:val="auto"/>
          <w:highlight w:val="none"/>
        </w:rPr>
        <w:sectPr>
          <w:pgSz w:w="11906" w:h="16838"/>
          <w:pgMar w:top="1440" w:right="1417" w:bottom="1440" w:left="1417"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p w14:paraId="525620AE">
      <w:pPr>
        <w:pStyle w:val="2"/>
        <w:pageBreakBefore w:val="0"/>
        <w:numPr>
          <w:ilvl w:val="0"/>
          <w:numId w:val="0"/>
        </w:numPr>
        <w:wordWrap w:val="0"/>
        <w:overflowPunct/>
        <w:bidi w:val="0"/>
        <w:rPr>
          <w:rFonts w:hint="default" w:ascii="Times New Roman" w:hAnsi="Times New Roman" w:cs="Times New Roman"/>
          <w:color w:val="auto"/>
          <w:highlight w:val="none"/>
        </w:rPr>
      </w:pPr>
      <w:bookmarkStart w:id="109" w:name="_Toc7202"/>
      <w:r>
        <w:rPr>
          <w:rFonts w:hint="default" w:ascii="Times New Roman" w:hAnsi="Times New Roman" w:cs="Times New Roman"/>
          <w:color w:val="auto"/>
          <w:highlight w:val="none"/>
        </w:rPr>
        <w:t>五、环境保护措施监督检查清单</w:t>
      </w:r>
      <w:bookmarkEnd w:id="107"/>
      <w:bookmarkEnd w:id="109"/>
    </w:p>
    <w:tbl>
      <w:tblPr>
        <w:tblStyle w:val="37"/>
        <w:tblW w:w="935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08"/>
        <w:gridCol w:w="1800"/>
        <w:gridCol w:w="1550"/>
        <w:gridCol w:w="1800"/>
        <w:gridCol w:w="3098"/>
      </w:tblGrid>
      <w:tr w14:paraId="6CA386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tcBorders>
              <w:tl2br w:val="single" w:color="auto" w:sz="4" w:space="0"/>
            </w:tcBorders>
          </w:tcPr>
          <w:p w14:paraId="3BDE5239">
            <w:pPr>
              <w:keepNext w:val="0"/>
              <w:keepLines w:val="0"/>
              <w:pageBreakBefore w:val="0"/>
              <w:widowControl w:val="0"/>
              <w:kinsoku/>
              <w:wordWrap w:val="0"/>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b/>
                <w:color w:val="auto"/>
                <w:sz w:val="21"/>
                <w:szCs w:val="21"/>
              </w:rPr>
            </w:pPr>
            <w:bookmarkStart w:id="110" w:name="_Toc15960"/>
            <w:r>
              <w:rPr>
                <w:rFonts w:hint="default" w:ascii="Times New Roman" w:hAnsi="Times New Roman" w:cs="Times New Roman"/>
                <w:b/>
                <w:color w:val="auto"/>
                <w:sz w:val="21"/>
                <w:szCs w:val="21"/>
              </w:rPr>
              <w:t>内容</w:t>
            </w:r>
          </w:p>
          <w:p w14:paraId="6BEB1697">
            <w:pPr>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color w:val="auto"/>
                <w:sz w:val="21"/>
                <w:szCs w:val="21"/>
              </w:rPr>
            </w:pPr>
          </w:p>
          <w:p w14:paraId="02C85BDD">
            <w:pPr>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要素</w:t>
            </w:r>
          </w:p>
        </w:tc>
        <w:tc>
          <w:tcPr>
            <w:tcW w:w="1800" w:type="dxa"/>
            <w:tcBorders>
              <w:bottom w:val="single" w:color="auto" w:sz="4" w:space="0"/>
            </w:tcBorders>
            <w:vAlign w:val="center"/>
          </w:tcPr>
          <w:p w14:paraId="21784CC6">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排放口（编号、名称）/污染源</w:t>
            </w:r>
          </w:p>
        </w:tc>
        <w:tc>
          <w:tcPr>
            <w:tcW w:w="1550" w:type="dxa"/>
            <w:vAlign w:val="center"/>
          </w:tcPr>
          <w:p w14:paraId="2ACD52BE">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污染物项目</w:t>
            </w:r>
          </w:p>
        </w:tc>
        <w:tc>
          <w:tcPr>
            <w:tcW w:w="1800" w:type="dxa"/>
            <w:vAlign w:val="center"/>
          </w:tcPr>
          <w:p w14:paraId="6EF1300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环境保护措施</w:t>
            </w:r>
          </w:p>
        </w:tc>
        <w:tc>
          <w:tcPr>
            <w:tcW w:w="3098" w:type="dxa"/>
            <w:vAlign w:val="center"/>
          </w:tcPr>
          <w:p w14:paraId="0022B1E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执行标准</w:t>
            </w:r>
          </w:p>
        </w:tc>
      </w:tr>
      <w:tr w14:paraId="675557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60" w:hRule="atLeast"/>
          <w:jc w:val="center"/>
        </w:trPr>
        <w:tc>
          <w:tcPr>
            <w:tcW w:w="1108" w:type="dxa"/>
            <w:vMerge w:val="restart"/>
            <w:vAlign w:val="center"/>
          </w:tcPr>
          <w:p w14:paraId="697EE850">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大气环境</w:t>
            </w:r>
          </w:p>
        </w:tc>
        <w:tc>
          <w:tcPr>
            <w:tcW w:w="1800" w:type="dxa"/>
            <w:vMerge w:val="restart"/>
            <w:tcBorders>
              <w:top w:val="single" w:color="auto" w:sz="4" w:space="0"/>
            </w:tcBorders>
            <w:vAlign w:val="center"/>
          </w:tcPr>
          <w:p w14:paraId="54512CEA">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DA005</w:t>
            </w:r>
          </w:p>
        </w:tc>
        <w:tc>
          <w:tcPr>
            <w:tcW w:w="1550" w:type="dxa"/>
            <w:vAlign w:val="center"/>
          </w:tcPr>
          <w:p w14:paraId="6107C380">
            <w:pPr>
              <w:pageBreakBefore w:val="0"/>
              <w:wordWrap w:val="0"/>
              <w:overflowPunct/>
              <w:bidi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b w:val="0"/>
                <w:bCs/>
                <w:color w:val="auto"/>
                <w:sz w:val="21"/>
                <w:szCs w:val="21"/>
                <w:highlight w:val="none"/>
                <w:lang w:val="en-US" w:eastAsia="zh-CN"/>
              </w:rPr>
              <w:t>非甲烷总烃</w:t>
            </w:r>
          </w:p>
        </w:tc>
        <w:tc>
          <w:tcPr>
            <w:tcW w:w="1800" w:type="dxa"/>
            <w:vMerge w:val="restart"/>
            <w:vAlign w:val="center"/>
          </w:tcPr>
          <w:p w14:paraId="290CFDD1">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二级活性炭吸附装置</w:t>
            </w:r>
          </w:p>
        </w:tc>
        <w:tc>
          <w:tcPr>
            <w:tcW w:w="3098" w:type="dxa"/>
            <w:vAlign w:val="center"/>
          </w:tcPr>
          <w:p w14:paraId="116B3EBF">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《合成树脂工业污染物排放标准》（GB 31572-2015，含2024年修改单）表5污染物特别排放限值</w:t>
            </w:r>
          </w:p>
        </w:tc>
      </w:tr>
      <w:tr w14:paraId="1DF72D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6378A275">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1800" w:type="dxa"/>
            <w:vMerge w:val="continue"/>
            <w:vAlign w:val="center"/>
          </w:tcPr>
          <w:p w14:paraId="03004068">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1550" w:type="dxa"/>
            <w:vAlign w:val="center"/>
          </w:tcPr>
          <w:p w14:paraId="7A91A96C">
            <w:pPr>
              <w:pageBreakBefore w:val="0"/>
              <w:wordWrap w:val="0"/>
              <w:overflowPunct/>
              <w:bidi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b w:val="0"/>
                <w:bCs/>
                <w:color w:val="auto"/>
                <w:sz w:val="21"/>
                <w:szCs w:val="21"/>
                <w:highlight w:val="none"/>
                <w:lang w:val="en-US" w:eastAsia="zh-CN"/>
              </w:rPr>
              <w:t>臭气浓度</w:t>
            </w:r>
          </w:p>
        </w:tc>
        <w:tc>
          <w:tcPr>
            <w:tcW w:w="1800" w:type="dxa"/>
            <w:vMerge w:val="continue"/>
            <w:vAlign w:val="center"/>
          </w:tcPr>
          <w:p w14:paraId="29736A55">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3098" w:type="dxa"/>
            <w:vAlign w:val="center"/>
          </w:tcPr>
          <w:p w14:paraId="2E6225E1">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《恶臭污染物排放标准》（GB14554-93）表2 恶臭污染物排放标准值</w:t>
            </w:r>
          </w:p>
        </w:tc>
      </w:tr>
      <w:tr w14:paraId="468D03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3BF0F961">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1800" w:type="dxa"/>
            <w:vMerge w:val="restart"/>
            <w:vAlign w:val="center"/>
          </w:tcPr>
          <w:p w14:paraId="6E8F3DEE">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DA006</w:t>
            </w:r>
          </w:p>
        </w:tc>
        <w:tc>
          <w:tcPr>
            <w:tcW w:w="1550" w:type="dxa"/>
            <w:vAlign w:val="center"/>
          </w:tcPr>
          <w:p w14:paraId="29CD80B1">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颗粒物</w:t>
            </w:r>
          </w:p>
        </w:tc>
        <w:tc>
          <w:tcPr>
            <w:tcW w:w="1800" w:type="dxa"/>
            <w:vMerge w:val="restart"/>
            <w:shd w:val="clear" w:color="auto" w:fill="auto"/>
            <w:vAlign w:val="center"/>
          </w:tcPr>
          <w:p w14:paraId="6D37AE82">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水喷淋+干式过滤器+二级活性炭</w:t>
            </w:r>
          </w:p>
        </w:tc>
        <w:tc>
          <w:tcPr>
            <w:tcW w:w="3098" w:type="dxa"/>
            <w:vAlign w:val="center"/>
          </w:tcPr>
          <w:p w14:paraId="3618D4E7">
            <w:pPr>
              <w:pageBreakBefore w:val="0"/>
              <w:wordWrap w:val="0"/>
              <w:overflowPunct/>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b w:val="0"/>
                <w:bCs/>
                <w:color w:val="auto"/>
                <w:sz w:val="21"/>
                <w:szCs w:val="21"/>
                <w:highlight w:val="none"/>
                <w:lang w:val="en-US" w:eastAsia="zh-CN"/>
              </w:rPr>
              <w:t>广东省《大气污染物排放限值》（DB44/27-2001</w:t>
            </w:r>
            <w:r>
              <w:rPr>
                <w:rFonts w:hint="eastAsia" w:cs="Times New Roman"/>
                <w:b w:val="0"/>
                <w:bCs/>
                <w:color w:val="auto"/>
                <w:sz w:val="21"/>
                <w:szCs w:val="21"/>
                <w:highlight w:val="none"/>
                <w:lang w:val="en-US" w:eastAsia="zh-CN"/>
              </w:rPr>
              <w:t>）</w:t>
            </w:r>
            <w:r>
              <w:rPr>
                <w:rFonts w:hint="default" w:ascii="Times New Roman" w:hAnsi="Times New Roman" w:cs="Times New Roman"/>
                <w:b w:val="0"/>
                <w:bCs/>
                <w:color w:val="auto"/>
                <w:sz w:val="21"/>
                <w:szCs w:val="21"/>
                <w:highlight w:val="none"/>
                <w:lang w:val="en-US" w:eastAsia="zh-CN"/>
              </w:rPr>
              <w:t>第二时段二级标准</w:t>
            </w:r>
          </w:p>
        </w:tc>
      </w:tr>
      <w:tr w14:paraId="7EA9F1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279C47C4">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1800" w:type="dxa"/>
            <w:vMerge w:val="continue"/>
            <w:vAlign w:val="center"/>
          </w:tcPr>
          <w:p w14:paraId="786ACE2A">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z w:val="21"/>
                <w:szCs w:val="21"/>
                <w:lang w:val="en-US" w:eastAsia="zh-CN"/>
              </w:rPr>
            </w:pPr>
          </w:p>
        </w:tc>
        <w:tc>
          <w:tcPr>
            <w:tcW w:w="1550" w:type="dxa"/>
            <w:vAlign w:val="center"/>
          </w:tcPr>
          <w:p w14:paraId="575A12AB">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非甲烷总烃</w:t>
            </w:r>
          </w:p>
        </w:tc>
        <w:tc>
          <w:tcPr>
            <w:tcW w:w="1800" w:type="dxa"/>
            <w:vMerge w:val="continue"/>
            <w:shd w:val="clear" w:color="auto" w:fill="auto"/>
            <w:vAlign w:val="center"/>
          </w:tcPr>
          <w:p w14:paraId="568CDC58">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p>
        </w:tc>
        <w:tc>
          <w:tcPr>
            <w:tcW w:w="3098" w:type="dxa"/>
            <w:vAlign w:val="center"/>
          </w:tcPr>
          <w:p w14:paraId="289C8E73">
            <w:pPr>
              <w:pageBreakBefore w:val="0"/>
              <w:wordWrap w:val="0"/>
              <w:overflowPunct/>
              <w:bidi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b w:val="0"/>
                <w:bCs/>
                <w:color w:val="auto"/>
                <w:sz w:val="21"/>
                <w:szCs w:val="21"/>
                <w:highlight w:val="none"/>
                <w:lang w:val="en-US" w:eastAsia="zh-CN"/>
              </w:rPr>
              <w:t>广东省《固定污染源挥发性有机物综合排放标准》（DB44/2367-2022）中表1挥发性有机物排放限值要求</w:t>
            </w:r>
          </w:p>
        </w:tc>
      </w:tr>
      <w:tr w14:paraId="4A808C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638F1007">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1800" w:type="dxa"/>
            <w:vMerge w:val="continue"/>
            <w:tcBorders>
              <w:bottom w:val="single" w:color="auto" w:sz="4" w:space="0"/>
            </w:tcBorders>
            <w:vAlign w:val="center"/>
          </w:tcPr>
          <w:p w14:paraId="3F477BD8">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z w:val="21"/>
                <w:szCs w:val="21"/>
                <w:lang w:val="en-US" w:eastAsia="zh-CN"/>
              </w:rPr>
            </w:pPr>
          </w:p>
        </w:tc>
        <w:tc>
          <w:tcPr>
            <w:tcW w:w="1550" w:type="dxa"/>
            <w:vAlign w:val="center"/>
          </w:tcPr>
          <w:p w14:paraId="50BB1E7A">
            <w:pPr>
              <w:pageBreakBefore w:val="0"/>
              <w:wordWrap w:val="0"/>
              <w:overflowPunct/>
              <w:bidi w:val="0"/>
              <w:spacing w:line="240" w:lineRule="auto"/>
              <w:jc w:val="center"/>
              <w:rPr>
                <w:rFonts w:hint="default" w:ascii="Times New Roman" w:hAnsi="Times New Roman" w:cs="Times New Roman"/>
                <w:color w:val="auto"/>
              </w:rPr>
            </w:pPr>
            <w:r>
              <w:rPr>
                <w:rFonts w:hint="default" w:ascii="Times New Roman" w:hAnsi="Times New Roman" w:cs="Times New Roman"/>
                <w:b w:val="0"/>
                <w:bCs/>
                <w:color w:val="auto"/>
                <w:sz w:val="21"/>
                <w:szCs w:val="21"/>
                <w:highlight w:val="none"/>
                <w:lang w:val="en-US" w:eastAsia="zh-CN"/>
              </w:rPr>
              <w:t>臭气浓度</w:t>
            </w:r>
          </w:p>
        </w:tc>
        <w:tc>
          <w:tcPr>
            <w:tcW w:w="1800" w:type="dxa"/>
            <w:vMerge w:val="continue"/>
            <w:shd w:val="clear" w:color="auto" w:fill="auto"/>
            <w:vAlign w:val="center"/>
          </w:tcPr>
          <w:p w14:paraId="7201ED1E">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p>
        </w:tc>
        <w:tc>
          <w:tcPr>
            <w:tcW w:w="3098" w:type="dxa"/>
            <w:vAlign w:val="center"/>
          </w:tcPr>
          <w:p w14:paraId="2E108137">
            <w:pPr>
              <w:pageBreakBefore w:val="0"/>
              <w:wordWrap w:val="0"/>
              <w:overflowPunct/>
              <w:bidi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b w:val="0"/>
                <w:bCs/>
                <w:color w:val="auto"/>
                <w:sz w:val="21"/>
                <w:szCs w:val="21"/>
                <w:highlight w:val="none"/>
                <w:lang w:val="en-US" w:eastAsia="zh-CN"/>
              </w:rPr>
              <w:t>《恶臭污染物排放标准》（GB14554-93）表2 恶臭污染物排放标准值</w:t>
            </w:r>
          </w:p>
        </w:tc>
      </w:tr>
      <w:tr w14:paraId="3C2ACD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365B7220">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1800" w:type="dxa"/>
            <w:tcBorders>
              <w:bottom w:val="single" w:color="auto" w:sz="4" w:space="0"/>
            </w:tcBorders>
            <w:vAlign w:val="center"/>
          </w:tcPr>
          <w:p w14:paraId="52AA041C">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厂区内</w:t>
            </w:r>
          </w:p>
        </w:tc>
        <w:tc>
          <w:tcPr>
            <w:tcW w:w="1550" w:type="dxa"/>
            <w:vAlign w:val="center"/>
          </w:tcPr>
          <w:p w14:paraId="0BCD6E26">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NMHC</w:t>
            </w:r>
          </w:p>
        </w:tc>
        <w:tc>
          <w:tcPr>
            <w:tcW w:w="1800" w:type="dxa"/>
            <w:vAlign w:val="center"/>
          </w:tcPr>
          <w:p w14:paraId="56ECB260">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加强车间管理</w:t>
            </w:r>
          </w:p>
        </w:tc>
        <w:tc>
          <w:tcPr>
            <w:tcW w:w="3098" w:type="dxa"/>
            <w:vAlign w:val="center"/>
          </w:tcPr>
          <w:p w14:paraId="2948461B">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广东省《固定污染源挥发性有机物综合排放标准》（DB44/2367-2022）中表3厂区内VOCs无组织排放限值。</w:t>
            </w:r>
          </w:p>
        </w:tc>
      </w:tr>
      <w:tr w14:paraId="005DB9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175A52F9">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1800" w:type="dxa"/>
            <w:vMerge w:val="restart"/>
            <w:vAlign w:val="center"/>
          </w:tcPr>
          <w:p w14:paraId="13E4B4E4">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厂界</w:t>
            </w:r>
          </w:p>
        </w:tc>
        <w:tc>
          <w:tcPr>
            <w:tcW w:w="1550" w:type="dxa"/>
            <w:vAlign w:val="center"/>
          </w:tcPr>
          <w:p w14:paraId="3D718310">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c>
          <w:tcPr>
            <w:tcW w:w="1800" w:type="dxa"/>
            <w:vAlign w:val="center"/>
          </w:tcPr>
          <w:p w14:paraId="318D598C">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加强车间管理</w:t>
            </w:r>
          </w:p>
        </w:tc>
        <w:tc>
          <w:tcPr>
            <w:tcW w:w="3098" w:type="dxa"/>
            <w:vAlign w:val="center"/>
          </w:tcPr>
          <w:p w14:paraId="7DC850F8">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《合成树脂工业污染物排放标准》（GB 31572-2015，含2024年修改单）</w:t>
            </w:r>
            <w:r>
              <w:rPr>
                <w:rFonts w:hint="default" w:ascii="Times New Roman" w:hAnsi="Times New Roman" w:eastAsia="宋体" w:cs="Times New Roman"/>
                <w:color w:val="auto"/>
                <w:sz w:val="21"/>
                <w:szCs w:val="21"/>
                <w:lang w:val="en-US" w:eastAsia="zh-CN"/>
              </w:rPr>
              <w:t>表9企业边界大气污染物浓度限值</w:t>
            </w:r>
          </w:p>
        </w:tc>
      </w:tr>
      <w:tr w14:paraId="075FCD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4DC3FEDF">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1800" w:type="dxa"/>
            <w:vMerge w:val="continue"/>
            <w:vAlign w:val="center"/>
          </w:tcPr>
          <w:p w14:paraId="35811279">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1550" w:type="dxa"/>
            <w:vAlign w:val="center"/>
          </w:tcPr>
          <w:p w14:paraId="66981FE5">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非甲烷总烃</w:t>
            </w:r>
          </w:p>
        </w:tc>
        <w:tc>
          <w:tcPr>
            <w:tcW w:w="1800" w:type="dxa"/>
            <w:vAlign w:val="center"/>
          </w:tcPr>
          <w:p w14:paraId="366568C4">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加强车间管理</w:t>
            </w:r>
          </w:p>
        </w:tc>
        <w:tc>
          <w:tcPr>
            <w:tcW w:w="3098" w:type="dxa"/>
            <w:vAlign w:val="center"/>
          </w:tcPr>
          <w:p w14:paraId="36AA38FE">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《合成树脂工业污染物排放标准》（GB 31572-2015，含2024年修改单）表9企业边界大气污染物浓度限值</w:t>
            </w:r>
          </w:p>
        </w:tc>
      </w:tr>
      <w:tr w14:paraId="56706D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5B9C256C">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1800" w:type="dxa"/>
            <w:vMerge w:val="continue"/>
            <w:tcBorders>
              <w:bottom w:val="single" w:color="auto" w:sz="4" w:space="0"/>
            </w:tcBorders>
            <w:vAlign w:val="center"/>
          </w:tcPr>
          <w:p w14:paraId="7441C2EC">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1550" w:type="dxa"/>
            <w:vAlign w:val="center"/>
          </w:tcPr>
          <w:p w14:paraId="04C04B0F">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臭气浓度</w:t>
            </w:r>
          </w:p>
        </w:tc>
        <w:tc>
          <w:tcPr>
            <w:tcW w:w="1800" w:type="dxa"/>
            <w:vAlign w:val="center"/>
          </w:tcPr>
          <w:p w14:paraId="2FBE637F">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加强车间管理</w:t>
            </w:r>
          </w:p>
        </w:tc>
        <w:tc>
          <w:tcPr>
            <w:tcW w:w="3098" w:type="dxa"/>
            <w:vAlign w:val="center"/>
          </w:tcPr>
          <w:p w14:paraId="33588CD6">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《恶臭污染物排放标准》（GB14554-93）中表1恶臭污染物厂界标准值二级新扩改建标准</w:t>
            </w:r>
          </w:p>
        </w:tc>
      </w:tr>
      <w:tr w14:paraId="3552AE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51EBA8AC">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地表水环境</w:t>
            </w:r>
          </w:p>
        </w:tc>
        <w:tc>
          <w:tcPr>
            <w:tcW w:w="1800" w:type="dxa"/>
            <w:tcBorders>
              <w:top w:val="single" w:color="auto" w:sz="4" w:space="0"/>
            </w:tcBorders>
            <w:vAlign w:val="center"/>
          </w:tcPr>
          <w:p w14:paraId="0DEA3088">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喷漆</w:t>
            </w:r>
            <w:r>
              <w:rPr>
                <w:rFonts w:hint="default" w:ascii="Times New Roman" w:hAnsi="Times New Roman" w:eastAsia="宋体" w:cs="Times New Roman"/>
                <w:color w:val="auto"/>
                <w:sz w:val="21"/>
                <w:szCs w:val="21"/>
                <w:lang w:val="en-US" w:eastAsia="zh-CN"/>
              </w:rPr>
              <w:t>用水</w:t>
            </w:r>
            <w:r>
              <w:rPr>
                <w:rFonts w:hint="default" w:ascii="Times New Roman" w:hAnsi="Times New Roman" w:cs="Times New Roman"/>
                <w:color w:val="auto"/>
                <w:sz w:val="21"/>
                <w:szCs w:val="21"/>
                <w:lang w:val="en-US" w:eastAsia="zh-CN"/>
              </w:rPr>
              <w:t>、循环冷却水</w:t>
            </w:r>
          </w:p>
        </w:tc>
        <w:tc>
          <w:tcPr>
            <w:tcW w:w="1550" w:type="dxa"/>
            <w:vAlign w:val="center"/>
          </w:tcPr>
          <w:p w14:paraId="297C274E">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COD、SS</w:t>
            </w:r>
          </w:p>
        </w:tc>
        <w:tc>
          <w:tcPr>
            <w:tcW w:w="1800" w:type="dxa"/>
            <w:vAlign w:val="center"/>
          </w:tcPr>
          <w:p w14:paraId="5105D23C">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循环使用，</w:t>
            </w:r>
            <w:r>
              <w:rPr>
                <w:rFonts w:hint="eastAsia" w:cs="Times New Roman"/>
                <w:color w:val="auto"/>
                <w:sz w:val="21"/>
                <w:szCs w:val="21"/>
                <w:lang w:val="en-US" w:eastAsia="zh-CN"/>
              </w:rPr>
              <w:t>定期更换作为危废处理，</w:t>
            </w:r>
            <w:r>
              <w:rPr>
                <w:rFonts w:hint="default" w:ascii="Times New Roman" w:hAnsi="Times New Roman" w:eastAsia="宋体" w:cs="Times New Roman"/>
                <w:color w:val="auto"/>
                <w:sz w:val="21"/>
                <w:szCs w:val="21"/>
                <w:lang w:val="en-US" w:eastAsia="zh-CN"/>
              </w:rPr>
              <w:t>不外排</w:t>
            </w:r>
          </w:p>
        </w:tc>
        <w:tc>
          <w:tcPr>
            <w:tcW w:w="3098" w:type="dxa"/>
            <w:vAlign w:val="center"/>
          </w:tcPr>
          <w:p w14:paraId="29299C8A">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6A9B35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00E16D61">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声环境</w:t>
            </w:r>
          </w:p>
        </w:tc>
        <w:tc>
          <w:tcPr>
            <w:tcW w:w="1800" w:type="dxa"/>
            <w:vAlign w:val="center"/>
          </w:tcPr>
          <w:p w14:paraId="209717B2">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车间设备噪声</w:t>
            </w:r>
          </w:p>
        </w:tc>
        <w:tc>
          <w:tcPr>
            <w:tcW w:w="1550" w:type="dxa"/>
            <w:vAlign w:val="center"/>
          </w:tcPr>
          <w:p w14:paraId="4F94AF8B">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等效连续A声级</w:t>
            </w:r>
          </w:p>
        </w:tc>
        <w:tc>
          <w:tcPr>
            <w:tcW w:w="1800" w:type="dxa"/>
            <w:vAlign w:val="center"/>
          </w:tcPr>
          <w:p w14:paraId="588DCFE9">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设备减振、厂房隔声、定期保养机械设备</w:t>
            </w:r>
          </w:p>
        </w:tc>
        <w:tc>
          <w:tcPr>
            <w:tcW w:w="3098" w:type="dxa"/>
            <w:vAlign w:val="center"/>
          </w:tcPr>
          <w:p w14:paraId="7321AF6A">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厂界噪声满足《工业企业厂界环境噪声排放标准》（GB12348-2008）3类限值</w:t>
            </w:r>
          </w:p>
        </w:tc>
      </w:tr>
      <w:tr w14:paraId="15F339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5A6AC6B3">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电磁辐射</w:t>
            </w:r>
          </w:p>
        </w:tc>
        <w:tc>
          <w:tcPr>
            <w:tcW w:w="1800" w:type="dxa"/>
            <w:vAlign w:val="center"/>
          </w:tcPr>
          <w:p w14:paraId="73C4A354">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550" w:type="dxa"/>
            <w:vAlign w:val="center"/>
          </w:tcPr>
          <w:p w14:paraId="56E709DC">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800" w:type="dxa"/>
            <w:vAlign w:val="center"/>
          </w:tcPr>
          <w:p w14:paraId="65D846FF">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098" w:type="dxa"/>
            <w:vAlign w:val="center"/>
          </w:tcPr>
          <w:p w14:paraId="52AC3CE3">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68FA83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2F2AA94E">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固体废物</w:t>
            </w:r>
          </w:p>
        </w:tc>
        <w:tc>
          <w:tcPr>
            <w:tcW w:w="8248" w:type="dxa"/>
            <w:gridSpan w:val="4"/>
            <w:vAlign w:val="center"/>
          </w:tcPr>
          <w:p w14:paraId="282A1402">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废包装物统一收集后外售至资源回收利用单位</w:t>
            </w:r>
            <w:r>
              <w:rPr>
                <w:rFonts w:hint="default" w:ascii="Times New Roman" w:hAnsi="Times New Roman" w:cs="Times New Roman"/>
                <w:color w:val="auto"/>
                <w:sz w:val="21"/>
                <w:szCs w:val="21"/>
                <w:lang w:val="en-US" w:eastAsia="zh-CN"/>
              </w:rPr>
              <w:t>，不合格品、边角料破碎后回用于生产线；</w:t>
            </w:r>
          </w:p>
          <w:p w14:paraId="3BA7458E">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废油桶、废机油、废抹布、</w:t>
            </w:r>
            <w:r>
              <w:rPr>
                <w:rFonts w:hint="eastAsia" w:cs="Times New Roman"/>
                <w:color w:val="auto"/>
                <w:sz w:val="21"/>
                <w:szCs w:val="21"/>
                <w:lang w:val="en-US" w:eastAsia="zh-CN"/>
              </w:rPr>
              <w:t>喷枪清洗废液</w:t>
            </w:r>
            <w:r>
              <w:rPr>
                <w:rFonts w:hint="default" w:ascii="Times New Roman" w:hAnsi="Times New Roman" w:eastAsia="宋体" w:cs="Times New Roman"/>
                <w:color w:val="auto"/>
                <w:sz w:val="21"/>
                <w:szCs w:val="21"/>
                <w:lang w:val="en-US" w:eastAsia="zh-CN"/>
              </w:rPr>
              <w:t>、喷漆废水、漆渣、废原料桶、废过滤棉、废活性炭委托有资质的单位处置。</w:t>
            </w:r>
          </w:p>
        </w:tc>
      </w:tr>
      <w:tr w14:paraId="6A6D00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50E92903">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土壤及地下水污染防治措施</w:t>
            </w:r>
          </w:p>
        </w:tc>
        <w:tc>
          <w:tcPr>
            <w:tcW w:w="8248" w:type="dxa"/>
            <w:gridSpan w:val="4"/>
            <w:vAlign w:val="center"/>
          </w:tcPr>
          <w:p w14:paraId="2A8E4FCF">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源头控制：防止污水“跑、冒、滴、漏”，防止对土壤造成污染。</w:t>
            </w:r>
          </w:p>
          <w:p w14:paraId="6F39BFC6">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末端控制：分区防控。主要包括厂内污染区地面的防渗措施和泄漏、渗漏污染物收集措施，即在污染区地面进行防渗处理，防止洒落地面的污染物渗入地下，并把滞留在地面的污染物收集起来，集中处理，从而避免对地下水的污染。结合建设项目各生产设备、管线、贮存、运输装置等因素，根据可能进入地下水环境的各种有毒有害污染物的性质、产生量和排放量，将污染区划分为重点防渗区、一般防渗区和简单防渗区。</w:t>
            </w:r>
          </w:p>
        </w:tc>
      </w:tr>
      <w:tr w14:paraId="1A1A07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6B2C340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生态保护措施</w:t>
            </w:r>
          </w:p>
        </w:tc>
        <w:tc>
          <w:tcPr>
            <w:tcW w:w="8248" w:type="dxa"/>
            <w:gridSpan w:val="4"/>
            <w:vAlign w:val="center"/>
          </w:tcPr>
          <w:p w14:paraId="0DE89D5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1DD12A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2D62FED4">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8"/>
                <w:sz w:val="21"/>
                <w:szCs w:val="21"/>
              </w:rPr>
            </w:pPr>
            <w:r>
              <w:rPr>
                <w:rFonts w:hint="default" w:ascii="Times New Roman" w:hAnsi="Times New Roman" w:cs="Times New Roman"/>
                <w:color w:val="auto"/>
                <w:spacing w:val="-8"/>
                <w:sz w:val="21"/>
                <w:szCs w:val="21"/>
              </w:rPr>
              <w:t>环境风险防范措施</w:t>
            </w:r>
          </w:p>
        </w:tc>
        <w:tc>
          <w:tcPr>
            <w:tcW w:w="8248" w:type="dxa"/>
            <w:gridSpan w:val="4"/>
            <w:vAlign w:val="center"/>
          </w:tcPr>
          <w:p w14:paraId="5CFB1152">
            <w:pPr>
              <w:pStyle w:val="101"/>
              <w:keepNext w:val="0"/>
              <w:keepLines w:val="0"/>
              <w:pageBreakBefore w:val="0"/>
              <w:widowControl w:val="0"/>
              <w:numPr>
                <w:ilvl w:val="0"/>
                <w:numId w:val="0"/>
              </w:numPr>
              <w:suppressLineNumbers w:val="0"/>
              <w:tabs>
                <w:tab w:val="left" w:pos="0"/>
              </w:tabs>
              <w:kinsoku/>
              <w:wordWrap w:val="0"/>
              <w:overflowPunct/>
              <w:topLinePunct w:val="0"/>
              <w:autoSpaceDE/>
              <w:autoSpaceDN/>
              <w:bidi w:val="0"/>
              <w:spacing w:before="0" w:beforeLines="0" w:beforeAutospacing="0" w:after="0" w:afterLines="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SA"/>
              </w:rPr>
              <w:t>1</w:t>
            </w:r>
            <w:r>
              <w:rPr>
                <w:rFonts w:hint="default" w:ascii="Times New Roman" w:hAnsi="Times New Roman" w:cs="Times New Roman"/>
                <w:color w:val="auto"/>
                <w:kern w:val="0"/>
                <w:sz w:val="21"/>
                <w:szCs w:val="21"/>
                <w:lang w:val="en-US" w:eastAsia="zh-CN" w:bidi="ar-SA"/>
              </w:rPr>
              <w:t>）</w:t>
            </w:r>
            <w:r>
              <w:rPr>
                <w:rFonts w:hint="default" w:ascii="Times New Roman" w:hAnsi="Times New Roman" w:cs="Times New Roman"/>
                <w:color w:val="auto"/>
                <w:sz w:val="21"/>
                <w:szCs w:val="21"/>
                <w:lang w:val="en-US" w:eastAsia="zh-CN"/>
              </w:rPr>
              <w:t>编制突发环境事件应急预案，并报生态环境部门备案；开展环境应急预案培训和演练，按规定对预案进行评估修订。</w:t>
            </w:r>
          </w:p>
          <w:p w14:paraId="3C7F3AAD">
            <w:pPr>
              <w:pStyle w:val="101"/>
              <w:keepNext w:val="0"/>
              <w:keepLines w:val="0"/>
              <w:pageBreakBefore w:val="0"/>
              <w:widowControl w:val="0"/>
              <w:numPr>
                <w:ilvl w:val="0"/>
                <w:numId w:val="0"/>
              </w:numPr>
              <w:suppressLineNumbers w:val="0"/>
              <w:tabs>
                <w:tab w:val="left" w:pos="0"/>
              </w:tabs>
              <w:kinsoku/>
              <w:wordWrap w:val="0"/>
              <w:overflowPunct/>
              <w:topLinePunct w:val="0"/>
              <w:autoSpaceDE/>
              <w:autoSpaceDN/>
              <w:bidi w:val="0"/>
              <w:spacing w:before="0" w:beforeLines="0" w:beforeAutospacing="0" w:after="0" w:afterLines="0" w:afterAutospacing="0" w:line="240" w:lineRule="auto"/>
              <w:ind w:left="0" w:leftChars="0" w:right="0" w:righ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SA"/>
              </w:rPr>
              <w:t>2</w:t>
            </w:r>
            <w:r>
              <w:rPr>
                <w:rFonts w:hint="default" w:ascii="Times New Roman" w:hAnsi="Times New Roman" w:cs="Times New Roman"/>
                <w:color w:val="auto"/>
                <w:kern w:val="0"/>
                <w:sz w:val="21"/>
                <w:szCs w:val="21"/>
                <w:lang w:val="en-US" w:eastAsia="zh-CN" w:bidi="ar-SA"/>
              </w:rPr>
              <w:t>）</w:t>
            </w:r>
            <w:r>
              <w:rPr>
                <w:rFonts w:hint="default" w:ascii="Times New Roman" w:hAnsi="Times New Roman" w:cs="Times New Roman"/>
                <w:color w:val="auto"/>
                <w:sz w:val="21"/>
                <w:szCs w:val="21"/>
              </w:rPr>
              <w:t>建立健全各种有关消防与安全生产的规章制度，建立岗位责任制。配置相应的消防设施，并在火灾危险场所设置报警装置，一旦发生火灾，立即作出应急反应，严禁生产区域有明火出现。</w:t>
            </w:r>
          </w:p>
          <w:p w14:paraId="0AEDC887">
            <w:pPr>
              <w:pStyle w:val="101"/>
              <w:keepNext w:val="0"/>
              <w:keepLines w:val="0"/>
              <w:pageBreakBefore w:val="0"/>
              <w:widowControl w:val="0"/>
              <w:numPr>
                <w:ilvl w:val="0"/>
                <w:numId w:val="0"/>
              </w:numPr>
              <w:suppressLineNumbers w:val="0"/>
              <w:tabs>
                <w:tab w:val="left" w:pos="0"/>
              </w:tabs>
              <w:kinsoku/>
              <w:wordWrap w:val="0"/>
              <w:overflowPunct/>
              <w:topLinePunct w:val="0"/>
              <w:autoSpaceDE/>
              <w:autoSpaceDN/>
              <w:bidi w:val="0"/>
              <w:spacing w:before="0" w:beforeLines="0" w:beforeAutospacing="0" w:after="0" w:afterLines="0" w:afterAutospacing="0" w:line="240" w:lineRule="auto"/>
              <w:ind w:left="0" w:leftChars="0" w:right="0" w:righ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SA"/>
              </w:rPr>
              <w:t>3</w:t>
            </w:r>
            <w:r>
              <w:rPr>
                <w:rFonts w:hint="default" w:ascii="Times New Roman" w:hAnsi="Times New Roman" w:cs="Times New Roman"/>
                <w:color w:val="auto"/>
                <w:kern w:val="0"/>
                <w:sz w:val="21"/>
                <w:szCs w:val="21"/>
                <w:lang w:val="en-US" w:eastAsia="zh-CN" w:bidi="ar-SA"/>
              </w:rPr>
              <w:t>）</w:t>
            </w:r>
            <w:r>
              <w:rPr>
                <w:rFonts w:hint="default" w:ascii="Times New Roman" w:hAnsi="Times New Roman" w:cs="Times New Roman"/>
                <w:color w:val="auto"/>
                <w:sz w:val="21"/>
                <w:szCs w:val="21"/>
              </w:rPr>
              <w:t>全面加强安全管理和安全教育工作，制定和强化各种安全管理、安全生产规程，防止火灾事故的发生。</w:t>
            </w:r>
          </w:p>
          <w:p w14:paraId="741F6605">
            <w:pPr>
              <w:pStyle w:val="101"/>
              <w:keepNext w:val="0"/>
              <w:keepLines w:val="0"/>
              <w:pageBreakBefore w:val="0"/>
              <w:widowControl w:val="0"/>
              <w:numPr>
                <w:ilvl w:val="0"/>
                <w:numId w:val="0"/>
              </w:numPr>
              <w:suppressLineNumbers w:val="0"/>
              <w:tabs>
                <w:tab w:val="left" w:pos="0"/>
              </w:tabs>
              <w:kinsoku/>
              <w:wordWrap w:val="0"/>
              <w:overflowPunct/>
              <w:topLinePunct w:val="0"/>
              <w:autoSpaceDE/>
              <w:autoSpaceDN/>
              <w:bidi w:val="0"/>
              <w:spacing w:before="0" w:beforeLines="0" w:beforeAutospacing="0" w:after="0" w:afterLines="0" w:afterAutospacing="0" w:line="240" w:lineRule="auto"/>
              <w:ind w:left="0" w:leftChars="0" w:right="0" w:righ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SA"/>
              </w:rPr>
              <w:t>4</w:t>
            </w:r>
            <w:r>
              <w:rPr>
                <w:rFonts w:hint="default" w:ascii="Times New Roman" w:hAnsi="Times New Roman" w:cs="Times New Roman"/>
                <w:color w:val="auto"/>
                <w:kern w:val="0"/>
                <w:sz w:val="21"/>
                <w:szCs w:val="21"/>
                <w:lang w:val="en-US" w:eastAsia="zh-CN" w:bidi="ar-SA"/>
              </w:rPr>
              <w:t>）</w:t>
            </w:r>
            <w:r>
              <w:rPr>
                <w:rFonts w:hint="default" w:ascii="Times New Roman" w:hAnsi="Times New Roman" w:cs="Times New Roman"/>
                <w:color w:val="auto"/>
                <w:sz w:val="21"/>
                <w:szCs w:val="21"/>
              </w:rPr>
              <w:t>对于</w:t>
            </w:r>
            <w:r>
              <w:rPr>
                <w:rFonts w:hint="default" w:ascii="Times New Roman" w:hAnsi="Times New Roman" w:cs="Times New Roman"/>
                <w:color w:val="auto"/>
                <w:sz w:val="21"/>
                <w:szCs w:val="21"/>
                <w:lang w:eastAsia="zh-CN"/>
              </w:rPr>
              <w:t>危废暂存间</w:t>
            </w:r>
            <w:r>
              <w:rPr>
                <w:rFonts w:hint="default" w:ascii="Times New Roman" w:hAnsi="Times New Roman" w:cs="Times New Roman"/>
                <w:color w:val="auto"/>
                <w:sz w:val="21"/>
                <w:szCs w:val="21"/>
              </w:rPr>
              <w:t>，需设置有监控系统，主要在仓库出入口、仓库内、厂门口等关键位置安装视频监控设施，进行实时监控。</w:t>
            </w:r>
          </w:p>
          <w:p w14:paraId="6802F095">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val="en-US" w:eastAsia="zh-CN" w:bidi="ar-SA"/>
              </w:rPr>
              <w:t>5</w:t>
            </w:r>
            <w:r>
              <w:rPr>
                <w:rFonts w:hint="default" w:ascii="Times New Roman" w:hAnsi="Times New Roman" w:cs="Times New Roman"/>
                <w:color w:val="auto"/>
                <w:kern w:val="2"/>
                <w:sz w:val="21"/>
                <w:szCs w:val="21"/>
                <w:lang w:val="en-US" w:eastAsia="zh-CN" w:bidi="ar-SA"/>
              </w:rPr>
              <w:t>）</w:t>
            </w:r>
            <w:r>
              <w:rPr>
                <w:rFonts w:hint="default" w:ascii="Times New Roman" w:hAnsi="Times New Roman" w:cs="Times New Roman"/>
                <w:color w:val="auto"/>
                <w:sz w:val="21"/>
                <w:szCs w:val="21"/>
              </w:rPr>
              <w:t>严格执行国家、行业有关安全生产的法规和标准规范进行设计和建设，经营过</w:t>
            </w:r>
            <w:r>
              <w:rPr>
                <w:rFonts w:hint="default" w:ascii="Times New Roman" w:hAnsi="Times New Roman" w:cs="Times New Roman"/>
                <w:color w:val="auto"/>
                <w:sz w:val="21"/>
                <w:szCs w:val="21"/>
                <w:lang w:val="en-US" w:eastAsia="zh-CN"/>
              </w:rPr>
              <w:t>程中</w:t>
            </w:r>
            <w:r>
              <w:rPr>
                <w:rFonts w:hint="default" w:ascii="Times New Roman" w:hAnsi="Times New Roman" w:cs="Times New Roman"/>
                <w:color w:val="auto"/>
                <w:sz w:val="21"/>
                <w:szCs w:val="21"/>
              </w:rPr>
              <w:t>应注意防火、防静电。</w:t>
            </w:r>
          </w:p>
        </w:tc>
      </w:tr>
      <w:tr w14:paraId="7660CD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090EA6C1">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8"/>
                <w:sz w:val="21"/>
                <w:szCs w:val="21"/>
              </w:rPr>
            </w:pPr>
            <w:r>
              <w:rPr>
                <w:rFonts w:hint="default" w:ascii="Times New Roman" w:hAnsi="Times New Roman" w:cs="Times New Roman"/>
                <w:color w:val="auto"/>
                <w:spacing w:val="-8"/>
                <w:sz w:val="21"/>
                <w:szCs w:val="21"/>
              </w:rPr>
              <w:t>其他环境管理要求</w:t>
            </w:r>
          </w:p>
        </w:tc>
        <w:tc>
          <w:tcPr>
            <w:tcW w:w="8248" w:type="dxa"/>
            <w:gridSpan w:val="4"/>
            <w:vAlign w:val="center"/>
          </w:tcPr>
          <w:p w14:paraId="32F44F66">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（一）环境管理要求</w:t>
            </w:r>
          </w:p>
          <w:p w14:paraId="293EE36F">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val="en-US" w:eastAsia="zh-CN" w:bidi="ar-SA"/>
              </w:rPr>
              <w:t>1.</w:t>
            </w:r>
            <w:r>
              <w:rPr>
                <w:rFonts w:hint="default" w:ascii="Times New Roman" w:hAnsi="Times New Roman" w:cs="Times New Roman"/>
                <w:color w:val="auto"/>
                <w:sz w:val="21"/>
                <w:szCs w:val="21"/>
              </w:rPr>
              <w:t>企业要完善环境管理制度，首先必须建立相应的环境管理机构，明确环境管理机构的职责。</w:t>
            </w:r>
          </w:p>
          <w:p w14:paraId="2FBF2CC6">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val="en-US" w:eastAsia="zh-CN" w:bidi="ar-SA"/>
              </w:rPr>
              <w:t>2.</w:t>
            </w:r>
            <w:r>
              <w:rPr>
                <w:rFonts w:hint="default" w:ascii="Times New Roman" w:hAnsi="Times New Roman" w:cs="Times New Roman"/>
                <w:color w:val="auto"/>
                <w:sz w:val="21"/>
                <w:szCs w:val="21"/>
              </w:rPr>
              <w:t>落实各项环境保护措施，环保设施运行的管理和维护，日常的监测及污染事故的防范和应急处理。</w:t>
            </w:r>
          </w:p>
          <w:p w14:paraId="03AE7450">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val="en-US" w:eastAsia="zh-CN" w:bidi="ar-SA"/>
              </w:rPr>
              <w:t>3.</w:t>
            </w:r>
            <w:r>
              <w:rPr>
                <w:rFonts w:hint="default" w:ascii="Times New Roman" w:hAnsi="Times New Roman" w:cs="Times New Roman"/>
                <w:color w:val="auto"/>
                <w:sz w:val="21"/>
                <w:szCs w:val="21"/>
              </w:rPr>
              <w:t>环境管理机构的职责</w:t>
            </w:r>
          </w:p>
          <w:p w14:paraId="71253BEE">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SA"/>
              </w:rPr>
              <w:t>（1）</w:t>
            </w:r>
            <w:r>
              <w:rPr>
                <w:rFonts w:hint="default" w:ascii="Times New Roman" w:hAnsi="Times New Roman" w:cs="Times New Roman"/>
                <w:color w:val="auto"/>
                <w:sz w:val="21"/>
                <w:szCs w:val="21"/>
              </w:rPr>
              <w:t>建设单位应向国家排污许可系统提交《固定污染源排污登记表》，取得《固定污染源排污登记回执》；超标排放或未符合总量指标，应限期治理。</w:t>
            </w:r>
          </w:p>
          <w:p w14:paraId="0169557F">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SA"/>
              </w:rPr>
              <w:t>（2）</w:t>
            </w:r>
            <w:r>
              <w:rPr>
                <w:rFonts w:hint="default" w:ascii="Times New Roman" w:hAnsi="Times New Roman" w:cs="Times New Roman"/>
                <w:color w:val="auto"/>
                <w:sz w:val="21"/>
                <w:szCs w:val="21"/>
              </w:rPr>
              <w:t>根据环保部门、安全部门对环保设施验收报告的批复意见进行补充完善。</w:t>
            </w:r>
          </w:p>
          <w:p w14:paraId="08E49987">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SA"/>
              </w:rPr>
              <w:t>（3）</w:t>
            </w:r>
            <w:r>
              <w:rPr>
                <w:rFonts w:hint="default" w:ascii="Times New Roman" w:hAnsi="Times New Roman" w:cs="Times New Roman"/>
                <w:color w:val="auto"/>
                <w:sz w:val="21"/>
                <w:szCs w:val="21"/>
              </w:rPr>
              <w:t>根据企业的环境保护目标考核计划，结合生产过程各环节的不同环境要求，把资源和能源消耗、资源回收利用、污染物排放量的反映环保工作水平的生产环境质量等环保指标，纳入各级生产作业计划，同其他生产指标一同组织实施和考核。</w:t>
            </w:r>
          </w:p>
          <w:p w14:paraId="34D8DC54">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SA"/>
              </w:rPr>
              <w:t>（4）</w:t>
            </w:r>
            <w:r>
              <w:rPr>
                <w:rFonts w:hint="default" w:ascii="Times New Roman" w:hAnsi="Times New Roman" w:cs="Times New Roman"/>
                <w:color w:val="auto"/>
                <w:sz w:val="21"/>
                <w:szCs w:val="21"/>
              </w:rPr>
              <w:t>按环保设施的操作规程，定期对环保设施进行保养和检修，保证环保设施的正常运行和污染物的达标排放。一旦环保设施出现故障，应立即停产检修，并上报环保法定责任人，严禁环保设施带病运行和事故性排放。建立运行记录并制定考核指标。</w:t>
            </w:r>
          </w:p>
          <w:p w14:paraId="57E8910D">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SA"/>
              </w:rPr>
              <w:t>（5）</w:t>
            </w:r>
            <w:r>
              <w:rPr>
                <w:rFonts w:hint="default" w:ascii="Times New Roman" w:hAnsi="Times New Roman" w:cs="Times New Roman"/>
                <w:color w:val="auto"/>
                <w:sz w:val="21"/>
                <w:szCs w:val="21"/>
              </w:rPr>
              <w:t>要加强设备、仪器、仪表的检查、维护、检修，保证设备完好运行，防止跑、冒、滴、漏对环境的污染。</w:t>
            </w:r>
          </w:p>
          <w:p w14:paraId="59AA7E9F">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SA"/>
              </w:rPr>
              <w:t>（6）</w:t>
            </w:r>
            <w:r>
              <w:rPr>
                <w:rFonts w:hint="default" w:ascii="Times New Roman" w:hAnsi="Times New Roman" w:cs="Times New Roman"/>
                <w:color w:val="auto"/>
                <w:sz w:val="21"/>
                <w:szCs w:val="21"/>
              </w:rPr>
              <w:t>加强各生产车间、工段的环境卫生管理：①督促有关工段及时清理废弃的渣料等，以免大风天气时形成扬尘，造成二次污染，影响周围环境。②保持工场的通风、整洁和宽敞。开工时废气净化、除尘装置必须正常运转，确保操作工人有安全生产的环境。操作工人还应做好个人防护工作，避免粉尘、废气经呼吸道和皮肤吸收，引起急性中毒事件或职业病的发生。</w:t>
            </w:r>
          </w:p>
          <w:p w14:paraId="73127660">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SA"/>
              </w:rPr>
              <w:t>（7）</w:t>
            </w:r>
            <w:r>
              <w:rPr>
                <w:rFonts w:hint="default" w:ascii="Times New Roman" w:hAnsi="Times New Roman" w:cs="Times New Roman"/>
                <w:color w:val="auto"/>
                <w:sz w:val="21"/>
                <w:szCs w:val="21"/>
              </w:rPr>
              <w:t>做好绿化的建设和维护工作。绿色植物不仅能涵养水分，保持水土，而且能挡尘降噪，调节小气候，有利于改善生态环境。</w:t>
            </w:r>
          </w:p>
          <w:p w14:paraId="0EE131F2">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SA"/>
              </w:rPr>
              <w:t>（8）</w:t>
            </w:r>
            <w:r>
              <w:rPr>
                <w:rFonts w:hint="default" w:ascii="Times New Roman" w:hAnsi="Times New Roman" w:cs="Times New Roman"/>
                <w:color w:val="auto"/>
                <w:sz w:val="21"/>
                <w:szCs w:val="21"/>
              </w:rPr>
              <w:t>建立环境管理体系，提高环境管理水平。定期进行清洁生产审计，不断采用无污染和少污染的新工艺和新技术。</w:t>
            </w:r>
          </w:p>
          <w:p w14:paraId="305D9DB2">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SA"/>
              </w:rPr>
              <w:t>（9）</w:t>
            </w:r>
            <w:r>
              <w:rPr>
                <w:rFonts w:hint="default" w:ascii="Times New Roman" w:hAnsi="Times New Roman" w:cs="Times New Roman"/>
                <w:color w:val="auto"/>
                <w:sz w:val="21"/>
                <w:szCs w:val="21"/>
              </w:rPr>
              <w:t>接受环保主管部门的监督检查。主要内容有：污染物排放情况、环保设施运行管理情况、环境监测及污染物监测情况、环境事故的调查和有关记录、污染源建档记录等。</w:t>
            </w:r>
          </w:p>
          <w:p w14:paraId="5AED2E9A">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 xml:space="preserve">（二）排污口规范化 </w:t>
            </w:r>
          </w:p>
          <w:p w14:paraId="70D08524">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val="en-US" w:eastAsia="zh-CN" w:bidi="ar-SA"/>
              </w:rPr>
              <w:t>1.</w:t>
            </w:r>
            <w:r>
              <w:rPr>
                <w:rFonts w:hint="default" w:ascii="Times New Roman" w:hAnsi="Times New Roman" w:cs="Times New Roman"/>
                <w:color w:val="auto"/>
                <w:sz w:val="21"/>
                <w:szCs w:val="21"/>
              </w:rPr>
              <w:t>排污口规范化必要性：排污口规范化管理是实施污染物总量控制的基础性工作之一，也是总量控制不可缺少的一部分内容，此项工作可强化污染物的现场监督检查，促进企业加强管理和污染治理，实施污染物排放科学化、定量化管理。</w:t>
            </w:r>
          </w:p>
          <w:p w14:paraId="1ED90D11">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val="en-US" w:eastAsia="zh-CN" w:bidi="ar-SA"/>
              </w:rPr>
              <w:t>2.</w:t>
            </w:r>
            <w:r>
              <w:rPr>
                <w:rFonts w:hint="default" w:ascii="Times New Roman" w:hAnsi="Times New Roman" w:cs="Times New Roman"/>
                <w:color w:val="auto"/>
                <w:sz w:val="21"/>
                <w:szCs w:val="21"/>
              </w:rPr>
              <w:t>排污口规范化的范围和时间：一切新建、扩建、技改、改建的排污单位以及限期治理的排污单位，必须在建设污染治理设施的同时，建设规范化排污口。因此，排污口必须规范化设置和管理。规范化工作应</w:t>
            </w:r>
            <w:r>
              <w:rPr>
                <w:rFonts w:hint="default" w:ascii="Times New Roman" w:hAnsi="Times New Roman" w:cs="Times New Roman"/>
                <w:color w:val="auto"/>
                <w:sz w:val="21"/>
                <w:szCs w:val="21"/>
                <w:lang w:val="en-US" w:eastAsia="zh-CN"/>
              </w:rPr>
              <w:t>与</w:t>
            </w:r>
            <w:r>
              <w:rPr>
                <w:rFonts w:hint="default" w:ascii="Times New Roman" w:hAnsi="Times New Roman" w:cs="Times New Roman"/>
                <w:color w:val="auto"/>
                <w:sz w:val="21"/>
                <w:szCs w:val="21"/>
              </w:rPr>
              <w:t>污染治理同步实施，即治理设施完工时，规范化工作必须同时完成，并列入污染治理设施的验收内容。</w:t>
            </w:r>
          </w:p>
          <w:p w14:paraId="0CBEDBD7">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val="en-US" w:eastAsia="zh-CN" w:bidi="ar-SA"/>
              </w:rPr>
              <w:t>3.</w:t>
            </w:r>
            <w:r>
              <w:rPr>
                <w:rFonts w:hint="default" w:ascii="Times New Roman" w:hAnsi="Times New Roman" w:cs="Times New Roman"/>
                <w:color w:val="auto"/>
                <w:sz w:val="21"/>
                <w:szCs w:val="21"/>
              </w:rPr>
              <w:t xml:space="preserve">排污口规范化内容 </w:t>
            </w:r>
          </w:p>
          <w:p w14:paraId="6F2CB85B">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SA"/>
              </w:rPr>
              <w:t>（1）</w:t>
            </w:r>
            <w:r>
              <w:rPr>
                <w:rFonts w:hint="default" w:ascii="Times New Roman" w:hAnsi="Times New Roman" w:cs="Times New Roman"/>
                <w:color w:val="auto"/>
                <w:sz w:val="21"/>
                <w:szCs w:val="21"/>
              </w:rPr>
              <w:t>需规范化排放口：排放口应预留监测口，做到便于采样和测定流量，并设立标志。</w:t>
            </w:r>
          </w:p>
          <w:p w14:paraId="6191AAD6">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SA"/>
              </w:rPr>
              <w:t>（2）</w:t>
            </w:r>
            <w:r>
              <w:rPr>
                <w:rFonts w:hint="default" w:ascii="Times New Roman" w:hAnsi="Times New Roman" w:cs="Times New Roman"/>
                <w:color w:val="auto"/>
                <w:sz w:val="21"/>
                <w:szCs w:val="21"/>
              </w:rPr>
              <w:t>排污口的管理：建设单位应在各排污口处设置较明显的排污口标志牌，其上应注明主要排污污染物的名称。建设单位应如实填写《中华人民共和国规范化排污口标志登记证》的有关内容，由环保主管部门签发登记证。建设单位应将有关排污口的情况如：排污口的性质、编号、排污口的位置；主要排放的污染物种类、数量、浓度、排放规律、排放去向；污染治理措施的运行情况等进行建档管理，并报送环保主管部门备案。排污口规范化标识详见下表。</w:t>
            </w:r>
          </w:p>
          <w:p w14:paraId="11F1AE24">
            <w:pPr>
              <w:pStyle w:val="98"/>
              <w:keepNext w:val="0"/>
              <w:keepLines w:val="0"/>
              <w:pageBreakBefore w:val="0"/>
              <w:widowControl w:val="0"/>
              <w:kinsoku/>
              <w:wordWrap w:val="0"/>
              <w:overflowPunct/>
              <w:topLinePunct w:val="0"/>
              <w:autoSpaceDE/>
              <w:autoSpaceDN/>
              <w:bidi w:val="0"/>
              <w:spacing w:beforeLines="0" w:line="240" w:lineRule="auto"/>
              <w:ind w:right="0" w:firstLine="482"/>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表5-1排污口规范化标识示意图表</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2"/>
              <w:gridCol w:w="1542"/>
              <w:gridCol w:w="1542"/>
              <w:gridCol w:w="1863"/>
              <w:gridCol w:w="1543"/>
            </w:tblGrid>
            <w:tr w14:paraId="70AF73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1" w:type="dxa"/>
                </w:tcPr>
                <w:p w14:paraId="68CA4A83">
                  <w:pPr>
                    <w:pStyle w:val="101"/>
                    <w:keepNext w:val="0"/>
                    <w:keepLines w:val="0"/>
                    <w:pageBreakBefore w:val="0"/>
                    <w:widowControl w:val="0"/>
                    <w:kinsoku/>
                    <w:wordWrap w:val="0"/>
                    <w:overflowPunct/>
                    <w:topLinePunct w:val="0"/>
                    <w:autoSpaceDE/>
                    <w:autoSpaceDN/>
                    <w:bidi w:val="0"/>
                    <w:spacing w:before="0" w:beforeLines="0" w:after="0" w:afterLines="0" w:line="240" w:lineRule="auto"/>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废水排放口</w:t>
                  </w:r>
                </w:p>
              </w:tc>
              <w:tc>
                <w:tcPr>
                  <w:tcW w:w="1491" w:type="dxa"/>
                </w:tcPr>
                <w:p w14:paraId="42A1E8C2">
                  <w:pPr>
                    <w:pStyle w:val="101"/>
                    <w:keepNext w:val="0"/>
                    <w:keepLines w:val="0"/>
                    <w:pageBreakBefore w:val="0"/>
                    <w:widowControl w:val="0"/>
                    <w:kinsoku/>
                    <w:wordWrap w:val="0"/>
                    <w:overflowPunct/>
                    <w:topLinePunct w:val="0"/>
                    <w:autoSpaceDE/>
                    <w:autoSpaceDN/>
                    <w:bidi w:val="0"/>
                    <w:spacing w:before="0" w:beforeLines="0" w:after="0" w:afterLines="0" w:line="240" w:lineRule="auto"/>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废气排放口</w:t>
                  </w:r>
                </w:p>
              </w:tc>
              <w:tc>
                <w:tcPr>
                  <w:tcW w:w="1491" w:type="dxa"/>
                </w:tcPr>
                <w:p w14:paraId="3B1BEB16">
                  <w:pPr>
                    <w:pStyle w:val="101"/>
                    <w:keepNext w:val="0"/>
                    <w:keepLines w:val="0"/>
                    <w:pageBreakBefore w:val="0"/>
                    <w:widowControl w:val="0"/>
                    <w:kinsoku/>
                    <w:wordWrap w:val="0"/>
                    <w:overflowPunct/>
                    <w:topLinePunct w:val="0"/>
                    <w:autoSpaceDE/>
                    <w:autoSpaceDN/>
                    <w:bidi w:val="0"/>
                    <w:spacing w:before="0" w:beforeLines="0" w:after="0" w:afterLines="0" w:line="240" w:lineRule="auto"/>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噪声源</w:t>
                  </w:r>
                </w:p>
              </w:tc>
              <w:tc>
                <w:tcPr>
                  <w:tcW w:w="1801" w:type="dxa"/>
                </w:tcPr>
                <w:p w14:paraId="2357383D">
                  <w:pPr>
                    <w:pStyle w:val="101"/>
                    <w:keepNext w:val="0"/>
                    <w:keepLines w:val="0"/>
                    <w:pageBreakBefore w:val="0"/>
                    <w:widowControl w:val="0"/>
                    <w:kinsoku/>
                    <w:wordWrap w:val="0"/>
                    <w:overflowPunct/>
                    <w:topLinePunct w:val="0"/>
                    <w:autoSpaceDE/>
                    <w:autoSpaceDN/>
                    <w:bidi w:val="0"/>
                    <w:spacing w:before="0" w:beforeLines="0" w:after="0" w:afterLines="0" w:line="240" w:lineRule="auto"/>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固体废弃物堆场</w:t>
                  </w:r>
                </w:p>
              </w:tc>
              <w:tc>
                <w:tcPr>
                  <w:tcW w:w="1492" w:type="dxa"/>
                </w:tcPr>
                <w:p w14:paraId="53A8E4BE">
                  <w:pPr>
                    <w:pStyle w:val="101"/>
                    <w:keepNext w:val="0"/>
                    <w:keepLines w:val="0"/>
                    <w:pageBreakBefore w:val="0"/>
                    <w:widowControl w:val="0"/>
                    <w:kinsoku/>
                    <w:wordWrap w:val="0"/>
                    <w:overflowPunct/>
                    <w:topLinePunct w:val="0"/>
                    <w:autoSpaceDE/>
                    <w:autoSpaceDN/>
                    <w:bidi w:val="0"/>
                    <w:spacing w:before="0" w:beforeLines="0" w:after="0" w:afterLines="0" w:line="240" w:lineRule="auto"/>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危险废物暂存</w:t>
                  </w:r>
                </w:p>
              </w:tc>
            </w:tr>
            <w:tr w14:paraId="4F3817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1" w:hRule="atLeast"/>
              </w:trPr>
              <w:tc>
                <w:tcPr>
                  <w:tcW w:w="1491" w:type="dxa"/>
                  <w:vAlign w:val="center"/>
                </w:tcPr>
                <w:p w14:paraId="293F3EF5">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auto"/>
                      <w:sz w:val="21"/>
                      <w:szCs w:val="21"/>
                    </w:rPr>
                  </w:pPr>
                  <w:r>
                    <w:rPr>
                      <w:rFonts w:hint="default" w:ascii="Times New Roman" w:hAnsi="Times New Roman" w:cs="Times New Roman"/>
                      <w:color w:val="auto"/>
                      <w:sz w:val="21"/>
                      <w:szCs w:val="21"/>
                    </w:rPr>
                    <w:drawing>
                      <wp:anchor distT="0" distB="0" distL="114300" distR="114300" simplePos="0" relativeHeight="251662336" behindDoc="0" locked="0" layoutInCell="1" allowOverlap="1">
                        <wp:simplePos x="0" y="0"/>
                        <wp:positionH relativeFrom="column">
                          <wp:posOffset>118745</wp:posOffset>
                        </wp:positionH>
                        <wp:positionV relativeFrom="paragraph">
                          <wp:posOffset>53340</wp:posOffset>
                        </wp:positionV>
                        <wp:extent cx="640715" cy="647700"/>
                        <wp:effectExtent l="0" t="0" r="6985" b="0"/>
                        <wp:wrapNone/>
                        <wp:docPr id="4" name="图片 42" descr="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2" descr="排放口"/>
                                <pic:cNvPicPr>
                                  <a:picLocks noChangeAspect="1"/>
                                </pic:cNvPicPr>
                              </pic:nvPicPr>
                              <pic:blipFill>
                                <a:blip r:embed="rId31"/>
                                <a:srcRect l="66771" t="5846" r="3780" b="55385"/>
                                <a:stretch>
                                  <a:fillRect/>
                                </a:stretch>
                              </pic:blipFill>
                              <pic:spPr>
                                <a:xfrm>
                                  <a:off x="0" y="0"/>
                                  <a:ext cx="640715" cy="647700"/>
                                </a:xfrm>
                                <a:prstGeom prst="rect">
                                  <a:avLst/>
                                </a:prstGeom>
                                <a:noFill/>
                                <a:ln>
                                  <a:noFill/>
                                </a:ln>
                              </pic:spPr>
                            </pic:pic>
                          </a:graphicData>
                        </a:graphic>
                      </wp:anchor>
                    </w:drawing>
                  </w:r>
                </w:p>
              </w:tc>
              <w:tc>
                <w:tcPr>
                  <w:tcW w:w="1491" w:type="dxa"/>
                </w:tcPr>
                <w:p w14:paraId="1505F4D6">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auto"/>
                      <w:sz w:val="21"/>
                      <w:szCs w:val="21"/>
                    </w:rPr>
                  </w:pPr>
                  <w:r>
                    <w:rPr>
                      <w:rFonts w:hint="default" w:ascii="Times New Roman" w:hAnsi="Times New Roman" w:cs="Times New Roman"/>
                      <w:color w:val="auto"/>
                      <w:sz w:val="21"/>
                      <w:szCs w:val="21"/>
                    </w:rPr>
                    <w:drawing>
                      <wp:anchor distT="0" distB="0" distL="114300" distR="114300" simplePos="0" relativeHeight="251663360" behindDoc="0" locked="0" layoutInCell="1" allowOverlap="1">
                        <wp:simplePos x="0" y="0"/>
                        <wp:positionH relativeFrom="column">
                          <wp:posOffset>105410</wp:posOffset>
                        </wp:positionH>
                        <wp:positionV relativeFrom="paragraph">
                          <wp:posOffset>54610</wp:posOffset>
                        </wp:positionV>
                        <wp:extent cx="637540" cy="647700"/>
                        <wp:effectExtent l="0" t="0" r="10160" b="0"/>
                        <wp:wrapNone/>
                        <wp:docPr id="7" name="图片 43" descr="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3" descr="排放口"/>
                                <pic:cNvPicPr>
                                  <a:picLocks noChangeAspect="1"/>
                                </pic:cNvPicPr>
                              </pic:nvPicPr>
                              <pic:blipFill>
                                <a:blip r:embed="rId32"/>
                                <a:srcRect l="19153" t="6250" r="51726" b="55122"/>
                                <a:stretch>
                                  <a:fillRect/>
                                </a:stretch>
                              </pic:blipFill>
                              <pic:spPr>
                                <a:xfrm>
                                  <a:off x="0" y="0"/>
                                  <a:ext cx="637540" cy="647700"/>
                                </a:xfrm>
                                <a:prstGeom prst="rect">
                                  <a:avLst/>
                                </a:prstGeom>
                                <a:noFill/>
                                <a:ln>
                                  <a:noFill/>
                                </a:ln>
                              </pic:spPr>
                            </pic:pic>
                          </a:graphicData>
                        </a:graphic>
                      </wp:anchor>
                    </w:drawing>
                  </w:r>
                </w:p>
              </w:tc>
              <w:tc>
                <w:tcPr>
                  <w:tcW w:w="1491" w:type="dxa"/>
                </w:tcPr>
                <w:p w14:paraId="437CDE61">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auto"/>
                      <w:sz w:val="21"/>
                      <w:szCs w:val="21"/>
                    </w:rPr>
                  </w:pPr>
                  <w:r>
                    <w:rPr>
                      <w:rFonts w:hint="default" w:ascii="Times New Roman" w:hAnsi="Times New Roman" w:cs="Times New Roman"/>
                      <w:color w:val="auto"/>
                      <w:sz w:val="21"/>
                      <w:szCs w:val="21"/>
                    </w:rPr>
                    <w:drawing>
                      <wp:anchor distT="0" distB="0" distL="114300" distR="114300" simplePos="0" relativeHeight="251664384" behindDoc="0" locked="0" layoutInCell="1" allowOverlap="1">
                        <wp:simplePos x="0" y="0"/>
                        <wp:positionH relativeFrom="column">
                          <wp:posOffset>85725</wp:posOffset>
                        </wp:positionH>
                        <wp:positionV relativeFrom="paragraph">
                          <wp:posOffset>48895</wp:posOffset>
                        </wp:positionV>
                        <wp:extent cx="638810" cy="647700"/>
                        <wp:effectExtent l="0" t="0" r="8890" b="0"/>
                        <wp:wrapNone/>
                        <wp:docPr id="11" name="图片 44" descr="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4" descr="排放口"/>
                                <pic:cNvPicPr>
                                  <a:picLocks noChangeAspect="1"/>
                                </pic:cNvPicPr>
                              </pic:nvPicPr>
                              <pic:blipFill>
                                <a:blip r:embed="rId33"/>
                                <a:srcRect l="51723" t="47942" r="27066" b="13129"/>
                                <a:stretch>
                                  <a:fillRect/>
                                </a:stretch>
                              </pic:blipFill>
                              <pic:spPr>
                                <a:xfrm>
                                  <a:off x="0" y="0"/>
                                  <a:ext cx="638810" cy="647700"/>
                                </a:xfrm>
                                <a:prstGeom prst="rect">
                                  <a:avLst/>
                                </a:prstGeom>
                                <a:noFill/>
                                <a:ln>
                                  <a:noFill/>
                                </a:ln>
                              </pic:spPr>
                            </pic:pic>
                          </a:graphicData>
                        </a:graphic>
                      </wp:anchor>
                    </w:drawing>
                  </w:r>
                </w:p>
              </w:tc>
              <w:tc>
                <w:tcPr>
                  <w:tcW w:w="1801" w:type="dxa"/>
                </w:tcPr>
                <w:p w14:paraId="77915DDB">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auto"/>
                      <w:sz w:val="21"/>
                      <w:szCs w:val="21"/>
                    </w:rPr>
                  </w:pPr>
                  <w:r>
                    <w:rPr>
                      <w:rFonts w:hint="default" w:ascii="Times New Roman" w:hAnsi="Times New Roman" w:cs="Times New Roman"/>
                      <w:color w:val="auto"/>
                      <w:sz w:val="21"/>
                      <w:szCs w:val="21"/>
                    </w:rPr>
                    <w:drawing>
                      <wp:anchor distT="0" distB="0" distL="114300" distR="114300" simplePos="0" relativeHeight="251666432" behindDoc="0" locked="0" layoutInCell="1" allowOverlap="1">
                        <wp:simplePos x="0" y="0"/>
                        <wp:positionH relativeFrom="column">
                          <wp:posOffset>152400</wp:posOffset>
                        </wp:positionH>
                        <wp:positionV relativeFrom="paragraph">
                          <wp:posOffset>51435</wp:posOffset>
                        </wp:positionV>
                        <wp:extent cx="652145" cy="647700"/>
                        <wp:effectExtent l="0" t="0" r="6350" b="0"/>
                        <wp:wrapNone/>
                        <wp:docPr id="41" name="图片 46" descr="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6" descr="排放口"/>
                                <pic:cNvPicPr>
                                  <a:picLocks noChangeAspect="1"/>
                                </pic:cNvPicPr>
                              </pic:nvPicPr>
                              <pic:blipFill>
                                <a:blip r:embed="rId34"/>
                                <a:srcRect l="18872" t="47525" r="51678" b="14357"/>
                                <a:stretch>
                                  <a:fillRect/>
                                </a:stretch>
                              </pic:blipFill>
                              <pic:spPr>
                                <a:xfrm>
                                  <a:off x="0" y="0"/>
                                  <a:ext cx="652145" cy="647700"/>
                                </a:xfrm>
                                <a:prstGeom prst="rect">
                                  <a:avLst/>
                                </a:prstGeom>
                                <a:noFill/>
                                <a:ln>
                                  <a:noFill/>
                                </a:ln>
                              </pic:spPr>
                            </pic:pic>
                          </a:graphicData>
                        </a:graphic>
                      </wp:anchor>
                    </w:drawing>
                  </w:r>
                </w:p>
              </w:tc>
              <w:tc>
                <w:tcPr>
                  <w:tcW w:w="1492" w:type="dxa"/>
                </w:tcPr>
                <w:p w14:paraId="74FB8897">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auto"/>
                      <w:sz w:val="21"/>
                      <w:szCs w:val="21"/>
                    </w:rPr>
                  </w:pPr>
                  <w:r>
                    <w:rPr>
                      <w:rFonts w:hint="default" w:ascii="Times New Roman" w:hAnsi="Times New Roman" w:cs="Times New Roman"/>
                      <w:color w:val="auto"/>
                      <w:sz w:val="21"/>
                      <w:szCs w:val="21"/>
                    </w:rPr>
                    <w:drawing>
                      <wp:anchor distT="0" distB="0" distL="114300" distR="114300" simplePos="0" relativeHeight="251667456" behindDoc="0" locked="0" layoutInCell="1" allowOverlap="1">
                        <wp:simplePos x="0" y="0"/>
                        <wp:positionH relativeFrom="column">
                          <wp:posOffset>15875</wp:posOffset>
                        </wp:positionH>
                        <wp:positionV relativeFrom="paragraph">
                          <wp:posOffset>51435</wp:posOffset>
                        </wp:positionV>
                        <wp:extent cx="673735" cy="687070"/>
                        <wp:effectExtent l="0" t="0" r="6350" b="3810"/>
                        <wp:wrapNone/>
                        <wp:docPr id="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pic:cNvPicPr>
                                  <a:picLocks noChangeAspect="1"/>
                                </pic:cNvPicPr>
                              </pic:nvPicPr>
                              <pic:blipFill>
                                <a:blip r:embed="rId35"/>
                                <a:srcRect l="15968" t="5974" r="13557" b="48367"/>
                                <a:stretch>
                                  <a:fillRect/>
                                </a:stretch>
                              </pic:blipFill>
                              <pic:spPr>
                                <a:xfrm>
                                  <a:off x="0" y="0"/>
                                  <a:ext cx="673735" cy="687070"/>
                                </a:xfrm>
                                <a:prstGeom prst="rect">
                                  <a:avLst/>
                                </a:prstGeom>
                                <a:noFill/>
                                <a:ln>
                                  <a:noFill/>
                                </a:ln>
                              </pic:spPr>
                            </pic:pic>
                          </a:graphicData>
                        </a:graphic>
                      </wp:anchor>
                    </w:drawing>
                  </w:r>
                  <w:r>
                    <w:rPr>
                      <w:rFonts w:hint="default" w:ascii="Times New Roman" w:hAnsi="Times New Roman" w:cs="Times New Roman"/>
                      <w:color w:val="auto"/>
                      <w:sz w:val="21"/>
                      <w:szCs w:val="21"/>
                    </w:rPr>
                    <w:drawing>
                      <wp:anchor distT="0" distB="0" distL="114300" distR="114300" simplePos="0" relativeHeight="251665408" behindDoc="0" locked="0" layoutInCell="1" allowOverlap="1">
                        <wp:simplePos x="0" y="0"/>
                        <wp:positionH relativeFrom="column">
                          <wp:posOffset>-29210</wp:posOffset>
                        </wp:positionH>
                        <wp:positionV relativeFrom="paragraph">
                          <wp:posOffset>81280</wp:posOffset>
                        </wp:positionV>
                        <wp:extent cx="720090" cy="597535"/>
                        <wp:effectExtent l="0" t="0" r="3175" b="6985"/>
                        <wp:wrapNone/>
                        <wp:docPr id="43" name="图片 45" descr="危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5" descr="危废"/>
                                <pic:cNvPicPr>
                                  <a:picLocks noChangeAspect="1"/>
                                </pic:cNvPicPr>
                              </pic:nvPicPr>
                              <pic:blipFill>
                                <a:blip r:embed="rId36"/>
                                <a:srcRect t="15695" r="57016" b="30949"/>
                                <a:stretch>
                                  <a:fillRect/>
                                </a:stretch>
                              </pic:blipFill>
                              <pic:spPr>
                                <a:xfrm>
                                  <a:off x="0" y="0"/>
                                  <a:ext cx="720090" cy="597535"/>
                                </a:xfrm>
                                <a:prstGeom prst="rect">
                                  <a:avLst/>
                                </a:prstGeom>
                                <a:noFill/>
                                <a:ln>
                                  <a:noFill/>
                                </a:ln>
                              </pic:spPr>
                            </pic:pic>
                          </a:graphicData>
                        </a:graphic>
                      </wp:anchor>
                    </w:drawing>
                  </w:r>
                </w:p>
              </w:tc>
            </w:tr>
            <w:tr w14:paraId="365787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4" w:type="dxa"/>
                  <w:gridSpan w:val="4"/>
                </w:tcPr>
                <w:p w14:paraId="61AC53BF">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背景颜色：绿色            图形颜色：白色</w:t>
                  </w:r>
                </w:p>
              </w:tc>
              <w:tc>
                <w:tcPr>
                  <w:tcW w:w="1492" w:type="dxa"/>
                </w:tcPr>
                <w:p w14:paraId="55C6E114">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w:t>
                  </w:r>
                </w:p>
              </w:tc>
            </w:tr>
          </w:tbl>
          <w:p w14:paraId="123D8467">
            <w:pPr>
              <w:pStyle w:val="102"/>
              <w:keepNext w:val="0"/>
              <w:keepLines w:val="0"/>
              <w:pageBreakBefore w:val="0"/>
              <w:widowControl w:val="0"/>
              <w:numPr>
                <w:ilvl w:val="0"/>
                <w:numId w:val="0"/>
              </w:numPr>
              <w:kinsoku/>
              <w:wordWrap w:val="0"/>
              <w:overflowPunct/>
              <w:topLinePunct w:val="0"/>
              <w:autoSpaceDE/>
              <w:autoSpaceDN/>
              <w:bidi w:val="0"/>
              <w:spacing w:line="240" w:lineRule="auto"/>
              <w:jc w:val="left"/>
              <w:textAlignment w:val="auto"/>
              <w:rPr>
                <w:rFonts w:hint="default" w:ascii="Times New Roman" w:hAnsi="Times New Roman" w:cs="Times New Roman"/>
                <w:color w:val="auto"/>
                <w:sz w:val="21"/>
                <w:szCs w:val="21"/>
              </w:rPr>
            </w:pPr>
            <w:r>
              <w:rPr>
                <w:rFonts w:hint="default" w:ascii="Times New Roman" w:hAnsi="Times New Roman" w:cs="Times New Roman"/>
                <w:bCs/>
                <w:color w:val="auto"/>
                <w:sz w:val="21"/>
                <w:szCs w:val="21"/>
              </w:rPr>
              <w:t>（三）</w:t>
            </w:r>
            <w:r>
              <w:rPr>
                <w:rFonts w:hint="default" w:ascii="Times New Roman" w:hAnsi="Times New Roman" w:cs="Times New Roman"/>
                <w:color w:val="auto"/>
                <w:sz w:val="21"/>
                <w:szCs w:val="21"/>
              </w:rPr>
              <w:t>排污许可</w:t>
            </w:r>
          </w:p>
          <w:p w14:paraId="07AA8200">
            <w:pPr>
              <w:pStyle w:val="24"/>
              <w:keepNext w:val="0"/>
              <w:keepLines w:val="0"/>
              <w:pageBreakBefore w:val="0"/>
              <w:widowControl w:val="0"/>
              <w:numPr>
                <w:ilvl w:val="0"/>
                <w:numId w:val="0"/>
              </w:numPr>
              <w:kinsoku/>
              <w:wordWrap w:val="0"/>
              <w:overflowPunct/>
              <w:topLinePunct w:val="0"/>
              <w:autoSpaceDE/>
              <w:autoSpaceDN/>
              <w:bidi w:val="0"/>
              <w:spacing w:line="240" w:lineRule="auto"/>
              <w:ind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根据《固定污染源排污许可分类管理名录（2019版）》，</w:t>
            </w:r>
            <w:r>
              <w:rPr>
                <w:rFonts w:hint="default" w:ascii="Times New Roman" w:hAnsi="Times New Roman" w:cs="Times New Roman"/>
                <w:color w:val="auto"/>
                <w:sz w:val="21"/>
                <w:szCs w:val="21"/>
                <w:lang w:val="en-US" w:eastAsia="zh-CN"/>
              </w:rPr>
              <w:t>本项目建成后须对排污许可证进行变更申请</w:t>
            </w:r>
            <w:r>
              <w:rPr>
                <w:rFonts w:hint="default" w:ascii="Times New Roman" w:hAnsi="Times New Roman" w:cs="Times New Roman"/>
                <w:color w:val="auto"/>
                <w:sz w:val="21"/>
                <w:szCs w:val="21"/>
              </w:rPr>
              <w:t>。</w:t>
            </w:r>
          </w:p>
          <w:p w14:paraId="2759C6E2">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（四）竣工验收要求</w:t>
            </w:r>
          </w:p>
          <w:p w14:paraId="6151D03B">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 xml:space="preserve">根据《建设项目竣工环境保护验收暂行办法》（国环规环评〔2017〕4号），建设单位自行验收。本项目自行验收要求如下： </w:t>
            </w:r>
          </w:p>
          <w:p w14:paraId="7084B41C">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val="en-US" w:eastAsia="zh-CN" w:bidi="ar-SA"/>
              </w:rPr>
              <w:t>1.</w:t>
            </w:r>
            <w:r>
              <w:rPr>
                <w:rFonts w:hint="default" w:ascii="Times New Roman" w:hAnsi="Times New Roman" w:cs="Times New Roman"/>
                <w:color w:val="auto"/>
                <w:sz w:val="21"/>
                <w:szCs w:val="21"/>
              </w:rPr>
              <w:t>建设单位是建设项目竣工环境保护验收的责任主体，应当按照暂行办法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针对本项目，应参照《建设项目竣工环境保护验收技术指南污染影响类》编制验收监测报告。</w:t>
            </w:r>
          </w:p>
          <w:p w14:paraId="329E0F48">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val="en-US" w:eastAsia="zh-CN" w:bidi="ar-SA"/>
              </w:rPr>
              <w:t>2.</w:t>
            </w:r>
            <w:r>
              <w:rPr>
                <w:rFonts w:hint="default" w:ascii="Times New Roman" w:hAnsi="Times New Roman" w:cs="Times New Roman"/>
                <w:color w:val="auto"/>
                <w:sz w:val="21"/>
                <w:szCs w:val="21"/>
              </w:rPr>
              <w:t>验收监测报告编制完成后，建设单位应当根据验收监测报告结论，逐一检查是否存在暂行办法第八条所列验收不合格的情形，提出验收意见。存在问题的，建设单位应当进行整改，整改完成后方可提出验收意见。验收意见包括工程建设基本情况、工程变动情况、环境保护设施落实情况、环境保护设施调试效果、工程建设对环境的影响、验收结论和后续要求等内容，验收结论应当明确该建设项目环境保护设施是否验收合格。建设项目配套建设的环境保护设施经验收合格后，其主体工程方可投入生产或者使用；未经验收或者验收不合格的，不得投入生产或者使用。</w:t>
            </w:r>
          </w:p>
          <w:p w14:paraId="436BA09F">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val="en-US" w:eastAsia="zh-CN" w:bidi="ar-SA"/>
              </w:rPr>
              <w:t>3.</w:t>
            </w:r>
            <w:r>
              <w:rPr>
                <w:rFonts w:hint="default" w:ascii="Times New Roman" w:hAnsi="Times New Roman" w:cs="Times New Roman"/>
                <w:color w:val="auto"/>
                <w:sz w:val="21"/>
                <w:szCs w:val="21"/>
              </w:rPr>
              <w:t xml:space="preserve">存在下列情形之一的建设项目，不得通过竣工环境保护验收： </w:t>
            </w:r>
          </w:p>
          <w:p w14:paraId="508DEDB8">
            <w:pPr>
              <w:pStyle w:val="101"/>
              <w:keepNext w:val="0"/>
              <w:keepLines w:val="0"/>
              <w:pageBreakBefore w:val="0"/>
              <w:widowControl w:val="0"/>
              <w:numPr>
                <w:ilvl w:val="0"/>
                <w:numId w:val="11"/>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未按环境影响报告表及其审批部门审批决定要求建成环境保护设施，或者环境保护设施不能与主体工程同时投产或者使用的；</w:t>
            </w:r>
          </w:p>
          <w:p w14:paraId="0BAE39C6">
            <w:pPr>
              <w:pStyle w:val="101"/>
              <w:keepNext w:val="0"/>
              <w:keepLines w:val="0"/>
              <w:pageBreakBefore w:val="0"/>
              <w:widowControl w:val="0"/>
              <w:numPr>
                <w:ilvl w:val="0"/>
                <w:numId w:val="11"/>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污染物排放不符合国家和地方相关标准、环境影响报告</w:t>
            </w:r>
            <w:r>
              <w:rPr>
                <w:rFonts w:hint="default" w:ascii="Times New Roman" w:hAnsi="Times New Roman" w:cs="Times New Roman"/>
                <w:color w:val="auto"/>
                <w:sz w:val="21"/>
                <w:szCs w:val="21"/>
                <w:lang w:val="en-US" w:eastAsia="zh-CN"/>
              </w:rPr>
              <w:t>表</w:t>
            </w:r>
            <w:r>
              <w:rPr>
                <w:rFonts w:hint="default" w:ascii="Times New Roman" w:hAnsi="Times New Roman" w:cs="Times New Roman"/>
                <w:color w:val="auto"/>
                <w:sz w:val="21"/>
                <w:szCs w:val="21"/>
              </w:rPr>
              <w:t>及其审批部门审批决定或者重点污染物排放总量控制指标要求的；</w:t>
            </w:r>
          </w:p>
          <w:p w14:paraId="27E0AF24">
            <w:pPr>
              <w:pStyle w:val="101"/>
              <w:keepNext w:val="0"/>
              <w:keepLines w:val="0"/>
              <w:pageBreakBefore w:val="0"/>
              <w:widowControl w:val="0"/>
              <w:numPr>
                <w:ilvl w:val="0"/>
                <w:numId w:val="11"/>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 xml:space="preserve">环境影响报告表经批准后，该建设项目的性质、规模、地点、采用的生产工艺或者防治污染、防止生态破坏的措施发生重大变动，建设单位未重新报批环境影响报告书或者环境影响报告书未经批准的； </w:t>
            </w:r>
          </w:p>
          <w:p w14:paraId="2CC8CC21">
            <w:pPr>
              <w:pStyle w:val="101"/>
              <w:keepNext w:val="0"/>
              <w:keepLines w:val="0"/>
              <w:pageBreakBefore w:val="0"/>
              <w:widowControl w:val="0"/>
              <w:numPr>
                <w:ilvl w:val="0"/>
                <w:numId w:val="11"/>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 xml:space="preserve">建设过程中造成重大环境污染未治理完成，或者造成重大生态破坏未恢复的； </w:t>
            </w:r>
          </w:p>
          <w:p w14:paraId="5E76A6D9">
            <w:pPr>
              <w:pStyle w:val="101"/>
              <w:keepNext w:val="0"/>
              <w:keepLines w:val="0"/>
              <w:pageBreakBefore w:val="0"/>
              <w:widowControl w:val="0"/>
              <w:numPr>
                <w:ilvl w:val="0"/>
                <w:numId w:val="11"/>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纳入排污许可管理的建设项目，无证排污或者不按证排污的；</w:t>
            </w:r>
          </w:p>
          <w:p w14:paraId="03CE92A5">
            <w:pPr>
              <w:pStyle w:val="101"/>
              <w:keepNext w:val="0"/>
              <w:keepLines w:val="0"/>
              <w:pageBreakBefore w:val="0"/>
              <w:widowControl w:val="0"/>
              <w:numPr>
                <w:ilvl w:val="0"/>
                <w:numId w:val="11"/>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建设单位因该建设项目违反国家和地方环境保护法律法规受到处罚，被责令改正，尚未改正完成的；</w:t>
            </w:r>
          </w:p>
          <w:p w14:paraId="405D6068">
            <w:pPr>
              <w:pStyle w:val="101"/>
              <w:keepNext w:val="0"/>
              <w:keepLines w:val="0"/>
              <w:pageBreakBefore w:val="0"/>
              <w:widowControl w:val="0"/>
              <w:numPr>
                <w:ilvl w:val="0"/>
                <w:numId w:val="11"/>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验收报告的基础资料数据明显不实，内容存在重大缺项、遗漏，或者验收结论不明确、不合理的。</w:t>
            </w:r>
          </w:p>
          <w:p w14:paraId="42AEE451">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val="en-US" w:eastAsia="zh-CN" w:bidi="ar-SA"/>
              </w:rPr>
              <w:t>4.</w:t>
            </w:r>
            <w:r>
              <w:rPr>
                <w:rFonts w:hint="default" w:ascii="Times New Roman" w:hAnsi="Times New Roman" w:cs="Times New Roman"/>
                <w:color w:val="auto"/>
                <w:sz w:val="21"/>
                <w:szCs w:val="21"/>
              </w:rPr>
              <w:t>为提高验收的有效性，在提出验收意见的过程中，建设单位可以组织成立验收工作组，采取现场检查、资料查阅、召开验收会议等方式，协助开展验收工作。验收工作组可以由设计单位、施工单位、环境影响报告书编制机构、验收监测（调查）报告编制机构等单位代表以及专业技术专家等组成，代表范围和人数自定。除按照国家需要保密的情形外，建设单位应当通过其网站或其他便于公众知晓的方式，向社会公开下列信息：</w:t>
            </w:r>
          </w:p>
          <w:p w14:paraId="65B2C967">
            <w:pPr>
              <w:pStyle w:val="101"/>
              <w:keepNext w:val="0"/>
              <w:keepLines w:val="0"/>
              <w:pageBreakBefore w:val="0"/>
              <w:widowControl w:val="0"/>
              <w:numPr>
                <w:ilvl w:val="0"/>
                <w:numId w:val="12"/>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建设项目配套建设的环境保护设施竣工后，公开竣工日期；</w:t>
            </w:r>
          </w:p>
          <w:p w14:paraId="276801CC">
            <w:pPr>
              <w:pStyle w:val="101"/>
              <w:keepNext w:val="0"/>
              <w:keepLines w:val="0"/>
              <w:pageBreakBefore w:val="0"/>
              <w:widowControl w:val="0"/>
              <w:numPr>
                <w:ilvl w:val="0"/>
                <w:numId w:val="12"/>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对建设项目配套建设的环境保护设施进行调试前，公开调试的起止日期；</w:t>
            </w:r>
          </w:p>
          <w:p w14:paraId="3BE7EB43">
            <w:pPr>
              <w:pStyle w:val="101"/>
              <w:keepNext w:val="0"/>
              <w:keepLines w:val="0"/>
              <w:pageBreakBefore w:val="0"/>
              <w:widowControl w:val="0"/>
              <w:numPr>
                <w:ilvl w:val="0"/>
                <w:numId w:val="12"/>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验收报告编制完成后5个工作日内，公开验收报告，公示的期限不得少于20个工作日。</w:t>
            </w:r>
          </w:p>
          <w:p w14:paraId="6267BED8">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val="en-US" w:eastAsia="zh-CN" w:bidi="ar-SA"/>
              </w:rPr>
              <w:t>5.</w:t>
            </w:r>
            <w:r>
              <w:rPr>
                <w:rFonts w:hint="default" w:ascii="Times New Roman" w:hAnsi="Times New Roman" w:cs="Times New Roman"/>
                <w:color w:val="auto"/>
                <w:sz w:val="21"/>
                <w:szCs w:val="21"/>
              </w:rPr>
              <w:t>验收期限是指自建设项目环境保护设施竣工之日起至建设单位向社会公开验收报告之日止的时间。验收报告公示期满后5个工作日内，建设单位应当登录全国建设项目竣工环境保护验收信息平台，填报建设项目基本信息、环境保护设施验收情况等相关信息，环境保护主管部门对上述信息予以公开。建设单位应当将验收报告以及其他档案资料存档备查。</w:t>
            </w:r>
          </w:p>
          <w:p w14:paraId="5EA418FF">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rPr>
            </w:pPr>
          </w:p>
          <w:p w14:paraId="6A0E6538">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rPr>
            </w:pPr>
          </w:p>
          <w:p w14:paraId="6982F596">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jc w:val="both"/>
              <w:textAlignment w:val="auto"/>
              <w:rPr>
                <w:rFonts w:hint="default" w:ascii="Times New Roman" w:hAnsi="Times New Roman" w:cs="Times New Roman"/>
                <w:color w:val="auto"/>
                <w:sz w:val="21"/>
                <w:szCs w:val="21"/>
              </w:rPr>
            </w:pPr>
          </w:p>
          <w:p w14:paraId="281F0BBB">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jc w:val="both"/>
              <w:textAlignment w:val="auto"/>
              <w:rPr>
                <w:rFonts w:hint="default" w:ascii="Times New Roman" w:hAnsi="Times New Roman" w:cs="Times New Roman"/>
                <w:color w:val="auto"/>
                <w:sz w:val="21"/>
                <w:szCs w:val="21"/>
              </w:rPr>
            </w:pPr>
          </w:p>
          <w:p w14:paraId="3C194C3D">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jc w:val="both"/>
              <w:textAlignment w:val="auto"/>
              <w:rPr>
                <w:rFonts w:hint="default" w:ascii="Times New Roman" w:hAnsi="Times New Roman" w:cs="Times New Roman"/>
                <w:color w:val="auto"/>
                <w:sz w:val="21"/>
                <w:szCs w:val="21"/>
              </w:rPr>
            </w:pPr>
          </w:p>
          <w:p w14:paraId="70AB3B1E">
            <w:pPr>
              <w:pStyle w:val="101"/>
              <w:keepNext w:val="0"/>
              <w:keepLines w:val="0"/>
              <w:pageBreakBefore w:val="0"/>
              <w:widowControl w:val="0"/>
              <w:kinsoku/>
              <w:wordWrap w:val="0"/>
              <w:overflowPunct/>
              <w:topLinePunct w:val="0"/>
              <w:autoSpaceDE/>
              <w:autoSpaceDN/>
              <w:bidi w:val="0"/>
              <w:spacing w:before="0" w:beforeLines="0" w:after="0" w:afterLines="0" w:line="240" w:lineRule="auto"/>
              <w:jc w:val="both"/>
              <w:textAlignment w:val="auto"/>
              <w:rPr>
                <w:rFonts w:hint="default" w:ascii="Times New Roman" w:hAnsi="Times New Roman" w:cs="Times New Roman"/>
                <w:color w:val="auto"/>
                <w:sz w:val="21"/>
                <w:szCs w:val="21"/>
              </w:rPr>
            </w:pPr>
          </w:p>
          <w:p w14:paraId="4F9DB464">
            <w:pPr>
              <w:pStyle w:val="101"/>
              <w:keepNext w:val="0"/>
              <w:keepLines w:val="0"/>
              <w:pageBreakBefore w:val="0"/>
              <w:widowControl w:val="0"/>
              <w:kinsoku/>
              <w:wordWrap w:val="0"/>
              <w:overflowPunct/>
              <w:topLinePunct w:val="0"/>
              <w:autoSpaceDE/>
              <w:autoSpaceDN/>
              <w:bidi w:val="0"/>
              <w:spacing w:before="0" w:beforeLines="0" w:after="0" w:afterLines="0" w:line="240" w:lineRule="auto"/>
              <w:jc w:val="both"/>
              <w:textAlignment w:val="auto"/>
              <w:rPr>
                <w:rFonts w:hint="default" w:ascii="Times New Roman" w:hAnsi="Times New Roman" w:cs="Times New Roman"/>
                <w:color w:val="auto"/>
                <w:sz w:val="21"/>
                <w:szCs w:val="21"/>
              </w:rPr>
            </w:pPr>
          </w:p>
        </w:tc>
      </w:tr>
    </w:tbl>
    <w:p w14:paraId="3C602DEC">
      <w:pPr>
        <w:pStyle w:val="2"/>
        <w:pageBreakBefore w:val="0"/>
        <w:numPr>
          <w:ilvl w:val="0"/>
          <w:numId w:val="0"/>
        </w:numPr>
        <w:wordWrap w:val="0"/>
        <w:overflowPunct/>
        <w:bidi w:val="0"/>
        <w:rPr>
          <w:rFonts w:hint="default" w:ascii="Times New Roman" w:hAnsi="Times New Roman" w:cs="Times New Roman"/>
          <w:color w:val="auto"/>
          <w:highlight w:val="none"/>
        </w:rPr>
      </w:pPr>
      <w:bookmarkStart w:id="111" w:name="_Toc25627"/>
      <w:r>
        <w:rPr>
          <w:rFonts w:hint="default" w:ascii="Times New Roman" w:hAnsi="Times New Roman" w:cs="Times New Roman"/>
          <w:color w:val="auto"/>
          <w:highlight w:val="none"/>
        </w:rPr>
        <w:t>六、结论</w:t>
      </w:r>
      <w:bookmarkEnd w:id="110"/>
      <w:bookmarkEnd w:id="111"/>
    </w:p>
    <w:tbl>
      <w:tblPr>
        <w:tblStyle w:val="3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14:paraId="43C68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64" w:hRule="atLeast"/>
        </w:trPr>
        <w:tc>
          <w:tcPr>
            <w:tcW w:w="5000" w:type="pct"/>
          </w:tcPr>
          <w:p w14:paraId="79AEC7DA">
            <w:pPr>
              <w:pageBreakBefore w:val="0"/>
              <w:wordWrap w:val="0"/>
              <w:overflowPunct/>
              <w:bidi w:val="0"/>
              <w:adjustRightInd w:val="0"/>
              <w:ind w:firstLine="480" w:firstLineChars="200"/>
              <w:rPr>
                <w:rFonts w:hint="default" w:ascii="Times New Roman" w:hAnsi="Times New Roman" w:cs="Times New Roman"/>
                <w:bCs/>
                <w:color w:val="auto"/>
                <w:kern w:val="0"/>
                <w:highlight w:val="none"/>
              </w:rPr>
            </w:pPr>
          </w:p>
          <w:p w14:paraId="055D37E6">
            <w:pPr>
              <w:pageBreakBefore w:val="0"/>
              <w:wordWrap w:val="0"/>
              <w:overflowPunct/>
              <w:bidi w:val="0"/>
              <w:adjustRightInd w:val="0"/>
              <w:ind w:firstLine="480" w:firstLineChars="200"/>
              <w:rPr>
                <w:rFonts w:hint="default" w:ascii="Times New Roman" w:hAnsi="Times New Roman" w:cs="Times New Roman"/>
                <w:bCs/>
                <w:color w:val="auto"/>
                <w:kern w:val="0"/>
                <w:highlight w:val="none"/>
              </w:rPr>
            </w:pPr>
          </w:p>
          <w:p w14:paraId="4402F85E">
            <w:pPr>
              <w:pageBreakBefore w:val="0"/>
              <w:wordWrap w:val="0"/>
              <w:overflowPunct/>
              <w:bidi w:val="0"/>
              <w:adjustRightInd w:val="0"/>
              <w:ind w:firstLine="480" w:firstLineChars="200"/>
              <w:rPr>
                <w:rFonts w:hint="default" w:ascii="Times New Roman" w:hAnsi="Times New Roman" w:cs="Times New Roman"/>
                <w:bCs/>
                <w:color w:val="auto"/>
                <w:kern w:val="0"/>
                <w:highlight w:val="none"/>
              </w:rPr>
            </w:pPr>
          </w:p>
          <w:p w14:paraId="25022D38">
            <w:pPr>
              <w:pageBreakBefore w:val="0"/>
              <w:wordWrap w:val="0"/>
              <w:overflowPunct/>
              <w:bidi w:val="0"/>
              <w:adjustRightInd w:val="0"/>
              <w:ind w:firstLine="480" w:firstLineChars="200"/>
              <w:rPr>
                <w:rFonts w:hint="default" w:ascii="Times New Roman" w:hAnsi="Times New Roman" w:cs="Times New Roman"/>
                <w:bCs/>
                <w:color w:val="auto"/>
                <w:kern w:val="0"/>
                <w:highlight w:val="none"/>
              </w:rPr>
            </w:pPr>
          </w:p>
          <w:p w14:paraId="5852E38A">
            <w:pPr>
              <w:pageBreakBefore w:val="0"/>
              <w:wordWrap w:val="0"/>
              <w:overflowPunct/>
              <w:bidi w:val="0"/>
              <w:adjustRightInd w:val="0"/>
              <w:ind w:firstLine="480" w:firstLineChars="200"/>
              <w:rPr>
                <w:rFonts w:hint="default" w:ascii="Times New Roman" w:hAnsi="Times New Roman" w:cs="Times New Roman"/>
                <w:bCs/>
                <w:color w:val="auto"/>
                <w:kern w:val="0"/>
                <w:highlight w:val="none"/>
              </w:rPr>
            </w:pPr>
          </w:p>
          <w:p w14:paraId="7C4C3AD5">
            <w:pPr>
              <w:pageBreakBefore w:val="0"/>
              <w:wordWrap w:val="0"/>
              <w:overflowPunct/>
              <w:bidi w:val="0"/>
              <w:adjustRightInd w:val="0"/>
              <w:ind w:firstLine="480" w:firstLineChars="200"/>
              <w:rPr>
                <w:rFonts w:hint="default" w:ascii="Times New Roman" w:hAnsi="Times New Roman" w:cs="Times New Roman"/>
                <w:bCs/>
                <w:color w:val="auto"/>
                <w:kern w:val="0"/>
                <w:highlight w:val="none"/>
              </w:rPr>
            </w:pPr>
          </w:p>
          <w:p w14:paraId="2FB1EE15">
            <w:pPr>
              <w:pageBreakBefore w:val="0"/>
              <w:wordWrap w:val="0"/>
              <w:overflowPunct/>
              <w:bidi w:val="0"/>
              <w:rPr>
                <w:rFonts w:hint="default" w:ascii="Times New Roman" w:hAnsi="Times New Roman" w:cs="Times New Roman"/>
                <w:color w:val="auto"/>
                <w:highlight w:val="none"/>
              </w:rPr>
            </w:pPr>
          </w:p>
          <w:p w14:paraId="5A68BA09">
            <w:pPr>
              <w:pageBreakBefore w:val="0"/>
              <w:wordWrap w:val="0"/>
              <w:overflowPunct/>
              <w:bidi w:val="0"/>
              <w:adjustRightInd w:val="0"/>
              <w:ind w:firstLine="480" w:firstLineChars="200"/>
              <w:rPr>
                <w:rFonts w:hint="default" w:ascii="Times New Roman" w:hAnsi="Times New Roman" w:cs="Times New Roman"/>
                <w:bCs/>
                <w:color w:val="auto"/>
                <w:kern w:val="0"/>
                <w:highlight w:val="none"/>
              </w:rPr>
            </w:pPr>
          </w:p>
          <w:p w14:paraId="0613A90E">
            <w:pPr>
              <w:pageBreakBefore w:val="0"/>
              <w:wordWrap w:val="0"/>
              <w:overflowPunct/>
              <w:bidi w:val="0"/>
              <w:adjustRightInd w:val="0"/>
              <w:ind w:firstLine="480" w:firstLineChars="200"/>
              <w:rPr>
                <w:rFonts w:hint="default" w:ascii="Times New Roman" w:hAnsi="Times New Roman" w:cs="Times New Roman"/>
                <w:bCs/>
                <w:color w:val="auto"/>
                <w:kern w:val="0"/>
                <w:highlight w:val="none"/>
              </w:rPr>
            </w:pPr>
            <w:r>
              <w:rPr>
                <w:rFonts w:hint="default" w:ascii="Times New Roman" w:hAnsi="Times New Roman" w:cs="Times New Roman"/>
                <w:bCs/>
                <w:color w:val="auto"/>
                <w:kern w:val="0"/>
                <w:highlight w:val="none"/>
              </w:rPr>
              <w:t>按照本次评价，在严格落实前文提出的各项环境保护措施，并加强污染防治设施维护管理的情况下，本项目产生的污染物及不良环境影响能够得到有效控制，</w:t>
            </w:r>
            <w:r>
              <w:rPr>
                <w:rFonts w:hint="default" w:ascii="Times New Roman" w:hAnsi="Times New Roman" w:cs="Times New Roman"/>
                <w:b/>
                <w:color w:val="auto"/>
                <w:kern w:val="0"/>
                <w:highlight w:val="none"/>
              </w:rPr>
              <w:t>从环境保护角度分析，项目的建设是可行的</w:t>
            </w:r>
            <w:r>
              <w:rPr>
                <w:rFonts w:hint="default" w:ascii="Times New Roman" w:hAnsi="Times New Roman" w:cs="Times New Roman"/>
                <w:bCs/>
                <w:color w:val="auto"/>
                <w:kern w:val="0"/>
                <w:highlight w:val="none"/>
              </w:rPr>
              <w:t>。</w:t>
            </w:r>
          </w:p>
          <w:p w14:paraId="3F348B09">
            <w:pPr>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bCs/>
                <w:color w:val="auto"/>
                <w:highlight w:val="none"/>
              </w:rPr>
              <w:t>本环境影响报告表通过审批后</w:t>
            </w:r>
            <w:r>
              <w:rPr>
                <w:rFonts w:hint="default" w:ascii="Times New Roman" w:hAnsi="Times New Roman" w:cs="Times New Roman"/>
                <w:color w:val="auto"/>
                <w:highlight w:val="none"/>
              </w:rPr>
              <w:t>，建设内容和需要配套的污染防治设施如发生重大变动，建设单位需要重新组织编制和报批环境影响评价文件。建设单位应当严格执行配套建设的环境保护设施与主体工程同时设计、同时施工、同时投产使用的环境保护“三同时”制度。本项目竣工后，建设单位应当按照国家和地方规定的标准和程序，对配套建设的环境保护设施进行验收，编制验收报告，提出验收意见，并依法向社会公开。本项目配套建设的环境保护设施经验收合格后，主体工程方可正式投入生产。</w:t>
            </w:r>
          </w:p>
          <w:p w14:paraId="02D31E04">
            <w:pPr>
              <w:pageBreakBefore w:val="0"/>
              <w:wordWrap w:val="0"/>
              <w:overflowPunct/>
              <w:bidi w:val="0"/>
              <w:rPr>
                <w:rFonts w:hint="default" w:ascii="Times New Roman" w:hAnsi="Times New Roman" w:cs="Times New Roman"/>
                <w:color w:val="auto"/>
                <w:highlight w:val="none"/>
              </w:rPr>
            </w:pPr>
          </w:p>
          <w:p w14:paraId="3DB7CA92">
            <w:pPr>
              <w:pageBreakBefore w:val="0"/>
              <w:wordWrap w:val="0"/>
              <w:overflowPunct/>
              <w:bidi w:val="0"/>
              <w:rPr>
                <w:rFonts w:hint="default" w:ascii="Times New Roman" w:hAnsi="Times New Roman" w:cs="Times New Roman"/>
                <w:color w:val="auto"/>
                <w:highlight w:val="none"/>
              </w:rPr>
            </w:pPr>
          </w:p>
          <w:p w14:paraId="43EAEB1C">
            <w:pPr>
              <w:pageBreakBefore w:val="0"/>
              <w:wordWrap w:val="0"/>
              <w:overflowPunct/>
              <w:bidi w:val="0"/>
              <w:rPr>
                <w:rFonts w:hint="default" w:ascii="Times New Roman" w:hAnsi="Times New Roman" w:cs="Times New Roman"/>
                <w:color w:val="auto"/>
                <w:highlight w:val="none"/>
              </w:rPr>
            </w:pPr>
          </w:p>
          <w:p w14:paraId="4BC13D30">
            <w:pPr>
              <w:pageBreakBefore w:val="0"/>
              <w:wordWrap w:val="0"/>
              <w:overflowPunct/>
              <w:bidi w:val="0"/>
              <w:rPr>
                <w:rFonts w:hint="default" w:ascii="Times New Roman" w:hAnsi="Times New Roman" w:cs="Times New Roman"/>
                <w:color w:val="auto"/>
                <w:highlight w:val="none"/>
              </w:rPr>
            </w:pPr>
          </w:p>
          <w:p w14:paraId="7397F0B5">
            <w:pPr>
              <w:pageBreakBefore w:val="0"/>
              <w:wordWrap w:val="0"/>
              <w:overflowPunct/>
              <w:bidi w:val="0"/>
              <w:rPr>
                <w:rFonts w:hint="default" w:ascii="Times New Roman" w:hAnsi="Times New Roman" w:cs="Times New Roman"/>
                <w:color w:val="auto"/>
                <w:highlight w:val="none"/>
              </w:rPr>
            </w:pPr>
          </w:p>
          <w:p w14:paraId="0B0FB60D">
            <w:pPr>
              <w:pageBreakBefore w:val="0"/>
              <w:wordWrap w:val="0"/>
              <w:overflowPunct/>
              <w:bidi w:val="0"/>
              <w:rPr>
                <w:rFonts w:hint="default" w:ascii="Times New Roman" w:hAnsi="Times New Roman" w:cs="Times New Roman"/>
                <w:color w:val="auto"/>
                <w:highlight w:val="none"/>
              </w:rPr>
            </w:pPr>
          </w:p>
        </w:tc>
      </w:tr>
    </w:tbl>
    <w:p w14:paraId="7281EA26">
      <w:pPr>
        <w:pageBreakBefore w:val="0"/>
        <w:wordWrap w:val="0"/>
        <w:overflowPunct/>
        <w:bidi w:val="0"/>
        <w:rPr>
          <w:rFonts w:hint="default" w:ascii="Times New Roman" w:hAnsi="Times New Roman" w:eastAsia="黑体" w:cs="Times New Roman"/>
          <w:snapToGrid w:val="0"/>
          <w:color w:val="auto"/>
          <w:sz w:val="32"/>
          <w:szCs w:val="32"/>
          <w:highlight w:val="none"/>
        </w:rPr>
        <w:sectPr>
          <w:pgSz w:w="11906" w:h="16838"/>
          <w:pgMar w:top="1440" w:right="1417" w:bottom="1440" w:left="1417"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p w14:paraId="1F8096E0">
      <w:pPr>
        <w:pageBreakBefore w:val="0"/>
        <w:wordWrap w:val="0"/>
        <w:overflowPunct/>
        <w:bidi w:val="0"/>
        <w:jc w:val="left"/>
        <w:outlineLvl w:val="0"/>
        <w:rPr>
          <w:rFonts w:hint="default" w:ascii="Times New Roman" w:hAnsi="Times New Roman" w:eastAsia="宋体" w:cs="Times New Roman"/>
          <w:color w:val="auto"/>
          <w:sz w:val="28"/>
          <w:szCs w:val="28"/>
          <w:highlight w:val="none"/>
          <w:lang w:val="en-US" w:eastAsia="zh-CN"/>
        </w:rPr>
      </w:pPr>
      <w:bookmarkStart w:id="112" w:name="_Toc21319"/>
      <w:bookmarkStart w:id="113" w:name="_Toc19831"/>
      <w:r>
        <w:rPr>
          <w:rFonts w:hint="default" w:ascii="Times New Roman" w:hAnsi="Times New Roman" w:eastAsia="宋体" w:cs="Times New Roman"/>
          <w:color w:val="auto"/>
          <w:sz w:val="28"/>
          <w:szCs w:val="28"/>
          <w:highlight w:val="none"/>
          <w:lang w:val="en-US" w:eastAsia="zh-CN"/>
        </w:rPr>
        <w:t>附表</w:t>
      </w:r>
      <w:bookmarkEnd w:id="112"/>
    </w:p>
    <w:p w14:paraId="239E49BA">
      <w:pPr>
        <w:pageBreakBefore w:val="0"/>
        <w:wordWrap w:val="0"/>
        <w:overflowPunct/>
        <w:bidi w:val="0"/>
        <w:jc w:val="center"/>
        <w:outlineLvl w:val="9"/>
        <w:rPr>
          <w:rFonts w:hint="default" w:ascii="Times New Roman" w:hAnsi="Times New Roman" w:eastAsia="黑体" w:cs="Times New Roman"/>
          <w:color w:val="auto"/>
          <w:sz w:val="40"/>
          <w:szCs w:val="40"/>
          <w:highlight w:val="none"/>
        </w:rPr>
      </w:pPr>
      <w:r>
        <w:rPr>
          <w:rFonts w:hint="default" w:ascii="Times New Roman" w:hAnsi="Times New Roman" w:eastAsia="黑体" w:cs="Times New Roman"/>
          <w:color w:val="auto"/>
          <w:sz w:val="40"/>
          <w:szCs w:val="40"/>
          <w:highlight w:val="none"/>
        </w:rPr>
        <w:t>建设项目污染物排放量汇总表</w:t>
      </w:r>
      <w:bookmarkEnd w:id="113"/>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6"/>
        <w:gridCol w:w="2203"/>
        <w:gridCol w:w="1386"/>
        <w:gridCol w:w="1562"/>
        <w:gridCol w:w="1479"/>
        <w:gridCol w:w="1651"/>
        <w:gridCol w:w="1564"/>
        <w:gridCol w:w="1720"/>
        <w:gridCol w:w="1407"/>
      </w:tblGrid>
      <w:tr w14:paraId="69DDC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tcBorders>
              <w:tl2br w:val="single" w:color="auto" w:sz="4" w:space="0"/>
            </w:tcBorders>
            <w:vAlign w:val="center"/>
          </w:tcPr>
          <w:p w14:paraId="327F803E">
            <w:pPr>
              <w:pageBreakBefore w:val="0"/>
              <w:wordWrap w:val="0"/>
              <w:overflowPunct/>
              <w:bidi w:val="0"/>
              <w:spacing w:line="240" w:lineRule="auto"/>
              <w:jc w:val="right"/>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项目</w:t>
            </w:r>
          </w:p>
          <w:p w14:paraId="2B24A249">
            <w:pPr>
              <w:pageBreakBefore w:val="0"/>
              <w:wordWrap w:val="0"/>
              <w:overflowPunct/>
              <w:bidi w:val="0"/>
              <w:spacing w:line="240" w:lineRule="auto"/>
              <w:rPr>
                <w:rFonts w:hint="default" w:ascii="Times New Roman" w:hAnsi="Times New Roman" w:cs="Times New Roman"/>
                <w:color w:val="auto"/>
                <w:sz w:val="21"/>
                <w:szCs w:val="21"/>
                <w:highlight w:val="none"/>
              </w:rPr>
            </w:pPr>
            <w:r>
              <w:rPr>
                <w:rFonts w:hint="default" w:ascii="Times New Roman" w:hAnsi="Times New Roman" w:eastAsia="黑体" w:cs="Times New Roman"/>
                <w:color w:val="auto"/>
                <w:sz w:val="21"/>
                <w:szCs w:val="21"/>
                <w:highlight w:val="none"/>
              </w:rPr>
              <w:t>分类</w:t>
            </w:r>
          </w:p>
        </w:tc>
        <w:tc>
          <w:tcPr>
            <w:tcW w:w="2203" w:type="dxa"/>
            <w:vAlign w:val="center"/>
          </w:tcPr>
          <w:p w14:paraId="42C3361E">
            <w:pPr>
              <w:pageBreakBefore w:val="0"/>
              <w:wordWrap w:val="0"/>
              <w:overflowPunct/>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污染物名称</w:t>
            </w:r>
          </w:p>
        </w:tc>
        <w:tc>
          <w:tcPr>
            <w:tcW w:w="1386" w:type="dxa"/>
            <w:vAlign w:val="center"/>
          </w:tcPr>
          <w:p w14:paraId="18262DEC">
            <w:pPr>
              <w:pageBreakBefore w:val="0"/>
              <w:wordWrap w:val="0"/>
              <w:overflowPunct/>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现有工程排放量（固体废物产生量）①</w:t>
            </w:r>
          </w:p>
        </w:tc>
        <w:tc>
          <w:tcPr>
            <w:tcW w:w="1562" w:type="dxa"/>
            <w:vAlign w:val="center"/>
          </w:tcPr>
          <w:p w14:paraId="4D1BC638">
            <w:pPr>
              <w:pageBreakBefore w:val="0"/>
              <w:wordWrap w:val="0"/>
              <w:overflowPunct/>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现有工程排污许可排放量②</w:t>
            </w:r>
          </w:p>
        </w:tc>
        <w:tc>
          <w:tcPr>
            <w:tcW w:w="1479" w:type="dxa"/>
            <w:vAlign w:val="center"/>
          </w:tcPr>
          <w:p w14:paraId="40D73BAE">
            <w:pPr>
              <w:pageBreakBefore w:val="0"/>
              <w:wordWrap w:val="0"/>
              <w:overflowPunct/>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在建工程排放量（固体废物产生量）③</w:t>
            </w:r>
          </w:p>
        </w:tc>
        <w:tc>
          <w:tcPr>
            <w:tcW w:w="1651" w:type="dxa"/>
            <w:vAlign w:val="center"/>
          </w:tcPr>
          <w:p w14:paraId="6256AE9F">
            <w:pPr>
              <w:pageBreakBefore w:val="0"/>
              <w:wordWrap w:val="0"/>
              <w:overflowPunct/>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本项目排放量（固体废物产生量）④</w:t>
            </w:r>
          </w:p>
        </w:tc>
        <w:tc>
          <w:tcPr>
            <w:tcW w:w="1564" w:type="dxa"/>
            <w:vAlign w:val="center"/>
          </w:tcPr>
          <w:p w14:paraId="2467091E">
            <w:pPr>
              <w:pageBreakBefore w:val="0"/>
              <w:wordWrap w:val="0"/>
              <w:overflowPunct/>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以新带老削减量（新建项目不填）⑤</w:t>
            </w:r>
          </w:p>
        </w:tc>
        <w:tc>
          <w:tcPr>
            <w:tcW w:w="1720" w:type="dxa"/>
            <w:vAlign w:val="center"/>
          </w:tcPr>
          <w:p w14:paraId="0D2768FF">
            <w:pPr>
              <w:pageBreakBefore w:val="0"/>
              <w:wordWrap w:val="0"/>
              <w:overflowPunct/>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本项目建成后全厂排放量（固体废物产生量）⑥</w:t>
            </w:r>
          </w:p>
        </w:tc>
        <w:tc>
          <w:tcPr>
            <w:tcW w:w="1407" w:type="dxa"/>
            <w:vAlign w:val="center"/>
          </w:tcPr>
          <w:p w14:paraId="12547993">
            <w:pPr>
              <w:pageBreakBefore w:val="0"/>
              <w:wordWrap w:val="0"/>
              <w:overflowPunct/>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变化量⑦</w:t>
            </w:r>
          </w:p>
        </w:tc>
      </w:tr>
      <w:tr w14:paraId="100B2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6" w:type="dxa"/>
            <w:vMerge w:val="restart"/>
            <w:vAlign w:val="center"/>
          </w:tcPr>
          <w:p w14:paraId="1020C1F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废气</w:t>
            </w:r>
          </w:p>
        </w:tc>
        <w:tc>
          <w:tcPr>
            <w:tcW w:w="2203" w:type="dxa"/>
            <w:vAlign w:val="center"/>
          </w:tcPr>
          <w:p w14:paraId="567ECA53">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颗粒物</w:t>
            </w:r>
          </w:p>
        </w:tc>
        <w:tc>
          <w:tcPr>
            <w:tcW w:w="1386" w:type="dxa"/>
            <w:vAlign w:val="center"/>
          </w:tcPr>
          <w:p w14:paraId="73E7428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1.44</w:t>
            </w:r>
          </w:p>
        </w:tc>
        <w:tc>
          <w:tcPr>
            <w:tcW w:w="1562" w:type="dxa"/>
            <w:vAlign w:val="center"/>
          </w:tcPr>
          <w:p w14:paraId="53DF151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479" w:type="dxa"/>
            <w:vAlign w:val="center"/>
          </w:tcPr>
          <w:p w14:paraId="42B5E34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651" w:type="dxa"/>
            <w:vAlign w:val="center"/>
          </w:tcPr>
          <w:p w14:paraId="3BD87A1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360</w:t>
            </w:r>
          </w:p>
        </w:tc>
        <w:tc>
          <w:tcPr>
            <w:tcW w:w="1564" w:type="dxa"/>
            <w:vAlign w:val="center"/>
          </w:tcPr>
          <w:p w14:paraId="52C5D0C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720" w:type="dxa"/>
            <w:vAlign w:val="center"/>
          </w:tcPr>
          <w:p w14:paraId="78DCD86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 xml:space="preserve">1.146 </w:t>
            </w:r>
          </w:p>
        </w:tc>
        <w:tc>
          <w:tcPr>
            <w:tcW w:w="1407" w:type="dxa"/>
            <w:vAlign w:val="center"/>
          </w:tcPr>
          <w:p w14:paraId="6D41083C">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cs="Times New Roman"/>
                <w:i w:val="0"/>
                <w:iCs w:val="0"/>
                <w:color w:val="auto"/>
                <w:kern w:val="0"/>
                <w:sz w:val="21"/>
                <w:szCs w:val="21"/>
                <w:highlight w:val="none"/>
                <w:u w:val="none"/>
                <w:lang w:val="en-US" w:eastAsia="zh-CN" w:bidi="ar"/>
              </w:rPr>
              <w:t>+</w:t>
            </w:r>
            <w:r>
              <w:rPr>
                <w:rFonts w:hint="default" w:ascii="Times New Roman" w:hAnsi="Times New Roman"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360</w:t>
            </w:r>
            <w:r>
              <w:rPr>
                <w:rFonts w:hint="default" w:ascii="Times New Roman" w:hAnsi="Times New Roman" w:cs="Times New Roman"/>
                <w:i w:val="0"/>
                <w:iCs w:val="0"/>
                <w:color w:val="auto"/>
                <w:kern w:val="0"/>
                <w:sz w:val="21"/>
                <w:szCs w:val="21"/>
                <w:highlight w:val="none"/>
                <w:u w:val="none"/>
                <w:lang w:val="en-US" w:eastAsia="zh-CN" w:bidi="ar"/>
              </w:rPr>
              <w:t xml:space="preserve"> </w:t>
            </w:r>
          </w:p>
        </w:tc>
      </w:tr>
      <w:tr w14:paraId="483E1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6" w:type="dxa"/>
            <w:vMerge w:val="continue"/>
            <w:vAlign w:val="center"/>
          </w:tcPr>
          <w:p w14:paraId="60D2C82D">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2203" w:type="dxa"/>
            <w:vAlign w:val="center"/>
          </w:tcPr>
          <w:p w14:paraId="4DBE2D2E">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非甲烷总烃</w:t>
            </w:r>
          </w:p>
        </w:tc>
        <w:tc>
          <w:tcPr>
            <w:tcW w:w="1386" w:type="dxa"/>
            <w:vAlign w:val="center"/>
          </w:tcPr>
          <w:p w14:paraId="7D4088A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2.116</w:t>
            </w:r>
          </w:p>
        </w:tc>
        <w:tc>
          <w:tcPr>
            <w:tcW w:w="1562" w:type="dxa"/>
            <w:vAlign w:val="center"/>
          </w:tcPr>
          <w:p w14:paraId="471F7E2C">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5.194</w:t>
            </w:r>
          </w:p>
        </w:tc>
        <w:tc>
          <w:tcPr>
            <w:tcW w:w="1479" w:type="dxa"/>
            <w:vAlign w:val="center"/>
          </w:tcPr>
          <w:p w14:paraId="0E3F0D5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651" w:type="dxa"/>
            <w:vAlign w:val="center"/>
          </w:tcPr>
          <w:p w14:paraId="6F8BF0E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2.380</w:t>
            </w:r>
          </w:p>
        </w:tc>
        <w:tc>
          <w:tcPr>
            <w:tcW w:w="1564" w:type="dxa"/>
            <w:vAlign w:val="center"/>
          </w:tcPr>
          <w:p w14:paraId="63D25B9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720" w:type="dxa"/>
            <w:vAlign w:val="center"/>
          </w:tcPr>
          <w:p w14:paraId="6AF15076">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4.496</w:t>
            </w:r>
          </w:p>
        </w:tc>
        <w:tc>
          <w:tcPr>
            <w:tcW w:w="1407" w:type="dxa"/>
            <w:vAlign w:val="center"/>
          </w:tcPr>
          <w:p w14:paraId="5333EC0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cs="Times New Roman"/>
                <w:i w:val="0"/>
                <w:iCs w:val="0"/>
                <w:color w:val="auto"/>
                <w:kern w:val="0"/>
                <w:sz w:val="21"/>
                <w:szCs w:val="21"/>
                <w:highlight w:val="none"/>
                <w:u w:val="none"/>
                <w:lang w:val="en-US" w:eastAsia="zh-CN" w:bidi="ar"/>
              </w:rPr>
              <w:t>+2.380</w:t>
            </w:r>
            <w:r>
              <w:rPr>
                <w:rFonts w:hint="default" w:ascii="Times New Roman" w:hAnsi="Times New Roman" w:cs="Times New Roman"/>
                <w:i w:val="0"/>
                <w:iCs w:val="0"/>
                <w:color w:val="auto"/>
                <w:kern w:val="0"/>
                <w:sz w:val="21"/>
                <w:szCs w:val="21"/>
                <w:highlight w:val="none"/>
                <w:u w:val="none"/>
                <w:lang w:val="en-US" w:eastAsia="zh-CN" w:bidi="ar"/>
              </w:rPr>
              <w:t xml:space="preserve"> </w:t>
            </w:r>
          </w:p>
        </w:tc>
      </w:tr>
      <w:tr w14:paraId="77A24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6" w:type="dxa"/>
            <w:vMerge w:val="restart"/>
            <w:vAlign w:val="center"/>
          </w:tcPr>
          <w:p w14:paraId="72846EE3">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一般工业固体废物（t/a）</w:t>
            </w:r>
          </w:p>
        </w:tc>
        <w:tc>
          <w:tcPr>
            <w:tcW w:w="2203" w:type="dxa"/>
            <w:vAlign w:val="center"/>
          </w:tcPr>
          <w:p w14:paraId="76D8331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position w:val="-10"/>
                <w:sz w:val="21"/>
                <w:szCs w:val="21"/>
                <w:highlight w:val="none"/>
                <w:lang w:val="en-US" w:eastAsia="zh-CN" w:bidi="ar-SA"/>
              </w:rPr>
              <w:t>废包装材料</w:t>
            </w:r>
          </w:p>
        </w:tc>
        <w:tc>
          <w:tcPr>
            <w:tcW w:w="1386" w:type="dxa"/>
            <w:vAlign w:val="center"/>
          </w:tcPr>
          <w:p w14:paraId="348EC2B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280</w:t>
            </w:r>
          </w:p>
        </w:tc>
        <w:tc>
          <w:tcPr>
            <w:tcW w:w="1562" w:type="dxa"/>
            <w:vAlign w:val="center"/>
          </w:tcPr>
          <w:p w14:paraId="0309D10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479" w:type="dxa"/>
            <w:vAlign w:val="center"/>
          </w:tcPr>
          <w:p w14:paraId="7FF2080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651" w:type="dxa"/>
            <w:vAlign w:val="center"/>
          </w:tcPr>
          <w:p w14:paraId="6761B49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position w:val="-10"/>
                <w:sz w:val="21"/>
                <w:szCs w:val="21"/>
                <w:highlight w:val="none"/>
                <w:lang w:val="en-US" w:eastAsia="zh-CN" w:bidi="ar-SA"/>
              </w:rPr>
              <w:t>1</w:t>
            </w:r>
          </w:p>
        </w:tc>
        <w:tc>
          <w:tcPr>
            <w:tcW w:w="1564" w:type="dxa"/>
            <w:vAlign w:val="center"/>
          </w:tcPr>
          <w:p w14:paraId="6AAD807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720" w:type="dxa"/>
            <w:vAlign w:val="center"/>
          </w:tcPr>
          <w:p w14:paraId="3F27AAAC">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281</w:t>
            </w:r>
          </w:p>
        </w:tc>
        <w:tc>
          <w:tcPr>
            <w:tcW w:w="1407" w:type="dxa"/>
            <w:vAlign w:val="center"/>
          </w:tcPr>
          <w:p w14:paraId="5B4BED8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w:t>
            </w:r>
          </w:p>
        </w:tc>
      </w:tr>
      <w:tr w14:paraId="4D6D6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6" w:type="dxa"/>
            <w:vMerge w:val="continue"/>
            <w:vAlign w:val="center"/>
          </w:tcPr>
          <w:p w14:paraId="411BC412">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2203" w:type="dxa"/>
            <w:vAlign w:val="center"/>
          </w:tcPr>
          <w:p w14:paraId="26D1344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position w:val="-10"/>
                <w:sz w:val="21"/>
                <w:szCs w:val="21"/>
                <w:highlight w:val="none"/>
                <w:lang w:val="en-US" w:eastAsia="zh-CN" w:bidi="ar-SA"/>
              </w:rPr>
              <w:t>不合格品、边角料</w:t>
            </w:r>
          </w:p>
        </w:tc>
        <w:tc>
          <w:tcPr>
            <w:tcW w:w="1386" w:type="dxa"/>
            <w:vAlign w:val="center"/>
          </w:tcPr>
          <w:p w14:paraId="2F786ED0">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562" w:type="dxa"/>
            <w:vAlign w:val="center"/>
          </w:tcPr>
          <w:p w14:paraId="62033A9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479" w:type="dxa"/>
            <w:vAlign w:val="center"/>
          </w:tcPr>
          <w:p w14:paraId="785E627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651" w:type="dxa"/>
            <w:vAlign w:val="center"/>
          </w:tcPr>
          <w:p w14:paraId="71810BE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position w:val="-10"/>
                <w:sz w:val="21"/>
                <w:szCs w:val="21"/>
                <w:highlight w:val="none"/>
                <w:lang w:val="en-US" w:eastAsia="zh-CN" w:bidi="ar-SA"/>
              </w:rPr>
              <w:t>100</w:t>
            </w:r>
          </w:p>
        </w:tc>
        <w:tc>
          <w:tcPr>
            <w:tcW w:w="1564" w:type="dxa"/>
            <w:vAlign w:val="center"/>
          </w:tcPr>
          <w:p w14:paraId="6BF3B58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720" w:type="dxa"/>
            <w:vAlign w:val="center"/>
          </w:tcPr>
          <w:p w14:paraId="4AC9105D">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100</w:t>
            </w:r>
          </w:p>
        </w:tc>
        <w:tc>
          <w:tcPr>
            <w:tcW w:w="1407" w:type="dxa"/>
            <w:vAlign w:val="center"/>
          </w:tcPr>
          <w:p w14:paraId="6223DD3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100</w:t>
            </w:r>
          </w:p>
        </w:tc>
      </w:tr>
      <w:tr w14:paraId="69959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6" w:type="dxa"/>
            <w:vMerge w:val="continue"/>
            <w:vAlign w:val="center"/>
          </w:tcPr>
          <w:p w14:paraId="3F727B7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2203" w:type="dxa"/>
            <w:vAlign w:val="center"/>
          </w:tcPr>
          <w:p w14:paraId="0A973B8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废网筛</w:t>
            </w:r>
          </w:p>
        </w:tc>
        <w:tc>
          <w:tcPr>
            <w:tcW w:w="1386" w:type="dxa"/>
            <w:vAlign w:val="center"/>
          </w:tcPr>
          <w:p w14:paraId="717548AD">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0.2</w:t>
            </w:r>
          </w:p>
        </w:tc>
        <w:tc>
          <w:tcPr>
            <w:tcW w:w="1562" w:type="dxa"/>
            <w:vAlign w:val="center"/>
          </w:tcPr>
          <w:p w14:paraId="1BDBD98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479" w:type="dxa"/>
            <w:vAlign w:val="center"/>
          </w:tcPr>
          <w:p w14:paraId="4F9937B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651" w:type="dxa"/>
            <w:vAlign w:val="center"/>
          </w:tcPr>
          <w:p w14:paraId="4C81516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0</w:t>
            </w:r>
          </w:p>
        </w:tc>
        <w:tc>
          <w:tcPr>
            <w:tcW w:w="1564" w:type="dxa"/>
            <w:vAlign w:val="center"/>
          </w:tcPr>
          <w:p w14:paraId="2E75405C">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720" w:type="dxa"/>
            <w:vAlign w:val="center"/>
          </w:tcPr>
          <w:p w14:paraId="6BE0F1C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w:t>
            </w:r>
          </w:p>
        </w:tc>
        <w:tc>
          <w:tcPr>
            <w:tcW w:w="1407" w:type="dxa"/>
            <w:vAlign w:val="center"/>
          </w:tcPr>
          <w:p w14:paraId="2ECFCD74">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r>
      <w:tr w14:paraId="672DD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6" w:type="dxa"/>
            <w:vMerge w:val="continue"/>
            <w:vAlign w:val="center"/>
          </w:tcPr>
          <w:p w14:paraId="27CFBE10">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2203" w:type="dxa"/>
            <w:vAlign w:val="center"/>
          </w:tcPr>
          <w:p w14:paraId="365079B4">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b w:val="0"/>
                <w:bCs w:val="0"/>
                <w:color w:val="auto"/>
                <w:sz w:val="21"/>
                <w:szCs w:val="21"/>
                <w:lang w:val="en-US" w:eastAsia="zh-CN"/>
              </w:rPr>
              <w:t>灰渣</w:t>
            </w:r>
          </w:p>
        </w:tc>
        <w:tc>
          <w:tcPr>
            <w:tcW w:w="1386" w:type="dxa"/>
            <w:vAlign w:val="center"/>
          </w:tcPr>
          <w:p w14:paraId="2A59E41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34.56</w:t>
            </w:r>
          </w:p>
        </w:tc>
        <w:tc>
          <w:tcPr>
            <w:tcW w:w="1562" w:type="dxa"/>
            <w:vAlign w:val="center"/>
          </w:tcPr>
          <w:p w14:paraId="32842950">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479" w:type="dxa"/>
            <w:vAlign w:val="center"/>
          </w:tcPr>
          <w:p w14:paraId="2EF8F26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651" w:type="dxa"/>
            <w:vAlign w:val="center"/>
          </w:tcPr>
          <w:p w14:paraId="7039157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0</w:t>
            </w:r>
          </w:p>
        </w:tc>
        <w:tc>
          <w:tcPr>
            <w:tcW w:w="1564" w:type="dxa"/>
            <w:vAlign w:val="center"/>
          </w:tcPr>
          <w:p w14:paraId="666E3777">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720" w:type="dxa"/>
            <w:vAlign w:val="center"/>
          </w:tcPr>
          <w:p w14:paraId="7ABC743F">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34.56</w:t>
            </w:r>
          </w:p>
        </w:tc>
        <w:tc>
          <w:tcPr>
            <w:tcW w:w="1407" w:type="dxa"/>
            <w:vAlign w:val="center"/>
          </w:tcPr>
          <w:p w14:paraId="1630D12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r>
      <w:tr w14:paraId="2CF79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6" w:type="dxa"/>
            <w:vMerge w:val="continue"/>
            <w:vAlign w:val="center"/>
          </w:tcPr>
          <w:p w14:paraId="060752B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2203" w:type="dxa"/>
            <w:vAlign w:val="center"/>
          </w:tcPr>
          <w:p w14:paraId="019972D8">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b w:val="0"/>
                <w:bCs w:val="0"/>
                <w:color w:val="auto"/>
                <w:sz w:val="21"/>
                <w:szCs w:val="21"/>
                <w:lang w:val="en-US" w:eastAsia="zh-CN"/>
              </w:rPr>
              <w:t>废玻璃纤维过滤棉</w:t>
            </w:r>
          </w:p>
        </w:tc>
        <w:tc>
          <w:tcPr>
            <w:tcW w:w="1386" w:type="dxa"/>
            <w:vAlign w:val="center"/>
          </w:tcPr>
          <w:p w14:paraId="77FE63E0">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56.97</w:t>
            </w:r>
          </w:p>
        </w:tc>
        <w:tc>
          <w:tcPr>
            <w:tcW w:w="1562" w:type="dxa"/>
            <w:vAlign w:val="center"/>
          </w:tcPr>
          <w:p w14:paraId="11B97CD7">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479" w:type="dxa"/>
            <w:vAlign w:val="center"/>
          </w:tcPr>
          <w:p w14:paraId="4CC6086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651" w:type="dxa"/>
            <w:vAlign w:val="center"/>
          </w:tcPr>
          <w:p w14:paraId="09638E6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0</w:t>
            </w:r>
          </w:p>
        </w:tc>
        <w:tc>
          <w:tcPr>
            <w:tcW w:w="1564" w:type="dxa"/>
            <w:vAlign w:val="center"/>
          </w:tcPr>
          <w:p w14:paraId="1825126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720" w:type="dxa"/>
            <w:vAlign w:val="center"/>
          </w:tcPr>
          <w:p w14:paraId="62EE06C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56.97</w:t>
            </w:r>
          </w:p>
        </w:tc>
        <w:tc>
          <w:tcPr>
            <w:tcW w:w="1407" w:type="dxa"/>
            <w:vAlign w:val="center"/>
          </w:tcPr>
          <w:p w14:paraId="035F7970">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r>
      <w:tr w14:paraId="33FE9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6" w:type="dxa"/>
            <w:vMerge w:val="continue"/>
            <w:vAlign w:val="center"/>
          </w:tcPr>
          <w:p w14:paraId="28A2656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2203" w:type="dxa"/>
            <w:vAlign w:val="center"/>
          </w:tcPr>
          <w:p w14:paraId="4AE21611">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废催化剂</w:t>
            </w:r>
          </w:p>
        </w:tc>
        <w:tc>
          <w:tcPr>
            <w:tcW w:w="1386" w:type="dxa"/>
            <w:vAlign w:val="center"/>
          </w:tcPr>
          <w:p w14:paraId="36F50CDC">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1</w:t>
            </w:r>
          </w:p>
        </w:tc>
        <w:tc>
          <w:tcPr>
            <w:tcW w:w="1562" w:type="dxa"/>
            <w:vAlign w:val="center"/>
          </w:tcPr>
          <w:p w14:paraId="4F3E79D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1479" w:type="dxa"/>
            <w:vAlign w:val="center"/>
          </w:tcPr>
          <w:p w14:paraId="6D842E5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w:t>
            </w:r>
          </w:p>
        </w:tc>
        <w:tc>
          <w:tcPr>
            <w:tcW w:w="1651" w:type="dxa"/>
            <w:vAlign w:val="center"/>
          </w:tcPr>
          <w:p w14:paraId="5B54BBD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0</w:t>
            </w:r>
          </w:p>
        </w:tc>
        <w:tc>
          <w:tcPr>
            <w:tcW w:w="1564" w:type="dxa"/>
            <w:vAlign w:val="center"/>
          </w:tcPr>
          <w:p w14:paraId="5A9E616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w:t>
            </w:r>
          </w:p>
        </w:tc>
        <w:tc>
          <w:tcPr>
            <w:tcW w:w="1720" w:type="dxa"/>
            <w:vAlign w:val="center"/>
          </w:tcPr>
          <w:p w14:paraId="1FE0B32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w:t>
            </w:r>
          </w:p>
        </w:tc>
        <w:tc>
          <w:tcPr>
            <w:tcW w:w="1407" w:type="dxa"/>
            <w:vAlign w:val="center"/>
          </w:tcPr>
          <w:p w14:paraId="505E7379">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w:t>
            </w:r>
          </w:p>
        </w:tc>
      </w:tr>
      <w:tr w14:paraId="54A00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6" w:type="dxa"/>
            <w:vMerge w:val="continue"/>
            <w:vAlign w:val="center"/>
          </w:tcPr>
          <w:p w14:paraId="2DF40AF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2203" w:type="dxa"/>
            <w:vAlign w:val="center"/>
          </w:tcPr>
          <w:p w14:paraId="1647A54B">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b w:val="0"/>
                <w:bCs w:val="0"/>
                <w:color w:val="auto"/>
                <w:sz w:val="21"/>
                <w:szCs w:val="21"/>
                <w:lang w:val="en-US" w:eastAsia="zh-CN"/>
              </w:rPr>
              <w:t>生活垃圾</w:t>
            </w:r>
          </w:p>
        </w:tc>
        <w:tc>
          <w:tcPr>
            <w:tcW w:w="1386" w:type="dxa"/>
            <w:vAlign w:val="center"/>
          </w:tcPr>
          <w:p w14:paraId="4EFB0F32">
            <w:pPr>
              <w:keepNext w:val="0"/>
              <w:keepLines w:val="0"/>
              <w:pageBreakBefore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lang w:val="en-US" w:eastAsia="zh-CN"/>
              </w:rPr>
              <w:t>29.9</w:t>
            </w:r>
          </w:p>
        </w:tc>
        <w:tc>
          <w:tcPr>
            <w:tcW w:w="1562" w:type="dxa"/>
            <w:vAlign w:val="center"/>
          </w:tcPr>
          <w:p w14:paraId="45E04DC3">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479" w:type="dxa"/>
            <w:vAlign w:val="center"/>
          </w:tcPr>
          <w:p w14:paraId="64357D69">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651" w:type="dxa"/>
            <w:vAlign w:val="center"/>
          </w:tcPr>
          <w:p w14:paraId="5DB73D1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0</w:t>
            </w:r>
          </w:p>
        </w:tc>
        <w:tc>
          <w:tcPr>
            <w:tcW w:w="1564" w:type="dxa"/>
            <w:vAlign w:val="center"/>
          </w:tcPr>
          <w:p w14:paraId="2CD23C7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720" w:type="dxa"/>
            <w:vAlign w:val="center"/>
          </w:tcPr>
          <w:p w14:paraId="7F05AC43">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29.9</w:t>
            </w:r>
          </w:p>
        </w:tc>
        <w:tc>
          <w:tcPr>
            <w:tcW w:w="1407" w:type="dxa"/>
            <w:vAlign w:val="center"/>
          </w:tcPr>
          <w:p w14:paraId="27D746AD">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r>
      <w:tr w14:paraId="71F90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6" w:type="dxa"/>
            <w:vMerge w:val="restart"/>
            <w:vAlign w:val="center"/>
          </w:tcPr>
          <w:p w14:paraId="66C4C262">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危险废物（t/a）</w:t>
            </w:r>
          </w:p>
        </w:tc>
        <w:tc>
          <w:tcPr>
            <w:tcW w:w="2203" w:type="dxa"/>
            <w:vAlign w:val="center"/>
          </w:tcPr>
          <w:p w14:paraId="38BAA87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position w:val="-10"/>
                <w:sz w:val="21"/>
                <w:szCs w:val="21"/>
                <w:highlight w:val="none"/>
                <w:lang w:val="en-US" w:eastAsia="zh-CN" w:bidi="ar-SA"/>
              </w:rPr>
              <w:t>废原料桶</w:t>
            </w:r>
          </w:p>
        </w:tc>
        <w:tc>
          <w:tcPr>
            <w:tcW w:w="1386" w:type="dxa"/>
            <w:vAlign w:val="center"/>
          </w:tcPr>
          <w:p w14:paraId="2E5A3579">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562" w:type="dxa"/>
            <w:vAlign w:val="center"/>
          </w:tcPr>
          <w:p w14:paraId="2BD485D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479" w:type="dxa"/>
            <w:vAlign w:val="center"/>
          </w:tcPr>
          <w:p w14:paraId="37F51C8D">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651" w:type="dxa"/>
            <w:vAlign w:val="center"/>
          </w:tcPr>
          <w:p w14:paraId="7FFDA0B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color w:val="auto"/>
                <w:position w:val="-10"/>
                <w:sz w:val="21"/>
                <w:szCs w:val="21"/>
                <w:highlight w:val="none"/>
                <w:lang w:val="en-US" w:eastAsia="zh-CN" w:bidi="ar-SA"/>
              </w:rPr>
              <w:t>0.234</w:t>
            </w:r>
          </w:p>
        </w:tc>
        <w:tc>
          <w:tcPr>
            <w:tcW w:w="1564" w:type="dxa"/>
            <w:vAlign w:val="center"/>
          </w:tcPr>
          <w:p w14:paraId="4E350889">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720" w:type="dxa"/>
            <w:vAlign w:val="center"/>
          </w:tcPr>
          <w:p w14:paraId="383D0FE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0.234</w:t>
            </w:r>
          </w:p>
        </w:tc>
        <w:tc>
          <w:tcPr>
            <w:tcW w:w="1407" w:type="dxa"/>
            <w:vAlign w:val="center"/>
          </w:tcPr>
          <w:p w14:paraId="7BBC309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position w:val="-10"/>
                <w:sz w:val="21"/>
                <w:szCs w:val="21"/>
                <w:highlight w:val="none"/>
                <w:lang w:val="en-US" w:eastAsia="zh-CN" w:bidi="ar-SA"/>
              </w:rPr>
              <w:t>+</w:t>
            </w:r>
            <w:r>
              <w:rPr>
                <w:rFonts w:hint="default" w:ascii="Times New Roman" w:hAnsi="Times New Roman" w:eastAsia="宋体" w:cs="Times New Roman"/>
                <w:color w:val="auto"/>
                <w:position w:val="-10"/>
                <w:sz w:val="21"/>
                <w:szCs w:val="21"/>
                <w:highlight w:val="none"/>
                <w:lang w:val="en-US" w:eastAsia="zh-CN" w:bidi="ar-SA"/>
              </w:rPr>
              <w:t>0.234</w:t>
            </w:r>
          </w:p>
        </w:tc>
      </w:tr>
      <w:tr w14:paraId="5649A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6" w:type="dxa"/>
            <w:vMerge w:val="continue"/>
            <w:vAlign w:val="center"/>
          </w:tcPr>
          <w:p w14:paraId="2B72095D">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2203" w:type="dxa"/>
            <w:vAlign w:val="center"/>
          </w:tcPr>
          <w:p w14:paraId="080187E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position w:val="-10"/>
                <w:sz w:val="21"/>
                <w:szCs w:val="21"/>
                <w:highlight w:val="none"/>
                <w:lang w:val="en-US" w:eastAsia="zh-CN" w:bidi="ar-SA"/>
              </w:rPr>
              <w:t>废油桶</w:t>
            </w:r>
          </w:p>
        </w:tc>
        <w:tc>
          <w:tcPr>
            <w:tcW w:w="1386" w:type="dxa"/>
            <w:vAlign w:val="center"/>
          </w:tcPr>
          <w:p w14:paraId="512A34D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562" w:type="dxa"/>
            <w:vAlign w:val="center"/>
          </w:tcPr>
          <w:p w14:paraId="74A6963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479" w:type="dxa"/>
            <w:vAlign w:val="center"/>
          </w:tcPr>
          <w:p w14:paraId="01EA7AC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651" w:type="dxa"/>
            <w:vAlign w:val="center"/>
          </w:tcPr>
          <w:p w14:paraId="7A4804C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position w:val="-10"/>
                <w:sz w:val="21"/>
                <w:szCs w:val="21"/>
                <w:highlight w:val="none"/>
                <w:lang w:val="en-US" w:eastAsia="zh-CN" w:bidi="ar-SA"/>
              </w:rPr>
              <w:t>0.025</w:t>
            </w:r>
          </w:p>
        </w:tc>
        <w:tc>
          <w:tcPr>
            <w:tcW w:w="1564" w:type="dxa"/>
            <w:vAlign w:val="center"/>
          </w:tcPr>
          <w:p w14:paraId="719DE87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720" w:type="dxa"/>
            <w:vAlign w:val="center"/>
          </w:tcPr>
          <w:p w14:paraId="4689108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0.025</w:t>
            </w:r>
          </w:p>
        </w:tc>
        <w:tc>
          <w:tcPr>
            <w:tcW w:w="1407" w:type="dxa"/>
            <w:vAlign w:val="center"/>
          </w:tcPr>
          <w:p w14:paraId="4D23E73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position w:val="-10"/>
                <w:sz w:val="21"/>
                <w:szCs w:val="21"/>
                <w:highlight w:val="none"/>
                <w:lang w:val="en-US" w:eastAsia="zh-CN" w:bidi="ar-SA"/>
              </w:rPr>
              <w:t>+</w:t>
            </w:r>
            <w:r>
              <w:rPr>
                <w:rFonts w:hint="default" w:ascii="Times New Roman" w:hAnsi="Times New Roman" w:eastAsia="宋体" w:cs="Times New Roman"/>
                <w:color w:val="auto"/>
                <w:position w:val="-10"/>
                <w:sz w:val="21"/>
                <w:szCs w:val="21"/>
                <w:highlight w:val="none"/>
                <w:lang w:val="en-US" w:eastAsia="zh-CN" w:bidi="ar-SA"/>
              </w:rPr>
              <w:t>0.025</w:t>
            </w:r>
          </w:p>
        </w:tc>
      </w:tr>
      <w:tr w14:paraId="7BAF5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6" w:type="dxa"/>
            <w:vMerge w:val="continue"/>
            <w:vAlign w:val="center"/>
          </w:tcPr>
          <w:p w14:paraId="7F5E81E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2203" w:type="dxa"/>
            <w:vAlign w:val="center"/>
          </w:tcPr>
          <w:p w14:paraId="5342A12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position w:val="-10"/>
                <w:sz w:val="21"/>
                <w:szCs w:val="21"/>
                <w:highlight w:val="none"/>
                <w:lang w:val="en-US" w:eastAsia="zh-CN" w:bidi="ar-SA"/>
              </w:rPr>
              <w:t>废机油</w:t>
            </w:r>
          </w:p>
        </w:tc>
        <w:tc>
          <w:tcPr>
            <w:tcW w:w="1386" w:type="dxa"/>
            <w:vAlign w:val="center"/>
          </w:tcPr>
          <w:p w14:paraId="255F1F3C">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562" w:type="dxa"/>
            <w:vAlign w:val="center"/>
          </w:tcPr>
          <w:p w14:paraId="592663B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479" w:type="dxa"/>
            <w:vAlign w:val="center"/>
          </w:tcPr>
          <w:p w14:paraId="0BFC9D00">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651" w:type="dxa"/>
            <w:vAlign w:val="center"/>
          </w:tcPr>
          <w:p w14:paraId="0AE4CB8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position w:val="-10"/>
                <w:sz w:val="21"/>
                <w:szCs w:val="21"/>
                <w:highlight w:val="none"/>
                <w:lang w:val="en-US" w:eastAsia="zh-CN" w:bidi="ar-SA"/>
              </w:rPr>
              <w:t>0.5</w:t>
            </w:r>
          </w:p>
        </w:tc>
        <w:tc>
          <w:tcPr>
            <w:tcW w:w="1564" w:type="dxa"/>
            <w:vAlign w:val="center"/>
          </w:tcPr>
          <w:p w14:paraId="541205DC">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720" w:type="dxa"/>
            <w:vAlign w:val="center"/>
          </w:tcPr>
          <w:p w14:paraId="3363A7B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0.5</w:t>
            </w:r>
          </w:p>
        </w:tc>
        <w:tc>
          <w:tcPr>
            <w:tcW w:w="1407" w:type="dxa"/>
            <w:vAlign w:val="center"/>
          </w:tcPr>
          <w:p w14:paraId="582B710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position w:val="-10"/>
                <w:sz w:val="21"/>
                <w:szCs w:val="21"/>
                <w:highlight w:val="none"/>
                <w:lang w:val="en-US" w:eastAsia="zh-CN" w:bidi="ar-SA"/>
              </w:rPr>
              <w:t>+</w:t>
            </w:r>
            <w:r>
              <w:rPr>
                <w:rFonts w:hint="default" w:ascii="Times New Roman" w:hAnsi="Times New Roman" w:eastAsia="宋体" w:cs="Times New Roman"/>
                <w:color w:val="auto"/>
                <w:position w:val="-10"/>
                <w:sz w:val="21"/>
                <w:szCs w:val="21"/>
                <w:highlight w:val="none"/>
                <w:lang w:val="en-US" w:eastAsia="zh-CN" w:bidi="ar-SA"/>
              </w:rPr>
              <w:t>0.5</w:t>
            </w:r>
          </w:p>
        </w:tc>
      </w:tr>
      <w:tr w14:paraId="20138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6" w:type="dxa"/>
            <w:vMerge w:val="continue"/>
            <w:vAlign w:val="center"/>
          </w:tcPr>
          <w:p w14:paraId="56E9AC3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2203" w:type="dxa"/>
            <w:vAlign w:val="center"/>
          </w:tcPr>
          <w:p w14:paraId="63CE43F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position w:val="-10"/>
                <w:sz w:val="21"/>
                <w:szCs w:val="21"/>
                <w:highlight w:val="none"/>
                <w:lang w:val="en-US" w:eastAsia="zh-CN" w:bidi="ar-SA"/>
              </w:rPr>
              <w:t>废抹布</w:t>
            </w:r>
          </w:p>
        </w:tc>
        <w:tc>
          <w:tcPr>
            <w:tcW w:w="1386" w:type="dxa"/>
            <w:vAlign w:val="center"/>
          </w:tcPr>
          <w:p w14:paraId="2286482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562" w:type="dxa"/>
            <w:vAlign w:val="center"/>
          </w:tcPr>
          <w:p w14:paraId="31009A0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479" w:type="dxa"/>
            <w:vAlign w:val="center"/>
          </w:tcPr>
          <w:p w14:paraId="117F774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651" w:type="dxa"/>
            <w:vAlign w:val="center"/>
          </w:tcPr>
          <w:p w14:paraId="58860F7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position w:val="-10"/>
                <w:sz w:val="21"/>
                <w:szCs w:val="21"/>
                <w:highlight w:val="none"/>
                <w:lang w:val="en-US" w:eastAsia="zh-CN" w:bidi="ar-SA"/>
              </w:rPr>
              <w:t>0.01</w:t>
            </w:r>
          </w:p>
        </w:tc>
        <w:tc>
          <w:tcPr>
            <w:tcW w:w="1564" w:type="dxa"/>
            <w:vAlign w:val="center"/>
          </w:tcPr>
          <w:p w14:paraId="2066AD6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720" w:type="dxa"/>
            <w:vAlign w:val="center"/>
          </w:tcPr>
          <w:p w14:paraId="5154AED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0.01</w:t>
            </w:r>
          </w:p>
        </w:tc>
        <w:tc>
          <w:tcPr>
            <w:tcW w:w="1407" w:type="dxa"/>
            <w:vAlign w:val="center"/>
          </w:tcPr>
          <w:p w14:paraId="417C323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position w:val="-10"/>
                <w:sz w:val="21"/>
                <w:szCs w:val="21"/>
                <w:highlight w:val="none"/>
                <w:lang w:val="en-US" w:eastAsia="zh-CN" w:bidi="ar-SA"/>
              </w:rPr>
              <w:t>+</w:t>
            </w:r>
            <w:r>
              <w:rPr>
                <w:rFonts w:hint="default" w:ascii="Times New Roman" w:hAnsi="Times New Roman" w:eastAsia="宋体" w:cs="Times New Roman"/>
                <w:color w:val="auto"/>
                <w:position w:val="-10"/>
                <w:sz w:val="21"/>
                <w:szCs w:val="21"/>
                <w:highlight w:val="none"/>
                <w:lang w:val="en-US" w:eastAsia="zh-CN" w:bidi="ar-SA"/>
              </w:rPr>
              <w:t>0.01</w:t>
            </w:r>
          </w:p>
        </w:tc>
      </w:tr>
      <w:tr w14:paraId="43537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6" w:type="dxa"/>
            <w:vMerge w:val="continue"/>
            <w:vAlign w:val="center"/>
          </w:tcPr>
          <w:p w14:paraId="0F17DD5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2203" w:type="dxa"/>
            <w:vAlign w:val="center"/>
          </w:tcPr>
          <w:p w14:paraId="179D85E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position w:val="-10"/>
                <w:sz w:val="21"/>
                <w:szCs w:val="21"/>
                <w:highlight w:val="none"/>
                <w:lang w:val="en-US" w:eastAsia="zh-CN" w:bidi="ar-SA"/>
              </w:rPr>
              <w:t>喷枪清洗废液</w:t>
            </w:r>
          </w:p>
        </w:tc>
        <w:tc>
          <w:tcPr>
            <w:tcW w:w="1386" w:type="dxa"/>
            <w:vAlign w:val="center"/>
          </w:tcPr>
          <w:p w14:paraId="54CC140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562" w:type="dxa"/>
            <w:vAlign w:val="center"/>
          </w:tcPr>
          <w:p w14:paraId="680B033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479" w:type="dxa"/>
            <w:vAlign w:val="center"/>
          </w:tcPr>
          <w:p w14:paraId="1E0EB629">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651" w:type="dxa"/>
            <w:vAlign w:val="center"/>
          </w:tcPr>
          <w:p w14:paraId="29C6E5E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color w:val="auto"/>
                <w:position w:val="-10"/>
                <w:sz w:val="21"/>
                <w:szCs w:val="21"/>
                <w:highlight w:val="none"/>
                <w:lang w:val="en-US" w:eastAsia="zh-CN" w:bidi="ar-SA"/>
              </w:rPr>
              <w:t>0.24</w:t>
            </w:r>
          </w:p>
        </w:tc>
        <w:tc>
          <w:tcPr>
            <w:tcW w:w="1564" w:type="dxa"/>
            <w:vAlign w:val="center"/>
          </w:tcPr>
          <w:p w14:paraId="59B97920">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720" w:type="dxa"/>
            <w:vAlign w:val="center"/>
          </w:tcPr>
          <w:p w14:paraId="084534D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0.24</w:t>
            </w:r>
          </w:p>
        </w:tc>
        <w:tc>
          <w:tcPr>
            <w:tcW w:w="1407" w:type="dxa"/>
            <w:vAlign w:val="center"/>
          </w:tcPr>
          <w:p w14:paraId="146CFCE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position w:val="-10"/>
                <w:sz w:val="21"/>
                <w:szCs w:val="21"/>
                <w:highlight w:val="none"/>
                <w:lang w:val="en-US" w:eastAsia="zh-CN" w:bidi="ar-SA"/>
              </w:rPr>
              <w:t>+</w:t>
            </w:r>
            <w:r>
              <w:rPr>
                <w:rFonts w:hint="default" w:ascii="Times New Roman" w:hAnsi="Times New Roman" w:eastAsia="宋体" w:cs="Times New Roman"/>
                <w:color w:val="auto"/>
                <w:position w:val="-10"/>
                <w:sz w:val="21"/>
                <w:szCs w:val="21"/>
                <w:highlight w:val="none"/>
                <w:lang w:val="en-US" w:eastAsia="zh-CN" w:bidi="ar-SA"/>
              </w:rPr>
              <w:t>0.24</w:t>
            </w:r>
          </w:p>
        </w:tc>
      </w:tr>
      <w:tr w14:paraId="2F379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6" w:type="dxa"/>
            <w:vMerge w:val="continue"/>
            <w:vAlign w:val="center"/>
          </w:tcPr>
          <w:p w14:paraId="7AF0F33C">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2203" w:type="dxa"/>
            <w:vAlign w:val="center"/>
          </w:tcPr>
          <w:p w14:paraId="7F097BC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position w:val="-10"/>
                <w:sz w:val="21"/>
                <w:szCs w:val="21"/>
                <w:highlight w:val="none"/>
                <w:lang w:val="en-US" w:eastAsia="zh-CN" w:bidi="ar-SA"/>
              </w:rPr>
              <w:t>漆渣</w:t>
            </w:r>
          </w:p>
        </w:tc>
        <w:tc>
          <w:tcPr>
            <w:tcW w:w="1386" w:type="dxa"/>
            <w:vAlign w:val="center"/>
          </w:tcPr>
          <w:p w14:paraId="22CCC8D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562" w:type="dxa"/>
            <w:vAlign w:val="center"/>
          </w:tcPr>
          <w:p w14:paraId="2E9B461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479" w:type="dxa"/>
            <w:vAlign w:val="center"/>
          </w:tcPr>
          <w:p w14:paraId="5E6F1B1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651" w:type="dxa"/>
            <w:vAlign w:val="center"/>
          </w:tcPr>
          <w:p w14:paraId="7EC8547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color w:val="auto"/>
                <w:position w:val="-10"/>
                <w:sz w:val="21"/>
                <w:szCs w:val="21"/>
                <w:highlight w:val="none"/>
                <w:lang w:val="en-US" w:eastAsia="zh-CN" w:bidi="ar-SA"/>
              </w:rPr>
              <w:t>4.709</w:t>
            </w:r>
          </w:p>
        </w:tc>
        <w:tc>
          <w:tcPr>
            <w:tcW w:w="1564" w:type="dxa"/>
            <w:vAlign w:val="center"/>
          </w:tcPr>
          <w:p w14:paraId="47ECE85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720" w:type="dxa"/>
            <w:vAlign w:val="center"/>
          </w:tcPr>
          <w:p w14:paraId="61384EC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4.709</w:t>
            </w:r>
          </w:p>
        </w:tc>
        <w:tc>
          <w:tcPr>
            <w:tcW w:w="1407" w:type="dxa"/>
            <w:vAlign w:val="center"/>
          </w:tcPr>
          <w:p w14:paraId="77045EB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position w:val="-10"/>
                <w:sz w:val="21"/>
                <w:szCs w:val="21"/>
                <w:highlight w:val="none"/>
                <w:lang w:val="en-US" w:eastAsia="zh-CN" w:bidi="ar-SA"/>
              </w:rPr>
              <w:t>+</w:t>
            </w:r>
            <w:r>
              <w:rPr>
                <w:rFonts w:hint="default" w:ascii="Times New Roman" w:hAnsi="Times New Roman" w:eastAsia="宋体" w:cs="Times New Roman"/>
                <w:color w:val="auto"/>
                <w:position w:val="-10"/>
                <w:sz w:val="21"/>
                <w:szCs w:val="21"/>
                <w:highlight w:val="none"/>
                <w:lang w:val="en-US" w:eastAsia="zh-CN" w:bidi="ar-SA"/>
              </w:rPr>
              <w:t>4.709</w:t>
            </w:r>
          </w:p>
        </w:tc>
      </w:tr>
      <w:tr w14:paraId="66993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6" w:type="dxa"/>
            <w:vMerge w:val="continue"/>
            <w:vAlign w:val="center"/>
          </w:tcPr>
          <w:p w14:paraId="1D2DDD0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2203" w:type="dxa"/>
            <w:vAlign w:val="center"/>
          </w:tcPr>
          <w:p w14:paraId="38EBFBB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kern w:val="2"/>
                <w:position w:val="-10"/>
                <w:sz w:val="21"/>
                <w:szCs w:val="21"/>
                <w:highlight w:val="none"/>
                <w:lang w:val="en-US" w:eastAsia="zh-CN" w:bidi="ar-SA"/>
              </w:rPr>
              <w:t>喷漆废水</w:t>
            </w:r>
          </w:p>
        </w:tc>
        <w:tc>
          <w:tcPr>
            <w:tcW w:w="1386" w:type="dxa"/>
            <w:vAlign w:val="center"/>
          </w:tcPr>
          <w:p w14:paraId="4901562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562" w:type="dxa"/>
            <w:vAlign w:val="center"/>
          </w:tcPr>
          <w:p w14:paraId="547FBE3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479" w:type="dxa"/>
            <w:vAlign w:val="center"/>
          </w:tcPr>
          <w:p w14:paraId="7AB2202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651" w:type="dxa"/>
            <w:vAlign w:val="center"/>
          </w:tcPr>
          <w:p w14:paraId="6C58C8B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color w:val="auto"/>
                <w:position w:val="-10"/>
                <w:sz w:val="21"/>
                <w:szCs w:val="21"/>
                <w:highlight w:val="none"/>
                <w:lang w:val="en-US" w:eastAsia="zh-CN" w:bidi="ar-SA"/>
              </w:rPr>
              <w:t>25.864</w:t>
            </w:r>
          </w:p>
        </w:tc>
        <w:tc>
          <w:tcPr>
            <w:tcW w:w="1564" w:type="dxa"/>
            <w:vAlign w:val="center"/>
          </w:tcPr>
          <w:p w14:paraId="1DF78EC7">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720" w:type="dxa"/>
            <w:vAlign w:val="center"/>
          </w:tcPr>
          <w:p w14:paraId="613D9AF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25.864</w:t>
            </w:r>
          </w:p>
        </w:tc>
        <w:tc>
          <w:tcPr>
            <w:tcW w:w="1407" w:type="dxa"/>
            <w:vAlign w:val="center"/>
          </w:tcPr>
          <w:p w14:paraId="3B4E587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position w:val="-10"/>
                <w:sz w:val="21"/>
                <w:szCs w:val="21"/>
                <w:highlight w:val="none"/>
                <w:lang w:val="en-US" w:eastAsia="zh-CN" w:bidi="ar-SA"/>
              </w:rPr>
              <w:t>+</w:t>
            </w:r>
            <w:r>
              <w:rPr>
                <w:rFonts w:hint="default" w:ascii="Times New Roman" w:hAnsi="Times New Roman" w:eastAsia="宋体" w:cs="Times New Roman"/>
                <w:color w:val="auto"/>
                <w:position w:val="-10"/>
                <w:sz w:val="21"/>
                <w:szCs w:val="21"/>
                <w:highlight w:val="none"/>
                <w:lang w:val="en-US" w:eastAsia="zh-CN" w:bidi="ar-SA"/>
              </w:rPr>
              <w:t>25.864</w:t>
            </w:r>
          </w:p>
        </w:tc>
      </w:tr>
      <w:tr w14:paraId="75FFA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6" w:type="dxa"/>
            <w:vMerge w:val="continue"/>
            <w:vAlign w:val="center"/>
          </w:tcPr>
          <w:p w14:paraId="22603F82">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2203" w:type="dxa"/>
            <w:vAlign w:val="center"/>
          </w:tcPr>
          <w:p w14:paraId="7327099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position w:val="-10"/>
                <w:sz w:val="21"/>
                <w:szCs w:val="21"/>
                <w:highlight w:val="none"/>
                <w:lang w:val="en-US" w:eastAsia="zh-CN" w:bidi="ar-SA"/>
              </w:rPr>
              <w:t>废过滤棉</w:t>
            </w:r>
          </w:p>
        </w:tc>
        <w:tc>
          <w:tcPr>
            <w:tcW w:w="1386" w:type="dxa"/>
            <w:vAlign w:val="center"/>
          </w:tcPr>
          <w:p w14:paraId="44CC008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562" w:type="dxa"/>
            <w:vAlign w:val="center"/>
          </w:tcPr>
          <w:p w14:paraId="771E966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479" w:type="dxa"/>
            <w:vAlign w:val="center"/>
          </w:tcPr>
          <w:p w14:paraId="7C0C75F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651" w:type="dxa"/>
            <w:vAlign w:val="center"/>
          </w:tcPr>
          <w:p w14:paraId="577D4E2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0.1</w:t>
            </w:r>
            <w:r>
              <w:rPr>
                <w:rFonts w:hint="eastAsia" w:cs="Times New Roman"/>
                <w:color w:val="auto"/>
                <w:position w:val="-10"/>
                <w:sz w:val="21"/>
                <w:szCs w:val="21"/>
                <w:highlight w:val="none"/>
                <w:lang w:val="en-US" w:eastAsia="zh-CN" w:bidi="ar-SA"/>
              </w:rPr>
              <w:t>39</w:t>
            </w:r>
          </w:p>
        </w:tc>
        <w:tc>
          <w:tcPr>
            <w:tcW w:w="1564" w:type="dxa"/>
            <w:vAlign w:val="center"/>
          </w:tcPr>
          <w:p w14:paraId="2FAE51F9">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720" w:type="dxa"/>
            <w:vAlign w:val="center"/>
          </w:tcPr>
          <w:p w14:paraId="1C7BBF3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0.139</w:t>
            </w:r>
          </w:p>
        </w:tc>
        <w:tc>
          <w:tcPr>
            <w:tcW w:w="1407" w:type="dxa"/>
            <w:vAlign w:val="center"/>
          </w:tcPr>
          <w:p w14:paraId="2DE536F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position w:val="-10"/>
                <w:sz w:val="21"/>
                <w:szCs w:val="21"/>
                <w:highlight w:val="none"/>
                <w:lang w:val="en-US" w:eastAsia="zh-CN" w:bidi="ar-SA"/>
              </w:rPr>
              <w:t>+</w:t>
            </w:r>
            <w:r>
              <w:rPr>
                <w:rFonts w:hint="default" w:ascii="Times New Roman" w:hAnsi="Times New Roman" w:eastAsia="宋体" w:cs="Times New Roman"/>
                <w:color w:val="auto"/>
                <w:position w:val="-10"/>
                <w:sz w:val="21"/>
                <w:szCs w:val="21"/>
                <w:highlight w:val="none"/>
                <w:lang w:val="en-US" w:eastAsia="zh-CN" w:bidi="ar-SA"/>
              </w:rPr>
              <w:t>0.139</w:t>
            </w:r>
          </w:p>
        </w:tc>
      </w:tr>
      <w:tr w14:paraId="21A53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06" w:type="dxa"/>
            <w:vMerge w:val="continue"/>
            <w:vAlign w:val="center"/>
          </w:tcPr>
          <w:p w14:paraId="32CAB67C">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p>
        </w:tc>
        <w:tc>
          <w:tcPr>
            <w:tcW w:w="2203" w:type="dxa"/>
            <w:vAlign w:val="center"/>
          </w:tcPr>
          <w:p w14:paraId="70C2E48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position w:val="-10"/>
                <w:sz w:val="21"/>
                <w:szCs w:val="21"/>
                <w:highlight w:val="none"/>
                <w:lang w:val="en-US" w:eastAsia="zh-CN" w:bidi="ar-SA"/>
              </w:rPr>
              <w:t>废活性炭</w:t>
            </w:r>
          </w:p>
        </w:tc>
        <w:tc>
          <w:tcPr>
            <w:tcW w:w="1386" w:type="dxa"/>
            <w:vAlign w:val="center"/>
          </w:tcPr>
          <w:p w14:paraId="73B3F78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259.2</w:t>
            </w:r>
          </w:p>
        </w:tc>
        <w:tc>
          <w:tcPr>
            <w:tcW w:w="1562" w:type="dxa"/>
            <w:vAlign w:val="center"/>
          </w:tcPr>
          <w:p w14:paraId="7E39EA6C">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1479" w:type="dxa"/>
            <w:vAlign w:val="center"/>
          </w:tcPr>
          <w:p w14:paraId="1B660CA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651" w:type="dxa"/>
            <w:vAlign w:val="center"/>
          </w:tcPr>
          <w:p w14:paraId="5D08B04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41.026</w:t>
            </w:r>
          </w:p>
        </w:tc>
        <w:tc>
          <w:tcPr>
            <w:tcW w:w="1564" w:type="dxa"/>
            <w:vAlign w:val="center"/>
          </w:tcPr>
          <w:p w14:paraId="68432442">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w:t>
            </w:r>
          </w:p>
        </w:tc>
        <w:tc>
          <w:tcPr>
            <w:tcW w:w="1720" w:type="dxa"/>
            <w:vAlign w:val="center"/>
          </w:tcPr>
          <w:p w14:paraId="7E57ED6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300.226</w:t>
            </w:r>
          </w:p>
        </w:tc>
        <w:tc>
          <w:tcPr>
            <w:tcW w:w="1407" w:type="dxa"/>
            <w:vAlign w:val="center"/>
          </w:tcPr>
          <w:p w14:paraId="077DCF2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color w:val="auto"/>
                <w:position w:val="-10"/>
                <w:sz w:val="21"/>
                <w:szCs w:val="21"/>
                <w:highlight w:val="none"/>
                <w:lang w:val="en-US" w:eastAsia="zh-CN" w:bidi="ar-SA"/>
              </w:rPr>
              <w:t>+41.026</w:t>
            </w:r>
          </w:p>
        </w:tc>
      </w:tr>
    </w:tbl>
    <w:p w14:paraId="67C455D9">
      <w:pPr>
        <w:pageBreakBefore w:val="0"/>
        <w:wordWrap w:val="0"/>
        <w:overflowPunct/>
        <w:bidi w:val="0"/>
        <w:spacing w:line="240" w:lineRule="auto"/>
        <w:jc w:val="left"/>
        <w:rPr>
          <w:rFonts w:hint="default" w:ascii="Times New Roman" w:hAnsi="Times New Roman" w:cs="Times New Roman"/>
          <w:color w:val="auto"/>
          <w:highlight w:val="none"/>
        </w:rPr>
      </w:pPr>
      <w:r>
        <w:rPr>
          <w:rFonts w:hint="default" w:ascii="Times New Roman" w:hAnsi="Times New Roman" w:eastAsia="黑体" w:cs="Times New Roman"/>
          <w:color w:val="auto"/>
          <w:sz w:val="21"/>
          <w:szCs w:val="21"/>
          <w:highlight w:val="none"/>
        </w:rPr>
        <w:t>注：⑥=①+③+④-⑤；⑦=⑥-①。</w:t>
      </w:r>
    </w:p>
    <w:p w14:paraId="1B004BCD">
      <w:pPr>
        <w:pageBreakBefore w:val="0"/>
        <w:wordWrap w:val="0"/>
        <w:overflowPunct/>
        <w:bidi w:val="0"/>
        <w:rPr>
          <w:rFonts w:hint="default" w:ascii="Times New Roman" w:hAnsi="Times New Roman" w:eastAsia="黑体" w:cs="Times New Roman"/>
          <w:snapToGrid w:val="0"/>
          <w:color w:val="auto"/>
          <w:sz w:val="32"/>
          <w:szCs w:val="32"/>
          <w:highlight w:val="none"/>
        </w:rPr>
        <w:sectPr>
          <w:pgSz w:w="16838" w:h="11906" w:orient="landscape"/>
          <w:pgMar w:top="1417" w:right="1440" w:bottom="1417" w:left="1440"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p w14:paraId="2FB65553">
      <w:pPr>
        <w:pStyle w:val="36"/>
        <w:pageBreakBefore w:val="0"/>
        <w:numPr>
          <w:ilvl w:val="0"/>
          <w:numId w:val="13"/>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rPr>
      </w:pPr>
      <w:bookmarkStart w:id="114" w:name="_Toc27190"/>
      <w:bookmarkStart w:id="115" w:name="_Toc12906"/>
      <w:r>
        <w:rPr>
          <w:rFonts w:hint="default" w:ascii="Times New Roman" w:hAnsi="Times New Roman" w:eastAsia="宋体" w:cs="Times New Roman"/>
          <w:b/>
          <w:bCs/>
          <w:color w:val="auto"/>
          <w:sz w:val="24"/>
          <w:szCs w:val="24"/>
        </w:rPr>
        <w:t>项目地理位置图</w:t>
      </w:r>
      <w:bookmarkEnd w:id="114"/>
      <w:bookmarkEnd w:id="115"/>
    </w:p>
    <w:p w14:paraId="06EC86B0">
      <w:pPr>
        <w:pStyle w:val="46"/>
        <w:pageBreakBefore w:val="0"/>
        <w:wordWrap w:val="0"/>
        <w:overflowPunct/>
        <w:bidi w:val="0"/>
        <w:jc w:val="center"/>
        <w:rPr>
          <w:rFonts w:hint="default" w:ascii="Times New Roman" w:hAnsi="Times New Roman" w:cs="Times New Roman"/>
          <w:b w:val="0"/>
          <w:bCs w:val="0"/>
          <w:color w:val="auto"/>
          <w:highlight w:val="none"/>
        </w:rPr>
      </w:pPr>
      <w:r>
        <w:rPr>
          <w:rFonts w:hint="default" w:ascii="Times New Roman" w:hAnsi="Times New Roman" w:cs="Times New Roman"/>
          <w:color w:val="auto"/>
        </w:rPr>
        <w:drawing>
          <wp:anchor distT="0" distB="0" distL="114300" distR="114300" simplePos="0" relativeHeight="251763712" behindDoc="0" locked="0" layoutInCell="1" allowOverlap="1">
            <wp:simplePos x="0" y="0"/>
            <wp:positionH relativeFrom="column">
              <wp:posOffset>7475220</wp:posOffset>
            </wp:positionH>
            <wp:positionV relativeFrom="paragraph">
              <wp:posOffset>36195</wp:posOffset>
            </wp:positionV>
            <wp:extent cx="802640" cy="819150"/>
            <wp:effectExtent l="0" t="0" r="16510" b="0"/>
            <wp:wrapNone/>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pic:cNvPicPr>
                  </pic:nvPicPr>
                  <pic:blipFill>
                    <a:blip r:embed="rId37"/>
                    <a:stretch>
                      <a:fillRect/>
                    </a:stretch>
                  </pic:blipFill>
                  <pic:spPr>
                    <a:xfrm>
                      <a:off x="0" y="0"/>
                      <a:ext cx="802640" cy="819150"/>
                    </a:xfrm>
                    <a:prstGeom prst="rect">
                      <a:avLst/>
                    </a:prstGeom>
                    <a:noFill/>
                    <a:ln>
                      <a:noFill/>
                    </a:ln>
                  </pic:spPr>
                </pic:pic>
              </a:graphicData>
            </a:graphic>
          </wp:anchor>
        </w:drawing>
      </w:r>
      <w:r>
        <w:rPr>
          <w:rFonts w:hint="default" w:ascii="Times New Roman" w:hAnsi="Times New Roman" w:cs="Times New Roman"/>
          <w:color w:val="auto"/>
          <w:sz w:val="32"/>
        </w:rPr>
        <mc:AlternateContent>
          <mc:Choice Requires="wps">
            <w:drawing>
              <wp:anchor distT="0" distB="0" distL="114300" distR="114300" simplePos="0" relativeHeight="251673600" behindDoc="0" locked="0" layoutInCell="1" allowOverlap="1">
                <wp:simplePos x="0" y="0"/>
                <wp:positionH relativeFrom="column">
                  <wp:posOffset>3279775</wp:posOffset>
                </wp:positionH>
                <wp:positionV relativeFrom="paragraph">
                  <wp:posOffset>2728595</wp:posOffset>
                </wp:positionV>
                <wp:extent cx="863600" cy="290830"/>
                <wp:effectExtent l="6350" t="6350" r="234950" b="7620"/>
                <wp:wrapNone/>
                <wp:docPr id="9" name="矩形标注 9"/>
                <wp:cNvGraphicFramePr/>
                <a:graphic xmlns:a="http://schemas.openxmlformats.org/drawingml/2006/main">
                  <a:graphicData uri="http://schemas.microsoft.com/office/word/2010/wordprocessingShape">
                    <wps:wsp>
                      <wps:cNvSpPr/>
                      <wps:spPr>
                        <a:xfrm>
                          <a:off x="5309870" y="3048635"/>
                          <a:ext cx="863600" cy="290830"/>
                        </a:xfrm>
                        <a:prstGeom prst="wedgeRectCallout">
                          <a:avLst>
                            <a:gd name="adj1" fmla="val 72041"/>
                            <a:gd name="adj2" fmla="val -38402"/>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BAC5C7C">
                            <w:pPr>
                              <w:spacing w:line="240" w:lineRule="auto"/>
                              <w:jc w:val="center"/>
                              <w:rPr>
                                <w:rFonts w:hint="default" w:eastAsia="宋体"/>
                                <w:lang w:val="en-US" w:eastAsia="zh-CN"/>
                              </w:rPr>
                            </w:pPr>
                            <w:r>
                              <w:rPr>
                                <w:rFonts w:hint="eastAsia"/>
                                <w:color w:val="000000" w:themeColor="text1"/>
                                <w:lang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58.25pt;margin-top:214.85pt;height:22.9pt;width:68pt;z-index:251673600;v-text-anchor:middle;mso-width-relative:page;mso-height-relative:page;" filled="f" stroked="t" coordsize="21600,21600" o:gfxdata="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CZKWtY2wAAAAsBAAAPAAAAAAAAAAEAIAAAACIA&#10;AABkcnMvZG93bnJldi54bWxQSwECFAAUAAAACACHTuJAMRclHLECAABFBQAADgAAAAAAAAABACAA&#10;AAAqAQAAZHJzL2Uyb0RvYy54bWxQSwUGAAAAAAYABgBZAQAATQYAAAAA&#10;" adj="26361,2505">
                <v:fill on="f" focussize="0,0"/>
                <v:stroke weight="1pt" color="#000000 [3213]" miterlimit="8" joinstyle="miter"/>
                <v:imagedata o:title=""/>
                <o:lock v:ext="edit" aspectratio="f"/>
                <v:textbox>
                  <w:txbxContent>
                    <w:p w14:paraId="0BAC5C7C">
                      <w:pPr>
                        <w:spacing w:line="240" w:lineRule="auto"/>
                        <w:jc w:val="center"/>
                        <w:rPr>
                          <w:rFonts w:hint="default" w:eastAsia="宋体"/>
                          <w:lang w:val="en-US" w:eastAsia="zh-CN"/>
                        </w:rPr>
                      </w:pPr>
                      <w:r>
                        <w:rPr>
                          <w:rFonts w:hint="eastAsia"/>
                          <w:color w:val="000000" w:themeColor="text1"/>
                          <w:lang w:eastAsia="zh-CN"/>
                          <w14:textFill>
                            <w14:solidFill>
                              <w14:schemeClr w14:val="tx1"/>
                            </w14:solidFill>
                          </w14:textFill>
                        </w:rPr>
                        <w:t>项目位置</w:t>
                      </w:r>
                    </w:p>
                  </w:txbxContent>
                </v:textbox>
              </v:shape>
            </w:pict>
          </mc:Fallback>
        </mc:AlternateContent>
      </w:r>
      <w:r>
        <w:rPr>
          <w:rFonts w:hint="default" w:ascii="Times New Roman" w:hAnsi="Times New Roman" w:cs="Times New Roman"/>
          <w:color w:val="auto"/>
        </w:rPr>
        <w:drawing>
          <wp:anchor distT="0" distB="0" distL="114300" distR="114300" simplePos="0" relativeHeight="251723776" behindDoc="0" locked="0" layoutInCell="1" allowOverlap="1">
            <wp:simplePos x="0" y="0"/>
            <wp:positionH relativeFrom="column">
              <wp:posOffset>7562850</wp:posOffset>
            </wp:positionH>
            <wp:positionV relativeFrom="paragraph">
              <wp:posOffset>4813935</wp:posOffset>
            </wp:positionV>
            <wp:extent cx="704850" cy="495300"/>
            <wp:effectExtent l="0" t="0" r="0" b="0"/>
            <wp:wrapNone/>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38"/>
                    <a:stretch>
                      <a:fillRect/>
                    </a:stretch>
                  </pic:blipFill>
                  <pic:spPr>
                    <a:xfrm>
                      <a:off x="0" y="0"/>
                      <a:ext cx="704850" cy="495300"/>
                    </a:xfrm>
                    <a:prstGeom prst="rect">
                      <a:avLst/>
                    </a:prstGeom>
                    <a:noFill/>
                    <a:ln>
                      <a:noFill/>
                    </a:ln>
                  </pic:spPr>
                </pic:pic>
              </a:graphicData>
            </a:graphic>
          </wp:anchor>
        </w:drawing>
      </w:r>
      <w:r>
        <w:rPr>
          <w:rFonts w:hint="default" w:ascii="Times New Roman" w:hAnsi="Times New Roman" w:cs="Times New Roman"/>
          <w:color w:val="auto"/>
        </w:rPr>
        <w:drawing>
          <wp:inline distT="0" distB="0" distL="114300" distR="114300">
            <wp:extent cx="7648575" cy="5283835"/>
            <wp:effectExtent l="0" t="0" r="9525" b="12065"/>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39"/>
                    <a:stretch>
                      <a:fillRect/>
                    </a:stretch>
                  </pic:blipFill>
                  <pic:spPr>
                    <a:xfrm>
                      <a:off x="0" y="0"/>
                      <a:ext cx="7648575" cy="5283835"/>
                    </a:xfrm>
                    <a:prstGeom prst="rect">
                      <a:avLst/>
                    </a:prstGeom>
                    <a:noFill/>
                    <a:ln>
                      <a:noFill/>
                    </a:ln>
                  </pic:spPr>
                </pic:pic>
              </a:graphicData>
            </a:graphic>
          </wp:inline>
        </w:drawing>
      </w:r>
    </w:p>
    <w:p w14:paraId="2FABB5B6">
      <w:pPr>
        <w:pageBreakBefore w:val="0"/>
        <w:wordWrap w:val="0"/>
        <w:overflowPunct/>
        <w:bidi w:val="0"/>
        <w:rPr>
          <w:rFonts w:hint="default" w:ascii="Times New Roman" w:hAnsi="Times New Roman" w:cs="Times New Roman"/>
          <w:color w:val="auto"/>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CD04C04">
      <w:pPr>
        <w:pStyle w:val="36"/>
        <w:pageBreakBefore w:val="0"/>
        <w:numPr>
          <w:ilvl w:val="0"/>
          <w:numId w:val="13"/>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rPr>
      </w:pPr>
      <w:bookmarkStart w:id="116" w:name="_Toc17352"/>
      <w:bookmarkStart w:id="117" w:name="_Toc18743"/>
      <w:r>
        <w:rPr>
          <w:rFonts w:hint="default" w:ascii="Times New Roman" w:hAnsi="Times New Roman" w:eastAsia="宋体" w:cs="Times New Roman"/>
          <w:b/>
          <w:bCs/>
          <w:color w:val="auto"/>
          <w:sz w:val="24"/>
          <w:szCs w:val="24"/>
        </w:rPr>
        <w:t>项目四至情况</w:t>
      </w:r>
      <w:bookmarkEnd w:id="116"/>
      <w:r>
        <w:rPr>
          <w:rFonts w:hint="default" w:ascii="Times New Roman" w:hAnsi="Times New Roman" w:cs="Times New Roman"/>
          <w:b/>
          <w:bCs/>
          <w:color w:val="auto"/>
          <w:sz w:val="24"/>
          <w:szCs w:val="24"/>
          <w:lang w:val="en-US" w:eastAsia="zh-CN"/>
        </w:rPr>
        <w:t>卫星图</w:t>
      </w:r>
      <w:bookmarkEnd w:id="117"/>
    </w:p>
    <w:p w14:paraId="2663C235">
      <w:pPr>
        <w:pageBreakBefore w:val="0"/>
        <w:wordWrap w:val="0"/>
        <w:overflowPunct/>
        <w:bidi w:val="0"/>
        <w:jc w:val="center"/>
        <w:rPr>
          <w:rFonts w:hint="default" w:ascii="Times New Roman" w:hAnsi="Times New Roman" w:eastAsia="宋体" w:cs="Times New Roman"/>
          <w:color w:val="auto"/>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auto"/>
        </w:rPr>
        <w:drawing>
          <wp:inline distT="0" distB="0" distL="114300" distR="114300">
            <wp:extent cx="6677660" cy="5203190"/>
            <wp:effectExtent l="0" t="0" r="8890" b="1651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40"/>
                    <a:stretch>
                      <a:fillRect/>
                    </a:stretch>
                  </pic:blipFill>
                  <pic:spPr>
                    <a:xfrm>
                      <a:off x="0" y="0"/>
                      <a:ext cx="6677660" cy="5203190"/>
                    </a:xfrm>
                    <a:prstGeom prst="rect">
                      <a:avLst/>
                    </a:prstGeom>
                    <a:noFill/>
                    <a:ln>
                      <a:noFill/>
                    </a:ln>
                  </pic:spPr>
                </pic:pic>
              </a:graphicData>
            </a:graphic>
          </wp:inline>
        </w:drawing>
      </w:r>
      <w:r>
        <w:rPr>
          <w:rFonts w:hint="default" w:ascii="Times New Roman" w:hAnsi="Times New Roman" w:cs="Times New Roman"/>
          <w:color w:val="auto"/>
          <w:sz w:val="24"/>
        </w:rPr>
        <mc:AlternateContent>
          <mc:Choice Requires="wps">
            <w:drawing>
              <wp:anchor distT="0" distB="0" distL="114300" distR="114300" simplePos="0" relativeHeight="251765760" behindDoc="0" locked="0" layoutInCell="1" allowOverlap="1">
                <wp:simplePos x="0" y="0"/>
                <wp:positionH relativeFrom="column">
                  <wp:posOffset>5455285</wp:posOffset>
                </wp:positionH>
                <wp:positionV relativeFrom="paragraph">
                  <wp:posOffset>2144395</wp:posOffset>
                </wp:positionV>
                <wp:extent cx="495935" cy="50673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495935" cy="5067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055877">
                            <w:pPr>
                              <w:spacing w:line="240" w:lineRule="auto"/>
                              <w:rPr>
                                <w:rFonts w:hint="eastAsia"/>
                                <w:b/>
                                <w:bCs/>
                                <w:color w:val="FF0000"/>
                                <w:lang w:val="en-US" w:eastAsia="zh-CN"/>
                              </w:rPr>
                            </w:pPr>
                            <w:r>
                              <w:rPr>
                                <w:rFonts w:hint="eastAsia"/>
                                <w:b/>
                                <w:bCs/>
                                <w:color w:val="FF0000"/>
                                <w:lang w:val="en-US" w:eastAsia="zh-CN"/>
                              </w:rPr>
                              <w:t>扩建</w:t>
                            </w:r>
                          </w:p>
                          <w:p w14:paraId="04B59925">
                            <w:pPr>
                              <w:spacing w:line="240" w:lineRule="auto"/>
                              <w:rPr>
                                <w:rFonts w:hint="default" w:eastAsia="宋体"/>
                                <w:b/>
                                <w:bCs/>
                                <w:color w:val="FF0000"/>
                                <w:lang w:val="en-US" w:eastAsia="zh-CN"/>
                              </w:rPr>
                            </w:pPr>
                            <w:r>
                              <w:rPr>
                                <w:rFonts w:hint="eastAsia"/>
                                <w:b/>
                                <w:bCs/>
                                <w:color w:val="FF0000"/>
                                <w:lang w:val="en-US" w:eastAsia="zh-CN"/>
                              </w:rPr>
                              <w:t>部分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9.55pt;margin-top:168.85pt;height:39.9pt;width:39.05pt;z-index:251765760;mso-width-relative:page;mso-height-relative:page;" filled="f" stroked="f" coordsize="21600,21600" o:gfxdata="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v6wSPcAAAACwEAAA8AAAAAAAAAAQAgAAAAIgAA&#10;AGRycy9kb3ducmV2LnhtbFBLAQIUABQAAAAIAIdO4kAfvcCzPQIAAGcEAAAOAAAAAAAAAAEAIAAA&#10;ACsBAABkcnMvZTJvRG9jLnhtbFBLBQYAAAAABgAGAFkBAADaBQAAAAA=&#10;">
                <v:fill on="f" focussize="0,0"/>
                <v:stroke on="f" weight="0.5pt"/>
                <v:imagedata o:title=""/>
                <o:lock v:ext="edit" aspectratio="f"/>
                <v:textbox>
                  <w:txbxContent>
                    <w:p w14:paraId="3B055877">
                      <w:pPr>
                        <w:spacing w:line="240" w:lineRule="auto"/>
                        <w:rPr>
                          <w:rFonts w:hint="eastAsia"/>
                          <w:b/>
                          <w:bCs/>
                          <w:color w:val="FF0000"/>
                          <w:lang w:val="en-US" w:eastAsia="zh-CN"/>
                        </w:rPr>
                      </w:pPr>
                      <w:r>
                        <w:rPr>
                          <w:rFonts w:hint="eastAsia"/>
                          <w:b/>
                          <w:bCs/>
                          <w:color w:val="FF0000"/>
                          <w:lang w:val="en-US" w:eastAsia="zh-CN"/>
                        </w:rPr>
                        <w:t>扩建</w:t>
                      </w:r>
                    </w:p>
                    <w:p w14:paraId="04B59925">
                      <w:pPr>
                        <w:spacing w:line="240" w:lineRule="auto"/>
                        <w:rPr>
                          <w:rFonts w:hint="default" w:eastAsia="宋体"/>
                          <w:b/>
                          <w:bCs/>
                          <w:color w:val="FF0000"/>
                          <w:lang w:val="en-US" w:eastAsia="zh-CN"/>
                        </w:rPr>
                      </w:pPr>
                      <w:r>
                        <w:rPr>
                          <w:rFonts w:hint="eastAsia"/>
                          <w:b/>
                          <w:bCs/>
                          <w:color w:val="FF0000"/>
                          <w:lang w:val="en-US" w:eastAsia="zh-CN"/>
                        </w:rPr>
                        <w:t>部分</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64736" behindDoc="0" locked="0" layoutInCell="1" allowOverlap="1">
                <wp:simplePos x="0" y="0"/>
                <wp:positionH relativeFrom="column">
                  <wp:posOffset>5489575</wp:posOffset>
                </wp:positionH>
                <wp:positionV relativeFrom="paragraph">
                  <wp:posOffset>2125980</wp:posOffset>
                </wp:positionV>
                <wp:extent cx="381000" cy="542925"/>
                <wp:effectExtent l="6350" t="6350" r="12700" b="22225"/>
                <wp:wrapNone/>
                <wp:docPr id="62" name="矩形 62"/>
                <wp:cNvGraphicFramePr/>
                <a:graphic xmlns:a="http://schemas.openxmlformats.org/drawingml/2006/main">
                  <a:graphicData uri="http://schemas.microsoft.com/office/word/2010/wordprocessingShape">
                    <wps:wsp>
                      <wps:cNvSpPr/>
                      <wps:spPr>
                        <a:xfrm>
                          <a:off x="6460490" y="3300095"/>
                          <a:ext cx="381000" cy="54292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2.25pt;margin-top:167.4pt;height:42.75pt;width:30pt;z-index:251764736;v-text-anchor:middle;mso-width-relative:page;mso-height-relative:page;" fillcolor="#5B9BD5 [3204]" filled="t" stroked="t" coordsize="21600,21600" o:gfxdata="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OiqN&#10;RNoAAAALAQAADwAAAAAAAAABACAAAAAiAAAAZHJzL2Rvd25yZXYueG1sUEsBAhQAFAAAAAgAh07i&#10;QAL5TBCSAgAAIwUAAA4AAAAAAAAAAQAgAAAAKQEAAGRycy9lMm9Eb2MueG1sUEsFBgAAAAAGAAYA&#10;WQEAAC0GAAAAAA==&#10;">
                <v:fill on="t" focussize="0,0"/>
                <v:stroke weight="1pt" color="#2E75B6 [2404]" miterlimit="8" joinstyle="miter"/>
                <v:imagedata o:title=""/>
                <o:lock v:ext="edit" aspectratio="f"/>
              </v:rect>
            </w:pict>
          </mc:Fallback>
        </mc:AlternateContent>
      </w:r>
      <w:r>
        <w:rPr>
          <w:rFonts w:hint="default" w:ascii="Times New Roman" w:hAnsi="Times New Roman" w:cs="Times New Roman"/>
          <w:color w:val="auto"/>
        </w:rPr>
        <w:drawing>
          <wp:anchor distT="0" distB="0" distL="114300" distR="114300" simplePos="0" relativeHeight="251735040" behindDoc="0" locked="0" layoutInCell="1" allowOverlap="1">
            <wp:simplePos x="0" y="0"/>
            <wp:positionH relativeFrom="column">
              <wp:posOffset>6811010</wp:posOffset>
            </wp:positionH>
            <wp:positionV relativeFrom="paragraph">
              <wp:posOffset>4989195</wp:posOffset>
            </wp:positionV>
            <wp:extent cx="904875" cy="266700"/>
            <wp:effectExtent l="0" t="0" r="9525" b="0"/>
            <wp:wrapNone/>
            <wp:docPr id="1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5"/>
                    <pic:cNvPicPr>
                      <a:picLocks noChangeAspect="1"/>
                    </pic:cNvPicPr>
                  </pic:nvPicPr>
                  <pic:blipFill>
                    <a:blip r:embed="rId41"/>
                    <a:stretch>
                      <a:fillRect/>
                    </a:stretch>
                  </pic:blipFill>
                  <pic:spPr>
                    <a:xfrm>
                      <a:off x="0" y="0"/>
                      <a:ext cx="904875" cy="266700"/>
                    </a:xfrm>
                    <a:prstGeom prst="rect">
                      <a:avLst/>
                    </a:prstGeom>
                    <a:noFill/>
                    <a:ln>
                      <a:noFill/>
                    </a:ln>
                  </pic:spPr>
                </pic:pic>
              </a:graphicData>
            </a:graphic>
          </wp:anchor>
        </w:drawing>
      </w:r>
      <w:r>
        <w:rPr>
          <w:rFonts w:hint="default" w:ascii="Times New Roman" w:hAnsi="Times New Roman" w:cs="Times New Roman"/>
          <w:color w:val="auto"/>
          <w:sz w:val="24"/>
        </w:rPr>
        <mc:AlternateContent>
          <mc:Choice Requires="wps">
            <w:drawing>
              <wp:anchor distT="0" distB="0" distL="114300" distR="114300" simplePos="0" relativeHeight="251734016" behindDoc="0" locked="0" layoutInCell="1" allowOverlap="1">
                <wp:simplePos x="0" y="0"/>
                <wp:positionH relativeFrom="column">
                  <wp:posOffset>4308475</wp:posOffset>
                </wp:positionH>
                <wp:positionV relativeFrom="paragraph">
                  <wp:posOffset>1715770</wp:posOffset>
                </wp:positionV>
                <wp:extent cx="914400" cy="361950"/>
                <wp:effectExtent l="0" t="0" r="0" b="0"/>
                <wp:wrapNone/>
                <wp:docPr id="147" name="文本框 147"/>
                <wp:cNvGraphicFramePr/>
                <a:graphic xmlns:a="http://schemas.openxmlformats.org/drawingml/2006/main">
                  <a:graphicData uri="http://schemas.microsoft.com/office/word/2010/wordprocessingShape">
                    <wps:wsp>
                      <wps:cNvSpPr txBox="1"/>
                      <wps:spPr>
                        <a:xfrm>
                          <a:off x="5241290" y="3089910"/>
                          <a:ext cx="914400" cy="361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02B300">
                            <w:pPr>
                              <w:rPr>
                                <w:rFonts w:hint="default" w:eastAsia="宋体"/>
                                <w:b/>
                                <w:bCs/>
                                <w:sz w:val="21"/>
                                <w:szCs w:val="21"/>
                                <w:lang w:val="en-US" w:eastAsia="zh-CN"/>
                              </w:rPr>
                            </w:pPr>
                            <w:r>
                              <w:rPr>
                                <w:rFonts w:hint="eastAsia"/>
                                <w:b/>
                                <w:bCs/>
                                <w:sz w:val="21"/>
                                <w:szCs w:val="21"/>
                                <w:lang w:val="en-US" w:eastAsia="zh-CN"/>
                              </w:rPr>
                              <w:t>金岭三路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9.25pt;margin-top:135.1pt;height:28.5pt;width:72pt;z-index:251734016;mso-width-relative:page;mso-height-relative:page;" filled="f" stroked="f" coordsize="21600,21600" o:gfxdata="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FLGtwdsAAAALAQAADwAAAAAAAAAB&#10;ACAAAAAiAAAAZHJzL2Rvd25yZXYueG1sUEsBAhQAFAAAAAgAh07iQOBlIs1GAgAAdQQAAA4AAAAA&#10;AAAAAQAgAAAAKgEAAGRycy9lMm9Eb2MueG1sUEsFBgAAAAAGAAYAWQEAAOIFAAAAAA==&#10;">
                <v:fill on="f" focussize="0,0"/>
                <v:stroke on="f" weight="0.5pt"/>
                <v:imagedata o:title=""/>
                <o:lock v:ext="edit" aspectratio="f"/>
                <v:textbox>
                  <w:txbxContent>
                    <w:p w14:paraId="6302B300">
                      <w:pPr>
                        <w:rPr>
                          <w:rFonts w:hint="default" w:eastAsia="宋体"/>
                          <w:b/>
                          <w:bCs/>
                          <w:sz w:val="21"/>
                          <w:szCs w:val="21"/>
                          <w:lang w:val="en-US" w:eastAsia="zh-CN"/>
                        </w:rPr>
                      </w:pPr>
                      <w:r>
                        <w:rPr>
                          <w:rFonts w:hint="eastAsia"/>
                          <w:b/>
                          <w:bCs/>
                          <w:sz w:val="21"/>
                          <w:szCs w:val="21"/>
                          <w:lang w:val="en-US" w:eastAsia="zh-CN"/>
                        </w:rPr>
                        <w:t>金岭三路</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32992" behindDoc="0" locked="0" layoutInCell="1" allowOverlap="1">
                <wp:simplePos x="0" y="0"/>
                <wp:positionH relativeFrom="column">
                  <wp:posOffset>5260975</wp:posOffset>
                </wp:positionH>
                <wp:positionV relativeFrom="paragraph">
                  <wp:posOffset>1068070</wp:posOffset>
                </wp:positionV>
                <wp:extent cx="704850" cy="781050"/>
                <wp:effectExtent l="6350" t="6350" r="12700" b="12700"/>
                <wp:wrapNone/>
                <wp:docPr id="138" name="任意多边形 138"/>
                <wp:cNvGraphicFramePr/>
                <a:graphic xmlns:a="http://schemas.openxmlformats.org/drawingml/2006/main">
                  <a:graphicData uri="http://schemas.microsoft.com/office/word/2010/wordprocessingShape">
                    <wps:wsp>
                      <wps:cNvSpPr/>
                      <wps:spPr>
                        <a:xfrm>
                          <a:off x="6250940" y="2242185"/>
                          <a:ext cx="704850" cy="781050"/>
                        </a:xfrm>
                        <a:custGeom>
                          <a:avLst/>
                          <a:gdLst>
                            <a:gd name="connisteX0" fmla="*/ 0 w 704850"/>
                            <a:gd name="connsiteY0" fmla="*/ 0 h 781050"/>
                            <a:gd name="connisteX1" fmla="*/ 704850 w 704850"/>
                            <a:gd name="connsiteY1" fmla="*/ 0 h 781050"/>
                            <a:gd name="connisteX2" fmla="*/ 695325 w 704850"/>
                            <a:gd name="connsiteY2" fmla="*/ 781050 h 781050"/>
                            <a:gd name="connisteX3" fmla="*/ 9525 w 704850"/>
                            <a:gd name="connsiteY3" fmla="*/ 781050 h 781050"/>
                            <a:gd name="connisteX4" fmla="*/ 0 w 704850"/>
                            <a:gd name="connsiteY4" fmla="*/ 0 h 7810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704850" h="781050">
                              <a:moveTo>
                                <a:pt x="0" y="0"/>
                              </a:moveTo>
                              <a:lnTo>
                                <a:pt x="704850" y="0"/>
                              </a:lnTo>
                              <a:lnTo>
                                <a:pt x="695325" y="781050"/>
                              </a:lnTo>
                              <a:lnTo>
                                <a:pt x="9525" y="781050"/>
                              </a:lnTo>
                              <a:lnTo>
                                <a:pt x="0" y="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14.25pt;margin-top:84.1pt;height:61.5pt;width:55.5pt;z-index:251732992;mso-width-relative:page;mso-height-relative:page;" filled="f" stroked="t" coordsize="704850,781050" o:gfxdata="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" path="m0,0l704850,0,695325,781050,9525,781050,0,0xe">
                <v:path o:connectlocs="0,0;704850,0;695325,781050;9525,781050;0,0" o:connectangles="0,0,0,0,0"/>
                <v:fill on="f" focussize="0,0"/>
                <v:stroke weight="1pt" color="#FFFF00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31968" behindDoc="0" locked="0" layoutInCell="1" allowOverlap="1">
                <wp:simplePos x="0" y="0"/>
                <wp:positionH relativeFrom="column">
                  <wp:posOffset>5140960</wp:posOffset>
                </wp:positionH>
                <wp:positionV relativeFrom="paragraph">
                  <wp:posOffset>1220470</wp:posOffset>
                </wp:positionV>
                <wp:extent cx="1019175" cy="353060"/>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1019175" cy="3530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14DAD6">
                            <w:pPr>
                              <w:rPr>
                                <w:rFonts w:hint="eastAsia" w:eastAsia="宋体"/>
                                <w:b/>
                                <w:bCs/>
                                <w:color w:val="FFFF00"/>
                                <w:lang w:eastAsia="zh-CN"/>
                              </w:rPr>
                            </w:pPr>
                            <w:r>
                              <w:rPr>
                                <w:rFonts w:ascii="Arial" w:hAnsi="Arial" w:eastAsia="宋体" w:cs="Arial"/>
                                <w:i w:val="0"/>
                                <w:iCs w:val="0"/>
                                <w:caps w:val="0"/>
                                <w:color w:val="FFFFFF"/>
                                <w:spacing w:val="0"/>
                                <w:sz w:val="24"/>
                                <w:szCs w:val="24"/>
                                <w:shd w:val="clear" w:fill="3385FF"/>
                              </w:rPr>
                              <w:t>汇隽新材料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4.8pt;margin-top:96.1pt;height:27.8pt;width:80.25pt;z-index:251731968;mso-width-relative:page;mso-height-relative:page;" filled="f" stroked="f" coordsize="21600,21600" o:gfxdata="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CN0rzcAAAACwEAAA8AAAAAAAAAAQAgAAAAIgAA&#10;AGRycy9kb3ducmV2LnhtbFBLAQIUABQAAAAIAIdO4kBC6xkaPQIAAGoEAAAOAAAAAAAAAAEAIAAA&#10;ACsBAABkcnMvZTJvRG9jLnhtbFBLBQYAAAAABgAGAFkBAADaBQAAAAA=&#10;">
                <v:fill on="f" focussize="0,0"/>
                <v:stroke on="f" weight="0.5pt"/>
                <v:imagedata o:title=""/>
                <o:lock v:ext="edit" aspectratio="f"/>
                <v:textbox>
                  <w:txbxContent>
                    <w:p w14:paraId="4414DAD6">
                      <w:pPr>
                        <w:rPr>
                          <w:rFonts w:hint="eastAsia" w:eastAsia="宋体"/>
                          <w:b/>
                          <w:bCs/>
                          <w:color w:val="FFFF00"/>
                          <w:lang w:eastAsia="zh-CN"/>
                        </w:rPr>
                      </w:pPr>
                      <w:r>
                        <w:rPr>
                          <w:rFonts w:ascii="Arial" w:hAnsi="Arial" w:eastAsia="宋体" w:cs="Arial"/>
                          <w:i w:val="0"/>
                          <w:iCs w:val="0"/>
                          <w:caps w:val="0"/>
                          <w:color w:val="FFFFFF"/>
                          <w:spacing w:val="0"/>
                          <w:sz w:val="24"/>
                          <w:szCs w:val="24"/>
                          <w:shd w:val="clear" w:fill="3385FF"/>
                        </w:rPr>
                        <w:t>汇隽新材料</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30944" behindDoc="0" locked="0" layoutInCell="1" allowOverlap="1">
                <wp:simplePos x="0" y="0"/>
                <wp:positionH relativeFrom="column">
                  <wp:posOffset>4460875</wp:posOffset>
                </wp:positionH>
                <wp:positionV relativeFrom="paragraph">
                  <wp:posOffset>687070</wp:posOffset>
                </wp:positionV>
                <wp:extent cx="695325" cy="1123950"/>
                <wp:effectExtent l="6350" t="8255" r="22225" b="10795"/>
                <wp:wrapNone/>
                <wp:docPr id="133" name="任意多边形 133"/>
                <wp:cNvGraphicFramePr/>
                <a:graphic xmlns:a="http://schemas.openxmlformats.org/drawingml/2006/main">
                  <a:graphicData uri="http://schemas.microsoft.com/office/word/2010/wordprocessingShape">
                    <wps:wsp>
                      <wps:cNvSpPr/>
                      <wps:spPr>
                        <a:xfrm>
                          <a:off x="5450840" y="1861185"/>
                          <a:ext cx="695325" cy="1123950"/>
                        </a:xfrm>
                        <a:custGeom>
                          <a:avLst/>
                          <a:gdLst>
                            <a:gd name="connisteX0" fmla="*/ 66675 w 695325"/>
                            <a:gd name="connsiteY0" fmla="*/ 9525 h 1123950"/>
                            <a:gd name="connisteX1" fmla="*/ 657225 w 695325"/>
                            <a:gd name="connsiteY1" fmla="*/ 38100 h 1123950"/>
                            <a:gd name="connisteX2" fmla="*/ 695325 w 695325"/>
                            <a:gd name="connsiteY2" fmla="*/ 1123950 h 1123950"/>
                            <a:gd name="connisteX3" fmla="*/ 0 w 695325"/>
                            <a:gd name="connsiteY3" fmla="*/ 1066800 h 1123950"/>
                            <a:gd name="connisteX4" fmla="*/ 28575 w 695325"/>
                            <a:gd name="connsiteY4" fmla="*/ 0 h 1123950"/>
                            <a:gd name="connisteX5" fmla="*/ 28575 w 695325"/>
                            <a:gd name="connsiteY5" fmla="*/ 0 h 1123950"/>
                            <a:gd name="connisteX6" fmla="*/ 66675 w 695325"/>
                            <a:gd name="connsiteY6" fmla="*/ 9525 h 11239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695325" h="1123950">
                              <a:moveTo>
                                <a:pt x="66675" y="9525"/>
                              </a:moveTo>
                              <a:lnTo>
                                <a:pt x="657225" y="38100"/>
                              </a:lnTo>
                              <a:lnTo>
                                <a:pt x="695325" y="1123950"/>
                              </a:lnTo>
                              <a:lnTo>
                                <a:pt x="0" y="1066800"/>
                              </a:lnTo>
                              <a:lnTo>
                                <a:pt x="28575" y="0"/>
                              </a:lnTo>
                              <a:lnTo>
                                <a:pt x="66675" y="9525"/>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51.25pt;margin-top:54.1pt;height:88.5pt;width:54.75pt;z-index:251730944;mso-width-relative:page;mso-height-relative:page;" filled="f" stroked="t" coordsize="695325,1123950" o:gfxdata="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&#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" path="m66675,9525l657225,38100,695325,1123950,0,1066800,28575,0,66675,9525xe">
                <v:path o:connectlocs="66675,9525;657225,38100;695325,1123950;0,1066800;28575,0;28575,0;66675,9525" o:connectangles="0,0,0,0,0,0,0"/>
                <v:fill on="f" focussize="0,0"/>
                <v:stroke weight="1pt" color="#FFFF00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29920" behindDoc="0" locked="0" layoutInCell="1" allowOverlap="1">
                <wp:simplePos x="0" y="0"/>
                <wp:positionH relativeFrom="column">
                  <wp:posOffset>6032500</wp:posOffset>
                </wp:positionH>
                <wp:positionV relativeFrom="paragraph">
                  <wp:posOffset>2001520</wp:posOffset>
                </wp:positionV>
                <wp:extent cx="638175" cy="781050"/>
                <wp:effectExtent l="6350" t="6985" r="22225" b="12065"/>
                <wp:wrapNone/>
                <wp:docPr id="128" name="任意多边形 128"/>
                <wp:cNvGraphicFramePr/>
                <a:graphic xmlns:a="http://schemas.openxmlformats.org/drawingml/2006/main">
                  <a:graphicData uri="http://schemas.microsoft.com/office/word/2010/wordprocessingShape">
                    <wps:wsp>
                      <wps:cNvSpPr/>
                      <wps:spPr>
                        <a:xfrm>
                          <a:off x="7022465" y="3175635"/>
                          <a:ext cx="638175" cy="781050"/>
                        </a:xfrm>
                        <a:custGeom>
                          <a:avLst/>
                          <a:gdLst>
                            <a:gd name="connisteX0" fmla="*/ 0 w 638175"/>
                            <a:gd name="connsiteY0" fmla="*/ 38100 h 781050"/>
                            <a:gd name="connisteX1" fmla="*/ 638175 w 638175"/>
                            <a:gd name="connsiteY1" fmla="*/ 0 h 781050"/>
                            <a:gd name="connisteX2" fmla="*/ 628650 w 638175"/>
                            <a:gd name="connsiteY2" fmla="*/ 781050 h 781050"/>
                            <a:gd name="connisteX3" fmla="*/ 28575 w 638175"/>
                            <a:gd name="connsiteY3" fmla="*/ 742950 h 781050"/>
                            <a:gd name="connisteX4" fmla="*/ 0 w 638175"/>
                            <a:gd name="connsiteY4" fmla="*/ 38100 h 7810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638175" h="781050">
                              <a:moveTo>
                                <a:pt x="0" y="38100"/>
                              </a:moveTo>
                              <a:lnTo>
                                <a:pt x="638175" y="0"/>
                              </a:lnTo>
                              <a:lnTo>
                                <a:pt x="628650" y="781050"/>
                              </a:lnTo>
                              <a:lnTo>
                                <a:pt x="28575" y="742950"/>
                              </a:lnTo>
                              <a:lnTo>
                                <a:pt x="0" y="3810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75pt;margin-top:157.6pt;height:61.5pt;width:50.25pt;z-index:251729920;mso-width-relative:page;mso-height-relative:page;" filled="f" stroked="t" coordsize="638175,781050" o:gfxdata="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" path="m0,38100l638175,0,628650,781050,28575,742950,0,38100xe">
                <v:path o:connectlocs="0,38100;638175,0;628650,781050;28575,742950;0,38100" o:connectangles="0,0,0,0,0"/>
                <v:fill on="f" focussize="0,0"/>
                <v:stroke weight="1pt" color="#FFFF00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12512" behindDoc="0" locked="0" layoutInCell="1" allowOverlap="1">
                <wp:simplePos x="0" y="0"/>
                <wp:positionH relativeFrom="column">
                  <wp:posOffset>5969635</wp:posOffset>
                </wp:positionH>
                <wp:positionV relativeFrom="paragraph">
                  <wp:posOffset>2230120</wp:posOffset>
                </wp:positionV>
                <wp:extent cx="838200" cy="353060"/>
                <wp:effectExtent l="0" t="0" r="0" b="0"/>
                <wp:wrapNone/>
                <wp:docPr id="125" name="文本框 125"/>
                <wp:cNvGraphicFramePr/>
                <a:graphic xmlns:a="http://schemas.openxmlformats.org/drawingml/2006/main">
                  <a:graphicData uri="http://schemas.microsoft.com/office/word/2010/wordprocessingShape">
                    <wps:wsp>
                      <wps:cNvSpPr txBox="1"/>
                      <wps:spPr>
                        <a:xfrm>
                          <a:off x="0" y="0"/>
                          <a:ext cx="838200" cy="3530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A607E5">
                            <w:pPr>
                              <w:rPr>
                                <w:rFonts w:hint="eastAsia" w:eastAsia="宋体"/>
                                <w:b/>
                                <w:bCs/>
                                <w:color w:val="FFFF00"/>
                                <w:lang w:eastAsia="zh-CN"/>
                              </w:rPr>
                            </w:pPr>
                            <w:r>
                              <w:rPr>
                                <w:rFonts w:ascii="Arial" w:hAnsi="Arial" w:eastAsia="宋体" w:cs="Arial"/>
                                <w:i w:val="0"/>
                                <w:iCs w:val="0"/>
                                <w:caps w:val="0"/>
                                <w:color w:val="FFFFFF"/>
                                <w:spacing w:val="0"/>
                                <w:sz w:val="24"/>
                                <w:szCs w:val="24"/>
                                <w:shd w:val="clear" w:fill="3385FF"/>
                              </w:rPr>
                              <w:t>众诚实业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0.05pt;margin-top:175.6pt;height:27.8pt;width:66pt;z-index:251712512;mso-width-relative:page;mso-height-relative:page;" filled="f" stroked="f" coordsize="21600,21600" o:gfxdata="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wj7Cjd0AAAAMAQAADwAAAAAAAAABACAAAAAi&#10;AAAAZHJzL2Rvd25yZXYueG1sUEsBAhQAFAAAAAgAh07iQD87BjA+AgAAaQQAAA4AAAAAAAAAAQAg&#10;AAAALAEAAGRycy9lMm9Eb2MueG1sUEsFBgAAAAAGAAYAWQEAANwFAAAAAA==&#10;">
                <v:fill on="f" focussize="0,0"/>
                <v:stroke on="f" weight="0.5pt"/>
                <v:imagedata o:title=""/>
                <o:lock v:ext="edit" aspectratio="f"/>
                <v:textbox>
                  <w:txbxContent>
                    <w:p w14:paraId="0BA607E5">
                      <w:pPr>
                        <w:rPr>
                          <w:rFonts w:hint="eastAsia" w:eastAsia="宋体"/>
                          <w:b/>
                          <w:bCs/>
                          <w:color w:val="FFFF00"/>
                          <w:lang w:eastAsia="zh-CN"/>
                        </w:rPr>
                      </w:pPr>
                      <w:r>
                        <w:rPr>
                          <w:rFonts w:ascii="Arial" w:hAnsi="Arial" w:eastAsia="宋体" w:cs="Arial"/>
                          <w:i w:val="0"/>
                          <w:iCs w:val="0"/>
                          <w:caps w:val="0"/>
                          <w:color w:val="FFFFFF"/>
                          <w:spacing w:val="0"/>
                          <w:sz w:val="24"/>
                          <w:szCs w:val="24"/>
                          <w:shd w:val="clear" w:fill="3385FF"/>
                        </w:rPr>
                        <w:t>众诚实业</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28896" behindDoc="0" locked="0" layoutInCell="1" allowOverlap="1">
                <wp:simplePos x="0" y="0"/>
                <wp:positionH relativeFrom="column">
                  <wp:posOffset>6032500</wp:posOffset>
                </wp:positionH>
                <wp:positionV relativeFrom="paragraph">
                  <wp:posOffset>2801620</wp:posOffset>
                </wp:positionV>
                <wp:extent cx="1123950" cy="752475"/>
                <wp:effectExtent l="6985" t="6350" r="12065" b="22225"/>
                <wp:wrapNone/>
                <wp:docPr id="127" name="任意多边形 127"/>
                <wp:cNvGraphicFramePr/>
                <a:graphic xmlns:a="http://schemas.openxmlformats.org/drawingml/2006/main">
                  <a:graphicData uri="http://schemas.microsoft.com/office/word/2010/wordprocessingShape">
                    <wps:wsp>
                      <wps:cNvSpPr/>
                      <wps:spPr>
                        <a:xfrm>
                          <a:off x="7022465" y="3975735"/>
                          <a:ext cx="1123950" cy="752475"/>
                        </a:xfrm>
                        <a:custGeom>
                          <a:avLst/>
                          <a:gdLst>
                            <a:gd name="connisteX0" fmla="*/ 38100 w 1123950"/>
                            <a:gd name="connsiteY0" fmla="*/ 0 h 752475"/>
                            <a:gd name="connisteX1" fmla="*/ 1123950 w 1123950"/>
                            <a:gd name="connsiteY1" fmla="*/ 47625 h 752475"/>
                            <a:gd name="connisteX2" fmla="*/ 1123950 w 1123950"/>
                            <a:gd name="connsiteY2" fmla="*/ 752475 h 752475"/>
                            <a:gd name="connisteX3" fmla="*/ 0 w 1123950"/>
                            <a:gd name="connsiteY3" fmla="*/ 695325 h 752475"/>
                            <a:gd name="connisteX4" fmla="*/ 38100 w 1123950"/>
                            <a:gd name="connsiteY4" fmla="*/ 0 h 7524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123950" h="752475">
                              <a:moveTo>
                                <a:pt x="38100" y="0"/>
                              </a:moveTo>
                              <a:lnTo>
                                <a:pt x="1123950" y="47625"/>
                              </a:lnTo>
                              <a:lnTo>
                                <a:pt x="1123950" y="752475"/>
                              </a:lnTo>
                              <a:lnTo>
                                <a:pt x="0" y="695325"/>
                              </a:lnTo>
                              <a:lnTo>
                                <a:pt x="38100" y="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75pt;margin-top:220.6pt;height:59.25pt;width:88.5pt;z-index:251728896;mso-width-relative:page;mso-height-relative:page;" filled="f" stroked="t" coordsize="1123950,752475" o:gfxdata="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" path="m38100,0l1123950,47625,1123950,752475,0,695325,38100,0xe">
                <v:path o:connectlocs="38100,0;1123950,47625;1123950,752475;0,695325;38100,0" o:connectangles="0,0,0,0,0"/>
                <v:fill on="f" focussize="0,0"/>
                <v:stroke weight="1pt" color="#FFFF00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13536" behindDoc="0" locked="0" layoutInCell="1" allowOverlap="1">
                <wp:simplePos x="0" y="0"/>
                <wp:positionH relativeFrom="column">
                  <wp:posOffset>5064760</wp:posOffset>
                </wp:positionH>
                <wp:positionV relativeFrom="paragraph">
                  <wp:posOffset>4192270</wp:posOffset>
                </wp:positionV>
                <wp:extent cx="857250" cy="43815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857250" cy="438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ABFE11">
                            <w:pPr>
                              <w:rPr>
                                <w:rFonts w:hint="eastAsia" w:eastAsia="宋体"/>
                                <w:b/>
                                <w:bCs/>
                                <w:color w:val="FFFF00"/>
                                <w:lang w:eastAsia="zh-CN"/>
                              </w:rPr>
                            </w:pPr>
                            <w:r>
                              <w:rPr>
                                <w:rFonts w:hint="eastAsia" w:ascii="Arial" w:hAnsi="Arial" w:eastAsia="宋体" w:cs="Arial"/>
                                <w:i w:val="0"/>
                                <w:iCs w:val="0"/>
                                <w:caps w:val="0"/>
                                <w:color w:val="FFFFFF"/>
                                <w:spacing w:val="0"/>
                                <w:sz w:val="24"/>
                                <w:szCs w:val="24"/>
                                <w:shd w:val="clear" w:fill="3385FF"/>
                                <w:lang w:eastAsia="zh-CN"/>
                              </w:rPr>
                              <w:t>柏创机电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8.8pt;margin-top:330.1pt;height:34.5pt;width:67.5pt;z-index:251713536;mso-width-relative:page;mso-height-relative:page;" filled="f" stroked="f" coordsize="21600,21600" o:gfxdata="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kxcmm2wAAAAsBAAAPAAAAAAAAAAEAIAAAACIAAABkcnMv&#10;ZG93bnJldi54bWxQSwECFAAUAAAACACHTuJA4OcALjkCAABpBAAADgAAAAAAAAABACAAAAAqAQAA&#10;ZHJzL2Uyb0RvYy54bWxQSwUGAAAAAAYABgBZAQAA1QUAAAAA&#10;">
                <v:fill on="f" focussize="0,0"/>
                <v:stroke on="f" weight="0.5pt"/>
                <v:imagedata o:title=""/>
                <o:lock v:ext="edit" aspectratio="f"/>
                <v:textbox>
                  <w:txbxContent>
                    <w:p w14:paraId="43ABFE11">
                      <w:pPr>
                        <w:rPr>
                          <w:rFonts w:hint="eastAsia" w:eastAsia="宋体"/>
                          <w:b/>
                          <w:bCs/>
                          <w:color w:val="FFFF00"/>
                          <w:lang w:eastAsia="zh-CN"/>
                        </w:rPr>
                      </w:pPr>
                      <w:r>
                        <w:rPr>
                          <w:rFonts w:hint="eastAsia" w:ascii="Arial" w:hAnsi="Arial" w:eastAsia="宋体" w:cs="Arial"/>
                          <w:i w:val="0"/>
                          <w:iCs w:val="0"/>
                          <w:caps w:val="0"/>
                          <w:color w:val="FFFFFF"/>
                          <w:spacing w:val="0"/>
                          <w:sz w:val="24"/>
                          <w:szCs w:val="24"/>
                          <w:shd w:val="clear" w:fill="3385FF"/>
                          <w:lang w:eastAsia="zh-CN"/>
                        </w:rPr>
                        <w:t>柏创机电</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27872" behindDoc="0" locked="0" layoutInCell="1" allowOverlap="1">
                <wp:simplePos x="0" y="0"/>
                <wp:positionH relativeFrom="column">
                  <wp:posOffset>5089525</wp:posOffset>
                </wp:positionH>
                <wp:positionV relativeFrom="paragraph">
                  <wp:posOffset>3725545</wp:posOffset>
                </wp:positionV>
                <wp:extent cx="876300" cy="1333500"/>
                <wp:effectExtent l="6350" t="6350" r="12700" b="12700"/>
                <wp:wrapNone/>
                <wp:docPr id="124" name="任意多边形 124"/>
                <wp:cNvGraphicFramePr/>
                <a:graphic xmlns:a="http://schemas.openxmlformats.org/drawingml/2006/main">
                  <a:graphicData uri="http://schemas.microsoft.com/office/word/2010/wordprocessingShape">
                    <wps:wsp>
                      <wps:cNvSpPr/>
                      <wps:spPr>
                        <a:xfrm>
                          <a:off x="6079490" y="4899660"/>
                          <a:ext cx="876300" cy="1333500"/>
                        </a:xfrm>
                        <a:custGeom>
                          <a:avLst/>
                          <a:gdLst>
                            <a:gd name="connisteX0" fmla="*/ 28575 w 876300"/>
                            <a:gd name="connsiteY0" fmla="*/ 19050 h 1333500"/>
                            <a:gd name="connisteX1" fmla="*/ 876300 w 876300"/>
                            <a:gd name="connsiteY1" fmla="*/ 0 h 1333500"/>
                            <a:gd name="connisteX2" fmla="*/ 742950 w 876300"/>
                            <a:gd name="connsiteY2" fmla="*/ 1323975 h 1333500"/>
                            <a:gd name="connisteX3" fmla="*/ 0 w 876300"/>
                            <a:gd name="connsiteY3" fmla="*/ 1333500 h 1333500"/>
                            <a:gd name="connisteX4" fmla="*/ 28575 w 876300"/>
                            <a:gd name="connsiteY4" fmla="*/ 19050 h 13335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876300" h="1333500">
                              <a:moveTo>
                                <a:pt x="28575" y="19050"/>
                              </a:moveTo>
                              <a:lnTo>
                                <a:pt x="876300" y="0"/>
                              </a:lnTo>
                              <a:lnTo>
                                <a:pt x="742950" y="1323975"/>
                              </a:lnTo>
                              <a:lnTo>
                                <a:pt x="0" y="1333500"/>
                              </a:lnTo>
                              <a:lnTo>
                                <a:pt x="28575" y="1905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00.75pt;margin-top:293.35pt;height:105pt;width:69pt;z-index:251727872;mso-width-relative:page;mso-height-relative:page;" filled="f" stroked="t" coordsize="876300,1333500" o:gfxdata="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" path="m28575,19050l876300,0,742950,1323975,0,1333500,28575,19050xe">
                <v:path o:connectlocs="28575,19050;876300,0;742950,1323975;0,1333500;28575,19050" o:connectangles="0,0,0,0,0"/>
                <v:fill on="f" focussize="0,0"/>
                <v:stroke weight="1pt" color="#FFFF00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26848" behindDoc="0" locked="0" layoutInCell="1" allowOverlap="1">
                <wp:simplePos x="0" y="0"/>
                <wp:positionH relativeFrom="column">
                  <wp:posOffset>4013200</wp:posOffset>
                </wp:positionH>
                <wp:positionV relativeFrom="paragraph">
                  <wp:posOffset>3725545</wp:posOffset>
                </wp:positionV>
                <wp:extent cx="1085850" cy="1343025"/>
                <wp:effectExtent l="6350" t="6350" r="12700" b="22225"/>
                <wp:wrapNone/>
                <wp:docPr id="123" name="任意多边形 123"/>
                <wp:cNvGraphicFramePr/>
                <a:graphic xmlns:a="http://schemas.openxmlformats.org/drawingml/2006/main">
                  <a:graphicData uri="http://schemas.microsoft.com/office/word/2010/wordprocessingShape">
                    <wps:wsp>
                      <wps:cNvSpPr/>
                      <wps:spPr>
                        <a:xfrm>
                          <a:off x="5003165" y="4899660"/>
                          <a:ext cx="1085850" cy="1343025"/>
                        </a:xfrm>
                        <a:custGeom>
                          <a:avLst/>
                          <a:gdLst>
                            <a:gd name="connisteX0" fmla="*/ 0 w 1085850"/>
                            <a:gd name="connsiteY0" fmla="*/ 0 h 1343025"/>
                            <a:gd name="connisteX1" fmla="*/ 1085850 w 1085850"/>
                            <a:gd name="connsiteY1" fmla="*/ 0 h 1343025"/>
                            <a:gd name="connisteX2" fmla="*/ 1057275 w 1085850"/>
                            <a:gd name="connsiteY2" fmla="*/ 1304925 h 1343025"/>
                            <a:gd name="connisteX3" fmla="*/ 57150 w 1085850"/>
                            <a:gd name="connsiteY3" fmla="*/ 1343025 h 1343025"/>
                            <a:gd name="connisteX4" fmla="*/ 0 w 1085850"/>
                            <a:gd name="connsiteY4" fmla="*/ 0 h 13430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085850" h="1343025">
                              <a:moveTo>
                                <a:pt x="0" y="0"/>
                              </a:moveTo>
                              <a:lnTo>
                                <a:pt x="1085850" y="0"/>
                              </a:lnTo>
                              <a:lnTo>
                                <a:pt x="1057275" y="1304925"/>
                              </a:lnTo>
                              <a:lnTo>
                                <a:pt x="57150" y="1343025"/>
                              </a:lnTo>
                              <a:lnTo>
                                <a:pt x="0" y="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16pt;margin-top:293.35pt;height:105.75pt;width:85.5pt;z-index:251726848;mso-width-relative:page;mso-height-relative:page;" filled="f" stroked="t" coordsize="1085850,1343025" o:gfxdata="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" path="m0,0l1085850,0,1057275,1304925,57150,1343025,0,0xe">
                <v:path o:connectlocs="0,0;1085850,0;1057275,1304925;57150,1343025;0,0" o:connectangles="0,0,0,0,0"/>
                <v:fill on="f" focussize="0,0"/>
                <v:stroke weight="1pt" color="#FFFF00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25824" behindDoc="0" locked="0" layoutInCell="1" allowOverlap="1">
                <wp:simplePos x="0" y="0"/>
                <wp:positionH relativeFrom="column">
                  <wp:posOffset>3622675</wp:posOffset>
                </wp:positionH>
                <wp:positionV relativeFrom="paragraph">
                  <wp:posOffset>2706370</wp:posOffset>
                </wp:positionV>
                <wp:extent cx="809625" cy="809625"/>
                <wp:effectExtent l="6985" t="6350" r="21590" b="22225"/>
                <wp:wrapNone/>
                <wp:docPr id="121" name="任意多边形 121"/>
                <wp:cNvGraphicFramePr/>
                <a:graphic xmlns:a="http://schemas.openxmlformats.org/drawingml/2006/main">
                  <a:graphicData uri="http://schemas.microsoft.com/office/word/2010/wordprocessingShape">
                    <wps:wsp>
                      <wps:cNvSpPr/>
                      <wps:spPr>
                        <a:xfrm>
                          <a:off x="4612640" y="3880485"/>
                          <a:ext cx="809625" cy="809625"/>
                        </a:xfrm>
                        <a:custGeom>
                          <a:avLst/>
                          <a:gdLst>
                            <a:gd name="connisteX0" fmla="*/ 76200 w 809625"/>
                            <a:gd name="connsiteY0" fmla="*/ 0 h 809625"/>
                            <a:gd name="connisteX1" fmla="*/ 809625 w 809625"/>
                            <a:gd name="connsiteY1" fmla="*/ 0 h 809625"/>
                            <a:gd name="connisteX2" fmla="*/ 809625 w 809625"/>
                            <a:gd name="connsiteY2" fmla="*/ 809625 h 809625"/>
                            <a:gd name="connisteX3" fmla="*/ 0 w 809625"/>
                            <a:gd name="connsiteY3" fmla="*/ 771525 h 809625"/>
                            <a:gd name="connisteX4" fmla="*/ 76200 w 809625"/>
                            <a:gd name="connsiteY4" fmla="*/ 0 h 8096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809625" h="809625">
                              <a:moveTo>
                                <a:pt x="76200" y="0"/>
                              </a:moveTo>
                              <a:lnTo>
                                <a:pt x="809625" y="0"/>
                              </a:lnTo>
                              <a:lnTo>
                                <a:pt x="809625" y="809625"/>
                              </a:lnTo>
                              <a:lnTo>
                                <a:pt x="0" y="771525"/>
                              </a:lnTo>
                              <a:lnTo>
                                <a:pt x="76200" y="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85.25pt;margin-top:213.1pt;height:63.75pt;width:63.75pt;z-index:251725824;mso-width-relative:page;mso-height-relative:page;" filled="f" stroked="t" coordsize="809625,809625" o:gfxdata="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" path="m76200,0l809625,0,809625,809625,0,771525,76200,0xe">
                <v:path o:connectlocs="76200,0;809625,0;809625,809625;0,771525;76200,0" o:connectangles="0,0,0,0,0"/>
                <v:fill on="f" focussize="0,0"/>
                <v:stroke weight="1pt" color="#FFFF00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24800" behindDoc="0" locked="0" layoutInCell="1" allowOverlap="1">
                <wp:simplePos x="0" y="0"/>
                <wp:positionH relativeFrom="column">
                  <wp:posOffset>2555875</wp:posOffset>
                </wp:positionH>
                <wp:positionV relativeFrom="paragraph">
                  <wp:posOffset>2077720</wp:posOffset>
                </wp:positionV>
                <wp:extent cx="1190625" cy="590550"/>
                <wp:effectExtent l="6985" t="6350" r="21590" b="12700"/>
                <wp:wrapNone/>
                <wp:docPr id="118" name="任意多边形 118"/>
                <wp:cNvGraphicFramePr/>
                <a:graphic xmlns:a="http://schemas.openxmlformats.org/drawingml/2006/main">
                  <a:graphicData uri="http://schemas.microsoft.com/office/word/2010/wordprocessingShape">
                    <wps:wsp>
                      <wps:cNvSpPr/>
                      <wps:spPr>
                        <a:xfrm>
                          <a:off x="3545840" y="3251835"/>
                          <a:ext cx="1190625" cy="590550"/>
                        </a:xfrm>
                        <a:custGeom>
                          <a:avLst/>
                          <a:gdLst>
                            <a:gd name="connisteX0" fmla="*/ 76200 w 1190625"/>
                            <a:gd name="connsiteY0" fmla="*/ 0 h 590550"/>
                            <a:gd name="connisteX1" fmla="*/ 1190625 w 1190625"/>
                            <a:gd name="connsiteY1" fmla="*/ 9525 h 590550"/>
                            <a:gd name="connisteX2" fmla="*/ 1181100 w 1190625"/>
                            <a:gd name="connsiteY2" fmla="*/ 561975 h 590550"/>
                            <a:gd name="connisteX3" fmla="*/ 0 w 1190625"/>
                            <a:gd name="connsiteY3" fmla="*/ 590550 h 590550"/>
                            <a:gd name="connisteX4" fmla="*/ 76200 w 1190625"/>
                            <a:gd name="connsiteY4" fmla="*/ 0 h 5905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190625" h="590550">
                              <a:moveTo>
                                <a:pt x="76200" y="0"/>
                              </a:moveTo>
                              <a:lnTo>
                                <a:pt x="1190625" y="9525"/>
                              </a:lnTo>
                              <a:lnTo>
                                <a:pt x="1181100" y="561975"/>
                              </a:lnTo>
                              <a:lnTo>
                                <a:pt x="0" y="590550"/>
                              </a:lnTo>
                              <a:lnTo>
                                <a:pt x="76200" y="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01.25pt;margin-top:163.6pt;height:46.5pt;width:93.75pt;z-index:251724800;mso-width-relative:page;mso-height-relative:page;" filled="f" stroked="t" coordsize="1190625,590550" o:gfxdata="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" path="m76200,0l1190625,9525,1181100,561975,0,590550,76200,0xe">
                <v:path o:connectlocs="76200,0;1190625,9525;1181100,561975;0,590550;76200,0" o:connectangles="0,0,0,0,0"/>
                <v:fill on="f" focussize="0,0"/>
                <v:stroke weight="1pt" color="#FFFF00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14560" behindDoc="0" locked="0" layoutInCell="1" allowOverlap="1">
                <wp:simplePos x="0" y="0"/>
                <wp:positionH relativeFrom="column">
                  <wp:posOffset>4674235</wp:posOffset>
                </wp:positionH>
                <wp:positionV relativeFrom="paragraph">
                  <wp:posOffset>2315845</wp:posOffset>
                </wp:positionV>
                <wp:extent cx="705485" cy="344170"/>
                <wp:effectExtent l="0" t="0" r="0" b="0"/>
                <wp:wrapNone/>
                <wp:docPr id="129" name="文本框 129"/>
                <wp:cNvGraphicFramePr/>
                <a:graphic xmlns:a="http://schemas.openxmlformats.org/drawingml/2006/main">
                  <a:graphicData uri="http://schemas.microsoft.com/office/word/2010/wordprocessingShape">
                    <wps:wsp>
                      <wps:cNvSpPr txBox="1"/>
                      <wps:spPr>
                        <a:xfrm>
                          <a:off x="0" y="0"/>
                          <a:ext cx="705485" cy="344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3F102E">
                            <w:pPr>
                              <w:rPr>
                                <w:rFonts w:hint="default" w:eastAsia="宋体"/>
                                <w:b/>
                                <w:bCs/>
                                <w:color w:val="FF0000"/>
                                <w:lang w:val="en-US" w:eastAsia="zh-CN"/>
                              </w:rPr>
                            </w:pPr>
                            <w:r>
                              <w:rPr>
                                <w:rFonts w:hint="eastAsia"/>
                                <w:b/>
                                <w:bCs/>
                                <w:color w:val="FF0000"/>
                                <w:lang w:val="en-US" w:eastAsia="zh-CN"/>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8.05pt;margin-top:182.35pt;height:27.1pt;width:55.55pt;z-index:251714560;mso-width-relative:page;mso-height-relative:page;" filled="f" stroked="f" coordsize="21600,21600" o:gfxdata="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8l976NwAAAALAQAADwAAAAAAAAABACAAAAAi&#10;AAAAZHJzL2Rvd25yZXYueG1sUEsBAhQAFAAAAAgAh07iQNotc/c/AgAAaQQAAA4AAAAAAAAAAQAg&#10;AAAAKwEAAGRycy9lMm9Eb2MueG1sUEsFBgAAAAAGAAYAWQEAANwFAAAAAA==&#10;">
                <v:fill on="f" focussize="0,0"/>
                <v:stroke on="f" weight="0.5pt"/>
                <v:imagedata o:title=""/>
                <o:lock v:ext="edit" aspectratio="f"/>
                <v:textbox>
                  <w:txbxContent>
                    <w:p w14:paraId="1B3F102E">
                      <w:pPr>
                        <w:rPr>
                          <w:rFonts w:hint="default" w:eastAsia="宋体"/>
                          <w:b/>
                          <w:bCs/>
                          <w:color w:val="FF0000"/>
                          <w:lang w:val="en-US" w:eastAsia="zh-CN"/>
                        </w:rPr>
                      </w:pPr>
                      <w:r>
                        <w:rPr>
                          <w:rFonts w:hint="eastAsia"/>
                          <w:b/>
                          <w:bCs/>
                          <w:color w:val="FF0000"/>
                          <w:lang w:val="en-US" w:eastAsia="zh-CN"/>
                        </w:rPr>
                        <w:t>本项目</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1312" behindDoc="0" locked="0" layoutInCell="1" allowOverlap="1">
                <wp:simplePos x="0" y="0"/>
                <wp:positionH relativeFrom="column">
                  <wp:posOffset>3822700</wp:posOffset>
                </wp:positionH>
                <wp:positionV relativeFrom="paragraph">
                  <wp:posOffset>2077720</wp:posOffset>
                </wp:positionV>
                <wp:extent cx="2076450" cy="1409700"/>
                <wp:effectExtent l="6350" t="6350" r="12700" b="12700"/>
                <wp:wrapNone/>
                <wp:docPr id="49" name="任意多边形 49"/>
                <wp:cNvGraphicFramePr/>
                <a:graphic xmlns:a="http://schemas.openxmlformats.org/drawingml/2006/main">
                  <a:graphicData uri="http://schemas.microsoft.com/office/word/2010/wordprocessingShape">
                    <wps:wsp>
                      <wps:cNvSpPr/>
                      <wps:spPr>
                        <a:xfrm>
                          <a:off x="4812665" y="3251835"/>
                          <a:ext cx="2076450" cy="1409700"/>
                        </a:xfrm>
                        <a:custGeom>
                          <a:avLst/>
                          <a:gdLst>
                            <a:gd name="connisteX0" fmla="*/ 0 w 2028825"/>
                            <a:gd name="connsiteY0" fmla="*/ 0 h 1409700"/>
                            <a:gd name="connisteX1" fmla="*/ 2019300 w 2028825"/>
                            <a:gd name="connsiteY1" fmla="*/ 47625 h 1409700"/>
                            <a:gd name="connisteX2" fmla="*/ 2028825 w 2028825"/>
                            <a:gd name="connsiteY2" fmla="*/ 1381125 h 1409700"/>
                            <a:gd name="connisteX3" fmla="*/ 752475 w 2028825"/>
                            <a:gd name="connsiteY3" fmla="*/ 1409700 h 1409700"/>
                            <a:gd name="connisteX4" fmla="*/ 742950 w 2028825"/>
                            <a:gd name="connsiteY4" fmla="*/ 600075 h 1409700"/>
                            <a:gd name="connisteX5" fmla="*/ 9525 w 2028825"/>
                            <a:gd name="connsiteY5" fmla="*/ 581025 h 1409700"/>
                            <a:gd name="connisteX6" fmla="*/ 0 w 2028825"/>
                            <a:gd name="connsiteY6" fmla="*/ 0 h 14097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028825" h="1409700">
                              <a:moveTo>
                                <a:pt x="0" y="0"/>
                              </a:moveTo>
                              <a:lnTo>
                                <a:pt x="2019300" y="47625"/>
                              </a:lnTo>
                              <a:lnTo>
                                <a:pt x="2028825" y="1381125"/>
                              </a:lnTo>
                              <a:lnTo>
                                <a:pt x="752475" y="1409700"/>
                              </a:lnTo>
                              <a:lnTo>
                                <a:pt x="742950" y="600075"/>
                              </a:lnTo>
                              <a:lnTo>
                                <a:pt x="9525" y="581025"/>
                              </a:lnTo>
                              <a:lnTo>
                                <a:pt x="0" y="0"/>
                              </a:lnTo>
                              <a:close/>
                            </a:path>
                          </a:pathLst>
                        </a:custGeom>
                        <a:solidFill>
                          <a:srgbClr val="5B9BD5">
                            <a:alpha val="10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01pt;margin-top:163.6pt;height:111pt;width:163.5pt;z-index:251661312;mso-width-relative:page;mso-height-relative:page;" fillcolor="#5B9BD5" filled="t" stroked="t" coordsize="2028825,1409700" o:gfxdata="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" path="m0,0l2019300,47625,2028825,1381125,752475,1409700,742950,600075,9525,581025,0,0xe">
                <v:path o:connectlocs="0,0;2066701,47625;2076450,1381125;770138,1409700;760390,600075;9748,581025;0,0" o:connectangles="0,0,0,0,0,0,0"/>
                <v:fill on="t" opacity="6553f" focussize="0,0"/>
                <v:stroke weight="1pt" color="#FF0000 [2404]" miterlimit="8" joinstyle="miter"/>
                <v:imagedata o:title=""/>
                <o:lock v:ext="edit" aspectratio="f"/>
              </v:shape>
            </w:pict>
          </mc:Fallback>
        </mc:AlternateContent>
      </w:r>
      <w:r>
        <w:rPr>
          <w:rFonts w:hint="default" w:ascii="Times New Roman" w:hAnsi="Times New Roman" w:cs="Times New Roman"/>
          <w:color w:val="auto"/>
        </w:rPr>
        <w:drawing>
          <wp:anchor distT="0" distB="0" distL="114300" distR="114300" simplePos="0" relativeHeight="251717632" behindDoc="0" locked="0" layoutInCell="1" allowOverlap="1">
            <wp:simplePos x="0" y="0"/>
            <wp:positionH relativeFrom="column">
              <wp:posOffset>6951345</wp:posOffset>
            </wp:positionH>
            <wp:positionV relativeFrom="paragraph">
              <wp:posOffset>55245</wp:posOffset>
            </wp:positionV>
            <wp:extent cx="802640" cy="819150"/>
            <wp:effectExtent l="0" t="0" r="16510" b="0"/>
            <wp:wrapNone/>
            <wp:docPr id="1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
                    <pic:cNvPicPr>
                      <a:picLocks noChangeAspect="1"/>
                    </pic:cNvPicPr>
                  </pic:nvPicPr>
                  <pic:blipFill>
                    <a:blip r:embed="rId42"/>
                    <a:stretch>
                      <a:fillRect/>
                    </a:stretch>
                  </pic:blipFill>
                  <pic:spPr>
                    <a:xfrm>
                      <a:off x="0" y="0"/>
                      <a:ext cx="802640" cy="819150"/>
                    </a:xfrm>
                    <a:prstGeom prst="rect">
                      <a:avLst/>
                    </a:prstGeom>
                    <a:noFill/>
                    <a:ln>
                      <a:noFill/>
                    </a:ln>
                  </pic:spPr>
                </pic:pic>
              </a:graphicData>
            </a:graphic>
          </wp:anchor>
        </w:drawing>
      </w:r>
    </w:p>
    <w:p w14:paraId="75409E22">
      <w:pPr>
        <w:pStyle w:val="36"/>
        <w:pageBreakBefore w:val="0"/>
        <w:numPr>
          <w:ilvl w:val="0"/>
          <w:numId w:val="13"/>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rPr>
      </w:pPr>
      <w:bookmarkStart w:id="118" w:name="_Toc31136"/>
      <w:r>
        <w:rPr>
          <w:color w:val="auto"/>
          <w:sz w:val="24"/>
        </w:rPr>
        <mc:AlternateContent>
          <mc:Choice Requires="wps">
            <w:drawing>
              <wp:anchor distT="0" distB="0" distL="114300" distR="114300" simplePos="0" relativeHeight="251769856" behindDoc="0" locked="0" layoutInCell="1" allowOverlap="1">
                <wp:simplePos x="0" y="0"/>
                <wp:positionH relativeFrom="column">
                  <wp:posOffset>6052185</wp:posOffset>
                </wp:positionH>
                <wp:positionV relativeFrom="paragraph">
                  <wp:posOffset>229235</wp:posOffset>
                </wp:positionV>
                <wp:extent cx="781050" cy="285750"/>
                <wp:effectExtent l="439420" t="6350" r="17780" b="279400"/>
                <wp:wrapNone/>
                <wp:docPr id="84" name="矩形标注 84"/>
                <wp:cNvGraphicFramePr/>
                <a:graphic xmlns:a="http://schemas.openxmlformats.org/drawingml/2006/main">
                  <a:graphicData uri="http://schemas.microsoft.com/office/word/2010/wordprocessingShape">
                    <wps:wsp>
                      <wps:cNvSpPr/>
                      <wps:spPr>
                        <a:xfrm>
                          <a:off x="0" y="0"/>
                          <a:ext cx="781050" cy="285750"/>
                        </a:xfrm>
                        <a:prstGeom prst="wedgeRectCallout">
                          <a:avLst>
                            <a:gd name="adj1" fmla="val -100081"/>
                            <a:gd name="adj2" fmla="val 139111"/>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25D57A02">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eastAsia="宋体"/>
                                <w:b/>
                                <w:bCs/>
                                <w:lang w:val="en-US" w:eastAsia="zh-CN"/>
                              </w:rPr>
                            </w:pPr>
                            <w:r>
                              <w:rPr>
                                <w:rFonts w:hint="eastAsia"/>
                                <w:b/>
                                <w:bCs/>
                                <w:lang w:val="en-US" w:eastAsia="zh-CN"/>
                              </w:rPr>
                              <w:t>DA006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76.55pt;margin-top:18.05pt;height:22.5pt;width:61.5pt;z-index:251769856;v-text-anchor:middle;mso-width-relative:page;mso-height-relative:page;" fillcolor="#5B9BD5 [3204]" filled="t" stroked="t" coordsize="21600,21600" o:gfxdata="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btM9I9kAAAAK&#10;AQAADwAAAAAAAAABACAAAAAiAAAAZHJzL2Rvd25yZXYueG1sUEsBAhQAFAAAAAgAh07iQJ7I+ujG&#10;AgAAiAUAAA4AAAAAAAAAAQAgAAAAKAEAAGRycy9lMm9Eb2MueG1sUEsFBgAAAAAGAAYAWQEAAGAG&#10;AAAAAA==&#10;" adj="-10817,40848">
                <v:fill on="t" focussize="0,0"/>
                <v:stroke weight="1pt" color="#2E75B6 [2404]" miterlimit="8" joinstyle="miter"/>
                <v:imagedata o:title=""/>
                <o:lock v:ext="edit" aspectratio="f"/>
                <v:textbox>
                  <w:txbxContent>
                    <w:p w14:paraId="25D57A02">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eastAsia="宋体"/>
                          <w:b/>
                          <w:bCs/>
                          <w:lang w:val="en-US" w:eastAsia="zh-CN"/>
                        </w:rPr>
                      </w:pPr>
                      <w:r>
                        <w:rPr>
                          <w:rFonts w:hint="eastAsia"/>
                          <w:b/>
                          <w:bCs/>
                          <w:lang w:val="en-US" w:eastAsia="zh-CN"/>
                        </w:rPr>
                        <w:t>DA006</w:t>
                      </w:r>
                    </w:p>
                  </w:txbxContent>
                </v:textbox>
              </v:shape>
            </w:pict>
          </mc:Fallback>
        </mc:AlternateContent>
      </w:r>
      <w:r>
        <w:rPr>
          <w:rFonts w:hint="default" w:ascii="Times New Roman" w:hAnsi="Times New Roman" w:cs="Times New Roman"/>
          <w:b/>
          <w:bCs/>
          <w:color w:val="auto"/>
          <w:sz w:val="24"/>
          <w:szCs w:val="24"/>
          <w:lang w:eastAsia="zh-CN"/>
        </w:rPr>
        <w:t>厂区</w:t>
      </w:r>
      <w:r>
        <w:rPr>
          <w:rFonts w:hint="default" w:ascii="Times New Roman" w:hAnsi="Times New Roman" w:eastAsia="宋体" w:cs="Times New Roman"/>
          <w:b/>
          <w:bCs/>
          <w:color w:val="auto"/>
          <w:sz w:val="24"/>
          <w:szCs w:val="24"/>
        </w:rPr>
        <w:t>平面布置图</w:t>
      </w:r>
      <w:bookmarkEnd w:id="118"/>
    </w:p>
    <w:p w14:paraId="12E0087A">
      <w:pPr>
        <w:pageBreakBefore w:val="0"/>
        <w:wordWrap w:val="0"/>
        <w:overflowPunct/>
        <w:bidi w:val="0"/>
        <w:jc w:val="center"/>
        <w:rPr>
          <w:rFonts w:hint="default" w:ascii="Times New Roman" w:hAnsi="Times New Roman" w:cs="Times New Roman"/>
          <w:color w:val="auto"/>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sz w:val="24"/>
        </w:rPr>
        <mc:AlternateContent>
          <mc:Choice Requires="wps">
            <w:drawing>
              <wp:anchor distT="0" distB="0" distL="114300" distR="114300" simplePos="0" relativeHeight="251782144" behindDoc="0" locked="0" layoutInCell="1" allowOverlap="1">
                <wp:simplePos x="0" y="0"/>
                <wp:positionH relativeFrom="column">
                  <wp:posOffset>7299960</wp:posOffset>
                </wp:positionH>
                <wp:positionV relativeFrom="paragraph">
                  <wp:posOffset>2070100</wp:posOffset>
                </wp:positionV>
                <wp:extent cx="1133475" cy="294640"/>
                <wp:effectExtent l="0" t="0" r="9525" b="10160"/>
                <wp:wrapNone/>
                <wp:docPr id="115" name="文本框 115"/>
                <wp:cNvGraphicFramePr/>
                <a:graphic xmlns:a="http://schemas.openxmlformats.org/drawingml/2006/main">
                  <a:graphicData uri="http://schemas.microsoft.com/office/word/2010/wordprocessingShape">
                    <wps:wsp>
                      <wps:cNvSpPr txBox="1"/>
                      <wps:spPr>
                        <a:xfrm>
                          <a:off x="0" y="0"/>
                          <a:ext cx="1133475" cy="2946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8B9F01C">
                            <w:pPr>
                              <w:keepNext w:val="0"/>
                              <w:keepLines w:val="0"/>
                              <w:pageBreakBefore w:val="0"/>
                              <w:widowControl w:val="0"/>
                              <w:kinsoku/>
                              <w:wordWrap/>
                              <w:overflowPunct/>
                              <w:topLinePunct w:val="0"/>
                              <w:bidi w:val="0"/>
                              <w:adjustRightInd w:val="0"/>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本项目排气筒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4.8pt;margin-top:163pt;height:23.2pt;width:89.25pt;z-index:251782144;mso-width-relative:page;mso-height-relative:page;" fillcolor="#FFFFFF [3201]" filled="t" stroked="f" coordsize="21600,21600" o:gfxdata="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OHf9o9cAAAANAQAA&#10;DwAAAAAAAAABACAAAAAiAAAAZHJzL2Rvd25yZXYueG1sUEsBAhQAFAAAAAgAh07iQDT/1hFTAgAA&#10;kwQAAA4AAAAAAAAAAQAgAAAAJgEAAGRycy9lMm9Eb2MueG1sUEsFBgAAAAAGAAYAWQEAAOsFAAAA&#10;AA==&#10;">
                <v:fill on="t" focussize="0,0"/>
                <v:stroke on="f" weight="0.5pt"/>
                <v:imagedata o:title=""/>
                <o:lock v:ext="edit" aspectratio="f"/>
                <v:textbox>
                  <w:txbxContent>
                    <w:p w14:paraId="08B9F01C">
                      <w:pPr>
                        <w:keepNext w:val="0"/>
                        <w:keepLines w:val="0"/>
                        <w:pageBreakBefore w:val="0"/>
                        <w:widowControl w:val="0"/>
                        <w:kinsoku/>
                        <w:wordWrap/>
                        <w:overflowPunct/>
                        <w:topLinePunct w:val="0"/>
                        <w:bidi w:val="0"/>
                        <w:adjustRightInd w:val="0"/>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本项目排气筒</w:t>
                      </w:r>
                    </w:p>
                  </w:txbxContent>
                </v:textbox>
              </v:shape>
            </w:pict>
          </mc:Fallback>
        </mc:AlternateContent>
      </w:r>
      <w:r>
        <w:rPr>
          <w:color w:val="auto"/>
          <w:sz w:val="24"/>
        </w:rPr>
        <mc:AlternateContent>
          <mc:Choice Requires="wps">
            <w:drawing>
              <wp:anchor distT="0" distB="0" distL="114300" distR="114300" simplePos="0" relativeHeight="251780096" behindDoc="0" locked="0" layoutInCell="1" allowOverlap="1">
                <wp:simplePos x="0" y="0"/>
                <wp:positionH relativeFrom="column">
                  <wp:posOffset>7290435</wp:posOffset>
                </wp:positionH>
                <wp:positionV relativeFrom="paragraph">
                  <wp:posOffset>1831975</wp:posOffset>
                </wp:positionV>
                <wp:extent cx="1133475" cy="294640"/>
                <wp:effectExtent l="0" t="0" r="9525" b="10160"/>
                <wp:wrapNone/>
                <wp:docPr id="104" name="文本框 104"/>
                <wp:cNvGraphicFramePr/>
                <a:graphic xmlns:a="http://schemas.openxmlformats.org/drawingml/2006/main">
                  <a:graphicData uri="http://schemas.microsoft.com/office/word/2010/wordprocessingShape">
                    <wps:wsp>
                      <wps:cNvSpPr txBox="1"/>
                      <wps:spPr>
                        <a:xfrm>
                          <a:off x="8842375" y="3576955"/>
                          <a:ext cx="1133475" cy="2946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3607431">
                            <w:pPr>
                              <w:keepNext w:val="0"/>
                              <w:keepLines w:val="0"/>
                              <w:pageBreakBefore w:val="0"/>
                              <w:widowControl w:val="0"/>
                              <w:kinsoku/>
                              <w:wordWrap/>
                              <w:overflowPunct/>
                              <w:topLinePunct w:val="0"/>
                              <w:bidi w:val="0"/>
                              <w:adjustRightInd w:val="0"/>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原项目排气筒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4.05pt;margin-top:144.25pt;height:23.2pt;width:89.25pt;z-index:251780096;mso-width-relative:page;mso-height-relative:page;" fillcolor="#FFFFFF [3201]" filled="t" stroked="f" coordsize="21600,21600" o:gfxdata="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jGS9l2AAAAA0BAAAPAAAAAAAAAAEAIAAAACIAAABkcnMvZG93bnJldi54bWxQSwECFAAUAAAA&#10;CACHTuJAvtxw6WACAACfBAAADgAAAAAAAAABACAAAAAnAQAAZHJzL2Uyb0RvYy54bWxQSwUGAAAA&#10;AAYABgBZAQAA+QUAAAAA&#10;">
                <v:fill on="t" focussize="0,0"/>
                <v:stroke on="f" weight="0.5pt"/>
                <v:imagedata o:title=""/>
                <o:lock v:ext="edit" aspectratio="f"/>
                <v:textbox>
                  <w:txbxContent>
                    <w:p w14:paraId="23607431">
                      <w:pPr>
                        <w:keepNext w:val="0"/>
                        <w:keepLines w:val="0"/>
                        <w:pageBreakBefore w:val="0"/>
                        <w:widowControl w:val="0"/>
                        <w:kinsoku/>
                        <w:wordWrap/>
                        <w:overflowPunct/>
                        <w:topLinePunct w:val="0"/>
                        <w:bidi w:val="0"/>
                        <w:adjustRightInd w:val="0"/>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原项目排气筒</w:t>
                      </w:r>
                    </w:p>
                  </w:txbxContent>
                </v:textbox>
              </v:shape>
            </w:pict>
          </mc:Fallback>
        </mc:AlternateContent>
      </w:r>
      <w:r>
        <w:rPr>
          <w:color w:val="auto"/>
          <w:sz w:val="24"/>
        </w:rPr>
        <mc:AlternateContent>
          <mc:Choice Requires="wps">
            <w:drawing>
              <wp:anchor distT="0" distB="0" distL="114300" distR="114300" simplePos="0" relativeHeight="251781120" behindDoc="0" locked="0" layoutInCell="1" allowOverlap="1">
                <wp:simplePos x="0" y="0"/>
                <wp:positionH relativeFrom="column">
                  <wp:posOffset>7052310</wp:posOffset>
                </wp:positionH>
                <wp:positionV relativeFrom="paragraph">
                  <wp:posOffset>2155190</wp:posOffset>
                </wp:positionV>
                <wp:extent cx="123825" cy="114300"/>
                <wp:effectExtent l="6350" t="6350" r="22225" b="12700"/>
                <wp:wrapNone/>
                <wp:docPr id="112" name="椭圆 112"/>
                <wp:cNvGraphicFramePr/>
                <a:graphic xmlns:a="http://schemas.openxmlformats.org/drawingml/2006/main">
                  <a:graphicData uri="http://schemas.microsoft.com/office/word/2010/wordprocessingShape">
                    <wps:wsp>
                      <wps:cNvSpPr/>
                      <wps:spPr>
                        <a:xfrm>
                          <a:off x="0" y="0"/>
                          <a:ext cx="123825" cy="11430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55.3pt;margin-top:169.7pt;height:9pt;width:9.75pt;z-index:251781120;v-text-anchor:middle;mso-width-relative:page;mso-height-relative:page;" fillcolor="#5B9BD5 [3204]" filled="t" stroked="t" coordsize="21600,21600" o:gfxdata="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DAlrsF2gAAAA0BAAAP&#10;AAAAAAAAAAEAIAAAACIAAABkcnMvZG93bnJldi54bWxQSwECFAAUAAAACACHTuJA6xl1ZIgCAAAc&#10;BQAADgAAAAAAAAABACAAAAApAQAAZHJzL2Uyb0RvYy54bWxQSwUGAAAAAAYABgBZAQAAIwYAAAAA&#10;">
                <v:fill on="t" focussize="0,0"/>
                <v:stroke weight="1pt" color="#2E75B6 [24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79072" behindDoc="0" locked="0" layoutInCell="1" allowOverlap="1">
                <wp:simplePos x="0" y="0"/>
                <wp:positionH relativeFrom="column">
                  <wp:posOffset>7033260</wp:posOffset>
                </wp:positionH>
                <wp:positionV relativeFrom="paragraph">
                  <wp:posOffset>1936115</wp:posOffset>
                </wp:positionV>
                <wp:extent cx="114300" cy="104775"/>
                <wp:effectExtent l="6350" t="6350" r="12700" b="22225"/>
                <wp:wrapNone/>
                <wp:docPr id="100" name="椭圆 100"/>
                <wp:cNvGraphicFramePr/>
                <a:graphic xmlns:a="http://schemas.openxmlformats.org/drawingml/2006/main">
                  <a:graphicData uri="http://schemas.microsoft.com/office/word/2010/wordprocessingShape">
                    <wps:wsp>
                      <wps:cNvSpPr/>
                      <wps:spPr>
                        <a:xfrm>
                          <a:off x="0" y="0"/>
                          <a:ext cx="114300" cy="104775"/>
                        </a:xfrm>
                        <a:prstGeom prst="ellipse">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53.8pt;margin-top:152.45pt;height:8.25pt;width:9pt;z-index:251779072;v-text-anchor:middle;mso-width-relative:page;mso-height-relative:page;" fillcolor="#000000 [3213]" filled="t" stroked="t" coordsize="21600,21600" o:gfxdata="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BR12y2gAAAA0BAAAPAAAAAAAAAAEAIAAAACIAAABkcnMvZG93bnJldi54&#10;bWxQSwECFAAUAAAACACHTuJAoh0fd2oCAAD6BAAADgAAAAAAAAABACAAAAApAQAAZHJzL2Uyb0Rv&#10;Yy54bWxQSwUGAAAAAAYABgBZAQAABQYAAAAA&#10;">
                <v:fill on="t" focussize="0,0"/>
                <v:stroke weight="1pt" color="#000000 [3213]"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77024" behindDoc="0" locked="0" layoutInCell="1" allowOverlap="1">
                <wp:simplePos x="0" y="0"/>
                <wp:positionH relativeFrom="column">
                  <wp:posOffset>4652010</wp:posOffset>
                </wp:positionH>
                <wp:positionV relativeFrom="paragraph">
                  <wp:posOffset>1621790</wp:posOffset>
                </wp:positionV>
                <wp:extent cx="781050" cy="285750"/>
                <wp:effectExtent l="203200" t="6350" r="6350" b="127000"/>
                <wp:wrapNone/>
                <wp:docPr id="92" name="矩形标注 92"/>
                <wp:cNvGraphicFramePr/>
                <a:graphic xmlns:a="http://schemas.openxmlformats.org/drawingml/2006/main">
                  <a:graphicData uri="http://schemas.microsoft.com/office/word/2010/wordprocessingShape">
                    <wps:wsp>
                      <wps:cNvSpPr/>
                      <wps:spPr>
                        <a:xfrm>
                          <a:off x="0" y="0"/>
                          <a:ext cx="781050" cy="285750"/>
                        </a:xfrm>
                        <a:prstGeom prst="wedgeRectCallout">
                          <a:avLst>
                            <a:gd name="adj1" fmla="val -69593"/>
                            <a:gd name="adj2" fmla="val 82444"/>
                          </a:avLst>
                        </a:prstGeom>
                        <a:solidFill>
                          <a:schemeClr val="tx1"/>
                        </a:solidFill>
                      </wps:spPr>
                      <wps:style>
                        <a:lnRef idx="2">
                          <a:schemeClr val="accent1">
                            <a:lumMod val="75000"/>
                          </a:schemeClr>
                        </a:lnRef>
                        <a:fillRef idx="1">
                          <a:schemeClr val="accent1"/>
                        </a:fillRef>
                        <a:effectRef idx="0">
                          <a:srgbClr val="FFFFFF"/>
                        </a:effectRef>
                        <a:fontRef idx="minor">
                          <a:schemeClr val="lt1"/>
                        </a:fontRef>
                      </wps:style>
                      <wps:txbx>
                        <w:txbxContent>
                          <w:p w14:paraId="301286EE">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eastAsia="宋体"/>
                                <w:b/>
                                <w:bCs/>
                                <w:color w:val="auto"/>
                                <w:lang w:val="en-US" w:eastAsia="zh-CN"/>
                              </w:rPr>
                            </w:pPr>
                            <w:r>
                              <w:rPr>
                                <w:rFonts w:hint="eastAsia"/>
                                <w:b/>
                                <w:bCs/>
                                <w:color w:val="auto"/>
                                <w:lang w:val="en-US" w:eastAsia="zh-CN"/>
                              </w:rPr>
                              <w:t>DA003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66.3pt;margin-top:127.7pt;height:22.5pt;width:61.5pt;z-index:251777024;v-text-anchor:middle;mso-width-relative:page;mso-height-relative:page;" fillcolor="#000000 [3213]" filled="t" stroked="t" coordsize="21600,21600" o:gfxdata="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zJHkUNkAAAALAQAADwAA&#10;AAAAAAABACAAAAAiAAAAZHJzL2Rvd25yZXYueG1sUEsBAhQAFAAAAAgAh07iQKicrgfAAgAAhgUA&#10;AA4AAAAAAAAAAQAgAAAAKAEAAGRycy9lMm9Eb2MueG1sUEsFBgAAAAAGAAYAWQEAAFoGAAAAAA==&#10;" adj="-4232,28608">
                <v:fill on="t" focussize="0,0"/>
                <v:stroke weight="1pt" color="#2E75B6 [2404]" miterlimit="8" joinstyle="miter"/>
                <v:imagedata o:title=""/>
                <o:lock v:ext="edit" aspectratio="f"/>
                <v:textbox>
                  <w:txbxContent>
                    <w:p w14:paraId="301286EE">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eastAsia="宋体"/>
                          <w:b/>
                          <w:bCs/>
                          <w:color w:val="auto"/>
                          <w:lang w:val="en-US" w:eastAsia="zh-CN"/>
                        </w:rPr>
                      </w:pPr>
                      <w:r>
                        <w:rPr>
                          <w:rFonts w:hint="eastAsia"/>
                          <w:b/>
                          <w:bCs/>
                          <w:color w:val="auto"/>
                          <w:lang w:val="en-US" w:eastAsia="zh-CN"/>
                        </w:rPr>
                        <w:t>DA003</w:t>
                      </w:r>
                    </w:p>
                  </w:txbxContent>
                </v:textbox>
              </v:shape>
            </w:pict>
          </mc:Fallback>
        </mc:AlternateContent>
      </w:r>
      <w:r>
        <w:rPr>
          <w:color w:val="auto"/>
          <w:sz w:val="24"/>
        </w:rPr>
        <mc:AlternateContent>
          <mc:Choice Requires="wps">
            <w:drawing>
              <wp:anchor distT="0" distB="0" distL="114300" distR="114300" simplePos="0" relativeHeight="251778048" behindDoc="0" locked="0" layoutInCell="1" allowOverlap="1">
                <wp:simplePos x="0" y="0"/>
                <wp:positionH relativeFrom="column">
                  <wp:posOffset>2099310</wp:posOffset>
                </wp:positionH>
                <wp:positionV relativeFrom="paragraph">
                  <wp:posOffset>2250440</wp:posOffset>
                </wp:positionV>
                <wp:extent cx="781050" cy="285750"/>
                <wp:effectExtent l="6350" t="218440" r="641350" b="10160"/>
                <wp:wrapNone/>
                <wp:docPr id="93" name="矩形标注 93"/>
                <wp:cNvGraphicFramePr/>
                <a:graphic xmlns:a="http://schemas.openxmlformats.org/drawingml/2006/main">
                  <a:graphicData uri="http://schemas.microsoft.com/office/word/2010/wordprocessingShape">
                    <wps:wsp>
                      <wps:cNvSpPr/>
                      <wps:spPr>
                        <a:xfrm>
                          <a:off x="0" y="0"/>
                          <a:ext cx="781050" cy="285750"/>
                        </a:xfrm>
                        <a:prstGeom prst="wedgeRectCallout">
                          <a:avLst>
                            <a:gd name="adj1" fmla="val 124308"/>
                            <a:gd name="adj2" fmla="val -117555"/>
                          </a:avLst>
                        </a:prstGeom>
                        <a:solidFill>
                          <a:schemeClr val="tx1"/>
                        </a:solidFill>
                      </wps:spPr>
                      <wps:style>
                        <a:lnRef idx="2">
                          <a:schemeClr val="accent1">
                            <a:lumMod val="75000"/>
                          </a:schemeClr>
                        </a:lnRef>
                        <a:fillRef idx="1">
                          <a:schemeClr val="accent1"/>
                        </a:fillRef>
                        <a:effectRef idx="0">
                          <a:srgbClr val="FFFFFF"/>
                        </a:effectRef>
                        <a:fontRef idx="minor">
                          <a:schemeClr val="lt1"/>
                        </a:fontRef>
                      </wps:style>
                      <wps:txbx>
                        <w:txbxContent>
                          <w:p w14:paraId="215BED85">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eastAsia="宋体"/>
                                <w:b/>
                                <w:bCs/>
                                <w:color w:val="auto"/>
                                <w:lang w:val="en-US" w:eastAsia="zh-CN"/>
                              </w:rPr>
                            </w:pPr>
                            <w:r>
                              <w:rPr>
                                <w:rFonts w:hint="eastAsia"/>
                                <w:b/>
                                <w:bCs/>
                                <w:color w:val="auto"/>
                                <w:lang w:val="en-US" w:eastAsia="zh-CN"/>
                              </w:rPr>
                              <w:t>DA002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65.3pt;margin-top:177.2pt;height:22.5pt;width:61.5pt;z-index:251778048;v-text-anchor:middle;mso-width-relative:page;mso-height-relative:page;" fillcolor="#000000 [3213]" filled="t" stroked="t" coordsize="21600,21600" o:gfxdata="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BNsrzLYAAAACwEAAA8A&#10;AAAAAAAAAQAgAAAAIgAAAGRycy9kb3ducmV2LnhtbFBLAQIUABQAAAAIAIdO4kC5xXACwgIAAIgF&#10;AAAOAAAAAAAAAAEAIAAAACcBAABkcnMvZTJvRG9jLnhtbFBLBQYAAAAABgAGAFkBAABbBgAAAAA=&#10;" adj="37651,-14592">
                <v:fill on="t" focussize="0,0"/>
                <v:stroke weight="1pt" color="#2E75B6 [2404]" miterlimit="8" joinstyle="miter"/>
                <v:imagedata o:title=""/>
                <o:lock v:ext="edit" aspectratio="f"/>
                <v:textbox>
                  <w:txbxContent>
                    <w:p w14:paraId="215BED85">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eastAsia="宋体"/>
                          <w:b/>
                          <w:bCs/>
                          <w:color w:val="auto"/>
                          <w:lang w:val="en-US" w:eastAsia="zh-CN"/>
                        </w:rPr>
                      </w:pPr>
                      <w:r>
                        <w:rPr>
                          <w:rFonts w:hint="eastAsia"/>
                          <w:b/>
                          <w:bCs/>
                          <w:color w:val="auto"/>
                          <w:lang w:val="en-US" w:eastAsia="zh-CN"/>
                        </w:rPr>
                        <w:t>DA002</w:t>
                      </w:r>
                    </w:p>
                  </w:txbxContent>
                </v:textbox>
              </v:shape>
            </w:pict>
          </mc:Fallback>
        </mc:AlternateContent>
      </w:r>
      <w:r>
        <w:rPr>
          <w:color w:val="auto"/>
          <w:sz w:val="24"/>
        </w:rPr>
        <mc:AlternateContent>
          <mc:Choice Requires="wps">
            <w:drawing>
              <wp:anchor distT="0" distB="0" distL="114300" distR="114300" simplePos="0" relativeHeight="251776000" behindDoc="0" locked="0" layoutInCell="1" allowOverlap="1">
                <wp:simplePos x="0" y="0"/>
                <wp:positionH relativeFrom="column">
                  <wp:posOffset>5337810</wp:posOffset>
                </wp:positionH>
                <wp:positionV relativeFrom="paragraph">
                  <wp:posOffset>4136390</wp:posOffset>
                </wp:positionV>
                <wp:extent cx="781050" cy="285750"/>
                <wp:effectExtent l="6350" t="413385" r="50800" b="24765"/>
                <wp:wrapNone/>
                <wp:docPr id="90" name="矩形标注 90"/>
                <wp:cNvGraphicFramePr/>
                <a:graphic xmlns:a="http://schemas.openxmlformats.org/drawingml/2006/main">
                  <a:graphicData uri="http://schemas.microsoft.com/office/word/2010/wordprocessingShape">
                    <wps:wsp>
                      <wps:cNvSpPr/>
                      <wps:spPr>
                        <a:xfrm>
                          <a:off x="0" y="0"/>
                          <a:ext cx="781050" cy="285750"/>
                        </a:xfrm>
                        <a:prstGeom prst="wedgeRectCallout">
                          <a:avLst>
                            <a:gd name="adj1" fmla="val 52357"/>
                            <a:gd name="adj2" fmla="val -184222"/>
                          </a:avLst>
                        </a:prstGeom>
                        <a:solidFill>
                          <a:schemeClr val="tx1"/>
                        </a:solidFill>
                      </wps:spPr>
                      <wps:style>
                        <a:lnRef idx="2">
                          <a:schemeClr val="accent1">
                            <a:lumMod val="75000"/>
                          </a:schemeClr>
                        </a:lnRef>
                        <a:fillRef idx="1">
                          <a:schemeClr val="accent1"/>
                        </a:fillRef>
                        <a:effectRef idx="0">
                          <a:srgbClr val="FFFFFF"/>
                        </a:effectRef>
                        <a:fontRef idx="minor">
                          <a:schemeClr val="lt1"/>
                        </a:fontRef>
                      </wps:style>
                      <wps:txbx>
                        <w:txbxContent>
                          <w:p w14:paraId="47DC662E">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eastAsia="宋体"/>
                                <w:b/>
                                <w:bCs/>
                                <w:color w:val="auto"/>
                                <w:lang w:val="en-US" w:eastAsia="zh-CN"/>
                              </w:rPr>
                            </w:pPr>
                            <w:r>
                              <w:rPr>
                                <w:rFonts w:hint="eastAsia"/>
                                <w:b/>
                                <w:bCs/>
                                <w:color w:val="auto"/>
                                <w:lang w:val="en-US" w:eastAsia="zh-CN"/>
                              </w:rPr>
                              <w:t>DA004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20.3pt;margin-top:325.7pt;height:22.5pt;width:61.5pt;z-index:251776000;v-text-anchor:middle;mso-width-relative:page;mso-height-relative:page;" fillcolor="#000000 [3213]" filled="t" stroked="t" coordsize="21600,21600" o:gfxdata="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yANRD9kAAAALAQAADwAA&#10;AAAAAAABACAAAAAiAAAAZHJzL2Rvd25yZXYueG1sUEsBAhQAFAAAAAgAh07iQGp0+8/AAgAAhwUA&#10;AA4AAAAAAAAAAQAgAAAAKAEAAGRycy9lMm9Eb2MueG1sUEsFBgAAAAAGAAYAWQEAAFoGAAAAAA==&#10;" adj="22109,-28992">
                <v:fill on="t" focussize="0,0"/>
                <v:stroke weight="1pt" color="#2E75B6 [2404]" miterlimit="8" joinstyle="miter"/>
                <v:imagedata o:title=""/>
                <o:lock v:ext="edit" aspectratio="f"/>
                <v:textbox>
                  <w:txbxContent>
                    <w:p w14:paraId="47DC662E">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eastAsia="宋体"/>
                          <w:b/>
                          <w:bCs/>
                          <w:color w:val="auto"/>
                          <w:lang w:val="en-US" w:eastAsia="zh-CN"/>
                        </w:rPr>
                      </w:pPr>
                      <w:r>
                        <w:rPr>
                          <w:rFonts w:hint="eastAsia"/>
                          <w:b/>
                          <w:bCs/>
                          <w:color w:val="auto"/>
                          <w:lang w:val="en-US" w:eastAsia="zh-CN"/>
                        </w:rPr>
                        <w:t>DA004</w:t>
                      </w:r>
                    </w:p>
                  </w:txbxContent>
                </v:textbox>
              </v:shape>
            </w:pict>
          </mc:Fallback>
        </mc:AlternateContent>
      </w:r>
      <w:r>
        <w:rPr>
          <w:color w:val="auto"/>
          <w:sz w:val="24"/>
        </w:rPr>
        <mc:AlternateContent>
          <mc:Choice Requires="wps">
            <w:drawing>
              <wp:anchor distT="0" distB="0" distL="114300" distR="114300" simplePos="0" relativeHeight="251774976" behindDoc="0" locked="0" layoutInCell="1" allowOverlap="1">
                <wp:simplePos x="0" y="0"/>
                <wp:positionH relativeFrom="column">
                  <wp:posOffset>2051685</wp:posOffset>
                </wp:positionH>
                <wp:positionV relativeFrom="paragraph">
                  <wp:posOffset>2640965</wp:posOffset>
                </wp:positionV>
                <wp:extent cx="781050" cy="285750"/>
                <wp:effectExtent l="6350" t="6350" r="1670050" b="12700"/>
                <wp:wrapNone/>
                <wp:docPr id="89" name="矩形标注 89"/>
                <wp:cNvGraphicFramePr/>
                <a:graphic xmlns:a="http://schemas.openxmlformats.org/drawingml/2006/main">
                  <a:graphicData uri="http://schemas.microsoft.com/office/word/2010/wordprocessingShape">
                    <wps:wsp>
                      <wps:cNvSpPr/>
                      <wps:spPr>
                        <a:xfrm>
                          <a:off x="0" y="0"/>
                          <a:ext cx="781050" cy="285750"/>
                        </a:xfrm>
                        <a:prstGeom prst="wedgeRectCallout">
                          <a:avLst>
                            <a:gd name="adj1" fmla="val 257235"/>
                            <a:gd name="adj2" fmla="val -7555"/>
                          </a:avLst>
                        </a:prstGeom>
                        <a:solidFill>
                          <a:schemeClr val="tx1"/>
                        </a:solidFill>
                      </wps:spPr>
                      <wps:style>
                        <a:lnRef idx="2">
                          <a:schemeClr val="accent1">
                            <a:lumMod val="75000"/>
                          </a:schemeClr>
                        </a:lnRef>
                        <a:fillRef idx="1">
                          <a:schemeClr val="accent1"/>
                        </a:fillRef>
                        <a:effectRef idx="0">
                          <a:srgbClr val="FFFFFF"/>
                        </a:effectRef>
                        <a:fontRef idx="minor">
                          <a:schemeClr val="lt1"/>
                        </a:fontRef>
                      </wps:style>
                      <wps:txbx>
                        <w:txbxContent>
                          <w:p w14:paraId="129EAB84">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eastAsia="宋体"/>
                                <w:b/>
                                <w:bCs/>
                                <w:color w:val="auto"/>
                                <w:lang w:val="en-US" w:eastAsia="zh-CN"/>
                              </w:rPr>
                            </w:pPr>
                            <w:r>
                              <w:rPr>
                                <w:rFonts w:hint="eastAsia"/>
                                <w:b/>
                                <w:bCs/>
                                <w:color w:val="auto"/>
                                <w:lang w:val="en-US" w:eastAsia="zh-CN"/>
                              </w:rPr>
                              <w:t>DA001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61.55pt;margin-top:207.95pt;height:22.5pt;width:61.5pt;z-index:251774976;v-text-anchor:middle;mso-width-relative:page;mso-height-relative:page;" fillcolor="#000000 [3213]" filled="t" stroked="t" coordsize="21600,21600" o:gfxdata="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OeUvUdkAAAALAQAADwAAAAAA&#10;AAABACAAAAAiAAAAZHJzL2Rvd25yZXYueG1sUEsBAhQAFAAAAAgAh07iQNnimWa9AgAAhgUAAA4A&#10;AAAAAAAAAQAgAAAAKAEAAGRycy9lMm9Eb2MueG1sUEsFBgAAAAAGAAYAWQEAAFcGAAAAAA==&#10;" adj="66363,9168">
                <v:fill on="t" focussize="0,0"/>
                <v:stroke weight="1pt" color="#2E75B6 [2404]" miterlimit="8" joinstyle="miter"/>
                <v:imagedata o:title=""/>
                <o:lock v:ext="edit" aspectratio="f"/>
                <v:textbox>
                  <w:txbxContent>
                    <w:p w14:paraId="129EAB84">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eastAsia="宋体"/>
                          <w:b/>
                          <w:bCs/>
                          <w:color w:val="auto"/>
                          <w:lang w:val="en-US" w:eastAsia="zh-CN"/>
                        </w:rPr>
                      </w:pPr>
                      <w:r>
                        <w:rPr>
                          <w:rFonts w:hint="eastAsia"/>
                          <w:b/>
                          <w:bCs/>
                          <w:color w:val="auto"/>
                          <w:lang w:val="en-US" w:eastAsia="zh-CN"/>
                        </w:rPr>
                        <w:t>DA001</w:t>
                      </w:r>
                    </w:p>
                  </w:txbxContent>
                </v:textbox>
              </v:shape>
            </w:pict>
          </mc:Fallback>
        </mc:AlternateContent>
      </w:r>
      <w:r>
        <w:rPr>
          <w:color w:val="auto"/>
          <w:sz w:val="24"/>
        </w:rPr>
        <mc:AlternateContent>
          <mc:Choice Requires="wps">
            <w:drawing>
              <wp:anchor distT="0" distB="0" distL="114300" distR="114300" simplePos="0" relativeHeight="251773952" behindDoc="0" locked="0" layoutInCell="1" allowOverlap="1">
                <wp:simplePos x="0" y="0"/>
                <wp:positionH relativeFrom="column">
                  <wp:posOffset>6099810</wp:posOffset>
                </wp:positionH>
                <wp:positionV relativeFrom="paragraph">
                  <wp:posOffset>3660140</wp:posOffset>
                </wp:positionV>
                <wp:extent cx="95250" cy="95250"/>
                <wp:effectExtent l="6350" t="6350" r="12700" b="12700"/>
                <wp:wrapNone/>
                <wp:docPr id="88" name="椭圆 88"/>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80.3pt;margin-top:288.2pt;height:7.5pt;width:7.5pt;z-index:251773952;v-text-anchor:middle;mso-width-relative:page;mso-height-relative:page;" fillcolor="#000000 [3213]" filled="t" stroked="t" coordsize="21600,21600" o:gfxdata="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yyLnwdoAAAALAQAADwAAAAAAAAABACAAAAAiAAAAZHJzL2Rvd25yZXYueG1sUEsB&#10;AhQAFAAAAAgAh07iQHlECIxlAgAA9gQAAA4AAAAAAAAAAQAgAAAAKQEAAGRycy9lMm9Eb2MueG1s&#10;UEsFBgAAAAAGAAYAWQEAAAAGAAAAAA==&#10;">
                <v:fill on="t" focussize="0,0"/>
                <v:stroke weight="1pt" color="#000000 [3213]"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72928" behindDoc="0" locked="0" layoutInCell="1" allowOverlap="1">
                <wp:simplePos x="0" y="0"/>
                <wp:positionH relativeFrom="column">
                  <wp:posOffset>4471035</wp:posOffset>
                </wp:positionH>
                <wp:positionV relativeFrom="paragraph">
                  <wp:posOffset>2774315</wp:posOffset>
                </wp:positionV>
                <wp:extent cx="95250" cy="95250"/>
                <wp:effectExtent l="6350" t="6350" r="12700" b="12700"/>
                <wp:wrapNone/>
                <wp:docPr id="87" name="椭圆 87"/>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52.05pt;margin-top:218.45pt;height:7.5pt;width:7.5pt;z-index:251772928;v-text-anchor:middle;mso-width-relative:page;mso-height-relative:page;" fillcolor="#000000 [3213]" filled="t" stroked="t" coordsize="21600,21600" o:gfxdata="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KihhOzaAAAACwEAAA8AAAAAAAAAAQAgAAAAIgAAAGRycy9kb3ducmV2LnhtbFBL&#10;AQIUABQAAAAIAIdO4kBoNXE9ZgIAAPYEAAAOAAAAAAAAAAEAIAAAACkBAABkcnMvZTJvRG9jLnht&#10;bFBLBQYAAAAABgAGAFkBAAABBgAAAAA=&#10;">
                <v:fill on="t" focussize="0,0"/>
                <v:stroke weight="1pt" color="#000000 [3213]"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70880" behindDoc="0" locked="0" layoutInCell="1" allowOverlap="1">
                <wp:simplePos x="0" y="0"/>
                <wp:positionH relativeFrom="column">
                  <wp:posOffset>4375785</wp:posOffset>
                </wp:positionH>
                <wp:positionV relativeFrom="paragraph">
                  <wp:posOffset>1936115</wp:posOffset>
                </wp:positionV>
                <wp:extent cx="95250" cy="95250"/>
                <wp:effectExtent l="6350" t="6350" r="12700" b="12700"/>
                <wp:wrapNone/>
                <wp:docPr id="85" name="椭圆 85"/>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4.55pt;margin-top:152.45pt;height:7.5pt;width:7.5pt;z-index:251770880;v-text-anchor:middle;mso-width-relative:page;mso-height-relative:page;" fillcolor="#000000 [3213]" filled="t" stroked="t" coordsize="21600,21600" o:gfxdata="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P/oMGtkAAAALAQAADwAAAAAAAAABACAAAAAiAAAAZHJzL2Rvd25yZXYueG1sUEsB&#10;AhQAFAAAAAgAh07iQIjYvk1mAgAA9gQAAA4AAAAAAAAAAQAgAAAAKAEAAGRycy9lMm9Eb2MueG1s&#10;UEsFBgAAAAAGAAYAWQEAAAAGAAAAAA==&#10;">
                <v:fill on="t" focussize="0,0"/>
                <v:stroke weight="1pt" color="#000000 [3213]"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71904" behindDoc="0" locked="0" layoutInCell="1" allowOverlap="1">
                <wp:simplePos x="0" y="0"/>
                <wp:positionH relativeFrom="column">
                  <wp:posOffset>3451860</wp:posOffset>
                </wp:positionH>
                <wp:positionV relativeFrom="paragraph">
                  <wp:posOffset>1945640</wp:posOffset>
                </wp:positionV>
                <wp:extent cx="95250" cy="95250"/>
                <wp:effectExtent l="6350" t="6350" r="12700" b="12700"/>
                <wp:wrapNone/>
                <wp:docPr id="86" name="椭圆 86"/>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71.8pt;margin-top:153.2pt;height:7.5pt;width:7.5pt;z-index:251771904;v-text-anchor:middle;mso-width-relative:page;mso-height-relative:page;" fillcolor="#000000 [3213]" filled="t" stroked="t" coordsize="21600,21600" o:gfxdata="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3eRlFdoAAAALAQAADwAAAAAAAAABACAAAAAiAAAAZHJzL2Rvd25yZXYueG1sUEsB&#10;AhQAFAAAAAgAh07iQJjDFgVlAgAA9gQAAA4AAAAAAAAAAQAgAAAAKQEAAGRycy9lMm9Eb2MueG1s&#10;UEsFBgAAAAAGAAYAWQEAAAAGAAAAAA==&#10;">
                <v:fill on="t" focussize="0,0"/>
                <v:stroke weight="1pt" color="#000000 [3213]"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68832" behindDoc="0" locked="0" layoutInCell="1" allowOverlap="1">
                <wp:simplePos x="0" y="0"/>
                <wp:positionH relativeFrom="column">
                  <wp:posOffset>6195060</wp:posOffset>
                </wp:positionH>
                <wp:positionV relativeFrom="paragraph">
                  <wp:posOffset>955040</wp:posOffset>
                </wp:positionV>
                <wp:extent cx="781050" cy="285750"/>
                <wp:effectExtent l="594360" t="6350" r="15240" b="12700"/>
                <wp:wrapNone/>
                <wp:docPr id="83" name="矩形标注 83"/>
                <wp:cNvGraphicFramePr/>
                <a:graphic xmlns:a="http://schemas.openxmlformats.org/drawingml/2006/main">
                  <a:graphicData uri="http://schemas.microsoft.com/office/word/2010/wordprocessingShape">
                    <wps:wsp>
                      <wps:cNvSpPr/>
                      <wps:spPr>
                        <a:xfrm>
                          <a:off x="6937375" y="1176655"/>
                          <a:ext cx="781050" cy="285750"/>
                        </a:xfrm>
                        <a:prstGeom prst="wedgeRectCallout">
                          <a:avLst>
                            <a:gd name="adj1" fmla="val -119593"/>
                            <a:gd name="adj2" fmla="val 15777"/>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AD315C0">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eastAsia="宋体"/>
                                <w:b/>
                                <w:bCs/>
                                <w:lang w:val="en-US" w:eastAsia="zh-CN"/>
                              </w:rPr>
                            </w:pPr>
                            <w:r>
                              <w:rPr>
                                <w:rFonts w:hint="eastAsia"/>
                                <w:b/>
                                <w:bCs/>
                                <w:lang w:val="en-US" w:eastAsia="zh-CN"/>
                              </w:rPr>
                              <w:t>DA005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87.8pt;margin-top:75.2pt;height:22.5pt;width:61.5pt;z-index:251768832;v-text-anchor:middle;mso-width-relative:page;mso-height-relative:page;" fillcolor="#5B9BD5 [3204]" filled="t" stroked="t" coordsize="21600,21600" o:gfxdata="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" adj="-15032,14208">
                <v:fill on="t" focussize="0,0"/>
                <v:stroke weight="1pt" color="#2E75B6 [2404]" miterlimit="8" joinstyle="miter"/>
                <v:imagedata o:title=""/>
                <o:lock v:ext="edit" aspectratio="f"/>
                <v:textbox>
                  <w:txbxContent>
                    <w:p w14:paraId="0AD315C0">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eastAsia="宋体"/>
                          <w:b/>
                          <w:bCs/>
                          <w:lang w:val="en-US" w:eastAsia="zh-CN"/>
                        </w:rPr>
                      </w:pPr>
                      <w:r>
                        <w:rPr>
                          <w:rFonts w:hint="eastAsia"/>
                          <w:b/>
                          <w:bCs/>
                          <w:lang w:val="en-US" w:eastAsia="zh-CN"/>
                        </w:rPr>
                        <w:t>DA005</w:t>
                      </w:r>
                    </w:p>
                  </w:txbxContent>
                </v:textbox>
              </v:shape>
            </w:pict>
          </mc:Fallback>
        </mc:AlternateContent>
      </w:r>
      <w:r>
        <w:rPr>
          <w:color w:val="auto"/>
          <w:sz w:val="24"/>
        </w:rPr>
        <mc:AlternateContent>
          <mc:Choice Requires="wps">
            <w:drawing>
              <wp:anchor distT="0" distB="0" distL="114300" distR="114300" simplePos="0" relativeHeight="251767808" behindDoc="0" locked="0" layoutInCell="1" allowOverlap="1">
                <wp:simplePos x="0" y="0"/>
                <wp:positionH relativeFrom="column">
                  <wp:posOffset>5537835</wp:posOffset>
                </wp:positionH>
                <wp:positionV relativeFrom="paragraph">
                  <wp:posOffset>1069340</wp:posOffset>
                </wp:positionV>
                <wp:extent cx="95250" cy="95250"/>
                <wp:effectExtent l="6350" t="6350" r="12700" b="12700"/>
                <wp:wrapNone/>
                <wp:docPr id="82" name="椭圆 82"/>
                <wp:cNvGraphicFramePr/>
                <a:graphic xmlns:a="http://schemas.openxmlformats.org/drawingml/2006/main">
                  <a:graphicData uri="http://schemas.microsoft.com/office/word/2010/wordprocessingShape">
                    <wps:wsp>
                      <wps:cNvSpPr/>
                      <wps:spPr>
                        <a:xfrm>
                          <a:off x="0" y="0"/>
                          <a:ext cx="95250" cy="9525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36.05pt;margin-top:84.2pt;height:7.5pt;width:7.5pt;z-index:251767808;v-text-anchor:middle;mso-width-relative:page;mso-height-relative:page;" fillcolor="#5B9BD5 [3204]" filled="t" stroked="t" coordsize="21600,21600" o:gfxdata="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RbxR2AAAAAsBAAAPAAAAAAAA&#10;AAEAIAAAACIAAABkcnMvZG93bnJldi54bWxQSwECFAAUAAAACACHTuJAHtRVXIQCAAAYBQAADgAA&#10;AAAAAAABACAAAAAnAQAAZHJzL2Uyb0RvYy54bWxQSwUGAAAAAAYABgBZAQAAHQYAAAAA&#10;">
                <v:fill on="t" focussize="0,0"/>
                <v:stroke weight="1pt" color="#2E75B6 [24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66784" behindDoc="0" locked="0" layoutInCell="1" allowOverlap="1">
                <wp:simplePos x="0" y="0"/>
                <wp:positionH relativeFrom="column">
                  <wp:posOffset>5547360</wp:posOffset>
                </wp:positionH>
                <wp:positionV relativeFrom="paragraph">
                  <wp:posOffset>478790</wp:posOffset>
                </wp:positionV>
                <wp:extent cx="95250" cy="95250"/>
                <wp:effectExtent l="6350" t="6350" r="12700" b="12700"/>
                <wp:wrapNone/>
                <wp:docPr id="81" name="椭圆 81"/>
                <wp:cNvGraphicFramePr/>
                <a:graphic xmlns:a="http://schemas.openxmlformats.org/drawingml/2006/main">
                  <a:graphicData uri="http://schemas.microsoft.com/office/word/2010/wordprocessingShape">
                    <wps:wsp>
                      <wps:cNvSpPr/>
                      <wps:spPr>
                        <a:xfrm>
                          <a:off x="6537325" y="1652905"/>
                          <a:ext cx="95250" cy="9525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36.8pt;margin-top:37.7pt;height:7.5pt;width:7.5pt;z-index:251766784;v-text-anchor:middle;mso-width-relative:page;mso-height-relative:page;" fillcolor="#5B9BD5 [3204]" filled="t" stroked="t" coordsize="21600,21600" o:gfxdata="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M33bW1wAA&#10;AAkBAAAPAAAAAAAAAAEAIAAAACIAAABkcnMvZG93bnJldi54bWxQSwECFAAUAAAACACHTuJAi+PS&#10;4JECAAAkBQAADgAAAAAAAAABACAAAAAmAQAAZHJzL2Uyb0RvYy54bWxQSwUGAAAAAAYABgBZAQAA&#10;KQYAAAAA&#10;">
                <v:fill on="t" focussize="0,0"/>
                <v:stroke weight="1pt" color="#2E75B6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38112" behindDoc="0" locked="0" layoutInCell="1" allowOverlap="1">
                <wp:simplePos x="0" y="0"/>
                <wp:positionH relativeFrom="column">
                  <wp:posOffset>5496560</wp:posOffset>
                </wp:positionH>
                <wp:positionV relativeFrom="paragraph">
                  <wp:posOffset>1081405</wp:posOffset>
                </wp:positionV>
                <wp:extent cx="628650" cy="514350"/>
                <wp:effectExtent l="0" t="0" r="0" b="0"/>
                <wp:wrapNone/>
                <wp:docPr id="152" name="文本框 152"/>
                <wp:cNvGraphicFramePr/>
                <a:graphic xmlns:a="http://schemas.openxmlformats.org/drawingml/2006/main">
                  <a:graphicData uri="http://schemas.microsoft.com/office/word/2010/wordprocessingShape">
                    <wps:wsp>
                      <wps:cNvSpPr txBox="1"/>
                      <wps:spPr>
                        <a:xfrm>
                          <a:off x="6581775" y="2245995"/>
                          <a:ext cx="628650" cy="514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5824BE">
                            <w:pPr>
                              <w:spacing w:line="240" w:lineRule="auto"/>
                              <w:jc w:val="center"/>
                              <w:rPr>
                                <w:rFonts w:hint="eastAsia"/>
                                <w:b/>
                                <w:bCs/>
                                <w:color w:val="FF0000"/>
                                <w:lang w:val="en-US" w:eastAsia="zh-CN"/>
                              </w:rPr>
                            </w:pPr>
                            <w:r>
                              <w:rPr>
                                <w:rFonts w:hint="eastAsia"/>
                                <w:b/>
                                <w:bCs/>
                                <w:color w:val="FF0000"/>
                                <w:lang w:val="en-US" w:eastAsia="zh-CN"/>
                              </w:rPr>
                              <w:t>扩建</w:t>
                            </w:r>
                          </w:p>
                          <w:p w14:paraId="3668AC89">
                            <w:pPr>
                              <w:spacing w:line="240" w:lineRule="auto"/>
                              <w:jc w:val="center"/>
                              <w:rPr>
                                <w:rFonts w:hint="default" w:eastAsia="宋体"/>
                                <w:b/>
                                <w:bCs/>
                                <w:color w:val="FF0000"/>
                                <w:lang w:val="en-US" w:eastAsia="zh-CN"/>
                              </w:rPr>
                            </w:pPr>
                            <w:r>
                              <w:rPr>
                                <w:rFonts w:hint="eastAsia"/>
                                <w:b/>
                                <w:bCs/>
                                <w:color w:val="FF0000"/>
                                <w:lang w:val="en-US" w:eastAsia="zh-CN"/>
                              </w:rPr>
                              <w:t>部分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2.8pt;margin-top:85.15pt;height:40.5pt;width:49.5pt;z-index:251738112;mso-width-relative:page;mso-height-relative:page;" filled="f" stroked="f" coordsize="21600,21600" o:gfxdata="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c7sxJ2wAAAAsBAAAPAAAAAAAAAAEA&#10;IAAAACIAAABkcnMvZG93bnJldi54bWxQSwECFAAUAAAACACHTuJAg+5XfEUCAAB1BAAADgAAAAAA&#10;AAABACAAAAAqAQAAZHJzL2Uyb0RvYy54bWxQSwUGAAAAAAYABgBZAQAA4QUAAAAA&#10;">
                <v:fill on="f" focussize="0,0"/>
                <v:stroke on="f" weight="0.5pt"/>
                <v:imagedata o:title=""/>
                <o:lock v:ext="edit" aspectratio="f"/>
                <v:textbox>
                  <w:txbxContent>
                    <w:p w14:paraId="3D5824BE">
                      <w:pPr>
                        <w:spacing w:line="240" w:lineRule="auto"/>
                        <w:jc w:val="center"/>
                        <w:rPr>
                          <w:rFonts w:hint="eastAsia"/>
                          <w:b/>
                          <w:bCs/>
                          <w:color w:val="FF0000"/>
                          <w:lang w:val="en-US" w:eastAsia="zh-CN"/>
                        </w:rPr>
                      </w:pPr>
                      <w:r>
                        <w:rPr>
                          <w:rFonts w:hint="eastAsia"/>
                          <w:b/>
                          <w:bCs/>
                          <w:color w:val="FF0000"/>
                          <w:lang w:val="en-US" w:eastAsia="zh-CN"/>
                        </w:rPr>
                        <w:t>扩建</w:t>
                      </w:r>
                    </w:p>
                    <w:p w14:paraId="3668AC89">
                      <w:pPr>
                        <w:spacing w:line="240" w:lineRule="auto"/>
                        <w:jc w:val="center"/>
                        <w:rPr>
                          <w:rFonts w:hint="default" w:eastAsia="宋体"/>
                          <w:b/>
                          <w:bCs/>
                          <w:color w:val="FF0000"/>
                          <w:lang w:val="en-US" w:eastAsia="zh-CN"/>
                        </w:rPr>
                      </w:pPr>
                      <w:r>
                        <w:rPr>
                          <w:rFonts w:hint="eastAsia"/>
                          <w:b/>
                          <w:bCs/>
                          <w:color w:val="FF0000"/>
                          <w:lang w:val="en-US" w:eastAsia="zh-CN"/>
                        </w:rPr>
                        <w:t>部分</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42208" behindDoc="0" locked="0" layoutInCell="1" allowOverlap="1">
                <wp:simplePos x="0" y="0"/>
                <wp:positionH relativeFrom="column">
                  <wp:posOffset>2629535</wp:posOffset>
                </wp:positionH>
                <wp:positionV relativeFrom="paragraph">
                  <wp:posOffset>1148080</wp:posOffset>
                </wp:positionV>
                <wp:extent cx="1475740" cy="344170"/>
                <wp:effectExtent l="0" t="0" r="0" b="0"/>
                <wp:wrapNone/>
                <wp:docPr id="160" name="文本框 160"/>
                <wp:cNvGraphicFramePr/>
                <a:graphic xmlns:a="http://schemas.openxmlformats.org/drawingml/2006/main">
                  <a:graphicData uri="http://schemas.microsoft.com/office/word/2010/wordprocessingShape">
                    <wps:wsp>
                      <wps:cNvSpPr txBox="1"/>
                      <wps:spPr>
                        <a:xfrm>
                          <a:off x="0" y="0"/>
                          <a:ext cx="1475740" cy="344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B9B8EC">
                            <w:pPr>
                              <w:spacing w:line="240" w:lineRule="auto"/>
                              <w:jc w:val="center"/>
                              <w:rPr>
                                <w:rFonts w:hint="default" w:eastAsia="宋体"/>
                                <w:color w:val="FF0000"/>
                                <w:lang w:val="en-US" w:eastAsia="zh-CN"/>
                              </w:rPr>
                            </w:pPr>
                            <w:r>
                              <w:rPr>
                                <w:rFonts w:hint="eastAsia"/>
                                <w:color w:val="FF0000"/>
                                <w:lang w:val="en-US" w:eastAsia="zh-CN"/>
                              </w:rPr>
                              <w:t>三期（取消建设）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05pt;margin-top:90.4pt;height:27.1pt;width:116.2pt;z-index:251742208;mso-width-relative:page;mso-height-relative:page;" filled="f" stroked="f" coordsize="21600,21600" o:gfxdata="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&#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5SnWQ2wAAAAsBAAAPAAAAAAAAAAEAIAAAACIAAABk&#10;cnMvZG93bnJldi54bWxQSwECFAAUAAAACACHTuJA06syQzwCAABqBAAADgAAAAAAAAABACAAAAAq&#10;AQAAZHJzL2Uyb0RvYy54bWxQSwUGAAAAAAYABgBZAQAA2AUAAAAA&#10;">
                <v:fill on="f" focussize="0,0"/>
                <v:stroke on="f" weight="0.5pt"/>
                <v:imagedata o:title=""/>
                <o:lock v:ext="edit" aspectratio="f"/>
                <v:textbox>
                  <w:txbxContent>
                    <w:p w14:paraId="4FB9B8EC">
                      <w:pPr>
                        <w:spacing w:line="240" w:lineRule="auto"/>
                        <w:jc w:val="center"/>
                        <w:rPr>
                          <w:rFonts w:hint="default" w:eastAsia="宋体"/>
                          <w:color w:val="FF0000"/>
                          <w:lang w:val="en-US" w:eastAsia="zh-CN"/>
                        </w:rPr>
                      </w:pPr>
                      <w:r>
                        <w:rPr>
                          <w:rFonts w:hint="eastAsia"/>
                          <w:color w:val="FF0000"/>
                          <w:lang w:val="en-US" w:eastAsia="zh-CN"/>
                        </w:rPr>
                        <w:t>三期（取消建设）</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41184" behindDoc="0" locked="0" layoutInCell="1" allowOverlap="1">
                <wp:simplePos x="0" y="0"/>
                <wp:positionH relativeFrom="column">
                  <wp:posOffset>3286760</wp:posOffset>
                </wp:positionH>
                <wp:positionV relativeFrom="paragraph">
                  <wp:posOffset>1919605</wp:posOffset>
                </wp:positionV>
                <wp:extent cx="2971800" cy="1504950"/>
                <wp:effectExtent l="19685" t="19050" r="37465" b="38100"/>
                <wp:wrapNone/>
                <wp:docPr id="159" name="任意多边形 159"/>
                <wp:cNvGraphicFramePr/>
                <a:graphic xmlns:a="http://schemas.openxmlformats.org/drawingml/2006/main">
                  <a:graphicData uri="http://schemas.microsoft.com/office/word/2010/wordprocessingShape">
                    <wps:wsp>
                      <wps:cNvSpPr/>
                      <wps:spPr>
                        <a:xfrm>
                          <a:off x="4276725" y="3093720"/>
                          <a:ext cx="2971800" cy="1504950"/>
                        </a:xfrm>
                        <a:custGeom>
                          <a:avLst/>
                          <a:gdLst>
                            <a:gd name="connisteX0" fmla="*/ 19050 w 2971800"/>
                            <a:gd name="connsiteY0" fmla="*/ 0 h 1504950"/>
                            <a:gd name="connisteX1" fmla="*/ 2971800 w 2971800"/>
                            <a:gd name="connsiteY1" fmla="*/ 28575 h 1504950"/>
                            <a:gd name="connisteX2" fmla="*/ 2933700 w 2971800"/>
                            <a:gd name="connsiteY2" fmla="*/ 1504950 h 1504950"/>
                            <a:gd name="connisteX3" fmla="*/ 1524000 w 2971800"/>
                            <a:gd name="connsiteY3" fmla="*/ 1438275 h 1504950"/>
                            <a:gd name="connisteX4" fmla="*/ 1562100 w 2971800"/>
                            <a:gd name="connsiteY4" fmla="*/ 676275 h 1504950"/>
                            <a:gd name="connisteX5" fmla="*/ 0 w 2971800"/>
                            <a:gd name="connsiteY5" fmla="*/ 676275 h 1504950"/>
                            <a:gd name="connisteX6" fmla="*/ 19050 w 2971800"/>
                            <a:gd name="connsiteY6" fmla="*/ 0 h 15049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971800" h="1504950">
                              <a:moveTo>
                                <a:pt x="19050" y="0"/>
                              </a:moveTo>
                              <a:lnTo>
                                <a:pt x="2971800" y="28575"/>
                              </a:lnTo>
                              <a:lnTo>
                                <a:pt x="2933700" y="1504950"/>
                              </a:lnTo>
                              <a:lnTo>
                                <a:pt x="1524000" y="1438275"/>
                              </a:lnTo>
                              <a:lnTo>
                                <a:pt x="1562100" y="676275"/>
                              </a:lnTo>
                              <a:lnTo>
                                <a:pt x="0" y="676275"/>
                              </a:lnTo>
                              <a:lnTo>
                                <a:pt x="19050" y="0"/>
                              </a:lnTo>
                              <a:close/>
                            </a:path>
                          </a:pathLst>
                        </a:custGeom>
                        <a:noFill/>
                        <a:ln w="38100">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58.8pt;margin-top:151.15pt;height:118.5pt;width:234pt;z-index:251741184;mso-width-relative:page;mso-height-relative:page;" filled="f" stroked="t" coordsize="2971800,1504950" o:gfxdata="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" path="m19050,0l2971800,28575,2933700,1504950,1524000,1438275,1562100,676275,0,676275,19050,0xe">
                <v:path o:connectlocs="19050,0;2971800,28575;2933700,1504950;1524000,1438275;1562100,676275;0,676275;19050,0" o:connectangles="0,0,0,0,0,0,0"/>
                <v:fill on="f" focussize="0,0"/>
                <v:stroke weight="3pt" color="#00B050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40160" behindDoc="0" locked="0" layoutInCell="1" allowOverlap="1">
                <wp:simplePos x="0" y="0"/>
                <wp:positionH relativeFrom="column">
                  <wp:posOffset>4353560</wp:posOffset>
                </wp:positionH>
                <wp:positionV relativeFrom="paragraph">
                  <wp:posOffset>2224405</wp:posOffset>
                </wp:positionV>
                <wp:extent cx="1390650" cy="706120"/>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1390650" cy="7061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4B9D5A">
                            <w:pPr>
                              <w:spacing w:line="240" w:lineRule="auto"/>
                              <w:jc w:val="center"/>
                              <w:rPr>
                                <w:rFonts w:hint="default" w:eastAsia="宋体"/>
                                <w:color w:val="FF0000"/>
                                <w:lang w:val="en-US" w:eastAsia="zh-CN"/>
                              </w:rPr>
                            </w:pPr>
                            <w:r>
                              <w:rPr>
                                <w:rFonts w:hint="eastAsia"/>
                                <w:color w:val="FF0000"/>
                                <w:lang w:val="en-US" w:eastAsia="zh-CN"/>
                              </w:rPr>
                              <w:t>二期已验收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2.8pt;margin-top:175.15pt;height:55.6pt;width:109.5pt;z-index:251740160;mso-width-relative:page;mso-height-relative:page;" filled="f" stroked="f" coordsize="21600,21600" o:gfxdata="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svYw9wAAAALAQAADwAAAAAAAAABACAAAAAiAAAA&#10;ZHJzL2Rvd25yZXYueG1sUEsBAhQAFAAAAAgAh07iQLLzMsg8AgAAagQAAA4AAAAAAAAAAQAgAAAA&#10;KwEAAGRycy9lMm9Eb2MueG1sUEsFBgAAAAAGAAYAWQEAANkFAAAAAA==&#10;">
                <v:fill on="f" focussize="0,0"/>
                <v:stroke on="f" weight="0.5pt"/>
                <v:imagedata o:title=""/>
                <o:lock v:ext="edit" aspectratio="f"/>
                <v:textbox>
                  <w:txbxContent>
                    <w:p w14:paraId="594B9D5A">
                      <w:pPr>
                        <w:spacing w:line="240" w:lineRule="auto"/>
                        <w:jc w:val="center"/>
                        <w:rPr>
                          <w:rFonts w:hint="default" w:eastAsia="宋体"/>
                          <w:color w:val="FF0000"/>
                          <w:lang w:val="en-US" w:eastAsia="zh-CN"/>
                        </w:rPr>
                      </w:pPr>
                      <w:r>
                        <w:rPr>
                          <w:rFonts w:hint="eastAsia"/>
                          <w:color w:val="FF0000"/>
                          <w:lang w:val="en-US" w:eastAsia="zh-CN"/>
                        </w:rPr>
                        <w:t>二期已验收</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39136" behindDoc="0" locked="0" layoutInCell="1" allowOverlap="1">
                <wp:simplePos x="0" y="0"/>
                <wp:positionH relativeFrom="column">
                  <wp:posOffset>3267710</wp:posOffset>
                </wp:positionH>
                <wp:positionV relativeFrom="paragraph">
                  <wp:posOffset>2729230</wp:posOffset>
                </wp:positionV>
                <wp:extent cx="1390650" cy="706120"/>
                <wp:effectExtent l="19050" t="19050" r="19050" b="36830"/>
                <wp:wrapNone/>
                <wp:docPr id="153" name="文本框 153"/>
                <wp:cNvGraphicFramePr/>
                <a:graphic xmlns:a="http://schemas.openxmlformats.org/drawingml/2006/main">
                  <a:graphicData uri="http://schemas.microsoft.com/office/word/2010/wordprocessingShape">
                    <wps:wsp>
                      <wps:cNvSpPr txBox="1"/>
                      <wps:spPr>
                        <a:xfrm>
                          <a:off x="4610100" y="4027170"/>
                          <a:ext cx="1390650" cy="706120"/>
                        </a:xfrm>
                        <a:prstGeom prst="rect">
                          <a:avLst/>
                        </a:prstGeom>
                        <a:noFill/>
                        <a:ln w="3810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77936F89">
                            <w:pPr>
                              <w:spacing w:line="240" w:lineRule="auto"/>
                              <w:jc w:val="center"/>
                              <w:rPr>
                                <w:rFonts w:hint="default" w:eastAsia="宋体"/>
                                <w:color w:val="FF0000"/>
                                <w:lang w:val="en-US" w:eastAsia="zh-CN"/>
                              </w:rPr>
                            </w:pPr>
                            <w:r>
                              <w:rPr>
                                <w:rFonts w:hint="eastAsia"/>
                                <w:color w:val="FF0000"/>
                                <w:lang w:val="en-US" w:eastAsia="zh-CN"/>
                              </w:rPr>
                              <w:t>一期已验收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7.3pt;margin-top:214.9pt;height:55.6pt;width:109.5pt;z-index:251739136;mso-width-relative:page;mso-height-relative:page;" filled="f" stroked="t" coordsize="21600,21600" o:gfxdata="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z9gXftkAAAALAQAADwAAAAAAAAABACAAAAAiAAAAZHJzL2Rvd25yZXYueG1sUEsBAhQAFAAAAAgA&#10;h07iQHDX0/5dAgAAoAQAAA4AAAAAAAAAAQAgAAAAKAEAAGRycy9lMm9Eb2MueG1sUEsFBgAAAAAG&#10;AAYAWQEAAPcFAAAAAA==&#10;">
                <v:fill on="f" focussize="0,0"/>
                <v:stroke weight="3pt" color="#FF0000 [3204]" joinstyle="round"/>
                <v:imagedata o:title=""/>
                <o:lock v:ext="edit" aspectratio="f"/>
                <v:textbox>
                  <w:txbxContent>
                    <w:p w14:paraId="77936F89">
                      <w:pPr>
                        <w:spacing w:line="240" w:lineRule="auto"/>
                        <w:jc w:val="center"/>
                        <w:rPr>
                          <w:rFonts w:hint="default" w:eastAsia="宋体"/>
                          <w:color w:val="FF0000"/>
                          <w:lang w:val="en-US" w:eastAsia="zh-CN"/>
                        </w:rPr>
                      </w:pPr>
                      <w:r>
                        <w:rPr>
                          <w:rFonts w:hint="eastAsia"/>
                          <w:color w:val="FF0000"/>
                          <w:lang w:val="en-US" w:eastAsia="zh-CN"/>
                        </w:rPr>
                        <w:t>一期已验收</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37088" behindDoc="0" locked="0" layoutInCell="1" allowOverlap="1">
                <wp:simplePos x="0" y="0"/>
                <wp:positionH relativeFrom="column">
                  <wp:posOffset>5487035</wp:posOffset>
                </wp:positionH>
                <wp:positionV relativeFrom="paragraph">
                  <wp:posOffset>424180</wp:posOffset>
                </wp:positionV>
                <wp:extent cx="685800" cy="1323975"/>
                <wp:effectExtent l="19050" t="19685" r="19050" b="27940"/>
                <wp:wrapNone/>
                <wp:docPr id="151" name="任意多边形 151"/>
                <wp:cNvGraphicFramePr/>
                <a:graphic xmlns:a="http://schemas.openxmlformats.org/drawingml/2006/main">
                  <a:graphicData uri="http://schemas.microsoft.com/office/word/2010/wordprocessingShape">
                    <wps:wsp>
                      <wps:cNvSpPr/>
                      <wps:spPr>
                        <a:xfrm>
                          <a:off x="6477000" y="1598295"/>
                          <a:ext cx="685800" cy="1323975"/>
                        </a:xfrm>
                        <a:custGeom>
                          <a:avLst/>
                          <a:gdLst>
                            <a:gd name="connisteX0" fmla="*/ 0 w 685800"/>
                            <a:gd name="connsiteY0" fmla="*/ 0 h 1323975"/>
                            <a:gd name="connisteX1" fmla="*/ 676275 w 685800"/>
                            <a:gd name="connsiteY1" fmla="*/ 28575 h 1323975"/>
                            <a:gd name="connisteX2" fmla="*/ 685800 w 685800"/>
                            <a:gd name="connsiteY2" fmla="*/ 1314450 h 1323975"/>
                            <a:gd name="connisteX3" fmla="*/ 0 w 685800"/>
                            <a:gd name="connsiteY3" fmla="*/ 1323975 h 1323975"/>
                            <a:gd name="connisteX4" fmla="*/ 0 w 685800"/>
                            <a:gd name="connsiteY4" fmla="*/ 0 h 13239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685800" h="1323975">
                              <a:moveTo>
                                <a:pt x="0" y="0"/>
                              </a:moveTo>
                              <a:lnTo>
                                <a:pt x="676275" y="28575"/>
                              </a:lnTo>
                              <a:lnTo>
                                <a:pt x="685800" y="1314450"/>
                              </a:lnTo>
                              <a:lnTo>
                                <a:pt x="0" y="1323975"/>
                              </a:lnTo>
                              <a:lnTo>
                                <a:pt x="0" y="0"/>
                              </a:lnTo>
                              <a:close/>
                            </a:path>
                          </a:pathLst>
                        </a:custGeom>
                        <a:noFill/>
                        <a:ln w="381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32.05pt;margin-top:33.4pt;height:104.25pt;width:54pt;z-index:251737088;mso-width-relative:page;mso-height-relative:page;" filled="f" stroked="t" coordsize="685800,1323975" o:gfxdata="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" path="m0,0l676275,28575,685800,1314450,0,1323975,0,0xe">
                <v:path o:connectlocs="0,0;676275,28575;685800,1314450;0,1323975;0,0" o:connectangles="0,0,0,0,0"/>
                <v:fill on="f" focussize="0,0"/>
                <v:stroke weight="3pt" color="#FFFF00 [2404]" miterlimit="8" joinstyle="miter"/>
                <v:imagedata o:title=""/>
                <o:lock v:ext="edit" aspectratio="f"/>
              </v:shape>
            </w:pict>
          </mc:Fallback>
        </mc:AlternateContent>
      </w:r>
      <w:r>
        <w:rPr>
          <w:rFonts w:hint="default" w:ascii="Times New Roman" w:hAnsi="Times New Roman" w:cs="Times New Roman"/>
          <w:color w:val="auto"/>
        </w:rPr>
        <w:drawing>
          <wp:anchor distT="0" distB="0" distL="114300" distR="114300" simplePos="0" relativeHeight="251736064" behindDoc="0" locked="0" layoutInCell="1" allowOverlap="1">
            <wp:simplePos x="0" y="0"/>
            <wp:positionH relativeFrom="column">
              <wp:posOffset>6865620</wp:posOffset>
            </wp:positionH>
            <wp:positionV relativeFrom="paragraph">
              <wp:posOffset>74295</wp:posOffset>
            </wp:positionV>
            <wp:extent cx="802640" cy="819150"/>
            <wp:effectExtent l="0" t="0" r="16510" b="0"/>
            <wp:wrapNone/>
            <wp:docPr id="1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
                    <pic:cNvPicPr>
                      <a:picLocks noChangeAspect="1"/>
                    </pic:cNvPicPr>
                  </pic:nvPicPr>
                  <pic:blipFill>
                    <a:blip r:embed="rId37"/>
                    <a:stretch>
                      <a:fillRect/>
                    </a:stretch>
                  </pic:blipFill>
                  <pic:spPr>
                    <a:xfrm>
                      <a:off x="0" y="0"/>
                      <a:ext cx="802640" cy="819150"/>
                    </a:xfrm>
                    <a:prstGeom prst="rect">
                      <a:avLst/>
                    </a:prstGeom>
                    <a:noFill/>
                    <a:ln>
                      <a:noFill/>
                    </a:ln>
                  </pic:spPr>
                </pic:pic>
              </a:graphicData>
            </a:graphic>
          </wp:anchor>
        </w:drawing>
      </w:r>
      <w:r>
        <w:rPr>
          <w:rFonts w:hint="default" w:ascii="Times New Roman" w:hAnsi="Times New Roman" w:cs="Times New Roman"/>
          <w:color w:val="auto"/>
        </w:rPr>
        <w:drawing>
          <wp:inline distT="0" distB="0" distL="114300" distR="114300">
            <wp:extent cx="7360285" cy="4269740"/>
            <wp:effectExtent l="0" t="0" r="12065" b="16510"/>
            <wp:docPr id="1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6"/>
                    <pic:cNvPicPr>
                      <a:picLocks noChangeAspect="1"/>
                    </pic:cNvPicPr>
                  </pic:nvPicPr>
                  <pic:blipFill>
                    <a:blip r:embed="rId43"/>
                    <a:stretch>
                      <a:fillRect/>
                    </a:stretch>
                  </pic:blipFill>
                  <pic:spPr>
                    <a:xfrm>
                      <a:off x="0" y="0"/>
                      <a:ext cx="7360285" cy="4269740"/>
                    </a:xfrm>
                    <a:prstGeom prst="rect">
                      <a:avLst/>
                    </a:prstGeom>
                    <a:noFill/>
                    <a:ln>
                      <a:noFill/>
                    </a:ln>
                  </pic:spPr>
                </pic:pic>
              </a:graphicData>
            </a:graphic>
          </wp:inline>
        </w:drawing>
      </w:r>
    </w:p>
    <w:p w14:paraId="48E7202C">
      <w:pPr>
        <w:pStyle w:val="36"/>
        <w:pageBreakBefore w:val="0"/>
        <w:numPr>
          <w:ilvl w:val="0"/>
          <w:numId w:val="13"/>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19" w:name="_Toc5543"/>
      <w:bookmarkStart w:id="120" w:name="_Toc15681"/>
      <w:r>
        <w:rPr>
          <w:rFonts w:hint="default" w:ascii="Times New Roman" w:hAnsi="Times New Roman" w:cs="Times New Roman"/>
          <w:color w:val="auto"/>
        </w:rPr>
        <w:drawing>
          <wp:anchor distT="0" distB="0" distL="114300" distR="114300" simplePos="0" relativeHeight="251762688" behindDoc="0" locked="0" layoutInCell="1" allowOverlap="1">
            <wp:simplePos x="0" y="0"/>
            <wp:positionH relativeFrom="column">
              <wp:posOffset>4977130</wp:posOffset>
            </wp:positionH>
            <wp:positionV relativeFrom="paragraph">
              <wp:posOffset>-507365</wp:posOffset>
            </wp:positionV>
            <wp:extent cx="848360" cy="803275"/>
            <wp:effectExtent l="0" t="0" r="8890" b="15875"/>
            <wp:wrapNone/>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44"/>
                    <a:stretch>
                      <a:fillRect/>
                    </a:stretch>
                  </pic:blipFill>
                  <pic:spPr>
                    <a:xfrm>
                      <a:off x="0" y="0"/>
                      <a:ext cx="848360" cy="803275"/>
                    </a:xfrm>
                    <a:prstGeom prst="rect">
                      <a:avLst/>
                    </a:prstGeom>
                    <a:noFill/>
                    <a:ln>
                      <a:noFill/>
                    </a:ln>
                  </pic:spPr>
                </pic:pic>
              </a:graphicData>
            </a:graphic>
          </wp:anchor>
        </w:drawing>
      </w:r>
      <w:r>
        <w:rPr>
          <w:rFonts w:hint="default" w:ascii="Times New Roman" w:hAnsi="Times New Roman" w:cs="Times New Roman"/>
          <w:b/>
          <w:bCs/>
          <w:color w:val="auto"/>
          <w:sz w:val="24"/>
          <w:szCs w:val="24"/>
          <w:lang w:val="en-US" w:eastAsia="zh-CN"/>
        </w:rPr>
        <w:t>10号厂房</w:t>
      </w:r>
      <w:r>
        <w:rPr>
          <w:rFonts w:hint="default" w:ascii="Times New Roman" w:hAnsi="Times New Roman" w:cs="Times New Roman"/>
          <w:b/>
          <w:bCs/>
          <w:color w:val="auto"/>
          <w:sz w:val="24"/>
          <w:szCs w:val="24"/>
          <w:lang w:eastAsia="zh-CN"/>
        </w:rPr>
        <w:t>车间</w:t>
      </w:r>
      <w:r>
        <w:rPr>
          <w:rFonts w:hint="default" w:ascii="Times New Roman" w:hAnsi="Times New Roman" w:eastAsia="宋体" w:cs="Times New Roman"/>
          <w:b/>
          <w:bCs/>
          <w:color w:val="auto"/>
          <w:sz w:val="24"/>
          <w:szCs w:val="24"/>
          <w:lang w:eastAsia="zh-CN"/>
        </w:rPr>
        <w:t>平面布置图</w:t>
      </w:r>
      <w:bookmarkEnd w:id="119"/>
    </w:p>
    <w:p w14:paraId="0057B75C">
      <w:pPr>
        <w:pStyle w:val="43"/>
        <w:pageBreakBefore w:val="0"/>
        <w:wordWrap w:val="0"/>
        <w:overflowPunct/>
        <w:bidi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sz w:val="24"/>
        </w:rPr>
        <mc:AlternateContent>
          <mc:Choice Requires="wps">
            <w:drawing>
              <wp:anchor distT="0" distB="0" distL="114300" distR="114300" simplePos="0" relativeHeight="251761664" behindDoc="0" locked="0" layoutInCell="1" allowOverlap="1">
                <wp:simplePos x="0" y="0"/>
                <wp:positionH relativeFrom="column">
                  <wp:posOffset>206375</wp:posOffset>
                </wp:positionH>
                <wp:positionV relativeFrom="paragraph">
                  <wp:posOffset>568960</wp:posOffset>
                </wp:positionV>
                <wp:extent cx="733425" cy="1619250"/>
                <wp:effectExtent l="6350" t="6350" r="22225" b="12700"/>
                <wp:wrapNone/>
                <wp:docPr id="54" name="矩形 54"/>
                <wp:cNvGraphicFramePr/>
                <a:graphic xmlns:a="http://schemas.openxmlformats.org/drawingml/2006/main">
                  <a:graphicData uri="http://schemas.microsoft.com/office/word/2010/wordprocessingShape">
                    <wps:wsp>
                      <wps:cNvSpPr/>
                      <wps:spPr>
                        <a:xfrm>
                          <a:off x="1096645" y="1219200"/>
                          <a:ext cx="733425" cy="161925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25pt;margin-top:44.8pt;height:127.5pt;width:57.75pt;z-index:251761664;v-text-anchor:middle;mso-width-relative:page;mso-height-relative:page;" filled="f" stroked="t" coordsize="21600,21600" o:gfxdata="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Gj+wmDXAAAACQEAAA8AAAAAAAAAAQAgAAAAIgAAAGRycy9kb3du&#10;cmV2LnhtbFBLAQIUABQAAAAIAIdO4kBiKuFRcgIAANkEAAAOAAAAAAAAAAEAIAAAACYBAABkcnMv&#10;ZTJvRG9jLnhtbFBLBQYAAAAABgAGAFkBAAAKBgAAAAA=&#10;">
                <v:fill on="f" focussize="0,0"/>
                <v:stroke weight="1pt" color="#000000 [3213]" miterlimit="8" joinstyle="miter"/>
                <v:imagedata o:title=""/>
                <o:lock v:ext="edit" aspectratio="f"/>
              </v:rect>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48352" behindDoc="0" locked="0" layoutInCell="1" allowOverlap="1">
                <wp:simplePos x="0" y="0"/>
                <wp:positionH relativeFrom="column">
                  <wp:posOffset>1177925</wp:posOffset>
                </wp:positionH>
                <wp:positionV relativeFrom="paragraph">
                  <wp:posOffset>32385</wp:posOffset>
                </wp:positionV>
                <wp:extent cx="4562475" cy="2466975"/>
                <wp:effectExtent l="6350" t="6350" r="22225" b="22225"/>
                <wp:wrapNone/>
                <wp:docPr id="3" name="矩形 3"/>
                <wp:cNvGraphicFramePr/>
                <a:graphic xmlns:a="http://schemas.openxmlformats.org/drawingml/2006/main">
                  <a:graphicData uri="http://schemas.microsoft.com/office/word/2010/wordprocessingShape">
                    <wps:wsp>
                      <wps:cNvSpPr/>
                      <wps:spPr>
                        <a:xfrm>
                          <a:off x="1534795" y="1558925"/>
                          <a:ext cx="4562475" cy="246697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2.75pt;margin-top:2.55pt;height:194.25pt;width:359.25pt;z-index:251748352;v-text-anchor:middle;mso-width-relative:page;mso-height-relative:page;" fillcolor="#5B9BD5 [3204]" filled="t" stroked="t" coordsize="21600,21600" o:gfxdata="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HSqVqvY&#10;AAAACQEAAA8AAAAAAAAAAQAgAAAAIgAAAGRycy9kb3ducmV2LnhtbFBLAQIUABQAAAAIAIdO4kAL&#10;xl6IkgIAACMFAAAOAAAAAAAAAAEAIAAAACcBAABkcnMvZTJvRG9jLnhtbFBLBQYAAAAABgAGAFkB&#10;AAArBgAAAAA=&#10;">
                <v:fill on="t" focussize="0,0"/>
                <v:stroke weight="1pt" color="#2E75B6 [2404]" miterlimit="8" joinstyle="miter"/>
                <v:imagedata o:title=""/>
                <o:lock v:ext="edit" aspectratio="f"/>
              </v:rect>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60640" behindDoc="0" locked="0" layoutInCell="1" allowOverlap="1">
                <wp:simplePos x="0" y="0"/>
                <wp:positionH relativeFrom="column">
                  <wp:posOffset>3987800</wp:posOffset>
                </wp:positionH>
                <wp:positionV relativeFrom="paragraph">
                  <wp:posOffset>2918460</wp:posOffset>
                </wp:positionV>
                <wp:extent cx="981075" cy="4495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981075" cy="4495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CEAB70">
                            <w:pPr>
                              <w:keepNext w:val="0"/>
                              <w:keepLines w:val="0"/>
                              <w:pageBreakBefore w:val="0"/>
                              <w:widowControl w:val="0"/>
                              <w:kinsoku/>
                              <w:wordWrap/>
                              <w:overflowPunct/>
                              <w:topLinePunct w:val="0"/>
                              <w:bidi w:val="0"/>
                              <w:adjustRightInd/>
                              <w:snapToGrid/>
                              <w:spacing w:line="264" w:lineRule="auto"/>
                              <w:textAlignment w:val="auto"/>
                              <w:rPr>
                                <w:rFonts w:hint="eastAsia"/>
                                <w:sz w:val="20"/>
                                <w:szCs w:val="20"/>
                                <w:lang w:val="en-US" w:eastAsia="zh-CN"/>
                              </w:rPr>
                            </w:pPr>
                            <w:r>
                              <w:rPr>
                                <w:rFonts w:hint="eastAsia"/>
                                <w:sz w:val="20"/>
                                <w:szCs w:val="20"/>
                                <w:lang w:val="en-US" w:eastAsia="zh-CN"/>
                              </w:rPr>
                              <w:t>注  塑  机</w:t>
                            </w:r>
                          </w:p>
                          <w:p w14:paraId="511A61E7">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371B0583">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624D1123">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48BA3179">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40F41F80">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16DBFB6F">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42C2BA78">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2702058D">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01BA0897">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46F817FE">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63C62CED">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6A6BE5E6">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1E80F13A">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5A3065C6">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400F69E5">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304BB2C4">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74B3D0D5">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6DCA2525">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5CB4543B">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0A7F8CB9">
                            <w:pPr>
                              <w:spacing w:line="240" w:lineRule="auto"/>
                              <w:rPr>
                                <w:rFonts w:hint="default"/>
                                <w:sz w:val="20"/>
                                <w:szCs w:val="20"/>
                                <w:lang w:val="en-US" w:eastAsia="zh-CN"/>
                              </w:rPr>
                            </w:pPr>
                          </w:p>
                          <w:p w14:paraId="67AA16CD">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4pt;margin-top:229.8pt;height:354pt;width:77.25pt;z-index:251760640;mso-width-relative:page;mso-height-relative:page;" filled="f" stroked="f" coordsize="21600,21600" o:gfxdata="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RT+iS3QAAAAwBAAAPAAAAAAAAAAEAIAAAACIA&#10;AABkcnMvZG93bnJldi54bWxQSwECFAAUAAAACACHTuJAtvtaMT0CAABoBAAADgAAAAAAAAABACAA&#10;AAAsAQAAZHJzL2Uyb0RvYy54bWxQSwUGAAAAAAYABgBZAQAA2wUAAAAA&#10;">
                <v:fill on="f" focussize="0,0"/>
                <v:stroke on="f" weight="0.5pt"/>
                <v:imagedata o:title=""/>
                <o:lock v:ext="edit" aspectratio="f"/>
                <v:textbox>
                  <w:txbxContent>
                    <w:p w14:paraId="2FCEAB70">
                      <w:pPr>
                        <w:keepNext w:val="0"/>
                        <w:keepLines w:val="0"/>
                        <w:pageBreakBefore w:val="0"/>
                        <w:widowControl w:val="0"/>
                        <w:kinsoku/>
                        <w:wordWrap/>
                        <w:overflowPunct/>
                        <w:topLinePunct w:val="0"/>
                        <w:bidi w:val="0"/>
                        <w:adjustRightInd/>
                        <w:snapToGrid/>
                        <w:spacing w:line="264" w:lineRule="auto"/>
                        <w:textAlignment w:val="auto"/>
                        <w:rPr>
                          <w:rFonts w:hint="eastAsia"/>
                          <w:sz w:val="20"/>
                          <w:szCs w:val="20"/>
                          <w:lang w:val="en-US" w:eastAsia="zh-CN"/>
                        </w:rPr>
                      </w:pPr>
                      <w:r>
                        <w:rPr>
                          <w:rFonts w:hint="eastAsia"/>
                          <w:sz w:val="20"/>
                          <w:szCs w:val="20"/>
                          <w:lang w:val="en-US" w:eastAsia="zh-CN"/>
                        </w:rPr>
                        <w:t>注  塑  机</w:t>
                      </w:r>
                    </w:p>
                    <w:p w14:paraId="511A61E7">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371B0583">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624D1123">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48BA3179">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40F41F80">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16DBFB6F">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42C2BA78">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2702058D">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01BA0897">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46F817FE">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63C62CED">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6A6BE5E6">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1E80F13A">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5A3065C6">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400F69E5">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304BB2C4">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74B3D0D5">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6DCA2525">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5CB4543B">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0A7F8CB9">
                      <w:pPr>
                        <w:spacing w:line="240" w:lineRule="auto"/>
                        <w:rPr>
                          <w:rFonts w:hint="default"/>
                          <w:sz w:val="20"/>
                          <w:szCs w:val="20"/>
                          <w:lang w:val="en-US" w:eastAsia="zh-CN"/>
                        </w:rPr>
                      </w:pPr>
                    </w:p>
                    <w:p w14:paraId="67AA16CD">
                      <w:pPr>
                        <w:rPr>
                          <w:rFonts w:hint="default"/>
                          <w:lang w:val="en-US" w:eastAsia="zh-CN"/>
                        </w:rPr>
                      </w:pP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59616" behindDoc="0" locked="0" layoutInCell="1" allowOverlap="1">
                <wp:simplePos x="0" y="0"/>
                <wp:positionH relativeFrom="column">
                  <wp:posOffset>1282700</wp:posOffset>
                </wp:positionH>
                <wp:positionV relativeFrom="paragraph">
                  <wp:posOffset>2899410</wp:posOffset>
                </wp:positionV>
                <wp:extent cx="981075" cy="4495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981075" cy="4495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3122E8">
                            <w:pPr>
                              <w:keepNext w:val="0"/>
                              <w:keepLines w:val="0"/>
                              <w:pageBreakBefore w:val="0"/>
                              <w:widowControl w:val="0"/>
                              <w:kinsoku/>
                              <w:wordWrap/>
                              <w:overflowPunct/>
                              <w:topLinePunct w:val="0"/>
                              <w:bidi w:val="0"/>
                              <w:adjustRightInd/>
                              <w:snapToGrid/>
                              <w:spacing w:line="264" w:lineRule="auto"/>
                              <w:textAlignment w:val="auto"/>
                              <w:rPr>
                                <w:rFonts w:hint="eastAsia"/>
                                <w:sz w:val="20"/>
                                <w:szCs w:val="20"/>
                                <w:lang w:val="en-US" w:eastAsia="zh-CN"/>
                              </w:rPr>
                            </w:pPr>
                            <w:r>
                              <w:rPr>
                                <w:rFonts w:hint="eastAsia"/>
                                <w:sz w:val="20"/>
                                <w:szCs w:val="20"/>
                                <w:lang w:val="en-US" w:eastAsia="zh-CN"/>
                              </w:rPr>
                              <w:t>注  塑  机</w:t>
                            </w:r>
                          </w:p>
                          <w:p w14:paraId="72D8547F">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37461B98">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30D88AC5">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7F9093C4">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609BBE6E">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1A1FBB02">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6D1C6A2A">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1CCFD5EA">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1FE9138F">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6C464685">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493DF7CF">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472DFBF3">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3F1EC178">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6D0950D9">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50DCBBC2">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20455FCE">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48C396E8">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327C0D38">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23A6A19A">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20602F8B">
                            <w:pPr>
                              <w:spacing w:line="240" w:lineRule="auto"/>
                              <w:rPr>
                                <w:rFonts w:hint="default"/>
                                <w:sz w:val="20"/>
                                <w:szCs w:val="20"/>
                                <w:lang w:val="en-US" w:eastAsia="zh-CN"/>
                              </w:rPr>
                            </w:pPr>
                          </w:p>
                          <w:p w14:paraId="71F50F1D">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1pt;margin-top:228.3pt;height:354pt;width:77.25pt;z-index:251759616;mso-width-relative:page;mso-height-relative:page;" filled="f" stroked="f" coordsize="21600,21600" o:gfxdata="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gdhEh3AAAAAwBAAAPAAAAAAAAAAEAIAAAACIA&#10;AABkcnMvZG93bnJldi54bWxQSwECFAAUAAAACACHTuJAJGMyBT4CAABoBAAADgAAAAAAAAABACAA&#10;AAArAQAAZHJzL2Uyb0RvYy54bWxQSwUGAAAAAAYABgBZAQAA2wUAAAAA&#10;">
                <v:fill on="f" focussize="0,0"/>
                <v:stroke on="f" weight="0.5pt"/>
                <v:imagedata o:title=""/>
                <o:lock v:ext="edit" aspectratio="f"/>
                <v:textbox>
                  <w:txbxContent>
                    <w:p w14:paraId="423122E8">
                      <w:pPr>
                        <w:keepNext w:val="0"/>
                        <w:keepLines w:val="0"/>
                        <w:pageBreakBefore w:val="0"/>
                        <w:widowControl w:val="0"/>
                        <w:kinsoku/>
                        <w:wordWrap/>
                        <w:overflowPunct/>
                        <w:topLinePunct w:val="0"/>
                        <w:bidi w:val="0"/>
                        <w:adjustRightInd/>
                        <w:snapToGrid/>
                        <w:spacing w:line="264" w:lineRule="auto"/>
                        <w:textAlignment w:val="auto"/>
                        <w:rPr>
                          <w:rFonts w:hint="eastAsia"/>
                          <w:sz w:val="20"/>
                          <w:szCs w:val="20"/>
                          <w:lang w:val="en-US" w:eastAsia="zh-CN"/>
                        </w:rPr>
                      </w:pPr>
                      <w:r>
                        <w:rPr>
                          <w:rFonts w:hint="eastAsia"/>
                          <w:sz w:val="20"/>
                          <w:szCs w:val="20"/>
                          <w:lang w:val="en-US" w:eastAsia="zh-CN"/>
                        </w:rPr>
                        <w:t>注  塑  机</w:t>
                      </w:r>
                    </w:p>
                    <w:p w14:paraId="72D8547F">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37461B98">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30D88AC5">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7F9093C4">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609BBE6E">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1A1FBB02">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6D1C6A2A">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1CCFD5EA">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1FE9138F">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6C464685">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493DF7CF">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472DFBF3">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3F1EC178">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6D0950D9">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50DCBBC2">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20455FCE">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48C396E8">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327C0D38">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23A6A19A">
                      <w:pPr>
                        <w:keepNext w:val="0"/>
                        <w:keepLines w:val="0"/>
                        <w:pageBreakBefore w:val="0"/>
                        <w:widowControl w:val="0"/>
                        <w:kinsoku/>
                        <w:wordWrap/>
                        <w:overflowPunct/>
                        <w:topLinePunct w:val="0"/>
                        <w:bidi w:val="0"/>
                        <w:adjustRightInd/>
                        <w:snapToGrid/>
                        <w:spacing w:line="264" w:lineRule="auto"/>
                        <w:textAlignment w:val="auto"/>
                        <w:rPr>
                          <w:rFonts w:hint="default" w:eastAsia="宋体"/>
                          <w:sz w:val="20"/>
                          <w:szCs w:val="20"/>
                          <w:lang w:val="en-US" w:eastAsia="zh-CN"/>
                        </w:rPr>
                      </w:pPr>
                      <w:r>
                        <w:rPr>
                          <w:rFonts w:hint="eastAsia"/>
                          <w:sz w:val="20"/>
                          <w:szCs w:val="20"/>
                          <w:lang w:val="en-US" w:eastAsia="zh-CN"/>
                        </w:rPr>
                        <w:t>注  塑  机</w:t>
                      </w:r>
                    </w:p>
                    <w:p w14:paraId="20602F8B">
                      <w:pPr>
                        <w:spacing w:line="240" w:lineRule="auto"/>
                        <w:rPr>
                          <w:rFonts w:hint="default"/>
                          <w:sz w:val="20"/>
                          <w:szCs w:val="20"/>
                          <w:lang w:val="en-US" w:eastAsia="zh-CN"/>
                        </w:rPr>
                      </w:pPr>
                    </w:p>
                    <w:p w14:paraId="71F50F1D">
                      <w:pPr>
                        <w:rPr>
                          <w:rFonts w:hint="default"/>
                          <w:lang w:val="en-US" w:eastAsia="zh-CN"/>
                        </w:rPr>
                      </w:pP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58592" behindDoc="0" locked="0" layoutInCell="1" allowOverlap="1">
                <wp:simplePos x="0" y="0"/>
                <wp:positionH relativeFrom="column">
                  <wp:posOffset>4997450</wp:posOffset>
                </wp:positionH>
                <wp:positionV relativeFrom="paragraph">
                  <wp:posOffset>7747635</wp:posOffset>
                </wp:positionV>
                <wp:extent cx="610235" cy="314325"/>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610235"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1058A6">
                            <w:pPr>
                              <w:spacing w:line="240" w:lineRule="auto"/>
                              <w:rPr>
                                <w:rFonts w:hint="default" w:eastAsia="宋体"/>
                                <w:sz w:val="20"/>
                                <w:szCs w:val="20"/>
                                <w:lang w:val="en-US" w:eastAsia="zh-CN"/>
                              </w:rPr>
                            </w:pPr>
                            <w:r>
                              <w:rPr>
                                <w:rFonts w:hint="eastAsia"/>
                                <w:sz w:val="20"/>
                                <w:szCs w:val="20"/>
                                <w:lang w:val="en-US" w:eastAsia="zh-CN"/>
                              </w:rPr>
                              <w:t>破碎区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3.5pt;margin-top:610.05pt;height:24.75pt;width:48.05pt;z-index:251758592;mso-width-relative:page;mso-height-relative:page;" filled="f" stroked="f" coordsize="21600,21600" o:gfxdata="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yaQ2bdAAAADQEAAA8AAAAAAAAAAQAgAAAAIgAA&#10;AGRycy9kb3ducmV2LnhtbFBLAQIUABQAAAAIAIdO4kA2QBKOPAIAAGcEAAAOAAAAAAAAAAEAIAAA&#10;ACwBAABkcnMvZTJvRG9jLnhtbFBLBQYAAAAABgAGAFkBAADaBQAAAAA=&#10;">
                <v:fill on="f" focussize="0,0"/>
                <v:stroke on="f" weight="0.5pt"/>
                <v:imagedata o:title=""/>
                <o:lock v:ext="edit" aspectratio="f"/>
                <v:textbox>
                  <w:txbxContent>
                    <w:p w14:paraId="361058A6">
                      <w:pPr>
                        <w:spacing w:line="240" w:lineRule="auto"/>
                        <w:rPr>
                          <w:rFonts w:hint="default" w:eastAsia="宋体"/>
                          <w:sz w:val="20"/>
                          <w:szCs w:val="20"/>
                          <w:lang w:val="en-US" w:eastAsia="zh-CN"/>
                        </w:rPr>
                      </w:pPr>
                      <w:r>
                        <w:rPr>
                          <w:rFonts w:hint="eastAsia"/>
                          <w:sz w:val="20"/>
                          <w:szCs w:val="20"/>
                          <w:lang w:val="en-US" w:eastAsia="zh-CN"/>
                        </w:rPr>
                        <w:t>破碎区</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57568" behindDoc="0" locked="0" layoutInCell="1" allowOverlap="1">
                <wp:simplePos x="0" y="0"/>
                <wp:positionH relativeFrom="column">
                  <wp:posOffset>244475</wp:posOffset>
                </wp:positionH>
                <wp:positionV relativeFrom="paragraph">
                  <wp:posOffset>7757160</wp:posOffset>
                </wp:positionV>
                <wp:extent cx="610235" cy="314325"/>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610235"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087E13">
                            <w:pPr>
                              <w:spacing w:line="240" w:lineRule="auto"/>
                              <w:rPr>
                                <w:rFonts w:hint="default" w:eastAsia="宋体"/>
                                <w:color w:val="FFFF00"/>
                                <w:sz w:val="20"/>
                                <w:szCs w:val="20"/>
                                <w:lang w:val="en-US" w:eastAsia="zh-CN"/>
                              </w:rPr>
                            </w:pPr>
                            <w:r>
                              <w:rPr>
                                <w:rFonts w:hint="eastAsia"/>
                                <w:color w:val="FFFF00"/>
                                <w:sz w:val="20"/>
                                <w:szCs w:val="20"/>
                                <w:lang w:val="en-US" w:eastAsia="zh-CN"/>
                              </w:rPr>
                              <w:t>危废间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25pt;margin-top:610.8pt;height:24.75pt;width:48.05pt;z-index:251757568;mso-width-relative:page;mso-height-relative:page;" filled="f" stroked="f" coordsize="21600,21600" o:gfxdata="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&#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OhUqTbAAAADAEAAA8AAAAAAAAAAQAgAAAAIgAAAGRy&#10;cy9kb3ducmV2LnhtbFBLAQIUABQAAAAIAIdO4kCZxyZsOwIAAGcEAAAOAAAAAAAAAAEAIAAAACoB&#10;AABkcnMvZTJvRG9jLnhtbFBLBQYAAAAABgAGAFkBAADXBQAAAAA=&#10;">
                <v:fill on="f" focussize="0,0"/>
                <v:stroke on="f" weight="0.5pt"/>
                <v:imagedata o:title=""/>
                <o:lock v:ext="edit" aspectratio="f"/>
                <v:textbox>
                  <w:txbxContent>
                    <w:p w14:paraId="31087E13">
                      <w:pPr>
                        <w:spacing w:line="240" w:lineRule="auto"/>
                        <w:rPr>
                          <w:rFonts w:hint="default" w:eastAsia="宋体"/>
                          <w:color w:val="FFFF00"/>
                          <w:sz w:val="20"/>
                          <w:szCs w:val="20"/>
                          <w:lang w:val="en-US" w:eastAsia="zh-CN"/>
                        </w:rPr>
                      </w:pPr>
                      <w:r>
                        <w:rPr>
                          <w:rFonts w:hint="eastAsia"/>
                          <w:color w:val="FFFF00"/>
                          <w:sz w:val="20"/>
                          <w:szCs w:val="20"/>
                          <w:lang w:val="en-US" w:eastAsia="zh-CN"/>
                        </w:rPr>
                        <w:t>危废间</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56544" behindDoc="0" locked="0" layoutInCell="1" allowOverlap="1">
                <wp:simplePos x="0" y="0"/>
                <wp:positionH relativeFrom="column">
                  <wp:posOffset>5588000</wp:posOffset>
                </wp:positionH>
                <wp:positionV relativeFrom="paragraph">
                  <wp:posOffset>3070860</wp:posOffset>
                </wp:positionV>
                <wp:extent cx="628015" cy="295275"/>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628015"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7170AF">
                            <w:pPr>
                              <w:spacing w:line="240" w:lineRule="auto"/>
                              <w:rPr>
                                <w:rFonts w:hint="default" w:eastAsia="宋体"/>
                                <w:b/>
                                <w:bCs/>
                                <w:color w:val="FF0000"/>
                                <w:sz w:val="20"/>
                                <w:szCs w:val="20"/>
                                <w:lang w:val="en-US" w:eastAsia="zh-CN"/>
                              </w:rPr>
                            </w:pPr>
                            <w:r>
                              <w:rPr>
                                <w:rFonts w:hint="eastAsia"/>
                                <w:b/>
                                <w:bCs/>
                                <w:color w:val="FF0000"/>
                                <w:sz w:val="20"/>
                                <w:szCs w:val="20"/>
                                <w:lang w:val="en-US" w:eastAsia="zh-CN"/>
                              </w:rPr>
                              <w:t>DA006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0pt;margin-top:241.8pt;height:23.25pt;width:49.45pt;z-index:251756544;mso-width-relative:page;mso-height-relative:page;" filled="f" stroked="f" coordsize="21600,21600" o:gfxdata="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lTFmh9wAAAALAQAADwAAAAAAAAABACAAAAAiAAAA&#10;ZHJzL2Rvd25yZXYueG1sUEsBAhQAFAAAAAgAh07iQCm6tFY8AgAAZwQAAA4AAAAAAAAAAQAgAAAA&#10;KwEAAGRycy9lMm9Eb2MueG1sUEsFBgAAAAAGAAYAWQEAANkFAAAAAA==&#10;">
                <v:fill on="f" focussize="0,0"/>
                <v:stroke on="f" weight="0.5pt"/>
                <v:imagedata o:title=""/>
                <o:lock v:ext="edit" aspectratio="f"/>
                <v:textbox>
                  <w:txbxContent>
                    <w:p w14:paraId="3F7170AF">
                      <w:pPr>
                        <w:spacing w:line="240" w:lineRule="auto"/>
                        <w:rPr>
                          <w:rFonts w:hint="default" w:eastAsia="宋体"/>
                          <w:b/>
                          <w:bCs/>
                          <w:color w:val="FF0000"/>
                          <w:sz w:val="20"/>
                          <w:szCs w:val="20"/>
                          <w:lang w:val="en-US" w:eastAsia="zh-CN"/>
                        </w:rPr>
                      </w:pPr>
                      <w:r>
                        <w:rPr>
                          <w:rFonts w:hint="eastAsia"/>
                          <w:b/>
                          <w:bCs/>
                          <w:color w:val="FF0000"/>
                          <w:sz w:val="20"/>
                          <w:szCs w:val="20"/>
                          <w:lang w:val="en-US" w:eastAsia="zh-CN"/>
                        </w:rPr>
                        <w:t>DA006</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55520" behindDoc="0" locked="0" layoutInCell="1" allowOverlap="1">
                <wp:simplePos x="0" y="0"/>
                <wp:positionH relativeFrom="column">
                  <wp:posOffset>4854575</wp:posOffset>
                </wp:positionH>
                <wp:positionV relativeFrom="paragraph">
                  <wp:posOffset>70485</wp:posOffset>
                </wp:positionV>
                <wp:extent cx="628015" cy="295275"/>
                <wp:effectExtent l="0" t="0" r="0" b="0"/>
                <wp:wrapNone/>
                <wp:docPr id="22" name="文本框 22"/>
                <wp:cNvGraphicFramePr/>
                <a:graphic xmlns:a="http://schemas.openxmlformats.org/drawingml/2006/main">
                  <a:graphicData uri="http://schemas.microsoft.com/office/word/2010/wordprocessingShape">
                    <wps:wsp>
                      <wps:cNvSpPr txBox="1"/>
                      <wps:spPr>
                        <a:xfrm>
                          <a:off x="5801995" y="1292225"/>
                          <a:ext cx="628015"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347C36">
                            <w:pPr>
                              <w:spacing w:line="240" w:lineRule="auto"/>
                              <w:rPr>
                                <w:rFonts w:hint="default" w:eastAsia="宋体"/>
                                <w:b/>
                                <w:bCs/>
                                <w:color w:val="FF0000"/>
                                <w:sz w:val="20"/>
                                <w:szCs w:val="20"/>
                                <w:lang w:val="en-US" w:eastAsia="zh-CN"/>
                              </w:rPr>
                            </w:pPr>
                            <w:r>
                              <w:rPr>
                                <w:rFonts w:hint="eastAsia"/>
                                <w:b/>
                                <w:bCs/>
                                <w:color w:val="FF0000"/>
                                <w:sz w:val="20"/>
                                <w:szCs w:val="20"/>
                                <w:lang w:val="en-US" w:eastAsia="zh-CN"/>
                              </w:rPr>
                              <w:t>DA005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2.25pt;margin-top:5.55pt;height:23.25pt;width:49.45pt;z-index:251755520;mso-width-relative:page;mso-height-relative:page;" filled="f" stroked="f" coordsize="21600,21600" o:gfxdata="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Ve/MJNsAAAAJAQAADwAAAAAAAAAB&#10;ACAAAAAiAAAAZHJzL2Rvd25yZXYueG1sUEsBAhQAFAAAAAgAh07iQOMWKDFGAgAAcwQAAA4AAAAA&#10;AAAAAQAgAAAAKgEAAGRycy9lMm9Eb2MueG1sUEsFBgAAAAAGAAYAWQEAAOIFAAAAAA==&#10;">
                <v:fill on="f" focussize="0,0"/>
                <v:stroke on="f" weight="0.5pt"/>
                <v:imagedata o:title=""/>
                <o:lock v:ext="edit" aspectratio="f"/>
                <v:textbox>
                  <w:txbxContent>
                    <w:p w14:paraId="4C347C36">
                      <w:pPr>
                        <w:spacing w:line="240" w:lineRule="auto"/>
                        <w:rPr>
                          <w:rFonts w:hint="default" w:eastAsia="宋体"/>
                          <w:b/>
                          <w:bCs/>
                          <w:color w:val="FF0000"/>
                          <w:sz w:val="20"/>
                          <w:szCs w:val="20"/>
                          <w:lang w:val="en-US" w:eastAsia="zh-CN"/>
                        </w:rPr>
                      </w:pPr>
                      <w:r>
                        <w:rPr>
                          <w:rFonts w:hint="eastAsia"/>
                          <w:b/>
                          <w:bCs/>
                          <w:color w:val="FF0000"/>
                          <w:sz w:val="20"/>
                          <w:szCs w:val="20"/>
                          <w:lang w:val="en-US" w:eastAsia="zh-CN"/>
                        </w:rPr>
                        <w:t>DA005</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54496" behindDoc="0" locked="0" layoutInCell="1" allowOverlap="1">
                <wp:simplePos x="0" y="0"/>
                <wp:positionH relativeFrom="column">
                  <wp:posOffset>2987675</wp:posOffset>
                </wp:positionH>
                <wp:positionV relativeFrom="paragraph">
                  <wp:posOffset>965835</wp:posOffset>
                </wp:positionV>
                <wp:extent cx="657225" cy="419100"/>
                <wp:effectExtent l="0" t="0" r="9525" b="0"/>
                <wp:wrapNone/>
                <wp:docPr id="20" name="文本框 20"/>
                <wp:cNvGraphicFramePr/>
                <a:graphic xmlns:a="http://schemas.openxmlformats.org/drawingml/2006/main">
                  <a:graphicData uri="http://schemas.microsoft.com/office/word/2010/wordprocessingShape">
                    <wps:wsp>
                      <wps:cNvSpPr txBox="1"/>
                      <wps:spPr>
                        <a:xfrm>
                          <a:off x="3668395" y="2263775"/>
                          <a:ext cx="657225" cy="4191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1EDD9AF">
                            <w:pPr>
                              <w:rPr>
                                <w:rFonts w:hint="eastAsia" w:eastAsia="宋体"/>
                                <w:lang w:val="en-US" w:eastAsia="zh-CN"/>
                              </w:rPr>
                            </w:pPr>
                            <w:r>
                              <w:rPr>
                                <w:rFonts w:hint="eastAsia"/>
                                <w:lang w:val="en-US" w:eastAsia="zh-CN"/>
                              </w:rPr>
                              <w:t>喷漆房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5.25pt;margin-top:76.05pt;height:33pt;width:51.75pt;z-index:251754496;mso-width-relative:page;mso-height-relative:page;" fillcolor="#FFFFFF [3201]" filled="t" stroked="f" coordsize="21600,21600" o:gfxdata="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klSGp&#10;1gAAAAsBAAAPAAAAAAAAAAEAIAAAACIAAABkcnMvZG93bnJldi54bWxQSwECFAAUAAAACACHTuJA&#10;Jwa6plwCAACcBAAADgAAAAAAAAABACAAAAAlAQAAZHJzL2Uyb0RvYy54bWxQSwUGAAAAAAYABgBZ&#10;AQAA8wUAAAAA&#10;">
                <v:fill on="t" focussize="0,0"/>
                <v:stroke on="f" weight="0.5pt"/>
                <v:imagedata o:title=""/>
                <o:lock v:ext="edit" aspectratio="f"/>
                <v:textbox>
                  <w:txbxContent>
                    <w:p w14:paraId="01EDD9AF">
                      <w:pPr>
                        <w:rPr>
                          <w:rFonts w:hint="eastAsia" w:eastAsia="宋体"/>
                          <w:lang w:val="en-US" w:eastAsia="zh-CN"/>
                        </w:rPr>
                      </w:pPr>
                      <w:r>
                        <w:rPr>
                          <w:rFonts w:hint="eastAsia"/>
                          <w:lang w:val="en-US" w:eastAsia="zh-CN"/>
                        </w:rPr>
                        <w:t>喷漆房</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53472" behindDoc="0" locked="0" layoutInCell="1" allowOverlap="1">
                <wp:simplePos x="0" y="0"/>
                <wp:positionH relativeFrom="column">
                  <wp:posOffset>5559425</wp:posOffset>
                </wp:positionH>
                <wp:positionV relativeFrom="paragraph">
                  <wp:posOffset>2889885</wp:posOffset>
                </wp:positionV>
                <wp:extent cx="190500" cy="200025"/>
                <wp:effectExtent l="6350" t="6350" r="12700" b="22225"/>
                <wp:wrapNone/>
                <wp:docPr id="18" name="椭圆 18"/>
                <wp:cNvGraphicFramePr/>
                <a:graphic xmlns:a="http://schemas.openxmlformats.org/drawingml/2006/main">
                  <a:graphicData uri="http://schemas.microsoft.com/office/word/2010/wordprocessingShape">
                    <wps:wsp>
                      <wps:cNvSpPr/>
                      <wps:spPr>
                        <a:xfrm>
                          <a:off x="0" y="0"/>
                          <a:ext cx="190500" cy="200025"/>
                        </a:xfrm>
                        <a:prstGeom prst="ellipse">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37.75pt;margin-top:227.55pt;height:15.75pt;width:15pt;z-index:251753472;v-text-anchor:middle;mso-width-relative:page;mso-height-relative:page;" fillcolor="#FF0000" filled="t" stroked="t" coordsize="21600,21600" o:gfxdata="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8w/Fc2AAAAAsBAAAPAAAAAAAA&#10;AAEAIAAAACIAAABkcnMvZG93bnJldi54bWxQSwECFAAUAAAACACHTuJAnRKx9oQCAAAaBQAADgAA&#10;AAAAAAABACAAAAAnAQAAZHJzL2Uyb0RvYy54bWxQSwUGAAAAAAYABgBZAQAAHQYAAAAA&#10;">
                <v:fill on="t" focussize="0,0"/>
                <v:stroke weight="1pt" color="#2E75B6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52448" behindDoc="0" locked="0" layoutInCell="1" allowOverlap="1">
                <wp:simplePos x="0" y="0"/>
                <wp:positionH relativeFrom="column">
                  <wp:posOffset>4645025</wp:posOffset>
                </wp:positionH>
                <wp:positionV relativeFrom="paragraph">
                  <wp:posOffset>99060</wp:posOffset>
                </wp:positionV>
                <wp:extent cx="190500" cy="200025"/>
                <wp:effectExtent l="6350" t="6350" r="12700" b="22225"/>
                <wp:wrapNone/>
                <wp:docPr id="17" name="椭圆 17"/>
                <wp:cNvGraphicFramePr/>
                <a:graphic xmlns:a="http://schemas.openxmlformats.org/drawingml/2006/main">
                  <a:graphicData uri="http://schemas.microsoft.com/office/word/2010/wordprocessingShape">
                    <wps:wsp>
                      <wps:cNvSpPr/>
                      <wps:spPr>
                        <a:xfrm>
                          <a:off x="5544820" y="1273175"/>
                          <a:ext cx="190500" cy="200025"/>
                        </a:xfrm>
                        <a:prstGeom prst="ellipse">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65.75pt;margin-top:7.8pt;height:15.75pt;width:15pt;z-index:251752448;v-text-anchor:middle;mso-width-relative:page;mso-height-relative:page;" fillcolor="#FF0000" filled="t" stroked="t" coordsize="21600,21600" o:gfxdata="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qNlW9YAAAAJ&#10;AQAADwAAAAAAAAABACAAAAAiAAAAZHJzL2Rvd25yZXYueG1sUEsBAhQAFAAAAAgAh07iQOs2ox2Q&#10;AgAAJgUAAA4AAAAAAAAAAQAgAAAAJQEAAGRycy9lMm9Eb2MueG1sUEsFBgAAAAAGAAYAWQEAACcG&#10;AAAAAA==&#10;">
                <v:fill on="t" focussize="0,0"/>
                <v:stroke weight="1pt" color="#2E75B6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51424" behindDoc="0" locked="0" layoutInCell="1" allowOverlap="1">
                <wp:simplePos x="0" y="0"/>
                <wp:positionH relativeFrom="column">
                  <wp:posOffset>4816475</wp:posOffset>
                </wp:positionH>
                <wp:positionV relativeFrom="paragraph">
                  <wp:posOffset>7690485</wp:posOffset>
                </wp:positionV>
                <wp:extent cx="933450" cy="390525"/>
                <wp:effectExtent l="6350" t="6350" r="12700" b="22225"/>
                <wp:wrapNone/>
                <wp:docPr id="15" name="矩形 15"/>
                <wp:cNvGraphicFramePr/>
                <a:graphic xmlns:a="http://schemas.openxmlformats.org/drawingml/2006/main">
                  <a:graphicData uri="http://schemas.microsoft.com/office/word/2010/wordprocessingShape">
                    <wps:wsp>
                      <wps:cNvSpPr/>
                      <wps:spPr>
                        <a:xfrm>
                          <a:off x="5716270" y="8864600"/>
                          <a:ext cx="933450" cy="39052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9.25pt;margin-top:605.55pt;height:30.75pt;width:73.5pt;z-index:251751424;v-text-anchor:middle;mso-width-relative:page;mso-height-relative:page;" fillcolor="#5B9BD5 [3204]" filled="t" stroked="t" coordsize="21600,21600" o:gfxdata="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PCviT&#10;2gAAAA0BAAAPAAAAAAAAAAEAIAAAACIAAABkcnMvZG93bnJldi54bWxQSwECFAAUAAAACACHTuJA&#10;/H2vgZECAAAjBQAADgAAAAAAAAABACAAAAApAQAAZHJzL2Uyb0RvYy54bWxQSwUGAAAAAAYABgBZ&#10;AQAALAYAAAAA&#10;">
                <v:fill on="t" focussize="0,0"/>
                <v:stroke weight="1pt" color="#2E75B6 [2404]" miterlimit="8" joinstyle="miter"/>
                <v:imagedata o:title=""/>
                <o:lock v:ext="edit" aspectratio="f"/>
              </v:rect>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50400" behindDoc="0" locked="0" layoutInCell="1" allowOverlap="1">
                <wp:simplePos x="0" y="0"/>
                <wp:positionH relativeFrom="column">
                  <wp:posOffset>196850</wp:posOffset>
                </wp:positionH>
                <wp:positionV relativeFrom="paragraph">
                  <wp:posOffset>7738110</wp:posOffset>
                </wp:positionV>
                <wp:extent cx="704850" cy="342900"/>
                <wp:effectExtent l="6350" t="6350" r="12700" b="12700"/>
                <wp:wrapNone/>
                <wp:docPr id="12" name="矩形 12"/>
                <wp:cNvGraphicFramePr/>
                <a:graphic xmlns:a="http://schemas.openxmlformats.org/drawingml/2006/main">
                  <a:graphicData uri="http://schemas.microsoft.com/office/word/2010/wordprocessingShape">
                    <wps:wsp>
                      <wps:cNvSpPr/>
                      <wps:spPr>
                        <a:xfrm>
                          <a:off x="1096645" y="8912225"/>
                          <a:ext cx="704850" cy="34290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5pt;margin-top:609.3pt;height:27pt;width:55.5pt;z-index:251750400;v-text-anchor:middle;mso-width-relative:page;mso-height-relative:page;" fillcolor="#5B9BD5 [3204]" filled="t" stroked="t" coordsize="21600,21600" o:gfxdata="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JU82C&#10;2QAAAAwBAAAPAAAAAAAAAAEAIAAAACIAAABkcnMvZG93bnJldi54bWxQSwECFAAUAAAACACHTuJA&#10;B99+NZICAAAjBQAADgAAAAAAAAABACAAAAAoAQAAZHJzL2Uyb0RvYy54bWxQSwUGAAAAAAYABgBZ&#10;AQAALAYAAAAA&#10;">
                <v:fill on="t" focussize="0,0"/>
                <v:stroke weight="1pt" color="#2E75B6 [2404]" miterlimit="8" joinstyle="miter"/>
                <v:imagedata o:title=""/>
                <o:lock v:ext="edit" aspectratio="f"/>
              </v:rect>
            </w:pict>
          </mc:Fallback>
        </mc:AlternateContent>
      </w:r>
      <w:r>
        <w:rPr>
          <w:rFonts w:hint="default" w:ascii="Times New Roman" w:hAnsi="Times New Roman" w:cs="Times New Roman"/>
          <w:color w:val="auto"/>
        </w:rPr>
        <mc:AlternateContent>
          <mc:Choice Requires="wps">
            <w:drawing>
              <wp:anchor distT="0" distB="0" distL="114300" distR="114300" simplePos="0" relativeHeight="251749376" behindDoc="0" locked="0" layoutInCell="1" allowOverlap="1">
                <wp:simplePos x="0" y="0"/>
                <wp:positionH relativeFrom="column">
                  <wp:posOffset>3361690</wp:posOffset>
                </wp:positionH>
                <wp:positionV relativeFrom="paragraph">
                  <wp:posOffset>2869565</wp:posOffset>
                </wp:positionV>
                <wp:extent cx="2124075" cy="4562475"/>
                <wp:effectExtent l="6350" t="6350" r="22225" b="22225"/>
                <wp:wrapNone/>
                <wp:docPr id="8" name="矩形 8"/>
                <wp:cNvGraphicFramePr/>
                <a:graphic xmlns:a="http://schemas.openxmlformats.org/drawingml/2006/main">
                  <a:graphicData uri="http://schemas.microsoft.com/office/word/2010/wordprocessingShape">
                    <wps:wsp>
                      <wps:cNvSpPr/>
                      <wps:spPr>
                        <a:xfrm>
                          <a:off x="0" y="0"/>
                          <a:ext cx="2124075" cy="456247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4.7pt;margin-top:225.95pt;height:359.25pt;width:167.25pt;z-index:251749376;v-text-anchor:middle;mso-width-relative:page;mso-height-relative:page;" filled="f" stroked="t" coordsize="21600,21600" o:gfxdata="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L8dFe2gAAAAwBAAAPAAAAAAAAAAEAIAAAACIAAABkcnMvZG93bnJldi54bWxQ&#10;SwECFAAUAAAACACHTuJAW8J45GcCAADMBAAADgAAAAAAAAABACAAAAApAQAAZHJzL2Uyb0RvYy54&#10;bWxQSwUGAAAAAAYABgBZAQAAAgYAAAAA&#10;">
                <v:fill on="f" focussize="0,0"/>
                <v:stroke weight="1pt" color="#000000 [3213]" miterlimit="8" joinstyle="miter"/>
                <v:imagedata o:title=""/>
                <o:lock v:ext="edit" aspectratio="f"/>
              </v:rect>
            </w:pict>
          </mc:Fallback>
        </mc:AlternateContent>
      </w:r>
      <w:r>
        <w:rPr>
          <w:rFonts w:hint="default" w:ascii="Times New Roman" w:hAnsi="Times New Roman" w:cs="Times New Roman"/>
          <w:color w:val="auto"/>
          <w:sz w:val="24"/>
        </w:rPr>
        <mc:AlternateContent>
          <mc:Choice Requires="wpc">
            <w:drawing>
              <wp:inline distT="0" distB="0" distL="114300" distR="114300">
                <wp:extent cx="5553075" cy="8062595"/>
                <wp:effectExtent l="4445" t="4445" r="5080" b="10160"/>
                <wp:docPr id="2" name="画布 2"/>
                <wp:cNvGraphicFramePr/>
                <a:graphic xmlns:a="http://schemas.openxmlformats.org/drawingml/2006/main">
                  <a:graphicData uri="http://schemas.microsoft.com/office/word/2010/wordprocessingCanvas">
                    <wpc:wpc>
                      <wpc:bg/>
                      <wpc:whole>
                        <a:ln>
                          <a:solidFill>
                            <a:schemeClr val="tx1"/>
                          </a:solidFill>
                        </a:ln>
                      </wpc:whole>
                      <wps:wsp>
                        <wps:cNvPr id="5" name="矩形 5"/>
                        <wps:cNvSpPr/>
                        <wps:spPr>
                          <a:xfrm>
                            <a:off x="508635" y="2834005"/>
                            <a:ext cx="2124075" cy="456247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 name="文本框 6"/>
                        <wps:cNvSpPr txBox="1"/>
                        <wps:spPr>
                          <a:xfrm>
                            <a:off x="2594610" y="7729855"/>
                            <a:ext cx="542925" cy="3327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1DC608B">
                              <w:pPr>
                                <w:rPr>
                                  <w:rFonts w:hint="eastAsia" w:eastAsia="宋体"/>
                                  <w:lang w:val="en-US" w:eastAsia="zh-CN"/>
                                </w:rPr>
                              </w:pPr>
                              <w:r>
                                <w:rPr>
                                  <w:rFonts w:hint="eastAsia"/>
                                  <w:lang w:val="en-US" w:eastAsia="zh-CN"/>
                                </w:rPr>
                                <w:t>门口</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9" name="文本框 59"/>
                        <wps:cNvSpPr txBox="1"/>
                        <wps:spPr>
                          <a:xfrm>
                            <a:off x="84455" y="1236980"/>
                            <a:ext cx="610235"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815D61">
                              <w:pPr>
                                <w:spacing w:line="240" w:lineRule="auto"/>
                                <w:rPr>
                                  <w:rFonts w:hint="default" w:eastAsia="宋体"/>
                                  <w:sz w:val="20"/>
                                  <w:szCs w:val="20"/>
                                  <w:lang w:val="en-US" w:eastAsia="zh-CN"/>
                                </w:rPr>
                              </w:pPr>
                              <w:r>
                                <w:rPr>
                                  <w:rFonts w:hint="eastAsia"/>
                                  <w:sz w:val="20"/>
                                  <w:szCs w:val="20"/>
                                  <w:lang w:val="en-US" w:eastAsia="zh-CN"/>
                                </w:rPr>
                                <w:t>仓库</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634.85pt;width:437.25pt;" coordsize="5553075,8062595" editas="canvas" o:gfxdata="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">
                <o:lock v:ext="edit" aspectratio="f"/>
                <v:shape id="_x0000_s1026" o:spid="_x0000_s1026" style="position:absolute;left:0;top:0;height:8062595;width:5553075;" filled="f" stroked="t" coordsize="21600,21600" o:gfxdata="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">
                  <v:fill on="f" focussize="0,0"/>
                  <v:stroke color="#000000 [3213]" joinstyle="round"/>
                  <v:imagedata o:title=""/>
                  <o:lock v:ext="edit" aspectratio="f"/>
                </v:shape>
                <v:rect id="_x0000_s1026" o:spid="_x0000_s1026" o:spt="1" style="position:absolute;left:508635;top:2834005;height:4562475;width:2124075;v-text-anchor:middle;" filled="f" stroked="t" coordsize="21600,21600" o:gfxdata="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UlOrC1gAAAAYBAAAPAAAAAAAAAAEAIAAAACIAAABkcnMvZG93&#10;bnJldi54bWxQSwECFAAUAAAACACHTuJAOMz9v3QCAADXBAAADgAAAAAAAAABACAAAAAlAQAAZHJz&#10;L2Uyb0RvYy54bWxQSwUGAAAAAAYABgBZAQAACwYAAAAA&#10;">
                  <v:fill on="f" focussize="0,0"/>
                  <v:stroke weight="1pt" color="#000000 [3213]" miterlimit="8" joinstyle="miter"/>
                  <v:imagedata o:title=""/>
                  <o:lock v:ext="edit" aspectratio="f"/>
                </v:rect>
                <v:shape id="_x0000_s1026" o:spid="_x0000_s1026" o:spt="202" type="#_x0000_t202" style="position:absolute;left:2594610;top:7729855;height:332740;width:542925;" fillcolor="#FFFFFF [3201]" filled="t" stroked="t" coordsize="21600,21600" o:gfxdata="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njt0+1QAAAAYBAAAPAAAAAAAAAAEAIAAAACIAAABkcnMvZG93bnJldi54bWxQSwECFAAU&#10;AAAACACHTuJAwLFBoWYCAADCBAAADgAAAAAAAAABACAAAAAkAQAAZHJzL2Uyb0RvYy54bWxQSwUG&#10;AAAAAAYABgBZAQAA/AUAAAAA&#10;">
                  <v:fill on="t" focussize="0,0"/>
                  <v:stroke weight="0.5pt" color="#000000 [3204]" joinstyle="round"/>
                  <v:imagedata o:title=""/>
                  <o:lock v:ext="edit" aspectratio="f"/>
                  <v:textbox>
                    <w:txbxContent>
                      <w:p w14:paraId="11DC608B">
                        <w:pPr>
                          <w:rPr>
                            <w:rFonts w:hint="eastAsia" w:eastAsia="宋体"/>
                            <w:lang w:val="en-US" w:eastAsia="zh-CN"/>
                          </w:rPr>
                        </w:pPr>
                        <w:r>
                          <w:rPr>
                            <w:rFonts w:hint="eastAsia"/>
                            <w:lang w:val="en-US" w:eastAsia="zh-CN"/>
                          </w:rPr>
                          <w:t>门口</w:t>
                        </w:r>
                      </w:p>
                    </w:txbxContent>
                  </v:textbox>
                </v:shape>
                <v:shape id="_x0000_s1026" o:spid="_x0000_s1026" o:spt="202" type="#_x0000_t202" style="position:absolute;left:84455;top:1236980;height:314325;width:610235;" filled="f" stroked="f" coordsize="21600,21600" o:gfxdata="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vJnW62AAAAAYBAAAPAAAAAAAAAAEAIAAA&#10;ACIAAABkcnMvZG93bnJldi54bWxQSwECFAAUAAAACACHTuJATUonCUUCAABxBAAADgAAAAAAAAAB&#10;ACAAAAAnAQAAZHJzL2Uyb0RvYy54bWxQSwUGAAAAAAYABgBZAQAA3gUAAAAA&#10;">
                  <v:fill on="f" focussize="0,0"/>
                  <v:stroke on="f" weight="0.5pt"/>
                  <v:imagedata o:title=""/>
                  <o:lock v:ext="edit" aspectratio="f"/>
                  <v:textbox>
                    <w:txbxContent>
                      <w:p w14:paraId="3C815D61">
                        <w:pPr>
                          <w:spacing w:line="240" w:lineRule="auto"/>
                          <w:rPr>
                            <w:rFonts w:hint="default" w:eastAsia="宋体"/>
                            <w:sz w:val="20"/>
                            <w:szCs w:val="20"/>
                            <w:lang w:val="en-US" w:eastAsia="zh-CN"/>
                          </w:rPr>
                        </w:pPr>
                        <w:r>
                          <w:rPr>
                            <w:rFonts w:hint="eastAsia"/>
                            <w:sz w:val="20"/>
                            <w:szCs w:val="20"/>
                            <w:lang w:val="en-US" w:eastAsia="zh-CN"/>
                          </w:rPr>
                          <w:t>仓库</w:t>
                        </w:r>
                      </w:p>
                    </w:txbxContent>
                  </v:textbox>
                </v:shape>
                <w10:wrap type="none"/>
                <w10:anchorlock/>
              </v:group>
            </w:pict>
          </mc:Fallback>
        </mc:AlternateContent>
      </w:r>
    </w:p>
    <w:p w14:paraId="4201FB49">
      <w:pPr>
        <w:pageBreakBefore w:val="0"/>
        <w:wordWrap w:val="0"/>
        <w:overflowPunct/>
        <w:bidi w:val="0"/>
        <w:rPr>
          <w:rFonts w:hint="default" w:ascii="Times New Roman" w:hAnsi="Times New Roman" w:cs="Times New Roman"/>
          <w:color w:val="auto"/>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bookmarkEnd w:id="120"/>
    <w:p w14:paraId="4EF9DBFB">
      <w:pPr>
        <w:pStyle w:val="36"/>
        <w:pageBreakBefore w:val="0"/>
        <w:numPr>
          <w:ilvl w:val="0"/>
          <w:numId w:val="13"/>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21" w:name="_Toc22202"/>
      <w:bookmarkStart w:id="122" w:name="_Toc31546"/>
      <w:r>
        <w:rPr>
          <w:rFonts w:hint="default" w:ascii="Times New Roman" w:hAnsi="Times New Roman" w:eastAsia="宋体" w:cs="Times New Roman"/>
          <w:b/>
          <w:bCs/>
          <w:color w:val="auto"/>
          <w:sz w:val="24"/>
          <w:szCs w:val="24"/>
          <w:lang w:eastAsia="zh-CN"/>
        </w:rPr>
        <w:t>环境保护目标分布图</w:t>
      </w:r>
      <w:bookmarkEnd w:id="121"/>
      <w:bookmarkEnd w:id="122"/>
    </w:p>
    <w:p w14:paraId="5D0750B3">
      <w:pPr>
        <w:pStyle w:val="43"/>
        <w:pageBreakBefore w:val="0"/>
        <w:wordWrap w:val="0"/>
        <w:overflowPunct/>
        <w:bidi w:val="0"/>
        <w:jc w:val="center"/>
        <w:rPr>
          <w:rFonts w:hint="default" w:ascii="Times New Roman" w:hAnsi="Times New Roman" w:cs="Times New Roman"/>
          <w:color w:val="auto"/>
          <w:sz w:val="21"/>
          <w:highlight w:val="none"/>
        </w:rPr>
      </w:pPr>
      <w:r>
        <w:rPr>
          <w:rFonts w:hint="default" w:ascii="Times New Roman" w:hAnsi="Times New Roman" w:cs="Times New Roman"/>
          <w:color w:val="auto"/>
          <w:sz w:val="24"/>
        </w:rPr>
        <mc:AlternateContent>
          <mc:Choice Requires="wps">
            <w:drawing>
              <wp:anchor distT="0" distB="0" distL="114300" distR="114300" simplePos="0" relativeHeight="251715584" behindDoc="0" locked="0" layoutInCell="1" allowOverlap="1">
                <wp:simplePos x="0" y="0"/>
                <wp:positionH relativeFrom="column">
                  <wp:posOffset>7175500</wp:posOffset>
                </wp:positionH>
                <wp:positionV relativeFrom="paragraph">
                  <wp:posOffset>1525270</wp:posOffset>
                </wp:positionV>
                <wp:extent cx="914400" cy="373380"/>
                <wp:effectExtent l="135890" t="6350" r="16510" b="96520"/>
                <wp:wrapNone/>
                <wp:docPr id="130" name="圆角矩形标注 130"/>
                <wp:cNvGraphicFramePr/>
                <a:graphic xmlns:a="http://schemas.openxmlformats.org/drawingml/2006/main">
                  <a:graphicData uri="http://schemas.microsoft.com/office/word/2010/wordprocessingShape">
                    <wps:wsp>
                      <wps:cNvSpPr/>
                      <wps:spPr>
                        <a:xfrm>
                          <a:off x="5460365" y="1956435"/>
                          <a:ext cx="914400" cy="373380"/>
                        </a:xfrm>
                        <a:prstGeom prst="wedgeRoundRectCallout">
                          <a:avLst>
                            <a:gd name="adj1" fmla="val -59375"/>
                            <a:gd name="adj2" fmla="val 70249"/>
                            <a:gd name="adj3" fmla="val 16667"/>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96BD27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500m范围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565pt;margin-top:120.1pt;height:29.4pt;width:72pt;z-index:251715584;v-text-anchor:middle;mso-width-relative:page;mso-height-relative:page;" fillcolor="#FFFFFF [3212]" filled="t" stroked="t" coordsize="21600,21600" o:gfxdata="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BDKiKfbAAAADQEAAA8AAAAAAAAAAQAgAAAAIgAAAGRycy9kb3ducmV2LnhtbFBLAQIUABQA&#10;AAAIAIdO4kAAtc9k0QIAAKEFAAAOAAAAAAAAAAEAIAAAACoBAABkcnMvZTJvRG9jLnhtbFBLBQYA&#10;AAAABgAGAFkBAABtBgAAAAA=&#10;" adj="-2025,25974,14400">
                <v:fill on="t" focussize="0,0"/>
                <v:stroke weight="1pt" color="#FFFFFF [3212]" miterlimit="8" joinstyle="miter"/>
                <v:imagedata o:title=""/>
                <o:lock v:ext="edit" aspectratio="f"/>
                <v:textbox>
                  <w:txbxContent>
                    <w:p w14:paraId="396BD27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500m范围</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16608" behindDoc="0" locked="0" layoutInCell="1" allowOverlap="1">
                <wp:simplePos x="0" y="0"/>
                <wp:positionH relativeFrom="column">
                  <wp:posOffset>4537075</wp:posOffset>
                </wp:positionH>
                <wp:positionV relativeFrom="paragraph">
                  <wp:posOffset>1553845</wp:posOffset>
                </wp:positionV>
                <wp:extent cx="914400" cy="373380"/>
                <wp:effectExtent l="6350" t="6350" r="12700" b="382270"/>
                <wp:wrapNone/>
                <wp:docPr id="132" name="圆角矩形标注 132"/>
                <wp:cNvGraphicFramePr/>
                <a:graphic xmlns:a="http://schemas.openxmlformats.org/drawingml/2006/main">
                  <a:graphicData uri="http://schemas.microsoft.com/office/word/2010/wordprocessingShape">
                    <wps:wsp>
                      <wps:cNvSpPr/>
                      <wps:spPr>
                        <a:xfrm>
                          <a:off x="0" y="0"/>
                          <a:ext cx="914400" cy="373380"/>
                        </a:xfrm>
                        <a:prstGeom prst="wedgeRoundRectCallout">
                          <a:avLst>
                            <a:gd name="adj1" fmla="val -9375"/>
                            <a:gd name="adj2" fmla="val 144217"/>
                            <a:gd name="adj3" fmla="val 16667"/>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397DC83">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57.25pt;margin-top:122.35pt;height:29.4pt;width:72pt;z-index:251716608;v-text-anchor:middle;mso-width-relative:page;mso-height-relative:page;" fillcolor="#FFFFFF [3212]" filled="t" stroked="t" coordsize="21600,21600" o:gfxdata="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EtZQ//bAAAACwEA&#10;AA8AAAAAAAAAAQAgAAAAIgAAAGRycy9kb3ducmV2LnhtbFBLAQIUABQAAAAIAIdO4kB4EiMJwgIA&#10;AJUFAAAOAAAAAAAAAAEAIAAAACoBAABkcnMvZTJvRG9jLnhtbFBLBQYAAAAABgAGAFkBAABeBgAA&#10;AAA=&#10;" adj="8775,41951,14400">
                <v:fill on="t" focussize="0,0"/>
                <v:stroke weight="1pt" color="#FFFFFF [3212]" miterlimit="8" joinstyle="miter"/>
                <v:imagedata o:title=""/>
                <o:lock v:ext="edit" aspectratio="f"/>
                <v:textbox>
                  <w:txbxContent>
                    <w:p w14:paraId="4397DC83">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项目范围</w:t>
                      </w:r>
                    </w:p>
                  </w:txbxContent>
                </v:textbox>
              </v:shape>
            </w:pict>
          </mc:Fallback>
        </mc:AlternateContent>
      </w:r>
      <w:r>
        <w:rPr>
          <w:rFonts w:hint="default" w:ascii="Times New Roman" w:hAnsi="Times New Roman" w:cs="Times New Roman"/>
          <w:color w:val="auto"/>
        </w:rPr>
        <w:drawing>
          <wp:anchor distT="0" distB="0" distL="114300" distR="114300" simplePos="0" relativeHeight="251743232" behindDoc="0" locked="0" layoutInCell="1" allowOverlap="1">
            <wp:simplePos x="0" y="0"/>
            <wp:positionH relativeFrom="column">
              <wp:posOffset>7642225</wp:posOffset>
            </wp:positionH>
            <wp:positionV relativeFrom="paragraph">
              <wp:posOffset>4772660</wp:posOffset>
            </wp:positionV>
            <wp:extent cx="552450" cy="466725"/>
            <wp:effectExtent l="0" t="0" r="0" b="9525"/>
            <wp:wrapNone/>
            <wp:docPr id="1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8"/>
                    <pic:cNvPicPr>
                      <a:picLocks noChangeAspect="1"/>
                    </pic:cNvPicPr>
                  </pic:nvPicPr>
                  <pic:blipFill>
                    <a:blip r:embed="rId45"/>
                    <a:stretch>
                      <a:fillRect/>
                    </a:stretch>
                  </pic:blipFill>
                  <pic:spPr>
                    <a:xfrm>
                      <a:off x="0" y="0"/>
                      <a:ext cx="552450" cy="466725"/>
                    </a:xfrm>
                    <a:prstGeom prst="rect">
                      <a:avLst/>
                    </a:prstGeom>
                    <a:noFill/>
                    <a:ln>
                      <a:noFill/>
                    </a:ln>
                  </pic:spPr>
                </pic:pic>
              </a:graphicData>
            </a:graphic>
          </wp:anchor>
        </w:drawing>
      </w:r>
      <w:r>
        <w:rPr>
          <w:rFonts w:hint="default" w:ascii="Times New Roman" w:hAnsi="Times New Roman" w:cs="Times New Roman"/>
          <w:color w:val="auto"/>
        </w:rPr>
        <w:drawing>
          <wp:anchor distT="0" distB="0" distL="114300" distR="114300" simplePos="0" relativeHeight="251718656" behindDoc="0" locked="0" layoutInCell="1" allowOverlap="1">
            <wp:simplePos x="0" y="0"/>
            <wp:positionH relativeFrom="column">
              <wp:posOffset>7399020</wp:posOffset>
            </wp:positionH>
            <wp:positionV relativeFrom="paragraph">
              <wp:posOffset>93345</wp:posOffset>
            </wp:positionV>
            <wp:extent cx="802640" cy="819150"/>
            <wp:effectExtent l="0" t="0" r="16510" b="0"/>
            <wp:wrapNone/>
            <wp:docPr id="1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
                    <pic:cNvPicPr>
                      <a:picLocks noChangeAspect="1"/>
                    </pic:cNvPicPr>
                  </pic:nvPicPr>
                  <pic:blipFill>
                    <a:blip r:embed="rId37"/>
                    <a:stretch>
                      <a:fillRect/>
                    </a:stretch>
                  </pic:blipFill>
                  <pic:spPr>
                    <a:xfrm>
                      <a:off x="0" y="0"/>
                      <a:ext cx="802640" cy="819150"/>
                    </a:xfrm>
                    <a:prstGeom prst="rect">
                      <a:avLst/>
                    </a:prstGeom>
                    <a:noFill/>
                    <a:ln>
                      <a:noFill/>
                    </a:ln>
                  </pic:spPr>
                </pic:pic>
              </a:graphicData>
            </a:graphic>
          </wp:anchor>
        </w:drawing>
      </w:r>
      <w:r>
        <w:rPr>
          <w:rFonts w:hint="default" w:ascii="Times New Roman" w:hAnsi="Times New Roman" w:cs="Times New Roman"/>
          <w:color w:val="auto"/>
        </w:rPr>
        <w:drawing>
          <wp:inline distT="0" distB="0" distL="114300" distR="114300">
            <wp:extent cx="7628890" cy="5177790"/>
            <wp:effectExtent l="0" t="0" r="10160" b="3810"/>
            <wp:docPr id="1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7"/>
                    <pic:cNvPicPr>
                      <a:picLocks noChangeAspect="1"/>
                    </pic:cNvPicPr>
                  </pic:nvPicPr>
                  <pic:blipFill>
                    <a:blip r:embed="rId46"/>
                    <a:stretch>
                      <a:fillRect/>
                    </a:stretch>
                  </pic:blipFill>
                  <pic:spPr>
                    <a:xfrm>
                      <a:off x="0" y="0"/>
                      <a:ext cx="7628890" cy="5177790"/>
                    </a:xfrm>
                    <a:prstGeom prst="rect">
                      <a:avLst/>
                    </a:prstGeom>
                    <a:noFill/>
                    <a:ln>
                      <a:noFill/>
                    </a:ln>
                  </pic:spPr>
                </pic:pic>
              </a:graphicData>
            </a:graphic>
          </wp:inline>
        </w:drawing>
      </w:r>
      <w:r>
        <w:rPr>
          <w:rFonts w:hint="default" w:ascii="Times New Roman" w:hAnsi="Times New Roman" w:cs="Times New Roman"/>
          <w:color w:val="auto"/>
          <w:sz w:val="21"/>
          <w:highlight w:val="none"/>
        </w:rPr>
        <mc:AlternateContent>
          <mc:Choice Requires="wps">
            <w:drawing>
              <wp:anchor distT="0" distB="0" distL="114300" distR="114300" simplePos="0" relativeHeight="251671552" behindDoc="0" locked="0" layoutInCell="1" allowOverlap="1">
                <wp:simplePos x="0" y="0"/>
                <wp:positionH relativeFrom="column">
                  <wp:posOffset>5151755</wp:posOffset>
                </wp:positionH>
                <wp:positionV relativeFrom="paragraph">
                  <wp:posOffset>3616325</wp:posOffset>
                </wp:positionV>
                <wp:extent cx="635" cy="635"/>
                <wp:effectExtent l="0" t="0" r="0" b="0"/>
                <wp:wrapNone/>
                <wp:docPr id="161" name="墨迹 161"/>
                <wp:cNvGraphicFramePr/>
                <a:graphic xmlns:a="http://schemas.openxmlformats.org/drawingml/2006/main">
                  <a:graphicData uri="http://schemas.microsoft.com/office/word/2010/wordprocessingInk">
                    <mc:AlternateContent xmlns:a14="http://schemas.microsoft.com/office/drawing/2010/main">
                      <mc:Choice Requires="a14">
                        <w14:contentPart bwMode="clr" r:id="rId47">
                          <w14:nvContentPartPr>
                            <w14:cNvPr id="161" name="墨迹 161"/>
                            <w14:cNvContentPartPr/>
                          </w14:nvContentPartPr>
                          <w14:xfrm>
                            <a:off x="6141720" y="4516120"/>
                            <a:ext cx="635" cy="635"/>
                          </w14:xfrm>
                        </w14:contentPart>
                      </mc:Choice>
                    </mc:AlternateContent>
                  </a:graphicData>
                </a:graphic>
              </wp:anchor>
            </w:drawing>
          </mc:Choice>
          <mc:Fallback>
            <w:pict>
              <v:shape id="_x0000_s1026" o:spid="_x0000_s1026" o:spt="75" style="position:absolute;left:0pt;margin-left:405.65pt;margin-top:284.75pt;height:0.05pt;width:0.05pt;z-index:251671552;mso-width-relative:page;mso-height-relative:page;" coordsize="21600,21600" o:gfxdata="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">
                <v:imagedata r:id="rId48" o:title=""/>
                <o:lock v:ext="edit"/>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70528" behindDoc="0" locked="0" layoutInCell="1" allowOverlap="1">
                <wp:simplePos x="0" y="0"/>
                <wp:positionH relativeFrom="column">
                  <wp:posOffset>4818380</wp:posOffset>
                </wp:positionH>
                <wp:positionV relativeFrom="paragraph">
                  <wp:posOffset>3616325</wp:posOffset>
                </wp:positionV>
                <wp:extent cx="635" cy="635"/>
                <wp:effectExtent l="0" t="0" r="0" b="0"/>
                <wp:wrapNone/>
                <wp:docPr id="158" name="墨迹 158"/>
                <wp:cNvGraphicFramePr/>
                <a:graphic xmlns:a="http://schemas.openxmlformats.org/drawingml/2006/main">
                  <a:graphicData uri="http://schemas.microsoft.com/office/word/2010/wordprocessingInk">
                    <mc:AlternateContent xmlns:a14="http://schemas.microsoft.com/office/drawing/2010/main">
                      <mc:Choice Requires="a14">
                        <w14:contentPart bwMode="clr" r:id="rId49">
                          <w14:nvContentPartPr>
                            <w14:cNvPr id="158" name="墨迹 158"/>
                            <w14:cNvContentPartPr/>
                          </w14:nvContentPartPr>
                          <w14:xfrm>
                            <a:off x="5808345" y="4516120"/>
                            <a:ext cx="635" cy="635"/>
                          </w14:xfrm>
                        </w14:contentPart>
                      </mc:Choice>
                    </mc:AlternateContent>
                  </a:graphicData>
                </a:graphic>
              </wp:anchor>
            </w:drawing>
          </mc:Choice>
          <mc:Fallback>
            <w:pict>
              <v:shape id="_x0000_s1026" o:spid="_x0000_s1026" o:spt="75" style="position:absolute;left:0pt;margin-left:379.4pt;margin-top:284.75pt;height:0.05pt;width:0.05pt;z-index:251670528;mso-width-relative:page;mso-height-relative:page;" coordsize="21600,21600" o:gfxdata="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">
                <v:imagedata r:id="rId48" o:title=""/>
                <o:lock v:ext="edit"/>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69504" behindDoc="0" locked="0" layoutInCell="1" allowOverlap="1">
                <wp:simplePos x="0" y="0"/>
                <wp:positionH relativeFrom="column">
                  <wp:posOffset>5123180</wp:posOffset>
                </wp:positionH>
                <wp:positionV relativeFrom="paragraph">
                  <wp:posOffset>3711575</wp:posOffset>
                </wp:positionV>
                <wp:extent cx="635" cy="635"/>
                <wp:effectExtent l="0" t="0" r="0" b="0"/>
                <wp:wrapNone/>
                <wp:docPr id="156" name="墨迹 156"/>
                <wp:cNvGraphicFramePr/>
                <a:graphic xmlns:a="http://schemas.openxmlformats.org/drawingml/2006/main">
                  <a:graphicData uri="http://schemas.microsoft.com/office/word/2010/wordprocessingInk">
                    <mc:AlternateContent xmlns:a14="http://schemas.microsoft.com/office/drawing/2010/main">
                      <mc:Choice Requires="a14">
                        <w14:contentPart bwMode="clr" r:id="rId50">
                          <w14:nvContentPartPr>
                            <w14:cNvPr id="156" name="墨迹 156"/>
                            <w14:cNvContentPartPr/>
                          </w14:nvContentPartPr>
                          <w14:xfrm>
                            <a:off x="6113145" y="4611370"/>
                            <a:ext cx="635" cy="635"/>
                          </w14:xfrm>
                        </w14:contentPart>
                      </mc:Choice>
                    </mc:AlternateContent>
                  </a:graphicData>
                </a:graphic>
              </wp:anchor>
            </w:drawing>
          </mc:Choice>
          <mc:Fallback>
            <w:pict>
              <v:shape id="_x0000_s1026" o:spid="_x0000_s1026" o:spt="75" style="position:absolute;left:0pt;margin-left:403.4pt;margin-top:292.25pt;height:0.05pt;width:0.05pt;z-index:251669504;mso-width-relative:page;mso-height-relative:page;" coordsize="21600,21600" o:gfxdata="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">
                <v:imagedata r:id="rId48" o:title=""/>
                <o:lock v:ext="edit"/>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68480" behindDoc="0" locked="0" layoutInCell="1" allowOverlap="1">
                <wp:simplePos x="0" y="0"/>
                <wp:positionH relativeFrom="column">
                  <wp:posOffset>5132705</wp:posOffset>
                </wp:positionH>
                <wp:positionV relativeFrom="paragraph">
                  <wp:posOffset>3606800</wp:posOffset>
                </wp:positionV>
                <wp:extent cx="635" cy="635"/>
                <wp:effectExtent l="0" t="0" r="0" b="0"/>
                <wp:wrapNone/>
                <wp:docPr id="154" name="墨迹 154"/>
                <wp:cNvGraphicFramePr/>
                <a:graphic xmlns:a="http://schemas.openxmlformats.org/drawingml/2006/main">
                  <a:graphicData uri="http://schemas.microsoft.com/office/word/2010/wordprocessingInk">
                    <mc:AlternateContent xmlns:a14="http://schemas.microsoft.com/office/drawing/2010/main">
                      <mc:Choice Requires="a14">
                        <w14:contentPart bwMode="clr" r:id="rId51">
                          <w14:nvContentPartPr>
                            <w14:cNvPr id="154" name="墨迹 154"/>
                            <w14:cNvContentPartPr/>
                          </w14:nvContentPartPr>
                          <w14:xfrm>
                            <a:off x="6122670" y="4506595"/>
                            <a:ext cx="635" cy="635"/>
                          </w14:xfrm>
                        </w14:contentPart>
                      </mc:Choice>
                    </mc:AlternateContent>
                  </a:graphicData>
                </a:graphic>
              </wp:anchor>
            </w:drawing>
          </mc:Choice>
          <mc:Fallback>
            <w:pict>
              <v:shape id="_x0000_s1026" o:spid="_x0000_s1026" o:spt="75" style="position:absolute;left:0pt;margin-left:404.15pt;margin-top:284pt;height:0.05pt;width:0.05pt;z-index:251668480;mso-width-relative:page;mso-height-relative:page;" coordsize="21600,21600" o:gfxdata="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">
                <v:imagedata r:id="rId48" o:title=""/>
                <o:lock v:ext="edit"/>
              </v:shape>
            </w:pict>
          </mc:Fallback>
        </mc:AlternateContent>
      </w:r>
    </w:p>
    <w:p w14:paraId="57EE19BE">
      <w:pPr>
        <w:pStyle w:val="36"/>
        <w:pageBreakBefore w:val="0"/>
        <w:numPr>
          <w:ilvl w:val="0"/>
          <w:numId w:val="13"/>
        </w:numPr>
        <w:wordWrap w:val="0"/>
        <w:overflowPunct/>
        <w:bidi w:val="0"/>
        <w:adjustRightInd/>
        <w:spacing w:line="240" w:lineRule="auto"/>
        <w:ind w:leftChars="0" w:firstLineChars="0"/>
        <w:jc w:val="center"/>
        <w:textAlignment w:val="auto"/>
        <w:outlineLvl w:val="0"/>
        <w:rPr>
          <w:rFonts w:hint="default" w:ascii="Times New Roman" w:hAnsi="Times New Roman" w:eastAsia="宋体" w:cs="Times New Roman"/>
          <w:b/>
          <w:bCs/>
          <w:color w:val="auto"/>
          <w:sz w:val="24"/>
          <w:szCs w:val="24"/>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8D5230F">
      <w:pPr>
        <w:pStyle w:val="36"/>
        <w:pageBreakBefore w:val="0"/>
        <w:numPr>
          <w:ilvl w:val="0"/>
          <w:numId w:val="13"/>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23" w:name="_Toc4364"/>
      <w:r>
        <w:rPr>
          <w:rFonts w:hint="default" w:ascii="Times New Roman" w:hAnsi="Times New Roman" w:eastAsia="宋体" w:cs="Times New Roman"/>
          <w:b/>
          <w:bCs/>
          <w:color w:val="auto"/>
          <w:sz w:val="24"/>
          <w:szCs w:val="24"/>
          <w:lang w:eastAsia="zh-CN"/>
        </w:rPr>
        <w:t>建设项目土地利用规划图</w:t>
      </w:r>
      <w:bookmarkEnd w:id="123"/>
    </w:p>
    <w:p w14:paraId="7A70FC52">
      <w:pPr>
        <w:pStyle w:val="43"/>
        <w:pageBreakBefore w:val="0"/>
        <w:wordWrap w:val="0"/>
        <w:overflowPunct/>
        <w:bidi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sz w:val="24"/>
        </w:rPr>
        <mc:AlternateContent>
          <mc:Choice Requires="wps">
            <w:drawing>
              <wp:anchor distT="0" distB="0" distL="114300" distR="114300" simplePos="0" relativeHeight="251719680" behindDoc="0" locked="0" layoutInCell="1" allowOverlap="1">
                <wp:simplePos x="0" y="0"/>
                <wp:positionH relativeFrom="column">
                  <wp:posOffset>2688590</wp:posOffset>
                </wp:positionH>
                <wp:positionV relativeFrom="paragraph">
                  <wp:posOffset>4140200</wp:posOffset>
                </wp:positionV>
                <wp:extent cx="748665" cy="301625"/>
                <wp:effectExtent l="6350" t="6350" r="6985" b="244475"/>
                <wp:wrapNone/>
                <wp:docPr id="141" name="矩形标注 141"/>
                <wp:cNvGraphicFramePr/>
                <a:graphic xmlns:a="http://schemas.openxmlformats.org/drawingml/2006/main">
                  <a:graphicData uri="http://schemas.microsoft.com/office/word/2010/wordprocessingShape">
                    <wps:wsp>
                      <wps:cNvSpPr/>
                      <wps:spPr>
                        <a:xfrm>
                          <a:off x="0" y="0"/>
                          <a:ext cx="748665" cy="301625"/>
                        </a:xfrm>
                        <a:prstGeom prst="wedgeRectCallout">
                          <a:avLst>
                            <a:gd name="adj1" fmla="val -20729"/>
                            <a:gd name="adj2" fmla="val 125561"/>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8428743">
                            <w:pPr>
                              <w:spacing w:line="240" w:lineRule="auto"/>
                              <w:jc w:val="center"/>
                              <w:rPr>
                                <w:rFonts w:hint="default" w:eastAsia="宋体"/>
                                <w:b/>
                                <w:bCs/>
                                <w:color w:val="FFFF00"/>
                                <w:sz w:val="21"/>
                                <w:szCs w:val="21"/>
                                <w:lang w:val="en-US" w:eastAsia="zh-CN"/>
                              </w:rPr>
                            </w:pPr>
                            <w:r>
                              <w:rPr>
                                <w:rFonts w:hint="eastAsia"/>
                                <w:b/>
                                <w:bCs/>
                                <w:color w:val="FFFF00"/>
                                <w:sz w:val="21"/>
                                <w:szCs w:val="21"/>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11.7pt;margin-top:326pt;height:23.75pt;width:58.95pt;z-index:251719680;v-text-anchor:middle;mso-width-relative:page;mso-height-relative:page;" filled="f" stroked="t" coordsize="21600,21600" o:gfxdata="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EO0eXZAAAACwEAAA8AAAAAAAAAAQAgAAAAIgAAAGRycy9k&#10;b3ducmV2LnhtbFBLAQIUABQAAAAIAIdO4kDGylPrrAIAAD4FAAAOAAAAAAAAAAEAIAAAACgBAABk&#10;cnMvZTJvRG9jLnhtbFBLBQYAAAAABgAGAFkBAABGBgAAAAA=&#10;" adj="6323,37921">
                <v:fill on="f" focussize="0,0"/>
                <v:stroke weight="1pt" color="#FFFF00 [2404]" miterlimit="8" joinstyle="miter"/>
                <v:imagedata o:title=""/>
                <o:lock v:ext="edit" aspectratio="f"/>
                <v:textbox>
                  <w:txbxContent>
                    <w:p w14:paraId="38428743">
                      <w:pPr>
                        <w:spacing w:line="240" w:lineRule="auto"/>
                        <w:jc w:val="center"/>
                        <w:rPr>
                          <w:rFonts w:hint="default" w:eastAsia="宋体"/>
                          <w:b/>
                          <w:bCs/>
                          <w:color w:val="FFFF00"/>
                          <w:sz w:val="21"/>
                          <w:szCs w:val="21"/>
                          <w:lang w:val="en-US" w:eastAsia="zh-CN"/>
                        </w:rPr>
                      </w:pPr>
                      <w:r>
                        <w:rPr>
                          <w:rFonts w:hint="eastAsia"/>
                          <w:b/>
                          <w:bCs/>
                          <w:color w:val="FFFF00"/>
                          <w:sz w:val="21"/>
                          <w:szCs w:val="21"/>
                          <w:lang w:val="en-US" w:eastAsia="zh-CN"/>
                        </w:rPr>
                        <w:t>项目位置</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44256" behindDoc="0" locked="0" layoutInCell="1" allowOverlap="1">
                <wp:simplePos x="0" y="0"/>
                <wp:positionH relativeFrom="column">
                  <wp:posOffset>2606040</wp:posOffset>
                </wp:positionH>
                <wp:positionV relativeFrom="paragraph">
                  <wp:posOffset>4679950</wp:posOffset>
                </wp:positionV>
                <wp:extent cx="333375" cy="295275"/>
                <wp:effectExtent l="11430" t="9525" r="17145" b="19050"/>
                <wp:wrapNone/>
                <wp:docPr id="165" name="任意多边形 165"/>
                <wp:cNvGraphicFramePr/>
                <a:graphic xmlns:a="http://schemas.openxmlformats.org/drawingml/2006/main">
                  <a:graphicData uri="http://schemas.microsoft.com/office/word/2010/wordprocessingShape">
                    <wps:wsp>
                      <wps:cNvSpPr/>
                      <wps:spPr>
                        <a:xfrm>
                          <a:off x="3505835" y="5854065"/>
                          <a:ext cx="333375" cy="295275"/>
                        </a:xfrm>
                        <a:custGeom>
                          <a:avLst/>
                          <a:gdLst>
                            <a:gd name="connisteX0" fmla="*/ 19050 w 333375"/>
                            <a:gd name="connsiteY0" fmla="*/ 0 h 295275"/>
                            <a:gd name="connisteX1" fmla="*/ 333375 w 333375"/>
                            <a:gd name="connsiteY1" fmla="*/ 9525 h 295275"/>
                            <a:gd name="connisteX2" fmla="*/ 304800 w 333375"/>
                            <a:gd name="connsiteY2" fmla="*/ 295275 h 295275"/>
                            <a:gd name="connisteX3" fmla="*/ 171450 w 333375"/>
                            <a:gd name="connsiteY3" fmla="*/ 276225 h 295275"/>
                            <a:gd name="connisteX4" fmla="*/ 171450 w 333375"/>
                            <a:gd name="connsiteY4" fmla="*/ 123825 h 295275"/>
                            <a:gd name="connisteX5" fmla="*/ 0 w 333375"/>
                            <a:gd name="connsiteY5" fmla="*/ 104775 h 295275"/>
                            <a:gd name="connisteX6" fmla="*/ 19050 w 333375"/>
                            <a:gd name="connsiteY6" fmla="*/ 0 h 2952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333375" h="295275">
                              <a:moveTo>
                                <a:pt x="19050" y="0"/>
                              </a:moveTo>
                              <a:lnTo>
                                <a:pt x="333375" y="9525"/>
                              </a:lnTo>
                              <a:lnTo>
                                <a:pt x="304800" y="295275"/>
                              </a:lnTo>
                              <a:lnTo>
                                <a:pt x="171450" y="276225"/>
                              </a:lnTo>
                              <a:lnTo>
                                <a:pt x="171450" y="123825"/>
                              </a:lnTo>
                              <a:lnTo>
                                <a:pt x="0" y="104775"/>
                              </a:lnTo>
                              <a:lnTo>
                                <a:pt x="19050" y="0"/>
                              </a:lnTo>
                              <a:close/>
                            </a:path>
                          </a:pathLst>
                        </a:custGeom>
                        <a:noFill/>
                        <a:ln w="190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05.2pt;margin-top:368.5pt;height:23.25pt;width:26.25pt;z-index:251744256;mso-width-relative:page;mso-height-relative:page;" filled="f" stroked="t" coordsize="333375,295275" o:gfxdata="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" path="m19050,0l333375,9525,304800,295275,171450,276225,171450,123825,0,104775,19050,0xe">
                <v:path o:connectlocs="19050,0;333375,9525;304800,295275;171450,276225;171450,123825;0,104775;19050,0" o:connectangles="0,0,0,0,0,0,0"/>
                <v:fill on="f" focussize="0,0"/>
                <v:stroke weight="1.5pt" color="#FFFF00 [2404]" miterlimit="8" joinstyle="miter"/>
                <v:imagedata o:title=""/>
                <o:lock v:ext="edit" aspectratio="f"/>
              </v:shape>
            </w:pict>
          </mc:Fallback>
        </mc:AlternateContent>
      </w:r>
      <w:r>
        <w:rPr>
          <w:rFonts w:hint="default" w:ascii="Times New Roman" w:hAnsi="Times New Roman" w:eastAsia="宋体" w:cs="Times New Roman"/>
          <w:color w:val="auto"/>
          <w:highlight w:val="none"/>
          <w:lang w:eastAsia="zh-CN"/>
        </w:rPr>
        <w:drawing>
          <wp:inline distT="0" distB="0" distL="114300" distR="114300">
            <wp:extent cx="5934075" cy="8392160"/>
            <wp:effectExtent l="0" t="0" r="9525" b="8890"/>
            <wp:docPr id="24" name="图片 24" descr="乐昌土地利用规划图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乐昌土地利用规划图_02"/>
                    <pic:cNvPicPr>
                      <a:picLocks noChangeAspect="1"/>
                    </pic:cNvPicPr>
                  </pic:nvPicPr>
                  <pic:blipFill>
                    <a:blip r:embed="rId52"/>
                    <a:stretch>
                      <a:fillRect/>
                    </a:stretch>
                  </pic:blipFill>
                  <pic:spPr>
                    <a:xfrm>
                      <a:off x="0" y="0"/>
                      <a:ext cx="5934075" cy="8392160"/>
                    </a:xfrm>
                    <a:prstGeom prst="rect">
                      <a:avLst/>
                    </a:prstGeom>
                  </pic:spPr>
                </pic:pic>
              </a:graphicData>
            </a:graphic>
          </wp:inline>
        </w:drawing>
      </w:r>
    </w:p>
    <w:p w14:paraId="46FEA98E">
      <w:pPr>
        <w:pageBreakBefore w:val="0"/>
        <w:wordWrap w:val="0"/>
        <w:overflowPunct/>
        <w:bidi w:val="0"/>
        <w:rPr>
          <w:rFonts w:hint="default" w:ascii="Times New Roman" w:hAnsi="Times New Roman" w:cs="Times New Roman"/>
          <w:color w:val="auto"/>
          <w:lang w:eastAsia="zh-CN"/>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641C619E">
      <w:pPr>
        <w:pStyle w:val="36"/>
        <w:pageBreakBefore w:val="0"/>
        <w:numPr>
          <w:ilvl w:val="0"/>
          <w:numId w:val="13"/>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24" w:name="_Toc12890"/>
      <w:r>
        <w:rPr>
          <w:rFonts w:hint="default" w:ascii="Times New Roman" w:hAnsi="Times New Roman" w:eastAsia="宋体" w:cs="Times New Roman"/>
          <w:b/>
          <w:bCs/>
          <w:color w:val="auto"/>
          <w:sz w:val="24"/>
          <w:szCs w:val="24"/>
          <w:lang w:eastAsia="zh-CN"/>
        </w:rPr>
        <w:t>水环境功能区划图</w:t>
      </w:r>
      <w:bookmarkEnd w:id="124"/>
    </w:p>
    <w:p w14:paraId="39D761C7">
      <w:pPr>
        <w:pStyle w:val="43"/>
        <w:pageBreakBefore w:val="0"/>
        <w:wordWrap w:val="0"/>
        <w:overflowPunct/>
        <w:bidi w:val="0"/>
        <w:jc w:val="center"/>
        <w:rPr>
          <w:rFonts w:hint="default" w:ascii="Times New Roman" w:hAnsi="Times New Roman" w:eastAsia="宋体" w:cs="Times New Roman"/>
          <w:b/>
          <w:bCs/>
          <w:color w:val="auto"/>
          <w:sz w:val="24"/>
          <w:szCs w:val="24"/>
          <w:lang w:eastAsia="zh-CN"/>
        </w:rPr>
      </w:pPr>
      <w:r>
        <w:rPr>
          <w:rFonts w:hint="default" w:ascii="Times New Roman" w:hAnsi="Times New Roman" w:cs="Times New Roman"/>
          <w:color w:val="auto"/>
          <w:sz w:val="24"/>
        </w:rPr>
        <mc:AlternateContent>
          <mc:Choice Requires="wps">
            <w:drawing>
              <wp:anchor distT="0" distB="0" distL="114300" distR="114300" simplePos="0" relativeHeight="251677696" behindDoc="0" locked="0" layoutInCell="1" allowOverlap="1">
                <wp:simplePos x="0" y="0"/>
                <wp:positionH relativeFrom="column">
                  <wp:posOffset>1274445</wp:posOffset>
                </wp:positionH>
                <wp:positionV relativeFrom="paragraph">
                  <wp:posOffset>3863975</wp:posOffset>
                </wp:positionV>
                <wp:extent cx="748665" cy="301625"/>
                <wp:effectExtent l="6350" t="6350" r="6985" b="244475"/>
                <wp:wrapNone/>
                <wp:docPr id="33" name="矩形标注 33"/>
                <wp:cNvGraphicFramePr/>
                <a:graphic xmlns:a="http://schemas.openxmlformats.org/drawingml/2006/main">
                  <a:graphicData uri="http://schemas.microsoft.com/office/word/2010/wordprocessingShape">
                    <wps:wsp>
                      <wps:cNvSpPr/>
                      <wps:spPr>
                        <a:xfrm>
                          <a:off x="0" y="0"/>
                          <a:ext cx="748665" cy="301625"/>
                        </a:xfrm>
                        <a:prstGeom prst="wedgeRectCallout">
                          <a:avLst>
                            <a:gd name="adj1" fmla="val -20729"/>
                            <a:gd name="adj2" fmla="val 125561"/>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5982CE2">
                            <w:pPr>
                              <w:spacing w:line="240" w:lineRule="auto"/>
                              <w:jc w:val="center"/>
                              <w:rPr>
                                <w:rFonts w:hint="default" w:eastAsia="宋体"/>
                                <w:b/>
                                <w:bCs/>
                                <w:color w:val="FF0000"/>
                                <w:sz w:val="21"/>
                                <w:szCs w:val="21"/>
                                <w:lang w:val="en-US" w:eastAsia="zh-CN"/>
                              </w:rPr>
                            </w:pPr>
                            <w:r>
                              <w:rPr>
                                <w:rFonts w:hint="eastAsia"/>
                                <w:b/>
                                <w:bCs/>
                                <w:color w:val="FF0000"/>
                                <w:sz w:val="21"/>
                                <w:szCs w:val="21"/>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00.35pt;margin-top:304.25pt;height:23.75pt;width:58.95pt;z-index:251677696;v-text-anchor:middle;mso-width-relative:page;mso-height-relative:page;" filled="f" stroked="t" coordsize="21600,21600" o:gfxdata="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6x1EB2gAAAAsBAAAPAAAAAAAAAAEAIAAAACIAAABkcnMv&#10;ZG93bnJldi54bWxQSwECFAAUAAAACACHTuJAIPUxMqwCAAA8BQAADgAAAAAAAAABACAAAAApAQAA&#10;ZHJzL2Uyb0RvYy54bWxQSwUGAAAAAAYABgBZAQAARwYAAAAA&#10;" adj="6323,37921">
                <v:fill on="f" focussize="0,0"/>
                <v:stroke weight="1pt" color="#FF0000 [2404]" miterlimit="8" joinstyle="miter"/>
                <v:imagedata o:title=""/>
                <o:lock v:ext="edit" aspectratio="f"/>
                <v:textbox>
                  <w:txbxContent>
                    <w:p w14:paraId="75982CE2">
                      <w:pPr>
                        <w:spacing w:line="240" w:lineRule="auto"/>
                        <w:jc w:val="center"/>
                        <w:rPr>
                          <w:rFonts w:hint="default" w:eastAsia="宋体"/>
                          <w:b/>
                          <w:bCs/>
                          <w:color w:val="FF0000"/>
                          <w:sz w:val="21"/>
                          <w:szCs w:val="21"/>
                          <w:lang w:val="en-US" w:eastAsia="zh-CN"/>
                        </w:rPr>
                      </w:pPr>
                      <w:r>
                        <w:rPr>
                          <w:rFonts w:hint="eastAsia"/>
                          <w:b/>
                          <w:bCs/>
                          <w:color w:val="FF0000"/>
                          <w:sz w:val="21"/>
                          <w:szCs w:val="21"/>
                          <w:lang w:val="en-US" w:eastAsia="zh-CN"/>
                        </w:rPr>
                        <w:t>项目位置</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76672" behindDoc="0" locked="0" layoutInCell="1" allowOverlap="1">
                <wp:simplePos x="0" y="0"/>
                <wp:positionH relativeFrom="column">
                  <wp:posOffset>1427480</wp:posOffset>
                </wp:positionH>
                <wp:positionV relativeFrom="paragraph">
                  <wp:posOffset>4343400</wp:posOffset>
                </wp:positionV>
                <wp:extent cx="153035" cy="154305"/>
                <wp:effectExtent l="29845" t="30480" r="45720" b="43815"/>
                <wp:wrapNone/>
                <wp:docPr id="32" name="十字星 32"/>
                <wp:cNvGraphicFramePr/>
                <a:graphic xmlns:a="http://schemas.openxmlformats.org/drawingml/2006/main">
                  <a:graphicData uri="http://schemas.microsoft.com/office/word/2010/wordprocessingShape">
                    <wps:wsp>
                      <wps:cNvSpPr/>
                      <wps:spPr>
                        <a:xfrm>
                          <a:off x="4747260" y="5708015"/>
                          <a:ext cx="153035" cy="154305"/>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12.4pt;margin-top:342pt;height:12.15pt;width:12.05pt;z-index:251676672;v-text-anchor:middle;mso-width-relative:page;mso-height-relative:page;" fillcolor="#FF0000" filled="t" stroked="t" coordsize="21600,21600" o:gfxdata="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Z5yXidoAAAALAQAADwAAAAAAAAAB&#10;ACAAAAAiAAAAZHJzL2Rvd25yZXYueG1sUEsBAhQAFAAAAAgAh07iQApfy42AAgAABQUAAA4AAAAA&#10;AAAAAQAgAAAAKQEAAGRycy9lMm9Eb2MueG1sUEsFBgAAAAAGAAYAWQEAABsGAAAAAA==&#10;" adj="8100">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80768" behindDoc="0" locked="0" layoutInCell="1" allowOverlap="1">
                <wp:simplePos x="0" y="0"/>
                <wp:positionH relativeFrom="column">
                  <wp:posOffset>5617210</wp:posOffset>
                </wp:positionH>
                <wp:positionV relativeFrom="paragraph">
                  <wp:posOffset>3601720</wp:posOffset>
                </wp:positionV>
                <wp:extent cx="145415" cy="123825"/>
                <wp:effectExtent l="35560" t="26035" r="47625" b="40640"/>
                <wp:wrapNone/>
                <wp:docPr id="37" name="十字星 37"/>
                <wp:cNvGraphicFramePr/>
                <a:graphic xmlns:a="http://schemas.openxmlformats.org/drawingml/2006/main">
                  <a:graphicData uri="http://schemas.microsoft.com/office/word/2010/wordprocessingShape">
                    <wps:wsp>
                      <wps:cNvSpPr/>
                      <wps:spPr>
                        <a:xfrm>
                          <a:off x="0" y="0"/>
                          <a:ext cx="145415" cy="123825"/>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42.3pt;margin-top:283.6pt;height:9.75pt;width:11.45pt;z-index:251680768;v-text-anchor:middle;mso-width-relative:page;mso-height-relative:page;" fillcolor="#FF0000" filled="t" stroked="t" coordsize="21600,21600" o:gfxdata="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LHKe9LaAAAACwEAAA8AAAAAAAAAAQAgAAAAIgAAAGRycy9k&#10;b3ducmV2LnhtbFBLAQIUABQAAAAIAIdO4kAxqIHQcgIAAPkEAAAOAAAAAAAAAAEAIAAAACkBAABk&#10;cnMvZTJvRG9jLnhtbFBLBQYAAAAABgAGAFkBAAANBgAAAAA=&#10;" adj="8100">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rPr>
        <w:drawing>
          <wp:anchor distT="0" distB="0" distL="114300" distR="114300" simplePos="0" relativeHeight="251674624" behindDoc="0" locked="0" layoutInCell="1" allowOverlap="1">
            <wp:simplePos x="0" y="0"/>
            <wp:positionH relativeFrom="column">
              <wp:posOffset>854710</wp:posOffset>
            </wp:positionH>
            <wp:positionV relativeFrom="paragraph">
              <wp:posOffset>3515995</wp:posOffset>
            </wp:positionV>
            <wp:extent cx="1865630" cy="1760855"/>
            <wp:effectExtent l="12700" t="12700" r="26670" b="17145"/>
            <wp:wrapNone/>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53"/>
                    <a:stretch>
                      <a:fillRect/>
                    </a:stretch>
                  </pic:blipFill>
                  <pic:spPr>
                    <a:xfrm>
                      <a:off x="0" y="0"/>
                      <a:ext cx="1865630" cy="1760855"/>
                    </a:xfrm>
                    <a:prstGeom prst="rect">
                      <a:avLst/>
                    </a:prstGeom>
                    <a:noFill/>
                    <a:ln w="12700">
                      <a:solidFill>
                        <a:srgbClr val="FF0000"/>
                      </a:solidFill>
                      <a:prstDash val="dash"/>
                    </a:ln>
                  </pic:spPr>
                </pic:pic>
              </a:graphicData>
            </a:graphic>
          </wp:anchor>
        </w:drawing>
      </w:r>
      <w:r>
        <w:rPr>
          <w:rFonts w:hint="default" w:ascii="Times New Roman" w:hAnsi="Times New Roman" w:cs="Times New Roman"/>
          <w:color w:val="auto"/>
          <w:sz w:val="24"/>
        </w:rPr>
        <mc:AlternateContent>
          <mc:Choice Requires="wps">
            <w:drawing>
              <wp:anchor distT="0" distB="0" distL="114300" distR="114300" simplePos="0" relativeHeight="251675648" behindDoc="0" locked="0" layoutInCell="1" allowOverlap="1">
                <wp:simplePos x="0" y="0"/>
                <wp:positionH relativeFrom="column">
                  <wp:posOffset>2720340</wp:posOffset>
                </wp:positionH>
                <wp:positionV relativeFrom="paragraph">
                  <wp:posOffset>3670935</wp:posOffset>
                </wp:positionV>
                <wp:extent cx="2956560" cy="725805"/>
                <wp:effectExtent l="1270" t="28575" r="13970" b="7620"/>
                <wp:wrapNone/>
                <wp:docPr id="31" name="直接箭头连接符 31"/>
                <wp:cNvGraphicFramePr/>
                <a:graphic xmlns:a="http://schemas.openxmlformats.org/drawingml/2006/main">
                  <a:graphicData uri="http://schemas.microsoft.com/office/word/2010/wordprocessingShape">
                    <wps:wsp>
                      <wps:cNvCnPr>
                        <a:stCxn id="29" idx="3"/>
                      </wps:cNvCnPr>
                      <wps:spPr>
                        <a:xfrm flipV="1">
                          <a:off x="5440680" y="4858385"/>
                          <a:ext cx="2956560" cy="725805"/>
                        </a:xfrm>
                        <a:prstGeom prst="straightConnector1">
                          <a:avLst/>
                        </a:prstGeom>
                        <a:ln>
                          <a:solidFill>
                            <a:srgbClr val="FF0000"/>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14.2pt;margin-top:289.05pt;height:57.15pt;width:232.8pt;z-index:251675648;mso-width-relative:page;mso-height-relative:page;" filled="f" stroked="t" coordsize="21600,21600" o:gfxdata="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KCECZvYAAAACwEAAA8AAAAAAAAAAQAgAAAAIgAAAGRycy9kb3ducmV2Lnht&#10;bFBLAQIUABQAAAAIAIdO4kBi9KR0MgIAACIEAAAOAAAAAAAAAAEAIAAAACcBAABkcnMvZTJvRG9j&#10;LnhtbFBLBQYAAAAABgAGAFkBAADLBQAAAAA=&#10;">
                <v:fill on="f" focussize="0,0"/>
                <v:stroke weight="1pt" color="#FF0000 [3204]" miterlimit="8" joinstyle="miter" dashstyle="dash" endarrow="open"/>
                <v:imagedata o:title=""/>
                <o:lock v:ext="edit" aspectratio="f"/>
              </v:shape>
            </w:pict>
          </mc:Fallback>
        </mc:AlternateContent>
      </w:r>
      <w:r>
        <w:rPr>
          <w:rFonts w:hint="default" w:ascii="Times New Roman" w:hAnsi="Times New Roman" w:eastAsia="宋体" w:cs="Times New Roman"/>
          <w:b/>
          <w:bCs/>
          <w:color w:val="auto"/>
          <w:sz w:val="24"/>
          <w:szCs w:val="24"/>
          <w:lang w:eastAsia="zh-CN"/>
        </w:rPr>
        <w:drawing>
          <wp:inline distT="0" distB="0" distL="114300" distR="114300">
            <wp:extent cx="7643495" cy="5373370"/>
            <wp:effectExtent l="0" t="0" r="14605" b="17780"/>
            <wp:docPr id="28" name="图片 28" descr="乐昌市十四五规划图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乐昌市十四五规划图_103"/>
                    <pic:cNvPicPr>
                      <a:picLocks noChangeAspect="1"/>
                    </pic:cNvPicPr>
                  </pic:nvPicPr>
                  <pic:blipFill>
                    <a:blip r:embed="rId54"/>
                    <a:srcRect l="15225" t="17541" r="14734" b="12836"/>
                    <a:stretch>
                      <a:fillRect/>
                    </a:stretch>
                  </pic:blipFill>
                  <pic:spPr>
                    <a:xfrm>
                      <a:off x="0" y="0"/>
                      <a:ext cx="7643495" cy="5373370"/>
                    </a:xfrm>
                    <a:prstGeom prst="rect">
                      <a:avLst/>
                    </a:prstGeom>
                  </pic:spPr>
                </pic:pic>
              </a:graphicData>
            </a:graphic>
          </wp:inline>
        </w:drawing>
      </w:r>
    </w:p>
    <w:p w14:paraId="07292929">
      <w:pPr>
        <w:pageBreakBefore w:val="0"/>
        <w:wordWrap w:val="0"/>
        <w:overflowPunct/>
        <w:bidi w:val="0"/>
        <w:rPr>
          <w:rFonts w:hint="default" w:ascii="Times New Roman" w:hAnsi="Times New Roman" w:eastAsia="宋体" w:cs="Times New Roman"/>
          <w:b/>
          <w:bCs/>
          <w:color w:val="auto"/>
          <w:sz w:val="24"/>
          <w:szCs w:val="24"/>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4FE01F5">
      <w:pPr>
        <w:pStyle w:val="36"/>
        <w:pageBreakBefore w:val="0"/>
        <w:numPr>
          <w:ilvl w:val="0"/>
          <w:numId w:val="13"/>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25" w:name="_Toc8196"/>
      <w:r>
        <w:rPr>
          <w:rFonts w:hint="default" w:ascii="Times New Roman" w:hAnsi="Times New Roman" w:eastAsia="宋体" w:cs="Times New Roman"/>
          <w:b/>
          <w:bCs/>
          <w:color w:val="auto"/>
          <w:sz w:val="24"/>
          <w:szCs w:val="24"/>
          <w:lang w:eastAsia="zh-CN"/>
        </w:rPr>
        <w:t>大气环境功能区划图</w:t>
      </w:r>
      <w:bookmarkEnd w:id="125"/>
    </w:p>
    <w:p w14:paraId="57FDC3C3">
      <w:pPr>
        <w:pageBreakBefore w:val="0"/>
        <w:wordWrap w:val="0"/>
        <w:overflowPunct/>
        <w:bidi w:val="0"/>
        <w:jc w:val="center"/>
        <w:rPr>
          <w:rFonts w:hint="default" w:ascii="Times New Roman" w:hAnsi="Times New Roman" w:cs="Times New Roman"/>
          <w:color w:val="auto"/>
          <w:highlight w:val="none"/>
        </w:rPr>
      </w:pPr>
      <w:r>
        <w:rPr>
          <w:rFonts w:hint="default" w:ascii="Times New Roman" w:hAnsi="Times New Roman" w:cs="Times New Roman"/>
          <w:color w:val="auto"/>
          <w:sz w:val="24"/>
        </w:rPr>
        <mc:AlternateContent>
          <mc:Choice Requires="wps">
            <w:drawing>
              <wp:anchor distT="0" distB="0" distL="114300" distR="114300" simplePos="0" relativeHeight="251683840" behindDoc="0" locked="0" layoutInCell="1" allowOverlap="1">
                <wp:simplePos x="0" y="0"/>
                <wp:positionH relativeFrom="column">
                  <wp:posOffset>2498725</wp:posOffset>
                </wp:positionH>
                <wp:positionV relativeFrom="paragraph">
                  <wp:posOffset>3837305</wp:posOffset>
                </wp:positionV>
                <wp:extent cx="739775" cy="254635"/>
                <wp:effectExtent l="6350" t="6350" r="15875" b="310515"/>
                <wp:wrapNone/>
                <wp:docPr id="45" name="矩形标注 45"/>
                <wp:cNvGraphicFramePr/>
                <a:graphic xmlns:a="http://schemas.openxmlformats.org/drawingml/2006/main">
                  <a:graphicData uri="http://schemas.microsoft.com/office/word/2010/wordprocessingShape">
                    <wps:wsp>
                      <wps:cNvSpPr/>
                      <wps:spPr>
                        <a:xfrm>
                          <a:off x="0" y="0"/>
                          <a:ext cx="739775" cy="254635"/>
                        </a:xfrm>
                        <a:prstGeom prst="wedgeRectCallout">
                          <a:avLst>
                            <a:gd name="adj1" fmla="val -20729"/>
                            <a:gd name="adj2" fmla="val 1629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A10C56C">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6.75pt;margin-top:302.15pt;height:20.05pt;width:58.25pt;z-index:251683840;v-text-anchor:middle;mso-width-relative:page;mso-height-relative:page;" filled="f" stroked="t" coordsize="21600,21600" o:gfxdata="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L1QnzdkAAAALAQAADwAAAAAAAAABACAAAAAiAAAAZHJzL2Rv&#10;d25yZXYueG1sUEsBAhQAFAAAAAgAh07iQIGyS3+rAgAAPAUAAA4AAAAAAAAAAQAgAAAAKAEAAGRy&#10;cy9lMm9Eb2MueG1sUEsFBgAAAAAGAAYAWQEAAEUGAAAAAA==&#10;" adj="6323,46001">
                <v:fill on="f" focussize="0,0"/>
                <v:stroke weight="1pt" color="#FF0000 [2404]" miterlimit="8" joinstyle="miter"/>
                <v:imagedata o:title=""/>
                <o:lock v:ext="edit" aspectratio="f"/>
                <v:textbox>
                  <w:txbxContent>
                    <w:p w14:paraId="4A10C56C">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82816" behindDoc="0" locked="0" layoutInCell="1" allowOverlap="1">
                <wp:simplePos x="0" y="0"/>
                <wp:positionH relativeFrom="column">
                  <wp:posOffset>2636520</wp:posOffset>
                </wp:positionH>
                <wp:positionV relativeFrom="paragraph">
                  <wp:posOffset>4305300</wp:posOffset>
                </wp:positionV>
                <wp:extent cx="168275" cy="168275"/>
                <wp:effectExtent l="30480" t="30480" r="29845" b="29845"/>
                <wp:wrapNone/>
                <wp:docPr id="44" name="十字星 44"/>
                <wp:cNvGraphicFramePr/>
                <a:graphic xmlns:a="http://schemas.openxmlformats.org/drawingml/2006/main">
                  <a:graphicData uri="http://schemas.microsoft.com/office/word/2010/wordprocessingShape">
                    <wps:wsp>
                      <wps:cNvSpPr/>
                      <wps:spPr>
                        <a:xfrm>
                          <a:off x="0" y="0"/>
                          <a:ext cx="168275" cy="168275"/>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07.6pt;margin-top:339pt;height:13.25pt;width:13.25pt;z-index:251682816;v-text-anchor:middle;mso-width-relative:page;mso-height-relative:page;" fillcolor="#FF0000" filled="t" stroked="t" coordsize="21600,21600" o:gfxdata="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MRxhe7bAAAACwEAAA8AAAAAAAAAAQAgAAAAIgAAAGRycy9kb3du&#10;cmV2LnhtbFBLAQIUABQAAAAIAIdO4kATqLzmbgIAAPkEAAAOAAAAAAAAAAEAIAAAACoBAABkcnMv&#10;ZTJvRG9jLnhtbFBLBQYAAAAABgAGAFkBAAAKBgAAAAA=&#10;" adj="8100">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lang w:eastAsia="zh-CN"/>
        </w:rPr>
        <w:drawing>
          <wp:inline distT="0" distB="0" distL="114300" distR="114300">
            <wp:extent cx="7611110" cy="5397500"/>
            <wp:effectExtent l="0" t="0" r="8890" b="12700"/>
            <wp:docPr id="34" name="图片 34" descr="乐昌市十四五规划图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乐昌市十四五规划图_104"/>
                    <pic:cNvPicPr>
                      <a:picLocks noChangeAspect="1"/>
                    </pic:cNvPicPr>
                  </pic:nvPicPr>
                  <pic:blipFill>
                    <a:blip r:embed="rId55"/>
                    <a:srcRect l="13737" t="15249" r="13799" b="12087"/>
                    <a:stretch>
                      <a:fillRect/>
                    </a:stretch>
                  </pic:blipFill>
                  <pic:spPr>
                    <a:xfrm>
                      <a:off x="0" y="0"/>
                      <a:ext cx="7611110" cy="5397500"/>
                    </a:xfrm>
                    <a:prstGeom prst="rect">
                      <a:avLst/>
                    </a:prstGeom>
                  </pic:spPr>
                </pic:pic>
              </a:graphicData>
            </a:graphic>
          </wp:inline>
        </w:drawing>
      </w:r>
      <w:r>
        <w:rPr>
          <w:rFonts w:hint="default" w:ascii="Times New Roman" w:hAnsi="Times New Roman" w:cs="Times New Roman"/>
          <w:color w:val="auto"/>
          <w:sz w:val="24"/>
        </w:rPr>
        <mc:AlternateContent>
          <mc:Choice Requires="wps">
            <w:drawing>
              <wp:anchor distT="0" distB="0" distL="114300" distR="114300" simplePos="0" relativeHeight="251681792" behindDoc="0" locked="0" layoutInCell="1" allowOverlap="1">
                <wp:simplePos x="0" y="0"/>
                <wp:positionH relativeFrom="column">
                  <wp:posOffset>5560060</wp:posOffset>
                </wp:positionH>
                <wp:positionV relativeFrom="paragraph">
                  <wp:posOffset>3537585</wp:posOffset>
                </wp:positionV>
                <wp:extent cx="87630" cy="102870"/>
                <wp:effectExtent l="26035" t="35560" r="38735" b="52070"/>
                <wp:wrapNone/>
                <wp:docPr id="38" name="十字星 38"/>
                <wp:cNvGraphicFramePr/>
                <a:graphic xmlns:a="http://schemas.openxmlformats.org/drawingml/2006/main">
                  <a:graphicData uri="http://schemas.microsoft.com/office/word/2010/wordprocessingShape">
                    <wps:wsp>
                      <wps:cNvSpPr/>
                      <wps:spPr>
                        <a:xfrm>
                          <a:off x="0" y="0"/>
                          <a:ext cx="87630" cy="102870"/>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37.8pt;margin-top:278.55pt;height:8.1pt;width:6.9pt;z-index:251681792;v-text-anchor:middle;mso-width-relative:page;mso-height-relative:page;" fillcolor="#FF0000" filled="t" stroked="t" coordsize="21600,21600" o:gfxdata="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N9IfTLaAAAACwEAAA8AAAAAAAAAAQAgAAAAIgAAAGRycy9k&#10;b3ducmV2LnhtbFBLAQIUABQAAAAIAIdO4kA3qn4ccgIAAPgEAAAOAAAAAAAAAAEAIAAAACkBAABk&#10;cnMvZTJvRG9jLnhtbFBLBQYAAAAABgAGAFkBAAANBgAAAAA=&#10;" adj="8100">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79744" behindDoc="0" locked="0" layoutInCell="1" allowOverlap="1">
                <wp:simplePos x="0" y="0"/>
                <wp:positionH relativeFrom="column">
                  <wp:posOffset>3816350</wp:posOffset>
                </wp:positionH>
                <wp:positionV relativeFrom="paragraph">
                  <wp:posOffset>3604260</wp:posOffset>
                </wp:positionV>
                <wp:extent cx="1757680" cy="764540"/>
                <wp:effectExtent l="2540" t="11430" r="11430" b="24130"/>
                <wp:wrapNone/>
                <wp:docPr id="36" name="直接箭头连接符 36"/>
                <wp:cNvGraphicFramePr/>
                <a:graphic xmlns:a="http://schemas.openxmlformats.org/drawingml/2006/main">
                  <a:graphicData uri="http://schemas.microsoft.com/office/word/2010/wordprocessingShape">
                    <wps:wsp>
                      <wps:cNvCnPr>
                        <a:stCxn id="35" idx="3"/>
                      </wps:cNvCnPr>
                      <wps:spPr>
                        <a:xfrm flipV="1">
                          <a:off x="4806315" y="4778375"/>
                          <a:ext cx="1757680" cy="764540"/>
                        </a:xfrm>
                        <a:prstGeom prst="straightConnector1">
                          <a:avLst/>
                        </a:prstGeom>
                        <a:ln>
                          <a:solidFill>
                            <a:srgbClr val="FF0000"/>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00.5pt;margin-top:283.8pt;height:60.2pt;width:138.4pt;z-index:251679744;mso-width-relative:page;mso-height-relative:page;" filled="f" stroked="t" coordsize="21600,21600" o:gfxdata="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IatGXbXAAAACwEAAA8AAAAAAAAAAQAgAAAAIgAAAGRycy9kb3ducmV2LnhtbFBL&#10;AQIUABQAAAAIAIdO4kDWswnaMAIAACIEAAAOAAAAAAAAAAEAIAAAACYBAABkcnMvZTJvRG9jLnht&#10;bFBLBQYAAAAABgAGAFkBAADIBQAAAAA=&#10;">
                <v:fill on="f" focussize="0,0"/>
                <v:stroke weight="1pt" color="#FF0000 [3204]" miterlimit="8" joinstyle="miter" dashstyle="dash" endarrow="open"/>
                <v:imagedata o:title=""/>
                <o:lock v:ext="edit" aspectratio="f"/>
              </v:shape>
            </w:pict>
          </mc:Fallback>
        </mc:AlternateContent>
      </w:r>
      <w:r>
        <w:rPr>
          <w:rFonts w:hint="default" w:ascii="Times New Roman" w:hAnsi="Times New Roman" w:cs="Times New Roman"/>
          <w:color w:val="auto"/>
        </w:rPr>
        <w:drawing>
          <wp:anchor distT="0" distB="0" distL="114300" distR="114300" simplePos="0" relativeHeight="251678720" behindDoc="0" locked="0" layoutInCell="1" allowOverlap="1">
            <wp:simplePos x="0" y="0"/>
            <wp:positionH relativeFrom="column">
              <wp:posOffset>1882775</wp:posOffset>
            </wp:positionH>
            <wp:positionV relativeFrom="paragraph">
              <wp:posOffset>3597275</wp:posOffset>
            </wp:positionV>
            <wp:extent cx="1933575" cy="1543050"/>
            <wp:effectExtent l="12700" t="12700" r="15875" b="25400"/>
            <wp:wrapNone/>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56"/>
                    <a:stretch>
                      <a:fillRect/>
                    </a:stretch>
                  </pic:blipFill>
                  <pic:spPr>
                    <a:xfrm>
                      <a:off x="0" y="0"/>
                      <a:ext cx="1933575" cy="1543050"/>
                    </a:xfrm>
                    <a:prstGeom prst="rect">
                      <a:avLst/>
                    </a:prstGeom>
                    <a:noFill/>
                    <a:ln w="12700">
                      <a:solidFill>
                        <a:srgbClr val="FF0000"/>
                      </a:solidFill>
                      <a:prstDash val="dash"/>
                    </a:ln>
                  </pic:spPr>
                </pic:pic>
              </a:graphicData>
            </a:graphic>
          </wp:anchor>
        </w:drawing>
      </w:r>
    </w:p>
    <w:p w14:paraId="66B6F079">
      <w:pPr>
        <w:pageBreakBefore w:val="0"/>
        <w:wordWrap w:val="0"/>
        <w:overflowPunct/>
        <w:bidi w:val="0"/>
        <w:rPr>
          <w:rFonts w:hint="default" w:ascii="Times New Roman" w:hAnsi="Times New Roman" w:cs="Times New Roman"/>
          <w:color w:val="auto"/>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8D8F05C">
      <w:pPr>
        <w:pStyle w:val="36"/>
        <w:pageBreakBefore w:val="0"/>
        <w:numPr>
          <w:ilvl w:val="0"/>
          <w:numId w:val="13"/>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26" w:name="_Toc10871"/>
      <w:r>
        <w:rPr>
          <w:rFonts w:hint="default" w:ascii="Times New Roman" w:hAnsi="Times New Roman" w:cs="Times New Roman"/>
          <w:b/>
          <w:bCs/>
          <w:color w:val="auto"/>
          <w:sz w:val="24"/>
          <w:szCs w:val="24"/>
          <w:lang w:eastAsia="zh-CN"/>
        </w:rPr>
        <w:t>声环境功能区划图</w:t>
      </w:r>
      <w:bookmarkEnd w:id="126"/>
    </w:p>
    <w:p w14:paraId="0B024B31">
      <w:pPr>
        <w:pageBreakBefore w:val="0"/>
        <w:wordWrap w:val="0"/>
        <w:overflowPunct/>
        <w:bidi w:val="0"/>
        <w:jc w:val="center"/>
        <w:rPr>
          <w:rFonts w:hint="default" w:ascii="Times New Roman" w:hAnsi="Times New Roman" w:cs="Times New Roman"/>
          <w:color w:val="auto"/>
          <w:lang w:eastAsia="zh-CN"/>
        </w:rPr>
      </w:pPr>
      <w:r>
        <w:rPr>
          <w:rFonts w:hint="default" w:ascii="Times New Roman" w:hAnsi="Times New Roman" w:cs="Times New Roman"/>
          <w:color w:val="auto"/>
          <w:sz w:val="24"/>
        </w:rPr>
        <mc:AlternateContent>
          <mc:Choice Requires="wps">
            <w:drawing>
              <wp:anchor distT="0" distB="0" distL="114300" distR="114300" simplePos="0" relativeHeight="251721728" behindDoc="0" locked="0" layoutInCell="1" allowOverlap="1">
                <wp:simplePos x="0" y="0"/>
                <wp:positionH relativeFrom="column">
                  <wp:posOffset>5684520</wp:posOffset>
                </wp:positionH>
                <wp:positionV relativeFrom="paragraph">
                  <wp:posOffset>2207895</wp:posOffset>
                </wp:positionV>
                <wp:extent cx="160020" cy="154305"/>
                <wp:effectExtent l="31115" t="29210" r="37465" b="45085"/>
                <wp:wrapNone/>
                <wp:docPr id="13" name="十字星 13"/>
                <wp:cNvGraphicFramePr/>
                <a:graphic xmlns:a="http://schemas.openxmlformats.org/drawingml/2006/main">
                  <a:graphicData uri="http://schemas.microsoft.com/office/word/2010/wordprocessingShape">
                    <wps:wsp>
                      <wps:cNvSpPr/>
                      <wps:spPr>
                        <a:xfrm>
                          <a:off x="0" y="0"/>
                          <a:ext cx="160020" cy="154305"/>
                        </a:xfrm>
                        <a:prstGeom prst="star4">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47.6pt;margin-top:173.85pt;height:12.15pt;width:12.6pt;z-index:251721728;v-text-anchor:middle;mso-width-relative:page;mso-height-relative:page;" fillcolor="#FFFF00" filled="t" stroked="t" coordsize="21600,21600" o:gfxdata="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OGgLu9oAAAALAQAADwAAAAAAAAABACAAAAAiAAAAZHJzL2Rv&#10;d25yZXYueG1sUEsBAhQAFAAAAAgAh07iQJYhRcpxAgAA+QQAAA4AAAAAAAAAAQAgAAAAKQEAAGRy&#10;cy9lMm9Eb2MueG1sUEsFBgAAAAAGAAYAWQEAAAwGAAAAAA==&#10;" adj="8100">
                <v:fill on="t" focussize="0,0"/>
                <v:stroke weight="1pt" color="#FFFF00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22752" behindDoc="0" locked="0" layoutInCell="1" allowOverlap="1">
                <wp:simplePos x="0" y="0"/>
                <wp:positionH relativeFrom="column">
                  <wp:posOffset>5949950</wp:posOffset>
                </wp:positionH>
                <wp:positionV relativeFrom="paragraph">
                  <wp:posOffset>1859280</wp:posOffset>
                </wp:positionV>
                <wp:extent cx="806450" cy="321310"/>
                <wp:effectExtent l="171450" t="6350" r="12700" b="72390"/>
                <wp:wrapNone/>
                <wp:docPr id="14" name="矩形标注 14"/>
                <wp:cNvGraphicFramePr/>
                <a:graphic xmlns:a="http://schemas.openxmlformats.org/drawingml/2006/main">
                  <a:graphicData uri="http://schemas.microsoft.com/office/word/2010/wordprocessingShape">
                    <wps:wsp>
                      <wps:cNvSpPr/>
                      <wps:spPr>
                        <a:xfrm>
                          <a:off x="0" y="0"/>
                          <a:ext cx="806450" cy="321310"/>
                        </a:xfrm>
                        <a:prstGeom prst="wedgeRectCallout">
                          <a:avLst>
                            <a:gd name="adj1" fmla="val -67440"/>
                            <a:gd name="adj2" fmla="val 62524"/>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CDE5EEF">
                            <w:pPr>
                              <w:spacing w:line="240" w:lineRule="auto"/>
                              <w:jc w:val="center"/>
                              <w:rPr>
                                <w:rFonts w:hint="default" w:eastAsia="宋体"/>
                                <w:b/>
                                <w:bCs/>
                                <w:color w:val="FFFF00"/>
                                <w:sz w:val="21"/>
                                <w:szCs w:val="21"/>
                                <w:lang w:val="en-US" w:eastAsia="zh-CN"/>
                              </w:rPr>
                            </w:pPr>
                            <w:r>
                              <w:rPr>
                                <w:rFonts w:hint="eastAsia"/>
                                <w:b/>
                                <w:bCs/>
                                <w:color w:val="FFFF00"/>
                                <w:sz w:val="21"/>
                                <w:szCs w:val="21"/>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68.5pt;margin-top:146.4pt;height:25.3pt;width:63.5pt;z-index:251722752;v-text-anchor:middle;mso-width-relative:page;mso-height-relative:page;" filled="f" stroked="t" coordsize="21600,21600" o:gfxdata="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tkGac9oAAAAMAQAADwAAAAAAAAABACAAAAAiAAAAZHJzL2Rvd25y&#10;ZXYueG1sUEsBAhQAFAAAAAgAh07iQL76/RunAgAAOwUAAA4AAAAAAAAAAQAgAAAAKQEAAGRycy9l&#10;Mm9Eb2MueG1sUEsFBgAAAAAGAAYAWQEAAEIGAAAAAA==&#10;" adj="-3767,24305">
                <v:fill on="f" focussize="0,0"/>
                <v:stroke weight="1pt" color="#FFFF00 [2404]" miterlimit="8" joinstyle="miter"/>
                <v:imagedata o:title=""/>
                <o:lock v:ext="edit" aspectratio="f"/>
                <v:textbox>
                  <w:txbxContent>
                    <w:p w14:paraId="5CDE5EEF">
                      <w:pPr>
                        <w:spacing w:line="240" w:lineRule="auto"/>
                        <w:jc w:val="center"/>
                        <w:rPr>
                          <w:rFonts w:hint="default" w:eastAsia="宋体"/>
                          <w:b/>
                          <w:bCs/>
                          <w:color w:val="FFFF00"/>
                          <w:sz w:val="21"/>
                          <w:szCs w:val="21"/>
                          <w:lang w:val="en-US" w:eastAsia="zh-CN"/>
                        </w:rPr>
                      </w:pPr>
                      <w:r>
                        <w:rPr>
                          <w:rFonts w:hint="eastAsia"/>
                          <w:b/>
                          <w:bCs/>
                          <w:color w:val="FFFF00"/>
                          <w:sz w:val="21"/>
                          <w:szCs w:val="21"/>
                          <w:lang w:val="en-US" w:eastAsia="zh-CN"/>
                        </w:rPr>
                        <w:t>项目位置</w:t>
                      </w:r>
                    </w:p>
                  </w:txbxContent>
                </v:textbox>
              </v:shape>
            </w:pict>
          </mc:Fallback>
        </mc:AlternateContent>
      </w:r>
      <w:r>
        <w:rPr>
          <w:rFonts w:hint="default" w:ascii="Times New Roman" w:hAnsi="Times New Roman" w:cs="Times New Roman"/>
          <w:color w:val="auto"/>
        </w:rPr>
        <w:drawing>
          <wp:inline distT="0" distB="0" distL="114300" distR="114300">
            <wp:extent cx="7452360" cy="5273675"/>
            <wp:effectExtent l="0" t="0" r="15240" b="317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57"/>
                    <a:stretch>
                      <a:fillRect/>
                    </a:stretch>
                  </pic:blipFill>
                  <pic:spPr>
                    <a:xfrm>
                      <a:off x="0" y="0"/>
                      <a:ext cx="7452360" cy="5273675"/>
                    </a:xfrm>
                    <a:prstGeom prst="rect">
                      <a:avLst/>
                    </a:prstGeom>
                    <a:noFill/>
                    <a:ln>
                      <a:noFill/>
                    </a:ln>
                  </pic:spPr>
                </pic:pic>
              </a:graphicData>
            </a:graphic>
          </wp:inline>
        </w:drawing>
      </w:r>
    </w:p>
    <w:p w14:paraId="382C5B35">
      <w:pPr>
        <w:pageBreakBefore w:val="0"/>
        <w:wordWrap w:val="0"/>
        <w:overflowPunct/>
        <w:bidi w:val="0"/>
        <w:rPr>
          <w:rFonts w:hint="default" w:ascii="Times New Roman" w:hAnsi="Times New Roman" w:cs="Times New Roman"/>
          <w:color w:val="auto"/>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900FEC3">
      <w:pPr>
        <w:pStyle w:val="36"/>
        <w:pageBreakBefore w:val="0"/>
        <w:numPr>
          <w:ilvl w:val="0"/>
          <w:numId w:val="13"/>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27" w:name="_Toc30773"/>
      <w:r>
        <w:rPr>
          <w:rFonts w:hint="default" w:ascii="Times New Roman" w:hAnsi="Times New Roman" w:eastAsia="宋体" w:cs="Times New Roman"/>
          <w:b/>
          <w:bCs/>
          <w:color w:val="auto"/>
          <w:sz w:val="24"/>
          <w:szCs w:val="24"/>
          <w:lang w:eastAsia="zh-CN"/>
        </w:rPr>
        <w:t>生态红线分布图</w:t>
      </w:r>
      <w:bookmarkEnd w:id="127"/>
    </w:p>
    <w:p w14:paraId="6D00BA36">
      <w:pPr>
        <w:pageBreakBefore w:val="0"/>
        <w:wordWrap w:val="0"/>
        <w:overflowPunct/>
        <w:bidi w:val="0"/>
        <w:jc w:val="center"/>
        <w:rPr>
          <w:rFonts w:hint="default" w:ascii="Times New Roman" w:hAnsi="Times New Roman" w:cs="Times New Roman"/>
          <w:color w:val="auto"/>
          <w:highlight w:val="none"/>
        </w:rPr>
      </w:pPr>
      <w:r>
        <w:rPr>
          <w:rFonts w:hint="default" w:ascii="Times New Roman" w:hAnsi="Times New Roman" w:cs="Times New Roman"/>
          <w:color w:val="auto"/>
          <w:sz w:val="24"/>
        </w:rPr>
        <mc:AlternateContent>
          <mc:Choice Requires="wps">
            <w:drawing>
              <wp:anchor distT="0" distB="0" distL="114300" distR="114300" simplePos="0" relativeHeight="251688960" behindDoc="0" locked="0" layoutInCell="1" allowOverlap="1">
                <wp:simplePos x="0" y="0"/>
                <wp:positionH relativeFrom="column">
                  <wp:posOffset>2168525</wp:posOffset>
                </wp:positionH>
                <wp:positionV relativeFrom="paragraph">
                  <wp:posOffset>3402330</wp:posOffset>
                </wp:positionV>
                <wp:extent cx="806450" cy="321310"/>
                <wp:effectExtent l="171450" t="6350" r="12700" b="72390"/>
                <wp:wrapNone/>
                <wp:docPr id="58" name="矩形标注 58"/>
                <wp:cNvGraphicFramePr/>
                <a:graphic xmlns:a="http://schemas.openxmlformats.org/drawingml/2006/main">
                  <a:graphicData uri="http://schemas.microsoft.com/office/word/2010/wordprocessingShape">
                    <wps:wsp>
                      <wps:cNvSpPr/>
                      <wps:spPr>
                        <a:xfrm>
                          <a:off x="0" y="0"/>
                          <a:ext cx="806450" cy="321310"/>
                        </a:xfrm>
                        <a:prstGeom prst="wedgeRectCallout">
                          <a:avLst>
                            <a:gd name="adj1" fmla="val -67440"/>
                            <a:gd name="adj2" fmla="val 62524"/>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19082D2">
                            <w:pPr>
                              <w:spacing w:line="240" w:lineRule="auto"/>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70.75pt;margin-top:267.9pt;height:25.3pt;width:63.5pt;z-index:251688960;v-text-anchor:middle;mso-width-relative:page;mso-height-relative:page;" filled="f" stroked="t" coordsize="21600,21600" o:gfxdata="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683A/2gAAAAsBAAAPAAAAAAAAAAEAIAAAACIAAABkcnMvZG93bnJl&#10;di54bWxQSwECFAAUAAAACACHTuJAIj+tiKYCAAA7BQAADgAAAAAAAAABACAAAAApAQAAZHJzL2Uy&#10;b0RvYy54bWxQSwUGAAAAAAYABgBZAQAAQQYAAAAA&#10;" adj="-3767,24305">
                <v:fill on="f" focussize="0,0"/>
                <v:stroke weight="1pt" color="#000000 [3213]" miterlimit="8" joinstyle="miter"/>
                <v:imagedata o:title=""/>
                <o:lock v:ext="edit" aspectratio="f"/>
                <v:textbox>
                  <w:txbxContent>
                    <w:p w14:paraId="619082D2">
                      <w:pPr>
                        <w:spacing w:line="240" w:lineRule="auto"/>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项目位置</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87936" behindDoc="0" locked="0" layoutInCell="1" allowOverlap="1">
                <wp:simplePos x="0" y="0"/>
                <wp:positionH relativeFrom="column">
                  <wp:posOffset>1912620</wp:posOffset>
                </wp:positionH>
                <wp:positionV relativeFrom="paragraph">
                  <wp:posOffset>3712845</wp:posOffset>
                </wp:positionV>
                <wp:extent cx="160020" cy="154305"/>
                <wp:effectExtent l="31115" t="29210" r="37465" b="45085"/>
                <wp:wrapNone/>
                <wp:docPr id="53" name="十字星 53"/>
                <wp:cNvGraphicFramePr/>
                <a:graphic xmlns:a="http://schemas.openxmlformats.org/drawingml/2006/main">
                  <a:graphicData uri="http://schemas.microsoft.com/office/word/2010/wordprocessingShape">
                    <wps:wsp>
                      <wps:cNvSpPr/>
                      <wps:spPr>
                        <a:xfrm>
                          <a:off x="0" y="0"/>
                          <a:ext cx="160020" cy="154305"/>
                        </a:xfrm>
                        <a:prstGeom prst="star4">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50.6pt;margin-top:292.35pt;height:12.15pt;width:12.6pt;z-index:251687936;v-text-anchor:middle;mso-width-relative:page;mso-height-relative:page;" fillcolor="#000000 [3213]" filled="t" stroked="t" coordsize="21600,21600" o:gfxdata="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qwnKEtoAAAALAQAADwAAAAAAAAABACAAAAAiAAAAZHJzL2Rvd25y&#10;ZXYueG1sUEsBAhQAFAAAAAgAh07iQHXB3PxuAgAA+QQAAA4AAAAAAAAAAQAgAAAAKQEAAGRycy9l&#10;Mm9Eb2MueG1sUEsFBgAAAAAGAAYAWQEAAAkGAAAAAA==&#10;" adj="8100">
                <v:fill on="t" focussize="0,0"/>
                <v:stroke weight="1pt" color="#000000 [3213]"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86912" behindDoc="0" locked="0" layoutInCell="1" allowOverlap="1">
                <wp:simplePos x="0" y="0"/>
                <wp:positionH relativeFrom="column">
                  <wp:posOffset>5648325</wp:posOffset>
                </wp:positionH>
                <wp:positionV relativeFrom="paragraph">
                  <wp:posOffset>3479165</wp:posOffset>
                </wp:positionV>
                <wp:extent cx="160020" cy="154305"/>
                <wp:effectExtent l="31115" t="29210" r="37465" b="45085"/>
                <wp:wrapNone/>
                <wp:docPr id="51" name="十字星 51"/>
                <wp:cNvGraphicFramePr/>
                <a:graphic xmlns:a="http://schemas.openxmlformats.org/drawingml/2006/main">
                  <a:graphicData uri="http://schemas.microsoft.com/office/word/2010/wordprocessingShape">
                    <wps:wsp>
                      <wps:cNvSpPr/>
                      <wps:spPr>
                        <a:xfrm>
                          <a:off x="0" y="0"/>
                          <a:ext cx="160020" cy="154305"/>
                        </a:xfrm>
                        <a:prstGeom prst="star4">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44.75pt;margin-top:273.95pt;height:12.15pt;width:12.6pt;z-index:251686912;v-text-anchor:middle;mso-width-relative:page;mso-height-relative:page;" fillcolor="#000000 [3213]" filled="t" stroked="t" coordsize="21600,21600" o:gfxdata="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An9trfbAAAACwEAAA8AAAAAAAAAAQAgAAAAIgAAAGRycy9kb3du&#10;cmV2LnhtbFBLAQIUABQAAAAIAIdO4kBLLFKDbgIAAPkEAAAOAAAAAAAAAAEAIAAAACoBAABkcnMv&#10;ZTJvRG9jLnhtbFBLBQYAAAAABgAGAFkBAAAKBgAAAAA=&#10;" adj="8100">
                <v:fill on="t" focussize="0,0"/>
                <v:stroke weight="1pt" color="#000000 [3213]" miterlimit="8" joinstyle="miter"/>
                <v:imagedata o:title=""/>
                <o:lock v:ext="edit" aspectratio="f"/>
              </v:shape>
            </w:pict>
          </mc:Fallback>
        </mc:AlternateContent>
      </w:r>
      <w:r>
        <w:rPr>
          <w:rFonts w:hint="default" w:ascii="Times New Roman" w:hAnsi="Times New Roman" w:cs="Times New Roman"/>
          <w:color w:val="auto"/>
        </w:rPr>
        <w:drawing>
          <wp:anchor distT="0" distB="0" distL="114300" distR="114300" simplePos="0" relativeHeight="251684864" behindDoc="0" locked="0" layoutInCell="1" allowOverlap="1">
            <wp:simplePos x="0" y="0"/>
            <wp:positionH relativeFrom="column">
              <wp:posOffset>890270</wp:posOffset>
            </wp:positionH>
            <wp:positionV relativeFrom="paragraph">
              <wp:posOffset>2904490</wp:posOffset>
            </wp:positionV>
            <wp:extent cx="2916555" cy="2233295"/>
            <wp:effectExtent l="12700" t="12700" r="23495" b="20955"/>
            <wp:wrapNone/>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58"/>
                    <a:stretch>
                      <a:fillRect/>
                    </a:stretch>
                  </pic:blipFill>
                  <pic:spPr>
                    <a:xfrm>
                      <a:off x="0" y="0"/>
                      <a:ext cx="2916555" cy="2233295"/>
                    </a:xfrm>
                    <a:prstGeom prst="rect">
                      <a:avLst/>
                    </a:prstGeom>
                    <a:noFill/>
                    <a:ln w="12700">
                      <a:solidFill>
                        <a:schemeClr val="tx1"/>
                      </a:solidFill>
                      <a:prstDash val="dash"/>
                    </a:ln>
                  </pic:spPr>
                </pic:pic>
              </a:graphicData>
            </a:graphic>
          </wp:anchor>
        </w:drawing>
      </w:r>
      <w:r>
        <w:rPr>
          <w:rFonts w:hint="default" w:ascii="Times New Roman" w:hAnsi="Times New Roman" w:cs="Times New Roman"/>
          <w:color w:val="auto"/>
          <w:sz w:val="24"/>
        </w:rPr>
        <mc:AlternateContent>
          <mc:Choice Requires="wps">
            <w:drawing>
              <wp:anchor distT="0" distB="0" distL="114300" distR="114300" simplePos="0" relativeHeight="251685888" behindDoc="0" locked="0" layoutInCell="1" allowOverlap="1">
                <wp:simplePos x="0" y="0"/>
                <wp:positionH relativeFrom="column">
                  <wp:posOffset>3806825</wp:posOffset>
                </wp:positionH>
                <wp:positionV relativeFrom="paragraph">
                  <wp:posOffset>3561080</wp:posOffset>
                </wp:positionV>
                <wp:extent cx="1884680" cy="460375"/>
                <wp:effectExtent l="1270" t="28575" r="0" b="6350"/>
                <wp:wrapNone/>
                <wp:docPr id="50" name="直接箭头连接符 50"/>
                <wp:cNvGraphicFramePr/>
                <a:graphic xmlns:a="http://schemas.openxmlformats.org/drawingml/2006/main">
                  <a:graphicData uri="http://schemas.microsoft.com/office/word/2010/wordprocessingShape">
                    <wps:wsp>
                      <wps:cNvCnPr>
                        <a:stCxn id="48" idx="3"/>
                      </wps:cNvCnPr>
                      <wps:spPr>
                        <a:xfrm flipV="1">
                          <a:off x="4811395" y="4845050"/>
                          <a:ext cx="1884680" cy="460375"/>
                        </a:xfrm>
                        <a:prstGeom prst="straightConnector1">
                          <a:avLst/>
                        </a:prstGeom>
                        <a:ln>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99.75pt;margin-top:280.4pt;height:36.25pt;width:148.4pt;z-index:251685888;mso-width-relative:page;mso-height-relative:page;" filled="f" stroked="t" coordsize="21600,21600" o:gfxdata="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WnrPs9oAAAALAQAADwAAAAAAAAABACAAAAAiAAAAZHJzL2Rvd25yZXYueG1sUEsB&#10;AhQAFAAAAAgAh07iQJS7RAksAgAAIgQAAA4AAAAAAAAAAQAgAAAAKQEAAGRycy9lMm9Eb2MueG1s&#10;UEsFBgAAAAAGAAYAWQEAAMcFAAAAAA==&#10;">
                <v:fill on="f" focussize="0,0"/>
                <v:stroke weight="1pt" color="#000000 [3213]" miterlimit="8" joinstyle="miter" dashstyle="dash" endarrow="open"/>
                <v:imagedata o:title=""/>
                <o:lock v:ext="edit" aspectratio="f"/>
              </v:shape>
            </w:pict>
          </mc:Fallback>
        </mc:AlternateContent>
      </w:r>
      <w:r>
        <w:rPr>
          <w:rFonts w:hint="default" w:ascii="Times New Roman" w:hAnsi="Times New Roman" w:cs="Times New Roman"/>
          <w:color w:val="auto"/>
          <w:lang w:eastAsia="zh-CN"/>
        </w:rPr>
        <w:drawing>
          <wp:inline distT="0" distB="0" distL="114300" distR="114300">
            <wp:extent cx="7407275" cy="5237480"/>
            <wp:effectExtent l="0" t="0" r="3175" b="1270"/>
            <wp:docPr id="46" name="图片 46" descr="乐昌市十四五规划图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乐昌市十四五规划图_105"/>
                    <pic:cNvPicPr>
                      <a:picLocks noChangeAspect="1"/>
                    </pic:cNvPicPr>
                  </pic:nvPicPr>
                  <pic:blipFill>
                    <a:blip r:embed="rId59"/>
                    <a:srcRect l="14454" t="14996" r="14516" b="13993"/>
                    <a:stretch>
                      <a:fillRect/>
                    </a:stretch>
                  </pic:blipFill>
                  <pic:spPr>
                    <a:xfrm>
                      <a:off x="0" y="0"/>
                      <a:ext cx="7407275" cy="5237480"/>
                    </a:xfrm>
                    <a:prstGeom prst="rect">
                      <a:avLst/>
                    </a:prstGeom>
                  </pic:spPr>
                </pic:pic>
              </a:graphicData>
            </a:graphic>
          </wp:inline>
        </w:drawing>
      </w:r>
    </w:p>
    <w:p w14:paraId="4CB758AB">
      <w:pPr>
        <w:pageBreakBefore w:val="0"/>
        <w:wordWrap w:val="0"/>
        <w:overflowPunct/>
        <w:bidi w:val="0"/>
        <w:rPr>
          <w:rFonts w:hint="default" w:ascii="Times New Roman" w:hAnsi="Times New Roman" w:cs="Times New Roman"/>
          <w:color w:val="auto"/>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011108E9">
      <w:pPr>
        <w:pStyle w:val="36"/>
        <w:pageBreakBefore w:val="0"/>
        <w:numPr>
          <w:ilvl w:val="0"/>
          <w:numId w:val="13"/>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28" w:name="_Toc20841"/>
      <w:r>
        <w:rPr>
          <w:rFonts w:hint="default" w:ascii="Times New Roman" w:hAnsi="Times New Roman" w:eastAsia="宋体" w:cs="Times New Roman"/>
          <w:b/>
          <w:bCs/>
          <w:color w:val="auto"/>
          <w:sz w:val="24"/>
          <w:szCs w:val="24"/>
          <w:lang w:eastAsia="zh-CN"/>
        </w:rPr>
        <w:t>水环境管控单元图</w:t>
      </w:r>
      <w:bookmarkEnd w:id="128"/>
    </w:p>
    <w:p w14:paraId="4563B6F1">
      <w:pPr>
        <w:pStyle w:val="44"/>
        <w:pageBreakBefore w:val="0"/>
        <w:wordWrap w:val="0"/>
        <w:overflowPunct/>
        <w:bidi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sz w:val="24"/>
        </w:rPr>
        <mc:AlternateContent>
          <mc:Choice Requires="wps">
            <w:drawing>
              <wp:anchor distT="0" distB="0" distL="114300" distR="114300" simplePos="0" relativeHeight="251694080" behindDoc="0" locked="0" layoutInCell="1" allowOverlap="1">
                <wp:simplePos x="0" y="0"/>
                <wp:positionH relativeFrom="column">
                  <wp:posOffset>1633855</wp:posOffset>
                </wp:positionH>
                <wp:positionV relativeFrom="paragraph">
                  <wp:posOffset>3416935</wp:posOffset>
                </wp:positionV>
                <wp:extent cx="739775" cy="254635"/>
                <wp:effectExtent l="6350" t="6350" r="15875" b="310515"/>
                <wp:wrapNone/>
                <wp:docPr id="99" name="矩形标注 99"/>
                <wp:cNvGraphicFramePr/>
                <a:graphic xmlns:a="http://schemas.openxmlformats.org/drawingml/2006/main">
                  <a:graphicData uri="http://schemas.microsoft.com/office/word/2010/wordprocessingShape">
                    <wps:wsp>
                      <wps:cNvSpPr/>
                      <wps:spPr>
                        <a:xfrm>
                          <a:off x="0" y="0"/>
                          <a:ext cx="739775" cy="254635"/>
                        </a:xfrm>
                        <a:prstGeom prst="wedgeRectCallout">
                          <a:avLst>
                            <a:gd name="adj1" fmla="val -20729"/>
                            <a:gd name="adj2" fmla="val 1629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502E7EC">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8.65pt;margin-top:269.05pt;height:20.05pt;width:58.25pt;z-index:251694080;v-text-anchor:middle;mso-width-relative:page;mso-height-relative:page;" filled="f" stroked="t" coordsize="21600,21600" o:gfxdata="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&#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Mv9SePaAAAACwEAAA8AAAAAAAAAAQAgAAAAIgAAAGRy&#10;cy9kb3ducmV2LnhtbFBLAQIUABQAAAAIAIdO4kBtA+HergIAADwFAAAOAAAAAAAAAAEAIAAAACkB&#10;AABkcnMvZTJvRG9jLnhtbFBLBQYAAAAABgAGAFkBAABJBgAAAAA=&#10;" adj="6323,46001">
                <v:fill on="f" focussize="0,0"/>
                <v:stroke weight="1pt" color="#FF0000 [2404]" miterlimit="8" joinstyle="miter"/>
                <v:imagedata o:title=""/>
                <o:lock v:ext="edit" aspectratio="f"/>
                <v:textbox>
                  <w:txbxContent>
                    <w:p w14:paraId="1502E7EC">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93056" behindDoc="0" locked="0" layoutInCell="1" allowOverlap="1">
                <wp:simplePos x="0" y="0"/>
                <wp:positionH relativeFrom="column">
                  <wp:posOffset>1784985</wp:posOffset>
                </wp:positionH>
                <wp:positionV relativeFrom="paragraph">
                  <wp:posOffset>3905250</wp:posOffset>
                </wp:positionV>
                <wp:extent cx="153035" cy="175260"/>
                <wp:effectExtent l="26670" t="34290" r="29845" b="38100"/>
                <wp:wrapNone/>
                <wp:docPr id="98" name="十字星 98"/>
                <wp:cNvGraphicFramePr/>
                <a:graphic xmlns:a="http://schemas.openxmlformats.org/drawingml/2006/main">
                  <a:graphicData uri="http://schemas.microsoft.com/office/word/2010/wordprocessingShape">
                    <wps:wsp>
                      <wps:cNvSpPr/>
                      <wps:spPr>
                        <a:xfrm>
                          <a:off x="0" y="0"/>
                          <a:ext cx="153035" cy="175260"/>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40.55pt;margin-top:307.5pt;height:13.8pt;width:12.05pt;z-index:251693056;v-text-anchor:middle;mso-width-relative:page;mso-height-relative:page;" fillcolor="#FF0000" filled="t" stroked="t" coordsize="21600,21600" o:gfxdata="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RV7U42QAAAAsBAAAPAAAAAAAAAAEAIAAAACIAAABkcnMv&#10;ZG93bnJldi54bWxQSwECFAAUAAAACACHTuJA1uoSf3QCAAD5BAAADgAAAAAAAAABACAAAAAoAQAA&#10;ZHJzL2Uyb0RvYy54bWxQSwUGAAAAAAYABgBZAQAADgYAAAAA&#10;" adj="8100">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92032" behindDoc="0" locked="0" layoutInCell="1" allowOverlap="1">
                <wp:simplePos x="0" y="0"/>
                <wp:positionH relativeFrom="column">
                  <wp:posOffset>5647055</wp:posOffset>
                </wp:positionH>
                <wp:positionV relativeFrom="paragraph">
                  <wp:posOffset>3491865</wp:posOffset>
                </wp:positionV>
                <wp:extent cx="145415" cy="123825"/>
                <wp:effectExtent l="34925" t="26035" r="48260" b="40640"/>
                <wp:wrapNone/>
                <wp:docPr id="97" name="十字星 97"/>
                <wp:cNvGraphicFramePr/>
                <a:graphic xmlns:a="http://schemas.openxmlformats.org/drawingml/2006/main">
                  <a:graphicData uri="http://schemas.microsoft.com/office/word/2010/wordprocessingShape">
                    <wps:wsp>
                      <wps:cNvSpPr/>
                      <wps:spPr>
                        <a:xfrm>
                          <a:off x="0" y="0"/>
                          <a:ext cx="145415" cy="123825"/>
                        </a:xfrm>
                        <a:prstGeom prst="star4">
                          <a:avLst>
                            <a:gd name="adj" fmla="val 1256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44.65pt;margin-top:274.95pt;height:9.75pt;width:11.45pt;z-index:251692032;v-text-anchor:middle;mso-width-relative:page;mso-height-relative:page;" fillcolor="#FF0000" filled="t" stroked="t" coordsize="21600,21600" o:gfxdata="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PRVcONgAAAALAQAADwAA&#10;AAAAAAABACAAAAAiAAAAZHJzL2Rvd25yZXYueG1sUEsBAhQAFAAAAAgAh07iQMz06/CIAgAAJQUA&#10;AA4AAAAAAAAAAQAgAAAAJwEAAGRycy9lMm9Eb2MueG1sUEsFBgAAAAAGAAYAWQEAACEGAAAAAA==&#10;" adj="8086">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91008" behindDoc="0" locked="0" layoutInCell="1" allowOverlap="1">
                <wp:simplePos x="0" y="0"/>
                <wp:positionH relativeFrom="column">
                  <wp:posOffset>3841750</wp:posOffset>
                </wp:positionH>
                <wp:positionV relativeFrom="paragraph">
                  <wp:posOffset>3552825</wp:posOffset>
                </wp:positionV>
                <wp:extent cx="1864360" cy="434975"/>
                <wp:effectExtent l="1270" t="29210" r="1270" b="12065"/>
                <wp:wrapNone/>
                <wp:docPr id="96" name="直接箭头连接符 96"/>
                <wp:cNvGraphicFramePr/>
                <a:graphic xmlns:a="http://schemas.openxmlformats.org/drawingml/2006/main">
                  <a:graphicData uri="http://schemas.microsoft.com/office/word/2010/wordprocessingShape">
                    <wps:wsp>
                      <wps:cNvCnPr>
                        <a:stCxn id="95" idx="3"/>
                      </wps:cNvCnPr>
                      <wps:spPr>
                        <a:xfrm flipV="1">
                          <a:off x="4831715" y="4726940"/>
                          <a:ext cx="1864360" cy="434975"/>
                        </a:xfrm>
                        <a:prstGeom prst="straightConnector1">
                          <a:avLst/>
                        </a:prstGeom>
                        <a:ln>
                          <a:solidFill>
                            <a:srgbClr val="FF0000"/>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02.5pt;margin-top:279.75pt;height:34.25pt;width:146.8pt;z-index:251691008;mso-width-relative:page;mso-height-relative:page;" filled="f" stroked="t" coordsize="21600,21600" o:gfxdata="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MpbInYAAAACwEAAA8AAAAAAAAAAQAgAAAAIgAAAGRycy9kb3ducmV2LnhtbFBL&#10;AQIUABQAAAAIAIdO4kAKlEOkLwIAACIEAAAOAAAAAAAAAAEAIAAAACcBAABkcnMvZTJvRG9jLnht&#10;bFBLBQYAAAAABgAGAFkBAADIBQAAAAA=&#10;">
                <v:fill on="f" focussize="0,0"/>
                <v:stroke weight="1pt" color="#FF0000 [3204]" miterlimit="8" joinstyle="miter" dashstyle="dash" endarrow="open"/>
                <v:imagedata o:title=""/>
                <o:lock v:ext="edit" aspectratio="f"/>
              </v:shape>
            </w:pict>
          </mc:Fallback>
        </mc:AlternateContent>
      </w:r>
      <w:r>
        <w:rPr>
          <w:rFonts w:hint="default" w:ascii="Times New Roman" w:hAnsi="Times New Roman" w:cs="Times New Roman"/>
          <w:color w:val="auto"/>
        </w:rPr>
        <w:drawing>
          <wp:anchor distT="0" distB="0" distL="114300" distR="114300" simplePos="0" relativeHeight="251689984" behindDoc="0" locked="0" layoutInCell="1" allowOverlap="1">
            <wp:simplePos x="0" y="0"/>
            <wp:positionH relativeFrom="column">
              <wp:posOffset>791845</wp:posOffset>
            </wp:positionH>
            <wp:positionV relativeFrom="paragraph">
              <wp:posOffset>2788285</wp:posOffset>
            </wp:positionV>
            <wp:extent cx="3049905" cy="2399030"/>
            <wp:effectExtent l="12700" t="12700" r="23495" b="26670"/>
            <wp:wrapNone/>
            <wp:docPr id="9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6"/>
                    <pic:cNvPicPr>
                      <a:picLocks noChangeAspect="1"/>
                    </pic:cNvPicPr>
                  </pic:nvPicPr>
                  <pic:blipFill>
                    <a:blip r:embed="rId60"/>
                    <a:stretch>
                      <a:fillRect/>
                    </a:stretch>
                  </pic:blipFill>
                  <pic:spPr>
                    <a:xfrm>
                      <a:off x="0" y="0"/>
                      <a:ext cx="3049905" cy="2399030"/>
                    </a:xfrm>
                    <a:prstGeom prst="rect">
                      <a:avLst/>
                    </a:prstGeom>
                    <a:noFill/>
                    <a:ln w="12700">
                      <a:solidFill>
                        <a:srgbClr val="FF0000"/>
                      </a:solidFill>
                      <a:prstDash val="dash"/>
                    </a:ln>
                  </pic:spPr>
                </pic:pic>
              </a:graphicData>
            </a:graphic>
          </wp:anchor>
        </w:drawing>
      </w:r>
      <w:r>
        <w:rPr>
          <w:rFonts w:hint="default" w:ascii="Times New Roman" w:hAnsi="Times New Roman" w:eastAsia="宋体" w:cs="Times New Roman"/>
          <w:color w:val="auto"/>
          <w:highlight w:val="none"/>
          <w:lang w:eastAsia="zh-CN"/>
        </w:rPr>
        <w:drawing>
          <wp:inline distT="0" distB="0" distL="114300" distR="114300">
            <wp:extent cx="7487920" cy="5297170"/>
            <wp:effectExtent l="0" t="0" r="17780" b="17780"/>
            <wp:docPr id="64" name="图片 64" descr="乐昌市十四五规划图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乐昌市十四五规划图_109"/>
                    <pic:cNvPicPr>
                      <a:picLocks noChangeAspect="1"/>
                    </pic:cNvPicPr>
                  </pic:nvPicPr>
                  <pic:blipFill>
                    <a:blip r:embed="rId61"/>
                    <a:srcRect l="14423" t="14863" r="14360" b="13905"/>
                    <a:stretch>
                      <a:fillRect/>
                    </a:stretch>
                  </pic:blipFill>
                  <pic:spPr>
                    <a:xfrm>
                      <a:off x="0" y="0"/>
                      <a:ext cx="7487920" cy="5297170"/>
                    </a:xfrm>
                    <a:prstGeom prst="rect">
                      <a:avLst/>
                    </a:prstGeom>
                  </pic:spPr>
                </pic:pic>
              </a:graphicData>
            </a:graphic>
          </wp:inline>
        </w:drawing>
      </w:r>
    </w:p>
    <w:p w14:paraId="215C4311">
      <w:pPr>
        <w:pageBreakBefore w:val="0"/>
        <w:wordWrap w:val="0"/>
        <w:overflowPunct/>
        <w:bidi w:val="0"/>
        <w:rPr>
          <w:rFonts w:hint="default" w:ascii="Times New Roman" w:hAnsi="Times New Roman" w:cs="Times New Roman"/>
          <w:color w:val="auto"/>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6B6F7DDC">
      <w:pPr>
        <w:pStyle w:val="36"/>
        <w:pageBreakBefore w:val="0"/>
        <w:numPr>
          <w:ilvl w:val="0"/>
          <w:numId w:val="13"/>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29" w:name="_Toc8569"/>
      <w:r>
        <w:rPr>
          <w:rFonts w:hint="default" w:ascii="Times New Roman" w:hAnsi="Times New Roman" w:eastAsia="宋体" w:cs="Times New Roman"/>
          <w:b/>
          <w:bCs/>
          <w:color w:val="auto"/>
          <w:sz w:val="24"/>
          <w:szCs w:val="24"/>
          <w:lang w:eastAsia="zh-CN"/>
        </w:rPr>
        <w:t>大气环境管控单元图</w:t>
      </w:r>
      <w:bookmarkEnd w:id="129"/>
    </w:p>
    <w:p w14:paraId="0A52AA6D">
      <w:pPr>
        <w:pStyle w:val="44"/>
        <w:pageBreakBefore w:val="0"/>
        <w:wordWrap w:val="0"/>
        <w:overflowPunct/>
        <w:bidi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sz w:val="24"/>
        </w:rPr>
        <mc:AlternateContent>
          <mc:Choice Requires="wps">
            <w:drawing>
              <wp:anchor distT="0" distB="0" distL="114300" distR="114300" simplePos="0" relativeHeight="251698176" behindDoc="0" locked="0" layoutInCell="1" allowOverlap="1">
                <wp:simplePos x="0" y="0"/>
                <wp:positionH relativeFrom="column">
                  <wp:posOffset>1588135</wp:posOffset>
                </wp:positionH>
                <wp:positionV relativeFrom="paragraph">
                  <wp:posOffset>4627880</wp:posOffset>
                </wp:positionV>
                <wp:extent cx="153035" cy="175260"/>
                <wp:effectExtent l="26670" t="34290" r="29845" b="38100"/>
                <wp:wrapNone/>
                <wp:docPr id="105" name="十字星 105"/>
                <wp:cNvGraphicFramePr/>
                <a:graphic xmlns:a="http://schemas.openxmlformats.org/drawingml/2006/main">
                  <a:graphicData uri="http://schemas.microsoft.com/office/word/2010/wordprocessingShape">
                    <wps:wsp>
                      <wps:cNvSpPr/>
                      <wps:spPr>
                        <a:xfrm>
                          <a:off x="0" y="0"/>
                          <a:ext cx="153035" cy="175260"/>
                        </a:xfrm>
                        <a:prstGeom prst="star4">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25.05pt;margin-top:364.4pt;height:13.8pt;width:12.05pt;z-index:251698176;v-text-anchor:middle;mso-width-relative:page;mso-height-relative:page;" fillcolor="#000000 [3213]" filled="t" stroked="t" coordsize="21600,21600" o:gfxdata="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d9r4tdoAAAALAQAADwAAAAAAAAABACAAAAAiAAAAZHJzL2Rv&#10;d25yZXYueG1sUEsBAhQAFAAAAAgAh07iQA9dHr1xAgAA+wQAAA4AAAAAAAAAAQAgAAAAKQEAAGRy&#10;cy9lMm9Eb2MueG1sUEsFBgAAAAAGAAYAWQEAAAwGAAAAAA==&#10;" adj="8100">
                <v:fill on="t" focussize="0,0"/>
                <v:stroke weight="1pt" color="#000000 [3213]"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99200" behindDoc="0" locked="0" layoutInCell="1" allowOverlap="1">
                <wp:simplePos x="0" y="0"/>
                <wp:positionH relativeFrom="column">
                  <wp:posOffset>1818640</wp:posOffset>
                </wp:positionH>
                <wp:positionV relativeFrom="paragraph">
                  <wp:posOffset>4352925</wp:posOffset>
                </wp:positionV>
                <wp:extent cx="768350" cy="311785"/>
                <wp:effectExtent l="164465" t="6350" r="19685" b="81915"/>
                <wp:wrapNone/>
                <wp:docPr id="106" name="矩形标注 106"/>
                <wp:cNvGraphicFramePr/>
                <a:graphic xmlns:a="http://schemas.openxmlformats.org/drawingml/2006/main">
                  <a:graphicData uri="http://schemas.microsoft.com/office/word/2010/wordprocessingShape">
                    <wps:wsp>
                      <wps:cNvSpPr/>
                      <wps:spPr>
                        <a:xfrm>
                          <a:off x="0" y="0"/>
                          <a:ext cx="768350" cy="311785"/>
                        </a:xfrm>
                        <a:prstGeom prst="wedgeRectCallout">
                          <a:avLst>
                            <a:gd name="adj1" fmla="val -67440"/>
                            <a:gd name="adj2" fmla="val 62524"/>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82E441F">
                            <w:pPr>
                              <w:spacing w:line="240" w:lineRule="auto"/>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43.2pt;margin-top:342.75pt;height:24.55pt;width:60.5pt;z-index:251699200;v-text-anchor:middle;mso-width-relative:page;mso-height-relative:page;" filled="f" stroked="t" coordsize="21600,21600" o:gfxdata="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O38tALcAAAACwEAAA8AAAAAAAAAAQAgAAAAIgAAAGRycy9kb3du&#10;cmV2LnhtbFBLAQIUABQAAAAIAIdO4kAc33F1pgIAAD0FAAAOAAAAAAAAAAEAIAAAACsBAABkcnMv&#10;ZTJvRG9jLnhtbFBLBQYAAAAABgAGAFkBAABDBgAAAAA=&#10;" adj="-3767,24305">
                <v:fill on="f" focussize="0,0"/>
                <v:stroke weight="1pt" color="#000000 [3213]" miterlimit="8" joinstyle="miter"/>
                <v:imagedata o:title=""/>
                <o:lock v:ext="edit" aspectratio="f"/>
                <v:textbox>
                  <w:txbxContent>
                    <w:p w14:paraId="582E441F">
                      <w:pPr>
                        <w:spacing w:line="240" w:lineRule="auto"/>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项目位置</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96128" behindDoc="0" locked="0" layoutInCell="1" allowOverlap="1">
                <wp:simplePos x="0" y="0"/>
                <wp:positionH relativeFrom="column">
                  <wp:posOffset>5724525</wp:posOffset>
                </wp:positionH>
                <wp:positionV relativeFrom="paragraph">
                  <wp:posOffset>3831590</wp:posOffset>
                </wp:positionV>
                <wp:extent cx="145415" cy="123825"/>
                <wp:effectExtent l="34925" t="26035" r="48260" b="40640"/>
                <wp:wrapNone/>
                <wp:docPr id="102" name="十字星 102"/>
                <wp:cNvGraphicFramePr/>
                <a:graphic xmlns:a="http://schemas.openxmlformats.org/drawingml/2006/main">
                  <a:graphicData uri="http://schemas.microsoft.com/office/word/2010/wordprocessingShape">
                    <wps:wsp>
                      <wps:cNvSpPr/>
                      <wps:spPr>
                        <a:xfrm>
                          <a:off x="0" y="0"/>
                          <a:ext cx="145415" cy="123825"/>
                        </a:xfrm>
                        <a:prstGeom prst="star4">
                          <a:avLst>
                            <a:gd name="adj" fmla="val 12564"/>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50.75pt;margin-top:301.7pt;height:9.75pt;width:11.45pt;z-index:251696128;v-text-anchor:middle;mso-width-relative:page;mso-height-relative:page;" fillcolor="#000000 [3213]" filled="t" stroked="t" coordsize="21600,21600" o:gfxdata="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DxoAGU2QAAAAsBAAAPAAAA&#10;AAAAAAEAIAAAACIAAABkcnMvZG93bnJldi54bWxQSwECFAAUAAAACACHTuJAFs43Q4YCAAAnBQAA&#10;DgAAAAAAAAABACAAAAAoAQAAZHJzL2Uyb0RvYy54bWxQSwUGAAAAAAYABgBZAQAAIAYAAAAA&#10;" adj="8086">
                <v:fill on="t" focussize="0,0"/>
                <v:stroke weight="1pt" color="#000000 [3213]"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97152" behindDoc="0" locked="0" layoutInCell="1" allowOverlap="1">
                <wp:simplePos x="0" y="0"/>
                <wp:positionH relativeFrom="column">
                  <wp:posOffset>3134995</wp:posOffset>
                </wp:positionH>
                <wp:positionV relativeFrom="paragraph">
                  <wp:posOffset>3893820</wp:posOffset>
                </wp:positionV>
                <wp:extent cx="2589530" cy="299085"/>
                <wp:effectExtent l="635" t="40005" r="635" b="22860"/>
                <wp:wrapNone/>
                <wp:docPr id="103" name="直接箭头连接符 103"/>
                <wp:cNvGraphicFramePr/>
                <a:graphic xmlns:a="http://schemas.openxmlformats.org/drawingml/2006/main">
                  <a:graphicData uri="http://schemas.microsoft.com/office/word/2010/wordprocessingShape">
                    <wps:wsp>
                      <wps:cNvCnPr>
                        <a:stCxn id="101" idx="3"/>
                        <a:endCxn id="102" idx="1"/>
                      </wps:cNvCnPr>
                      <wps:spPr>
                        <a:xfrm flipV="1">
                          <a:off x="0" y="0"/>
                          <a:ext cx="2589530" cy="299085"/>
                        </a:xfrm>
                        <a:prstGeom prst="straightConnector1">
                          <a:avLst/>
                        </a:prstGeom>
                        <a:ln>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46.85pt;margin-top:306.6pt;height:23.55pt;width:203.9pt;z-index:251697152;mso-width-relative:page;mso-height-relative:page;" filled="f" stroked="t" coordsize="21600,21600" o:gfxdata="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v60GDaAAAACwEAAA8AAAAAAAAAAQAgAAAAIgAAAGRycy9kb3ducmV2LnhtbFBLAQIU&#10;ABQAAAAIAIdO4kAfJ/EjKgIAADUEAAAOAAAAAAAAAAEAIAAAACkBAABkcnMvZTJvRG9jLnhtbFBL&#10;BQYAAAAABgAGAFkBAADFBQAAAAA=&#10;">
                <v:fill on="f" focussize="0,0"/>
                <v:stroke weight="1pt" color="#000000 [3213]" miterlimit="8" joinstyle="miter" dashstyle="dash" endarrow="open"/>
                <v:imagedata o:title=""/>
                <o:lock v:ext="edit" aspectratio="f"/>
              </v:shape>
            </w:pict>
          </mc:Fallback>
        </mc:AlternateContent>
      </w:r>
      <w:r>
        <w:rPr>
          <w:rFonts w:hint="default" w:ascii="Times New Roman" w:hAnsi="Times New Roman" w:cs="Times New Roman"/>
          <w:color w:val="auto"/>
        </w:rPr>
        <w:drawing>
          <wp:anchor distT="0" distB="0" distL="114300" distR="114300" simplePos="0" relativeHeight="251695104" behindDoc="0" locked="0" layoutInCell="1" allowOverlap="1">
            <wp:simplePos x="0" y="0"/>
            <wp:positionH relativeFrom="column">
              <wp:posOffset>763270</wp:posOffset>
            </wp:positionH>
            <wp:positionV relativeFrom="paragraph">
              <wp:posOffset>3059430</wp:posOffset>
            </wp:positionV>
            <wp:extent cx="2371725" cy="2266950"/>
            <wp:effectExtent l="12700" t="12700" r="15875" b="25400"/>
            <wp:wrapNone/>
            <wp:docPr id="10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7"/>
                    <pic:cNvPicPr>
                      <a:picLocks noChangeAspect="1"/>
                    </pic:cNvPicPr>
                  </pic:nvPicPr>
                  <pic:blipFill>
                    <a:blip r:embed="rId62"/>
                    <a:stretch>
                      <a:fillRect/>
                    </a:stretch>
                  </pic:blipFill>
                  <pic:spPr>
                    <a:xfrm>
                      <a:off x="0" y="0"/>
                      <a:ext cx="2371725" cy="2266950"/>
                    </a:xfrm>
                    <a:prstGeom prst="rect">
                      <a:avLst/>
                    </a:prstGeom>
                    <a:noFill/>
                    <a:ln w="12700">
                      <a:solidFill>
                        <a:schemeClr val="tx1"/>
                      </a:solidFill>
                      <a:prstDash val="dash"/>
                    </a:ln>
                  </pic:spPr>
                </pic:pic>
              </a:graphicData>
            </a:graphic>
          </wp:anchor>
        </w:drawing>
      </w:r>
      <w:r>
        <w:rPr>
          <w:rFonts w:hint="default" w:ascii="Times New Roman" w:hAnsi="Times New Roman" w:eastAsia="宋体" w:cs="Times New Roman"/>
          <w:color w:val="auto"/>
          <w:highlight w:val="none"/>
          <w:lang w:eastAsia="zh-CN"/>
        </w:rPr>
        <w:drawing>
          <wp:inline distT="0" distB="0" distL="114300" distR="114300">
            <wp:extent cx="7590790" cy="5360035"/>
            <wp:effectExtent l="0" t="0" r="10160" b="12065"/>
            <wp:docPr id="91" name="图片 91" descr="乐昌市十四五规划图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乐昌市十四五规划图_110"/>
                    <pic:cNvPicPr>
                      <a:picLocks noChangeAspect="1"/>
                    </pic:cNvPicPr>
                  </pic:nvPicPr>
                  <pic:blipFill>
                    <a:blip r:embed="rId63"/>
                    <a:srcRect l="14423" t="14742" r="14181" b="13982"/>
                    <a:stretch>
                      <a:fillRect/>
                    </a:stretch>
                  </pic:blipFill>
                  <pic:spPr>
                    <a:xfrm>
                      <a:off x="0" y="0"/>
                      <a:ext cx="7590790" cy="5360035"/>
                    </a:xfrm>
                    <a:prstGeom prst="rect">
                      <a:avLst/>
                    </a:prstGeom>
                  </pic:spPr>
                </pic:pic>
              </a:graphicData>
            </a:graphic>
          </wp:inline>
        </w:drawing>
      </w:r>
    </w:p>
    <w:p w14:paraId="537C0C75">
      <w:pPr>
        <w:pageBreakBefore w:val="0"/>
        <w:wordWrap w:val="0"/>
        <w:overflowPunct/>
        <w:bidi w:val="0"/>
        <w:rPr>
          <w:rFonts w:hint="default" w:ascii="Times New Roman" w:hAnsi="Times New Roman" w:cs="Times New Roman"/>
          <w:color w:val="auto"/>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0FE24C4E">
      <w:pPr>
        <w:pStyle w:val="36"/>
        <w:pageBreakBefore w:val="0"/>
        <w:numPr>
          <w:ilvl w:val="0"/>
          <w:numId w:val="13"/>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30" w:name="_Toc30069"/>
      <w:r>
        <w:rPr>
          <w:rFonts w:hint="default" w:ascii="Times New Roman" w:hAnsi="Times New Roman" w:eastAsia="宋体" w:cs="Times New Roman"/>
          <w:b/>
          <w:bCs/>
          <w:color w:val="auto"/>
          <w:sz w:val="24"/>
          <w:szCs w:val="24"/>
          <w:lang w:eastAsia="zh-CN"/>
        </w:rPr>
        <w:t>生态管控单元分区图</w:t>
      </w:r>
      <w:bookmarkEnd w:id="130"/>
    </w:p>
    <w:p w14:paraId="1204227B">
      <w:pPr>
        <w:pageBreakBefore w:val="0"/>
        <w:wordWrap w:val="0"/>
        <w:overflowPunct/>
        <w:bidi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sz w:val="24"/>
        </w:rPr>
        <mc:AlternateContent>
          <mc:Choice Requires="wps">
            <w:drawing>
              <wp:anchor distT="0" distB="0" distL="114300" distR="114300" simplePos="0" relativeHeight="251704320" behindDoc="0" locked="0" layoutInCell="1" allowOverlap="1">
                <wp:simplePos x="0" y="0"/>
                <wp:positionH relativeFrom="column">
                  <wp:posOffset>1553210</wp:posOffset>
                </wp:positionH>
                <wp:positionV relativeFrom="paragraph">
                  <wp:posOffset>3761105</wp:posOffset>
                </wp:positionV>
                <wp:extent cx="739775" cy="254635"/>
                <wp:effectExtent l="6350" t="6350" r="15875" b="310515"/>
                <wp:wrapNone/>
                <wp:docPr id="111" name="矩形标注 111"/>
                <wp:cNvGraphicFramePr/>
                <a:graphic xmlns:a="http://schemas.openxmlformats.org/drawingml/2006/main">
                  <a:graphicData uri="http://schemas.microsoft.com/office/word/2010/wordprocessingShape">
                    <wps:wsp>
                      <wps:cNvSpPr/>
                      <wps:spPr>
                        <a:xfrm>
                          <a:off x="0" y="0"/>
                          <a:ext cx="739775" cy="254635"/>
                        </a:xfrm>
                        <a:prstGeom prst="wedgeRectCallout">
                          <a:avLst>
                            <a:gd name="adj1" fmla="val -20729"/>
                            <a:gd name="adj2" fmla="val 1629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0C185E7">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2.3pt;margin-top:296.15pt;height:20.05pt;width:58.25pt;z-index:251704320;v-text-anchor:middle;mso-width-relative:page;mso-height-relative:page;" filled="f" stroked="t" coordsize="21600,21600" o:gfxdata="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w1okA2gAAAAsBAAAPAAAAAAAAAAEAIAAAACIAAABkcnMv&#10;ZG93bnJldi54bWxQSwECFAAUAAAACACHTuJASbGw5qwCAAA+BQAADgAAAAAAAAABACAAAAApAQAA&#10;ZHJzL2Uyb0RvYy54bWxQSwUGAAAAAAYABgBZAQAARwYAAAAA&#10;" adj="6323,46001">
                <v:fill on="f" focussize="0,0"/>
                <v:stroke weight="1pt" color="#FF0000 [2404]" miterlimit="8" joinstyle="miter"/>
                <v:imagedata o:title=""/>
                <o:lock v:ext="edit" aspectratio="f"/>
                <v:textbox>
                  <w:txbxContent>
                    <w:p w14:paraId="00C185E7">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03296" behindDoc="0" locked="0" layoutInCell="1" allowOverlap="1">
                <wp:simplePos x="0" y="0"/>
                <wp:positionH relativeFrom="column">
                  <wp:posOffset>1661160</wp:posOffset>
                </wp:positionH>
                <wp:positionV relativeFrom="paragraph">
                  <wp:posOffset>4227830</wp:posOffset>
                </wp:positionV>
                <wp:extent cx="232410" cy="204470"/>
                <wp:effectExtent l="34290" t="26670" r="38100" b="35560"/>
                <wp:wrapNone/>
                <wp:docPr id="110" name="十字星 110"/>
                <wp:cNvGraphicFramePr/>
                <a:graphic xmlns:a="http://schemas.openxmlformats.org/drawingml/2006/main">
                  <a:graphicData uri="http://schemas.microsoft.com/office/word/2010/wordprocessingShape">
                    <wps:wsp>
                      <wps:cNvSpPr/>
                      <wps:spPr>
                        <a:xfrm>
                          <a:off x="0" y="0"/>
                          <a:ext cx="232410" cy="204470"/>
                        </a:xfrm>
                        <a:prstGeom prst="star4">
                          <a:avLst>
                            <a:gd name="adj" fmla="val 1256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30.8pt;margin-top:332.9pt;height:16.1pt;width:18.3pt;z-index:251703296;v-text-anchor:middle;mso-width-relative:page;mso-height-relative:page;" fillcolor="#FF0000" filled="t" stroked="t" coordsize="21600,21600" o:gfxdata="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2zvLV9YAAAALAQAADwAAAAAA&#10;AAABACAAAAAiAAAAZHJzL2Rvd25yZXYueG1sUEsBAhQAFAAAAAgAh07iQAG/zAaHAgAAJwUAAA4A&#10;AAAAAAAAAQAgAAAAJQEAAGRycy9lMm9Eb2MueG1sUEsFBgAAAAAGAAYAWQEAAB4GAAAAAA==&#10;" adj="8086">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02272" behindDoc="0" locked="0" layoutInCell="1" allowOverlap="1">
                <wp:simplePos x="0" y="0"/>
                <wp:positionH relativeFrom="column">
                  <wp:posOffset>5727700</wp:posOffset>
                </wp:positionH>
                <wp:positionV relativeFrom="paragraph">
                  <wp:posOffset>3638550</wp:posOffset>
                </wp:positionV>
                <wp:extent cx="145415" cy="123825"/>
                <wp:effectExtent l="34925" t="26035" r="48260" b="40640"/>
                <wp:wrapNone/>
                <wp:docPr id="109" name="十字星 109"/>
                <wp:cNvGraphicFramePr/>
                <a:graphic xmlns:a="http://schemas.openxmlformats.org/drawingml/2006/main">
                  <a:graphicData uri="http://schemas.microsoft.com/office/word/2010/wordprocessingShape">
                    <wps:wsp>
                      <wps:cNvSpPr/>
                      <wps:spPr>
                        <a:xfrm>
                          <a:off x="0" y="0"/>
                          <a:ext cx="145415" cy="123825"/>
                        </a:xfrm>
                        <a:prstGeom prst="star4">
                          <a:avLst>
                            <a:gd name="adj" fmla="val 1256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51pt;margin-top:286.5pt;height:9.75pt;width:11.45pt;z-index:251702272;v-text-anchor:middle;mso-width-relative:page;mso-height-relative:page;" fillcolor="#FF0000" filled="t" stroked="t" coordsize="21600,21600" o:gfxdata="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9pP5zNcAAAALAQAADwAA&#10;AAAAAAABACAAAAAiAAAAZHJzL2Rvd25yZXYueG1sUEsBAhQAFAAAAAgAh07iQKqL8xuJAgAAJwUA&#10;AA4AAAAAAAAAAQAgAAAAJgEAAGRycy9lMm9Eb2MueG1sUEsFBgAAAAAGAAYAWQEAACEGAAAAAA==&#10;" adj="8086">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rPr>
        <w:drawing>
          <wp:anchor distT="0" distB="0" distL="114300" distR="114300" simplePos="0" relativeHeight="251700224" behindDoc="0" locked="0" layoutInCell="1" allowOverlap="1">
            <wp:simplePos x="0" y="0"/>
            <wp:positionH relativeFrom="column">
              <wp:posOffset>775970</wp:posOffset>
            </wp:positionH>
            <wp:positionV relativeFrom="paragraph">
              <wp:posOffset>3027680</wp:posOffset>
            </wp:positionV>
            <wp:extent cx="2919095" cy="2280285"/>
            <wp:effectExtent l="12700" t="12700" r="20955" b="31115"/>
            <wp:wrapNone/>
            <wp:docPr id="10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8"/>
                    <pic:cNvPicPr>
                      <a:picLocks noChangeAspect="1"/>
                    </pic:cNvPicPr>
                  </pic:nvPicPr>
                  <pic:blipFill>
                    <a:blip r:embed="rId64"/>
                    <a:stretch>
                      <a:fillRect/>
                    </a:stretch>
                  </pic:blipFill>
                  <pic:spPr>
                    <a:xfrm>
                      <a:off x="0" y="0"/>
                      <a:ext cx="2919095" cy="2280285"/>
                    </a:xfrm>
                    <a:prstGeom prst="rect">
                      <a:avLst/>
                    </a:prstGeom>
                    <a:noFill/>
                    <a:ln w="12700">
                      <a:solidFill>
                        <a:srgbClr val="FF0000"/>
                      </a:solidFill>
                      <a:prstDash val="dash"/>
                    </a:ln>
                  </pic:spPr>
                </pic:pic>
              </a:graphicData>
            </a:graphic>
          </wp:anchor>
        </w:drawing>
      </w:r>
      <w:r>
        <w:rPr>
          <w:rFonts w:hint="default" w:ascii="Times New Roman" w:hAnsi="Times New Roman" w:cs="Times New Roman"/>
          <w:color w:val="auto"/>
          <w:sz w:val="24"/>
        </w:rPr>
        <mc:AlternateContent>
          <mc:Choice Requires="wps">
            <w:drawing>
              <wp:anchor distT="0" distB="0" distL="114300" distR="114300" simplePos="0" relativeHeight="251701248" behindDoc="0" locked="0" layoutInCell="1" allowOverlap="1">
                <wp:simplePos x="0" y="0"/>
                <wp:positionH relativeFrom="column">
                  <wp:posOffset>3695065</wp:posOffset>
                </wp:positionH>
                <wp:positionV relativeFrom="paragraph">
                  <wp:posOffset>3707130</wp:posOffset>
                </wp:positionV>
                <wp:extent cx="2069465" cy="461010"/>
                <wp:effectExtent l="1270" t="30480" r="5715" b="22860"/>
                <wp:wrapNone/>
                <wp:docPr id="108" name="直接箭头连接符 108"/>
                <wp:cNvGraphicFramePr/>
                <a:graphic xmlns:a="http://schemas.openxmlformats.org/drawingml/2006/main">
                  <a:graphicData uri="http://schemas.microsoft.com/office/word/2010/wordprocessingShape">
                    <wps:wsp>
                      <wps:cNvCnPr>
                        <a:stCxn id="107" idx="3"/>
                      </wps:cNvCnPr>
                      <wps:spPr>
                        <a:xfrm flipV="1">
                          <a:off x="0" y="0"/>
                          <a:ext cx="2069465" cy="461010"/>
                        </a:xfrm>
                        <a:prstGeom prst="straightConnector1">
                          <a:avLst/>
                        </a:prstGeom>
                        <a:ln>
                          <a:solidFill>
                            <a:srgbClr val="FF0000"/>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90.95pt;margin-top:291.9pt;height:36.3pt;width:162.95pt;z-index:251701248;mso-width-relative:page;mso-height-relative:page;" filled="f" stroked="t" coordsize="21600,21600" o:gfxdata="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s&#10;PtWI1wAAAAsBAAAPAAAAAAAAAAEAIAAAACIAAABkcnMvZG93bnJldi54bWxQSwECFAAUAAAACACH&#10;TuJADO4AAiUCAAAZBAAADgAAAAAAAAABACAAAAAmAQAAZHJzL2Uyb0RvYy54bWxQSwUGAAAAAAYA&#10;BgBZAQAAvQUAAAAA&#10;">
                <v:fill on="f" focussize="0,0"/>
                <v:stroke weight="1pt" color="#FF0000 [3204]" miterlimit="8" joinstyle="miter" dashstyle="dash" endarrow="open"/>
                <v:imagedata o:title=""/>
                <o:lock v:ext="edit" aspectratio="f"/>
              </v:shape>
            </w:pict>
          </mc:Fallback>
        </mc:AlternateContent>
      </w:r>
      <w:r>
        <w:rPr>
          <w:rFonts w:hint="default" w:ascii="Times New Roman" w:hAnsi="Times New Roman" w:eastAsia="宋体" w:cs="Times New Roman"/>
          <w:color w:val="auto"/>
          <w:highlight w:val="none"/>
          <w:lang w:eastAsia="zh-CN"/>
        </w:rPr>
        <w:drawing>
          <wp:inline distT="0" distB="0" distL="114300" distR="114300">
            <wp:extent cx="7572375" cy="5368925"/>
            <wp:effectExtent l="0" t="0" r="9525" b="3175"/>
            <wp:docPr id="94" name="图片 94" descr="乐昌市十四五规划图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乐昌市十四五规划图_111"/>
                    <pic:cNvPicPr>
                      <a:picLocks noChangeAspect="1"/>
                    </pic:cNvPicPr>
                  </pic:nvPicPr>
                  <pic:blipFill>
                    <a:blip r:embed="rId65"/>
                    <a:srcRect l="14376" t="14863" r="14454" b="13795"/>
                    <a:stretch>
                      <a:fillRect/>
                    </a:stretch>
                  </pic:blipFill>
                  <pic:spPr>
                    <a:xfrm>
                      <a:off x="0" y="0"/>
                      <a:ext cx="7572375" cy="5368925"/>
                    </a:xfrm>
                    <a:prstGeom prst="rect">
                      <a:avLst/>
                    </a:prstGeom>
                  </pic:spPr>
                </pic:pic>
              </a:graphicData>
            </a:graphic>
          </wp:inline>
        </w:drawing>
      </w:r>
    </w:p>
    <w:p w14:paraId="764A657E">
      <w:pPr>
        <w:pageBreakBefore w:val="0"/>
        <w:wordWrap w:val="0"/>
        <w:overflowPunct/>
        <w:bidi w:val="0"/>
        <w:rPr>
          <w:rFonts w:hint="default" w:ascii="Times New Roman" w:hAnsi="Times New Roman" w:cs="Times New Roman"/>
          <w:color w:val="auto"/>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0A87D0E2">
      <w:pPr>
        <w:pStyle w:val="36"/>
        <w:pageBreakBefore w:val="0"/>
        <w:numPr>
          <w:ilvl w:val="0"/>
          <w:numId w:val="13"/>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31" w:name="_Toc26477"/>
      <w:bookmarkStart w:id="132" w:name="_Toc28856"/>
      <w:r>
        <w:rPr>
          <w:rFonts w:hint="default" w:ascii="Times New Roman" w:hAnsi="Times New Roman" w:eastAsia="宋体" w:cs="Times New Roman"/>
          <w:b/>
          <w:bCs/>
          <w:color w:val="auto"/>
          <w:sz w:val="24"/>
          <w:szCs w:val="24"/>
          <w:lang w:eastAsia="zh-CN"/>
        </w:rPr>
        <w:t>项目周边现状图</w:t>
      </w:r>
      <w:bookmarkEnd w:id="131"/>
      <w:bookmarkEnd w:id="132"/>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5"/>
        <w:gridCol w:w="4786"/>
      </w:tblGrid>
      <w:tr w14:paraId="21499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3211AB49">
            <w:pPr>
              <w:pStyle w:val="43"/>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114300" distR="114300">
                  <wp:extent cx="2892425" cy="2168525"/>
                  <wp:effectExtent l="0" t="0" r="3175" b="3175"/>
                  <wp:docPr id="39" name="图片 39" descr="四至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四至东"/>
                          <pic:cNvPicPr>
                            <a:picLocks noChangeAspect="1"/>
                          </pic:cNvPicPr>
                        </pic:nvPicPr>
                        <pic:blipFill>
                          <a:blip r:embed="rId66"/>
                          <a:stretch>
                            <a:fillRect/>
                          </a:stretch>
                        </pic:blipFill>
                        <pic:spPr>
                          <a:xfrm>
                            <a:off x="0" y="0"/>
                            <a:ext cx="2892425" cy="2168525"/>
                          </a:xfrm>
                          <a:prstGeom prst="rect">
                            <a:avLst/>
                          </a:prstGeom>
                        </pic:spPr>
                      </pic:pic>
                    </a:graphicData>
                  </a:graphic>
                </wp:inline>
              </w:drawing>
            </w:r>
          </w:p>
        </w:tc>
        <w:tc>
          <w:tcPr>
            <w:tcW w:w="4786" w:type="dxa"/>
            <w:vAlign w:val="center"/>
          </w:tcPr>
          <w:p w14:paraId="4D4AD572">
            <w:pPr>
              <w:pStyle w:val="43"/>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114300" distR="114300">
                  <wp:extent cx="2892425" cy="2168525"/>
                  <wp:effectExtent l="0" t="0" r="3175" b="3175"/>
                  <wp:docPr id="47" name="图片 47" descr="四至-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四至-南"/>
                          <pic:cNvPicPr>
                            <a:picLocks noChangeAspect="1"/>
                          </pic:cNvPicPr>
                        </pic:nvPicPr>
                        <pic:blipFill>
                          <a:blip r:embed="rId67"/>
                          <a:stretch>
                            <a:fillRect/>
                          </a:stretch>
                        </pic:blipFill>
                        <pic:spPr>
                          <a:xfrm>
                            <a:off x="0" y="0"/>
                            <a:ext cx="2892425" cy="2168525"/>
                          </a:xfrm>
                          <a:prstGeom prst="rect">
                            <a:avLst/>
                          </a:prstGeom>
                        </pic:spPr>
                      </pic:pic>
                    </a:graphicData>
                  </a:graphic>
                </wp:inline>
              </w:drawing>
            </w:r>
          </w:p>
        </w:tc>
      </w:tr>
      <w:tr w14:paraId="54AAD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5D2B2FED">
            <w:pPr>
              <w:pStyle w:val="43"/>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东面隔金岭五路为众诚实业、欧昊科技韶关有限公司</w:t>
            </w:r>
          </w:p>
        </w:tc>
        <w:tc>
          <w:tcPr>
            <w:tcW w:w="4786" w:type="dxa"/>
            <w:vAlign w:val="center"/>
          </w:tcPr>
          <w:p w14:paraId="49E237C6">
            <w:pPr>
              <w:pStyle w:val="43"/>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南面隔金岭四路为柏创机电、建强混凝土有限公司</w:t>
            </w:r>
          </w:p>
        </w:tc>
      </w:tr>
      <w:tr w14:paraId="2B7BD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5CDAC15E">
            <w:pPr>
              <w:pStyle w:val="43"/>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114300" distR="114300">
                  <wp:extent cx="2892425" cy="2168525"/>
                  <wp:effectExtent l="0" t="0" r="3175" b="3175"/>
                  <wp:docPr id="55" name="图片 55" descr="四至-西，（8号厂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四至-西，（8号厂房）"/>
                          <pic:cNvPicPr>
                            <a:picLocks noChangeAspect="1"/>
                          </pic:cNvPicPr>
                        </pic:nvPicPr>
                        <pic:blipFill>
                          <a:blip r:embed="rId68"/>
                          <a:stretch>
                            <a:fillRect/>
                          </a:stretch>
                        </pic:blipFill>
                        <pic:spPr>
                          <a:xfrm>
                            <a:off x="0" y="0"/>
                            <a:ext cx="2892425" cy="2168525"/>
                          </a:xfrm>
                          <a:prstGeom prst="rect">
                            <a:avLst/>
                          </a:prstGeom>
                        </pic:spPr>
                      </pic:pic>
                    </a:graphicData>
                  </a:graphic>
                </wp:inline>
              </w:drawing>
            </w:r>
          </w:p>
        </w:tc>
        <w:tc>
          <w:tcPr>
            <w:tcW w:w="4786" w:type="dxa"/>
            <w:vAlign w:val="center"/>
          </w:tcPr>
          <w:p w14:paraId="20C197DC">
            <w:pPr>
              <w:pStyle w:val="43"/>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drawing>
                <wp:inline distT="0" distB="0" distL="114300" distR="114300">
                  <wp:extent cx="2892425" cy="2168525"/>
                  <wp:effectExtent l="0" t="0" r="3175" b="3175"/>
                  <wp:docPr id="56" name="图片 56" descr="四至-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四至-北"/>
                          <pic:cNvPicPr>
                            <a:picLocks noChangeAspect="1"/>
                          </pic:cNvPicPr>
                        </pic:nvPicPr>
                        <pic:blipFill>
                          <a:blip r:embed="rId69"/>
                          <a:stretch>
                            <a:fillRect/>
                          </a:stretch>
                        </pic:blipFill>
                        <pic:spPr>
                          <a:xfrm>
                            <a:off x="0" y="0"/>
                            <a:ext cx="2892425" cy="2168525"/>
                          </a:xfrm>
                          <a:prstGeom prst="rect">
                            <a:avLst/>
                          </a:prstGeom>
                        </pic:spPr>
                      </pic:pic>
                    </a:graphicData>
                  </a:graphic>
                </wp:inline>
              </w:drawing>
            </w:r>
          </w:p>
        </w:tc>
      </w:tr>
      <w:tr w14:paraId="6A60F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5F8946B9">
            <w:pPr>
              <w:pStyle w:val="43"/>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西面为金来得有限公司、乐淇包装材料有限公司</w:t>
            </w:r>
          </w:p>
        </w:tc>
        <w:tc>
          <w:tcPr>
            <w:tcW w:w="4786" w:type="dxa"/>
            <w:vAlign w:val="center"/>
          </w:tcPr>
          <w:p w14:paraId="2AE90A88">
            <w:pPr>
              <w:pStyle w:val="43"/>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北面隔金岭三路为汇隽新材料、华国艺术装饰有限公司</w:t>
            </w:r>
          </w:p>
        </w:tc>
      </w:tr>
    </w:tbl>
    <w:p w14:paraId="662EF593">
      <w:pPr>
        <w:pStyle w:val="43"/>
        <w:pageBreakBefore w:val="0"/>
        <w:wordWrap w:val="0"/>
        <w:overflowPunct/>
        <w:bidi w:val="0"/>
        <w:rPr>
          <w:rFonts w:hint="default" w:ascii="Times New Roman" w:hAnsi="Times New Roman" w:cs="Times New Roman"/>
          <w:b/>
          <w:bCs/>
          <w:color w:val="auto"/>
          <w:szCs w:val="22"/>
          <w:highlight w:val="none"/>
        </w:rPr>
      </w:pPr>
    </w:p>
    <w:p w14:paraId="54550139">
      <w:pPr>
        <w:pStyle w:val="49"/>
        <w:pageBreakBefore w:val="0"/>
        <w:wordWrap w:val="0"/>
        <w:overflowPunct/>
        <w:bidi w:val="0"/>
        <w:ind w:right="-120"/>
        <w:rPr>
          <w:rFonts w:hint="default" w:ascii="Times New Roman" w:hAnsi="Times New Roman" w:cs="Times New Roman"/>
          <w:color w:val="auto"/>
          <w:highlight w:val="none"/>
        </w:rPr>
        <w:sectPr>
          <w:type w:val="continuous"/>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33AF371">
      <w:pPr>
        <w:pStyle w:val="36"/>
        <w:pageBreakBefore w:val="0"/>
        <w:numPr>
          <w:ilvl w:val="0"/>
          <w:numId w:val="13"/>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val="en-US" w:eastAsia="zh-CN"/>
        </w:rPr>
      </w:pPr>
      <w:bookmarkStart w:id="133" w:name="_Toc22638"/>
      <w:r>
        <w:rPr>
          <w:rFonts w:hint="default" w:ascii="Times New Roman" w:hAnsi="Times New Roman" w:eastAsia="宋体" w:cs="Times New Roman"/>
          <w:b/>
          <w:bCs/>
          <w:color w:val="auto"/>
          <w:sz w:val="24"/>
          <w:szCs w:val="24"/>
          <w:lang w:val="en-US" w:eastAsia="zh-CN"/>
        </w:rPr>
        <w:t>广东省“三线一单”截图</w:t>
      </w:r>
      <w:bookmarkEnd w:id="133"/>
    </w:p>
    <w:p w14:paraId="3B20962F">
      <w:pPr>
        <w:pStyle w:val="46"/>
        <w:pageBreakBefore w:val="0"/>
        <w:wordWrap w:val="0"/>
        <w:overflowPunct/>
        <w:bidi w:val="0"/>
        <w:ind w:lef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rPr>
        <mc:AlternateContent>
          <mc:Choice Requires="wps">
            <w:drawing>
              <wp:anchor distT="0" distB="0" distL="114300" distR="114300" simplePos="0" relativeHeight="251705344" behindDoc="0" locked="0" layoutInCell="1" allowOverlap="1">
                <wp:simplePos x="0" y="0"/>
                <wp:positionH relativeFrom="column">
                  <wp:posOffset>4266565</wp:posOffset>
                </wp:positionH>
                <wp:positionV relativeFrom="paragraph">
                  <wp:posOffset>2644140</wp:posOffset>
                </wp:positionV>
                <wp:extent cx="1010920" cy="459740"/>
                <wp:effectExtent l="285115" t="9525" r="18415" b="26035"/>
                <wp:wrapNone/>
                <wp:docPr id="113" name="圆角矩形标注 38"/>
                <wp:cNvGraphicFramePr/>
                <a:graphic xmlns:a="http://schemas.openxmlformats.org/drawingml/2006/main">
                  <a:graphicData uri="http://schemas.microsoft.com/office/word/2010/wordprocessingShape">
                    <wps:wsp>
                      <wps:cNvSpPr/>
                      <wps:spPr>
                        <a:xfrm>
                          <a:off x="0" y="0"/>
                          <a:ext cx="1010920" cy="459740"/>
                        </a:xfrm>
                        <a:prstGeom prst="wedgeRoundRectCallout">
                          <a:avLst>
                            <a:gd name="adj1" fmla="val -73869"/>
                            <a:gd name="adj2" fmla="val 40745"/>
                            <a:gd name="adj3" fmla="val 16667"/>
                          </a:avLst>
                        </a:prstGeom>
                        <a:solidFill>
                          <a:schemeClr val="bg1"/>
                        </a:solidFill>
                        <a:ln w="19050">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127AFCDA">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38" o:spid="_x0000_s1026" o:spt="62" type="#_x0000_t62" style="position:absolute;left:0pt;margin-left:335.95pt;margin-top:208.2pt;height:36.2pt;width:79.6pt;z-index:251705344;v-text-anchor:middle;mso-width-relative:page;mso-height-relative:page;" fillcolor="#FFFFFF [3212]" filled="t" stroked="t" coordsize="21600,21600" o:gfxdata="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O7IYynaAAAA&#10;CwEAAA8AAAAAAAAAAQAgAAAAIgAAAGRycy9kb3ducmV2LnhtbFBLAQIUABQAAAAIAIdO4kD24JLo&#10;xgIAAJUFAAAOAAAAAAAAAAEAIAAAACkBAABkcnMvZTJvRG9jLnhtbFBLBQYAAAAABgAGAFkBAABh&#10;BgAAAAA=&#10;" adj="-5156,19601,14400">
                <v:fill on="t" focussize="0,0"/>
                <v:stroke weight="1.5pt" color="#000000 [3213]" miterlimit="8" joinstyle="miter"/>
                <v:imagedata o:title=""/>
                <o:lock v:ext="edit" aspectratio="f"/>
                <v:textbox>
                  <w:txbxContent>
                    <w:p w14:paraId="127AFCDA">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项目位置</w:t>
                      </w:r>
                    </w:p>
                  </w:txbxContent>
                </v:textbox>
              </v:shape>
            </w:pict>
          </mc:Fallback>
        </mc:AlternateContent>
      </w:r>
      <w:r>
        <w:rPr>
          <w:rFonts w:hint="default" w:ascii="Times New Roman" w:hAnsi="Times New Roman" w:cs="Times New Roman"/>
          <w:color w:val="auto"/>
          <w:sz w:val="32"/>
        </w:rPr>
        <mc:AlternateContent>
          <mc:Choice Requires="wps">
            <w:drawing>
              <wp:anchor distT="0" distB="0" distL="114300" distR="114300" simplePos="0" relativeHeight="251706368" behindDoc="0" locked="0" layoutInCell="1" allowOverlap="1">
                <wp:simplePos x="0" y="0"/>
                <wp:positionH relativeFrom="column">
                  <wp:posOffset>81280</wp:posOffset>
                </wp:positionH>
                <wp:positionV relativeFrom="paragraph">
                  <wp:posOffset>1863725</wp:posOffset>
                </wp:positionV>
                <wp:extent cx="1654175" cy="634365"/>
                <wp:effectExtent l="6350" t="6350" r="15875" b="6985"/>
                <wp:wrapNone/>
                <wp:docPr id="114" name="矩形 114"/>
                <wp:cNvGraphicFramePr/>
                <a:graphic xmlns:a="http://schemas.openxmlformats.org/drawingml/2006/main">
                  <a:graphicData uri="http://schemas.microsoft.com/office/word/2010/wordprocessingShape">
                    <wps:wsp>
                      <wps:cNvSpPr/>
                      <wps:spPr>
                        <a:xfrm>
                          <a:off x="1252220" y="3223260"/>
                          <a:ext cx="1654175" cy="63436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4pt;margin-top:146.75pt;height:49.95pt;width:130.25pt;z-index:251706368;v-text-anchor:middle;mso-width-relative:page;mso-height-relative:page;" filled="f" stroked="t" coordsize="21600,21600" o:gfxdata="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cOeAE1wAAAAoBAAAPAAAAAAAAAAEAIAAAACIAAABk&#10;cnMvZG93bnJldi54bWxQSwECFAAUAAAACACHTuJAvs9wxXkCAADbBAAADgAAAAAAAAABACAAAAAm&#10;AQAAZHJzL2Uyb0RvYy54bWxQSwUGAAAAAAYABgBZAQAAEQYAAAAA&#10;">
                <v:fill on="f" focussize="0,0"/>
                <v:stroke weight="1pt" color="#FF0000 [2404]" miterlimit="8" joinstyle="miter"/>
                <v:imagedata o:title=""/>
                <o:lock v:ext="edit" aspectratio="f"/>
              </v:rect>
            </w:pict>
          </mc:Fallback>
        </mc:AlternateContent>
      </w:r>
      <w:r>
        <w:rPr>
          <w:rFonts w:hint="default" w:ascii="Times New Roman" w:hAnsi="Times New Roman" w:cs="Times New Roman"/>
          <w:color w:val="auto"/>
        </w:rPr>
        <w:drawing>
          <wp:inline distT="0" distB="0" distL="114300" distR="114300">
            <wp:extent cx="8796655" cy="4265295"/>
            <wp:effectExtent l="0" t="0" r="4445" b="1905"/>
            <wp:docPr id="1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9"/>
                    <pic:cNvPicPr>
                      <a:picLocks noChangeAspect="1"/>
                    </pic:cNvPicPr>
                  </pic:nvPicPr>
                  <pic:blipFill>
                    <a:blip r:embed="rId70"/>
                    <a:stretch>
                      <a:fillRect/>
                    </a:stretch>
                  </pic:blipFill>
                  <pic:spPr>
                    <a:xfrm>
                      <a:off x="0" y="0"/>
                      <a:ext cx="8796655" cy="4265295"/>
                    </a:xfrm>
                    <a:prstGeom prst="rect">
                      <a:avLst/>
                    </a:prstGeom>
                    <a:noFill/>
                    <a:ln>
                      <a:noFill/>
                    </a:ln>
                  </pic:spPr>
                </pic:pic>
              </a:graphicData>
            </a:graphic>
          </wp:inline>
        </w:drawing>
      </w:r>
    </w:p>
    <w:p w14:paraId="02521693">
      <w:pPr>
        <w:pStyle w:val="46"/>
        <w:pageBreakBefore w:val="0"/>
        <w:wordWrap w:val="0"/>
        <w:overflowPunct/>
        <w:bidi w:val="0"/>
        <w:ind w:left="0"/>
        <w:jc w:val="center"/>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539ADB8A">
      <w:pPr>
        <w:pStyle w:val="36"/>
        <w:pageBreakBefore w:val="0"/>
        <w:numPr>
          <w:ilvl w:val="0"/>
          <w:numId w:val="13"/>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val="en-US" w:eastAsia="zh-CN"/>
        </w:rPr>
      </w:pPr>
      <w:bookmarkStart w:id="134" w:name="_Toc16029"/>
      <w:r>
        <w:rPr>
          <w:rFonts w:hint="default" w:ascii="Times New Roman" w:hAnsi="Times New Roman" w:eastAsia="宋体" w:cs="Times New Roman"/>
          <w:b/>
          <w:bCs/>
          <w:color w:val="auto"/>
          <w:sz w:val="24"/>
          <w:szCs w:val="24"/>
          <w:lang w:val="en-US" w:eastAsia="zh-CN"/>
        </w:rPr>
        <w:t>项目与大气</w:t>
      </w:r>
      <w:r>
        <w:rPr>
          <w:rFonts w:hint="default" w:ascii="Times New Roman" w:hAnsi="Times New Roman" w:cs="Times New Roman"/>
          <w:b/>
          <w:bCs/>
          <w:color w:val="auto"/>
          <w:sz w:val="24"/>
          <w:szCs w:val="24"/>
          <w:lang w:val="en-US" w:eastAsia="zh-CN"/>
        </w:rPr>
        <w:t>引用</w:t>
      </w:r>
      <w:r>
        <w:rPr>
          <w:rFonts w:hint="default" w:ascii="Times New Roman" w:hAnsi="Times New Roman" w:eastAsia="宋体" w:cs="Times New Roman"/>
          <w:b/>
          <w:bCs/>
          <w:color w:val="auto"/>
          <w:sz w:val="24"/>
          <w:szCs w:val="24"/>
          <w:lang w:val="en-US" w:eastAsia="zh-CN"/>
        </w:rPr>
        <w:t>监测点位置图</w:t>
      </w:r>
      <w:bookmarkEnd w:id="134"/>
    </w:p>
    <w:p w14:paraId="2C65535F">
      <w:pPr>
        <w:pStyle w:val="46"/>
        <w:pageBreakBefore w:val="0"/>
        <w:wordWrap w:val="0"/>
        <w:overflowPunct/>
        <w:bidi w:val="0"/>
        <w:ind w:left="0"/>
        <w:jc w:val="center"/>
        <w:rPr>
          <w:rFonts w:hint="default" w:ascii="Times New Roman" w:hAnsi="Times New Roman" w:cs="Times New Roman"/>
          <w:color w:val="auto"/>
          <w:highlight w:val="none"/>
        </w:rPr>
      </w:pPr>
      <w:r>
        <w:rPr>
          <w:rFonts w:hint="default" w:ascii="Times New Roman" w:hAnsi="Times New Roman" w:cs="Times New Roman"/>
          <w:color w:val="auto"/>
          <w:sz w:val="24"/>
        </w:rPr>
        <mc:AlternateContent>
          <mc:Choice Requires="wps">
            <w:drawing>
              <wp:anchor distT="0" distB="0" distL="114300" distR="114300" simplePos="0" relativeHeight="251746304" behindDoc="0" locked="0" layoutInCell="1" allowOverlap="1">
                <wp:simplePos x="0" y="0"/>
                <wp:positionH relativeFrom="column">
                  <wp:posOffset>3121025</wp:posOffset>
                </wp:positionH>
                <wp:positionV relativeFrom="paragraph">
                  <wp:posOffset>3793490</wp:posOffset>
                </wp:positionV>
                <wp:extent cx="533400" cy="333375"/>
                <wp:effectExtent l="7620" t="6350" r="11430" b="22225"/>
                <wp:wrapNone/>
                <wp:docPr id="169" name="任意多边形 169"/>
                <wp:cNvGraphicFramePr/>
                <a:graphic xmlns:a="http://schemas.openxmlformats.org/drawingml/2006/main">
                  <a:graphicData uri="http://schemas.microsoft.com/office/word/2010/wordprocessingShape">
                    <wps:wsp>
                      <wps:cNvSpPr/>
                      <wps:spPr>
                        <a:xfrm>
                          <a:off x="4110990" y="4981575"/>
                          <a:ext cx="533400" cy="333375"/>
                        </a:xfrm>
                        <a:custGeom>
                          <a:avLst/>
                          <a:gdLst>
                            <a:gd name="connisteX0" fmla="*/ 0 w 533400"/>
                            <a:gd name="connsiteY0" fmla="*/ 0 h 333375"/>
                            <a:gd name="connisteX1" fmla="*/ 533400 w 533400"/>
                            <a:gd name="connsiteY1" fmla="*/ 0 h 333375"/>
                            <a:gd name="connisteX2" fmla="*/ 514350 w 533400"/>
                            <a:gd name="connsiteY2" fmla="*/ 323850 h 333375"/>
                            <a:gd name="connisteX3" fmla="*/ 200025 w 533400"/>
                            <a:gd name="connsiteY3" fmla="*/ 333375 h 333375"/>
                            <a:gd name="connisteX4" fmla="*/ 200025 w 533400"/>
                            <a:gd name="connsiteY4" fmla="*/ 161925 h 333375"/>
                            <a:gd name="connisteX5" fmla="*/ 19050 w 533400"/>
                            <a:gd name="connsiteY5" fmla="*/ 133350 h 333375"/>
                            <a:gd name="connisteX6" fmla="*/ 0 w 533400"/>
                            <a:gd name="connsiteY6" fmla="*/ 0 h 3333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533400" h="333375">
                              <a:moveTo>
                                <a:pt x="0" y="0"/>
                              </a:moveTo>
                              <a:lnTo>
                                <a:pt x="533400" y="0"/>
                              </a:lnTo>
                              <a:lnTo>
                                <a:pt x="514350" y="323850"/>
                              </a:lnTo>
                              <a:lnTo>
                                <a:pt x="200025" y="333375"/>
                              </a:lnTo>
                              <a:lnTo>
                                <a:pt x="200025" y="161925"/>
                              </a:lnTo>
                              <a:lnTo>
                                <a:pt x="19050" y="133350"/>
                              </a:lnTo>
                              <a:lnTo>
                                <a:pt x="0" y="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45.75pt;margin-top:298.7pt;height:26.25pt;width:42pt;z-index:251746304;mso-width-relative:page;mso-height-relative:page;" filled="f" stroked="t" coordsize="533400,333375" o:gfxdata="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" path="m0,0l533400,0,514350,323850,200025,333375,200025,161925,19050,133350,0,0xe">
                <v:path o:connectlocs="0,0;533400,0;514350,323850;200025,333375;200025,161925;19050,133350;0,0" o:connectangles="0,0,0,0,0,0,0"/>
                <v:fill on="f" focussize="0,0"/>
                <v:stroke weight="1pt" color="#FF0000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45280" behindDoc="0" locked="0" layoutInCell="1" allowOverlap="1">
                <wp:simplePos x="0" y="0"/>
                <wp:positionH relativeFrom="column">
                  <wp:posOffset>3178175</wp:posOffset>
                </wp:positionH>
                <wp:positionV relativeFrom="paragraph">
                  <wp:posOffset>231140</wp:posOffset>
                </wp:positionV>
                <wp:extent cx="238125" cy="390525"/>
                <wp:effectExtent l="14605" t="13970" r="33020" b="33655"/>
                <wp:wrapNone/>
                <wp:docPr id="167" name="任意多边形 167"/>
                <wp:cNvGraphicFramePr/>
                <a:graphic xmlns:a="http://schemas.openxmlformats.org/drawingml/2006/main">
                  <a:graphicData uri="http://schemas.microsoft.com/office/word/2010/wordprocessingShape">
                    <wps:wsp>
                      <wps:cNvSpPr/>
                      <wps:spPr>
                        <a:xfrm>
                          <a:off x="4158615" y="1419225"/>
                          <a:ext cx="238125" cy="390525"/>
                        </a:xfrm>
                        <a:custGeom>
                          <a:avLst/>
                          <a:gdLst>
                            <a:gd name="connisteX0" fmla="*/ 0 w 247650"/>
                            <a:gd name="connsiteY0" fmla="*/ 0 h 390525"/>
                            <a:gd name="connisteX1" fmla="*/ 247650 w 247650"/>
                            <a:gd name="connsiteY1" fmla="*/ 0 h 390525"/>
                            <a:gd name="connisteX2" fmla="*/ 247650 w 247650"/>
                            <a:gd name="connsiteY2" fmla="*/ 333375 h 390525"/>
                            <a:gd name="connisteX3" fmla="*/ 9525 w 247650"/>
                            <a:gd name="connsiteY3" fmla="*/ 390525 h 390525"/>
                            <a:gd name="connisteX4" fmla="*/ 0 w 247650"/>
                            <a:gd name="connsiteY4" fmla="*/ 0 h 3905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47650" h="390525">
                              <a:moveTo>
                                <a:pt x="0" y="0"/>
                              </a:moveTo>
                              <a:lnTo>
                                <a:pt x="247650" y="0"/>
                              </a:lnTo>
                              <a:lnTo>
                                <a:pt x="247650" y="333375"/>
                              </a:lnTo>
                              <a:lnTo>
                                <a:pt x="9525" y="390525"/>
                              </a:lnTo>
                              <a:lnTo>
                                <a:pt x="0" y="0"/>
                              </a:lnTo>
                              <a:close/>
                            </a:path>
                          </a:pathLst>
                        </a:custGeom>
                        <a:noFill/>
                        <a:ln w="28575">
                          <a:solidFill>
                            <a:srgbClr val="E0C08F"/>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50.25pt;margin-top:18.2pt;height:30.75pt;width:18.75pt;z-index:251745280;mso-width-relative:page;mso-height-relative:page;" filled="f" stroked="t" coordsize="247650,390525" o:gfxdata="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" path="m0,0l247650,0,247650,333375,9525,390525,0,0xe">
                <v:path o:connectlocs="0,0;238125,0;238125,333375;9158,390525;0,0" o:connectangles="0,0,0,0,0"/>
                <v:fill on="f" focussize="0,0"/>
                <v:stroke weight="2.25pt" color="#E0C08F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10464" behindDoc="0" locked="0" layoutInCell="1" allowOverlap="1">
                <wp:simplePos x="0" y="0"/>
                <wp:positionH relativeFrom="column">
                  <wp:posOffset>4701540</wp:posOffset>
                </wp:positionH>
                <wp:positionV relativeFrom="paragraph">
                  <wp:posOffset>3988435</wp:posOffset>
                </wp:positionV>
                <wp:extent cx="776605" cy="344170"/>
                <wp:effectExtent l="0" t="0" r="0" b="0"/>
                <wp:wrapNone/>
                <wp:docPr id="120" name="文本框 120"/>
                <wp:cNvGraphicFramePr/>
                <a:graphic xmlns:a="http://schemas.openxmlformats.org/drawingml/2006/main">
                  <a:graphicData uri="http://schemas.microsoft.com/office/word/2010/wordprocessingShape">
                    <wps:wsp>
                      <wps:cNvSpPr txBox="1"/>
                      <wps:spPr>
                        <a:xfrm>
                          <a:off x="5076825" y="3460750"/>
                          <a:ext cx="776605" cy="344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4BBCF3">
                            <w:pPr>
                              <w:rPr>
                                <w:rFonts w:hint="default" w:eastAsia="宋体"/>
                                <w:color w:val="FFFF00"/>
                                <w:lang w:val="en-US" w:eastAsia="zh-CN"/>
                              </w:rPr>
                            </w:pPr>
                            <w:r>
                              <w:rPr>
                                <w:rFonts w:hint="eastAsia"/>
                                <w:color w:val="FFFF00"/>
                                <w:lang w:val="en-US" w:eastAsia="zh-CN"/>
                              </w:rPr>
                              <w:t>1650m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0.2pt;margin-top:314.05pt;height:27.1pt;width:61.15pt;z-index:251710464;mso-width-relative:page;mso-height-relative:page;" filled="f" stroked="f" coordsize="21600,21600" o:gfxdata="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KkbppzcAAAACwEAAA8AAAAAAAAA&#10;AQAgAAAAIgAAAGRycy9kb3ducmV2LnhtbFBLAQIUABQAAAAIAIdO4kCioJBPRgIAAHUEAAAOAAAA&#10;AAAAAAEAIAAAACsBAABkcnMvZTJvRG9jLnhtbFBLBQYAAAAABgAGAFkBAADjBQAAAAA=&#10;">
                <v:fill on="f" focussize="0,0"/>
                <v:stroke on="f" weight="0.5pt"/>
                <v:imagedata o:title=""/>
                <o:lock v:ext="edit" aspectratio="f"/>
                <v:textbox>
                  <w:txbxContent>
                    <w:p w14:paraId="154BBCF3">
                      <w:pPr>
                        <w:rPr>
                          <w:rFonts w:hint="default" w:eastAsia="宋体"/>
                          <w:color w:val="FFFF00"/>
                          <w:lang w:val="en-US" w:eastAsia="zh-CN"/>
                        </w:rPr>
                      </w:pPr>
                      <w:r>
                        <w:rPr>
                          <w:rFonts w:hint="eastAsia"/>
                          <w:color w:val="FFFF00"/>
                          <w:lang w:val="en-US" w:eastAsia="zh-CN"/>
                        </w:rPr>
                        <w:t>1650m</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08416" behindDoc="0" locked="0" layoutInCell="1" allowOverlap="1">
                <wp:simplePos x="0" y="0"/>
                <wp:positionH relativeFrom="column">
                  <wp:posOffset>3951605</wp:posOffset>
                </wp:positionH>
                <wp:positionV relativeFrom="paragraph">
                  <wp:posOffset>3506470</wp:posOffset>
                </wp:positionV>
                <wp:extent cx="761365" cy="319405"/>
                <wp:effectExtent l="310515" t="6350" r="13970" b="17145"/>
                <wp:wrapNone/>
                <wp:docPr id="117" name="矩形标注 117"/>
                <wp:cNvGraphicFramePr/>
                <a:graphic xmlns:a="http://schemas.openxmlformats.org/drawingml/2006/main">
                  <a:graphicData uri="http://schemas.microsoft.com/office/word/2010/wordprocessingShape">
                    <wps:wsp>
                      <wps:cNvSpPr/>
                      <wps:spPr>
                        <a:xfrm>
                          <a:off x="0" y="0"/>
                          <a:ext cx="761365" cy="319405"/>
                        </a:xfrm>
                        <a:prstGeom prst="wedgeRectCallout">
                          <a:avLst>
                            <a:gd name="adj1" fmla="val -85021"/>
                            <a:gd name="adj2" fmla="val 36533"/>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CB81EF1">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11.15pt;margin-top:276.1pt;height:25.15pt;width:59.95pt;z-index:251708416;v-text-anchor:middle;mso-width-relative:page;mso-height-relative:page;" filled="f" stroked="t" coordsize="21600,21600" o:gfxdata="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GhWwP9wAAAALAQAADwAAAAAAAAABACAAAAAiAAAAZHJz&#10;L2Rvd25yZXYueG1sUEsBAhQAFAAAAAgAh07iQH+s4TmrAgAAPQUAAA4AAAAAAAAAAQAgAAAAKwEA&#10;AGRycy9lMm9Eb2MueG1sUEsFBgAAAAAGAAYAWQEAAEgGAAAAAA==&#10;" adj="-7565,18691">
                <v:fill on="f" focussize="0,0"/>
                <v:stroke weight="1pt" color="#FF0000 [2404]" miterlimit="8" joinstyle="miter"/>
                <v:imagedata o:title=""/>
                <o:lock v:ext="edit" aspectratio="f"/>
                <v:textbox>
                  <w:txbxContent>
                    <w:p w14:paraId="7CB81EF1">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v:textbox>
              </v:shape>
            </w:pict>
          </mc:Fallback>
        </mc:AlternateContent>
      </w:r>
      <w:r>
        <w:rPr>
          <w:rFonts w:hint="default" w:ascii="Times New Roman" w:hAnsi="Times New Roman" w:cs="Times New Roman"/>
          <w:color w:val="auto"/>
        </w:rPr>
        <w:drawing>
          <wp:anchor distT="0" distB="0" distL="114300" distR="114300" simplePos="0" relativeHeight="251720704" behindDoc="0" locked="0" layoutInCell="1" allowOverlap="1">
            <wp:simplePos x="0" y="0"/>
            <wp:positionH relativeFrom="column">
              <wp:posOffset>6141720</wp:posOffset>
            </wp:positionH>
            <wp:positionV relativeFrom="paragraph">
              <wp:posOffset>117475</wp:posOffset>
            </wp:positionV>
            <wp:extent cx="802640" cy="819150"/>
            <wp:effectExtent l="0" t="0" r="16510" b="0"/>
            <wp:wrapNone/>
            <wp:docPr id="1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
                    <pic:cNvPicPr>
                      <a:picLocks noChangeAspect="1"/>
                    </pic:cNvPicPr>
                  </pic:nvPicPr>
                  <pic:blipFill>
                    <a:blip r:embed="rId37"/>
                    <a:stretch>
                      <a:fillRect/>
                    </a:stretch>
                  </pic:blipFill>
                  <pic:spPr>
                    <a:xfrm>
                      <a:off x="0" y="0"/>
                      <a:ext cx="802640" cy="819150"/>
                    </a:xfrm>
                    <a:prstGeom prst="rect">
                      <a:avLst/>
                    </a:prstGeom>
                    <a:noFill/>
                    <a:ln>
                      <a:noFill/>
                    </a:ln>
                  </pic:spPr>
                </pic:pic>
              </a:graphicData>
            </a:graphic>
          </wp:anchor>
        </w:drawing>
      </w:r>
      <w:r>
        <w:rPr>
          <w:rFonts w:hint="default" w:ascii="Times New Roman" w:hAnsi="Times New Roman" w:cs="Times New Roman"/>
          <w:color w:val="auto"/>
          <w:sz w:val="24"/>
        </w:rPr>
        <mc:AlternateContent>
          <mc:Choice Requires="wps">
            <w:drawing>
              <wp:anchor distT="0" distB="0" distL="114300" distR="114300" simplePos="0" relativeHeight="251711488" behindDoc="0" locked="0" layoutInCell="1" allowOverlap="1">
                <wp:simplePos x="0" y="0"/>
                <wp:positionH relativeFrom="column">
                  <wp:posOffset>6123940</wp:posOffset>
                </wp:positionH>
                <wp:positionV relativeFrom="paragraph">
                  <wp:posOffset>4144010</wp:posOffset>
                </wp:positionV>
                <wp:extent cx="746760" cy="275590"/>
                <wp:effectExtent l="207645" t="6350" r="17145" b="213360"/>
                <wp:wrapNone/>
                <wp:docPr id="122" name="矩形标注 122"/>
                <wp:cNvGraphicFramePr/>
                <a:graphic xmlns:a="http://schemas.openxmlformats.org/drawingml/2006/main">
                  <a:graphicData uri="http://schemas.microsoft.com/office/word/2010/wordprocessingShape">
                    <wps:wsp>
                      <wps:cNvSpPr/>
                      <wps:spPr>
                        <a:xfrm>
                          <a:off x="6432550" y="5826125"/>
                          <a:ext cx="746760" cy="275590"/>
                        </a:xfrm>
                        <a:prstGeom prst="wedgeRectCallout">
                          <a:avLst>
                            <a:gd name="adj1" fmla="val -71683"/>
                            <a:gd name="adj2" fmla="val 116589"/>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368D438">
                            <w:pPr>
                              <w:spacing w:line="240" w:lineRule="auto"/>
                              <w:jc w:val="center"/>
                              <w:rPr>
                                <w:rFonts w:hint="default" w:eastAsia="宋体"/>
                                <w:color w:val="FFFF00"/>
                                <w:lang w:val="en-US" w:eastAsia="zh-CN"/>
                              </w:rPr>
                            </w:pPr>
                            <w:r>
                              <w:rPr>
                                <w:rFonts w:hint="eastAsia"/>
                                <w:color w:val="FFFF00"/>
                                <w:lang w:val="en-US" w:eastAsia="zh-CN"/>
                              </w:rPr>
                              <w:t>G1付村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82.2pt;margin-top:326.3pt;height:21.7pt;width:58.8pt;z-index:251711488;v-text-anchor:middle;mso-width-relative:page;mso-height-relative:page;" filled="f" stroked="t" coordsize="21600,21600" o:gfxdata="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DKJXqtoAAAAMAQAADwAAAAAAAAAB&#10;ACAAAAAiAAAAZHJzL2Rvd25yZXYueG1sUEsBAhQAFAAAAAgAh07iQD3Js8q5AgAASgUAAA4AAAAA&#10;AAAAAQAgAAAAKQEAAGRycy9lMm9Eb2MueG1sUEsFBgAAAAAGAAYAWQEAAFQGAAAAAA==&#10;" adj="-4684,35983">
                <v:fill on="f" focussize="0,0"/>
                <v:stroke weight="1pt" color="#FFFF00 [2404]" miterlimit="8" joinstyle="miter"/>
                <v:imagedata o:title=""/>
                <o:lock v:ext="edit" aspectratio="f"/>
                <v:textbox>
                  <w:txbxContent>
                    <w:p w14:paraId="5368D438">
                      <w:pPr>
                        <w:spacing w:line="240" w:lineRule="auto"/>
                        <w:jc w:val="center"/>
                        <w:rPr>
                          <w:rFonts w:hint="default" w:eastAsia="宋体"/>
                          <w:color w:val="FFFF00"/>
                          <w:lang w:val="en-US" w:eastAsia="zh-CN"/>
                        </w:rPr>
                      </w:pPr>
                      <w:r>
                        <w:rPr>
                          <w:rFonts w:hint="eastAsia"/>
                          <w:color w:val="FFFF00"/>
                          <w:lang w:val="en-US" w:eastAsia="zh-CN"/>
                        </w:rPr>
                        <w:t>G1付村</w:t>
                      </w:r>
                    </w:p>
                  </w:txbxContent>
                </v:textbox>
              </v:shape>
            </w:pict>
          </mc:Fallback>
        </mc:AlternateContent>
      </w:r>
      <w:r>
        <w:rPr>
          <w:rFonts w:hint="default" w:ascii="Times New Roman" w:hAnsi="Times New Roman" w:cs="Times New Roman"/>
          <w:color w:val="auto"/>
          <w:sz w:val="32"/>
        </w:rPr>
        <mc:AlternateContent>
          <mc:Choice Requires="wps">
            <w:drawing>
              <wp:anchor distT="0" distB="0" distL="114300" distR="114300" simplePos="0" relativeHeight="251707392" behindDoc="0" locked="0" layoutInCell="1" allowOverlap="1">
                <wp:simplePos x="0" y="0"/>
                <wp:positionH relativeFrom="column">
                  <wp:posOffset>5842000</wp:posOffset>
                </wp:positionH>
                <wp:positionV relativeFrom="paragraph">
                  <wp:posOffset>4585335</wp:posOffset>
                </wp:positionV>
                <wp:extent cx="95250" cy="102870"/>
                <wp:effectExtent l="6350" t="6350" r="12700" b="24130"/>
                <wp:wrapNone/>
                <wp:docPr id="116" name="椭圆 116"/>
                <wp:cNvGraphicFramePr/>
                <a:graphic xmlns:a="http://schemas.openxmlformats.org/drawingml/2006/main">
                  <a:graphicData uri="http://schemas.microsoft.com/office/word/2010/wordprocessingShape">
                    <wps:wsp>
                      <wps:cNvSpPr/>
                      <wps:spPr>
                        <a:xfrm>
                          <a:off x="7070090" y="5825490"/>
                          <a:ext cx="95250" cy="102870"/>
                        </a:xfrm>
                        <a:prstGeom prst="ellips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60pt;margin-top:361.05pt;height:8.1pt;width:7.5pt;z-index:251707392;v-text-anchor:middle;mso-width-relative:page;mso-height-relative:page;" fillcolor="#FFFF00" filled="t" stroked="t" coordsize="21600,21600" o:gfxdata="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B2qM42gAAAAsBAAAPAAAAAAAAAAEAIAAAACIA&#10;AABkcnMvZG93bnJldi54bWxQSwECFAAUAAAACACHTuJAplgAx3kCAAAFBQAADgAAAAAAAAABACAA&#10;AAApAQAAZHJzL2Uyb0RvYy54bWxQSwUGAAAAAAYABgBZAQAAFAYAAAAA&#10;">
                <v:fill on="t" focussize="0,0"/>
                <v:stroke weight="1pt" color="#FFFF00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09440" behindDoc="0" locked="0" layoutInCell="1" allowOverlap="1">
                <wp:simplePos x="0" y="0"/>
                <wp:positionH relativeFrom="column">
                  <wp:posOffset>3635375</wp:posOffset>
                </wp:positionH>
                <wp:positionV relativeFrom="paragraph">
                  <wp:posOffset>3936365</wp:posOffset>
                </wp:positionV>
                <wp:extent cx="2220595" cy="664210"/>
                <wp:effectExtent l="0" t="23495" r="8255" b="36195"/>
                <wp:wrapNone/>
                <wp:docPr id="119" name="直接箭头连接符 119"/>
                <wp:cNvGraphicFramePr/>
                <a:graphic xmlns:a="http://schemas.openxmlformats.org/drawingml/2006/main">
                  <a:graphicData uri="http://schemas.microsoft.com/office/word/2010/wordprocessingShape">
                    <wps:wsp>
                      <wps:cNvCnPr>
                        <a:endCxn id="116" idx="1"/>
                      </wps:cNvCnPr>
                      <wps:spPr>
                        <a:xfrm>
                          <a:off x="3912235" y="1870710"/>
                          <a:ext cx="2220595" cy="664210"/>
                        </a:xfrm>
                        <a:prstGeom prst="straightConnector1">
                          <a:avLst/>
                        </a:prstGeom>
                        <a:ln>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86.25pt;margin-top:309.95pt;height:52.3pt;width:174.85pt;z-index:251709440;mso-width-relative:page;mso-height-relative:page;" filled="f" stroked="t" coordsize="21600,21600" o:gfxdata="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hkGby2wAAAAsBAAAPAAAAAAAAAAEAIAAAACIAAABkcnMvZG93bnJldi54&#10;bWxQSwECFAAUAAAACACHTuJAJi+HgTACAAA2BAAADgAAAAAAAAABACAAAAAqAQAAZHJzL2Uyb0Rv&#10;Yy54bWxQSwUGAAAAAAYABgBZAQAAzAUAAAAA&#10;">
                <v:fill on="f" focussize="0,0"/>
                <v:stroke weight="1pt" color="#FFFF00 [3204]" miterlimit="8" joinstyle="miter" startarrow="open" endarrow="open"/>
                <v:imagedata o:title=""/>
                <o:lock v:ext="edit" aspectratio="f"/>
              </v:shape>
            </w:pict>
          </mc:Fallback>
        </mc:AlternateContent>
      </w:r>
      <w:r>
        <w:rPr>
          <w:rFonts w:hint="default" w:ascii="Times New Roman" w:hAnsi="Times New Roman" w:cs="Times New Roman"/>
          <w:color w:val="auto"/>
        </w:rPr>
        <w:drawing>
          <wp:inline distT="0" distB="0" distL="114300" distR="114300">
            <wp:extent cx="5231765" cy="5220335"/>
            <wp:effectExtent l="9525" t="9525" r="16510" b="27940"/>
            <wp:docPr id="1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5"/>
                    <pic:cNvPicPr>
                      <a:picLocks noChangeAspect="1"/>
                    </pic:cNvPicPr>
                  </pic:nvPicPr>
                  <pic:blipFill>
                    <a:blip r:embed="rId71"/>
                    <a:stretch>
                      <a:fillRect/>
                    </a:stretch>
                  </pic:blipFill>
                  <pic:spPr>
                    <a:xfrm>
                      <a:off x="0" y="0"/>
                      <a:ext cx="5231765" cy="5220335"/>
                    </a:xfrm>
                    <a:prstGeom prst="rect">
                      <a:avLst/>
                    </a:prstGeom>
                    <a:noFill/>
                    <a:ln>
                      <a:solidFill>
                        <a:schemeClr val="tx1"/>
                      </a:solidFill>
                    </a:ln>
                  </pic:spPr>
                </pic:pic>
              </a:graphicData>
            </a:graphic>
          </wp:inline>
        </w:drawing>
      </w:r>
    </w:p>
    <w:p w14:paraId="2D931DA0">
      <w:pPr>
        <w:pStyle w:val="36"/>
        <w:pageBreakBefore w:val="0"/>
        <w:numPr>
          <w:ilvl w:val="0"/>
          <w:numId w:val="13"/>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4DB28FAD">
      <w:pPr>
        <w:pStyle w:val="36"/>
        <w:pageBreakBefore w:val="0"/>
        <w:numPr>
          <w:ilvl w:val="0"/>
          <w:numId w:val="13"/>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val="en-US" w:eastAsia="zh-CN"/>
        </w:rPr>
      </w:pPr>
      <w:bookmarkStart w:id="135" w:name="_Toc3080"/>
      <w:r>
        <w:rPr>
          <w:rFonts w:hint="default" w:ascii="Times New Roman" w:hAnsi="Times New Roman" w:eastAsia="宋体" w:cs="Times New Roman"/>
          <w:b/>
          <w:bCs/>
          <w:color w:val="auto"/>
          <w:sz w:val="24"/>
          <w:szCs w:val="24"/>
          <w:lang w:val="en-US" w:eastAsia="zh-CN"/>
        </w:rPr>
        <w:t>乐昌产业转移工业园管网分布图</w:t>
      </w:r>
      <w:bookmarkEnd w:id="135"/>
    </w:p>
    <w:p w14:paraId="49E62E43">
      <w:pPr>
        <w:pStyle w:val="43"/>
        <w:pageBreakBefore w:val="0"/>
        <w:wordWrap w:val="0"/>
        <w:overflowPunct/>
        <w:bidi w:val="0"/>
        <w:jc w:val="center"/>
        <w:rPr>
          <w:rFonts w:hint="default" w:ascii="Times New Roman" w:hAnsi="Times New Roman" w:cs="Times New Roman"/>
          <w:color w:val="auto"/>
          <w:highlight w:val="none"/>
        </w:rPr>
      </w:pPr>
      <w:r>
        <w:rPr>
          <w:rFonts w:hint="default" w:ascii="Times New Roman" w:hAnsi="Times New Roman" w:cs="Times New Roman"/>
          <w:color w:val="auto"/>
        </w:rPr>
        <mc:AlternateContent>
          <mc:Choice Requires="wps">
            <w:drawing>
              <wp:anchor distT="0" distB="0" distL="114300" distR="114300" simplePos="0" relativeHeight="251672576" behindDoc="0" locked="0" layoutInCell="1" allowOverlap="1">
                <wp:simplePos x="0" y="0"/>
                <wp:positionH relativeFrom="column">
                  <wp:posOffset>2295525</wp:posOffset>
                </wp:positionH>
                <wp:positionV relativeFrom="paragraph">
                  <wp:posOffset>5342890</wp:posOffset>
                </wp:positionV>
                <wp:extent cx="1010920" cy="459740"/>
                <wp:effectExtent l="9525" t="9525" r="27305" b="273685"/>
                <wp:wrapNone/>
                <wp:docPr id="72" name="圆角矩形标注 38"/>
                <wp:cNvGraphicFramePr/>
                <a:graphic xmlns:a="http://schemas.openxmlformats.org/drawingml/2006/main">
                  <a:graphicData uri="http://schemas.microsoft.com/office/word/2010/wordprocessingShape">
                    <wps:wsp>
                      <wps:cNvSpPr/>
                      <wps:spPr>
                        <a:xfrm>
                          <a:off x="0" y="0"/>
                          <a:ext cx="1010920" cy="459740"/>
                        </a:xfrm>
                        <a:prstGeom prst="wedgeRoundRectCallout">
                          <a:avLst>
                            <a:gd name="adj1" fmla="val -21536"/>
                            <a:gd name="adj2" fmla="val 102868"/>
                            <a:gd name="adj3" fmla="val 16667"/>
                          </a:avLst>
                        </a:prstGeom>
                        <a:solidFill>
                          <a:schemeClr val="bg1"/>
                        </a:solidFill>
                        <a:ln w="19050">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4824D6D7">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建设项目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38" o:spid="_x0000_s1026" o:spt="62" type="#_x0000_t62" style="position:absolute;left:0pt;margin-left:180.75pt;margin-top:420.7pt;height:36.2pt;width:79.6pt;z-index:251672576;v-text-anchor:middle;mso-width-relative:page;mso-height-relative:page;" fillcolor="#FFFFFF [3212]" filled="t" stroked="t" coordsize="21600,21600" o:gfxdata="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BuuqPF&#10;2wAAAAsBAAAPAAAAAAAAAAEAIAAAACIAAABkcnMvZG93bnJldi54bWxQSwECFAAUAAAACACHTuJA&#10;D0dX/ckCAACVBQAADgAAAAAAAAABACAAAAAqAQAAZHJzL2Uyb0RvYy54bWxQSwUGAAAAAAYABgBZ&#10;AQAAZQYAAAAA&#10;" adj="6148,33019,14400">
                <v:fill on="t" focussize="0,0"/>
                <v:stroke weight="1.5pt" color="#000000 [3213]" miterlimit="8" joinstyle="miter"/>
                <v:imagedata o:title=""/>
                <o:lock v:ext="edit" aspectratio="f"/>
                <v:textbox>
                  <w:txbxContent>
                    <w:p w14:paraId="4824D6D7">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建设项目</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747328" behindDoc="0" locked="0" layoutInCell="1" allowOverlap="1">
                <wp:simplePos x="0" y="0"/>
                <wp:positionH relativeFrom="column">
                  <wp:posOffset>2172970</wp:posOffset>
                </wp:positionH>
                <wp:positionV relativeFrom="paragraph">
                  <wp:posOffset>6042025</wp:posOffset>
                </wp:positionV>
                <wp:extent cx="600075" cy="400050"/>
                <wp:effectExtent l="6985" t="6350" r="21590" b="12700"/>
                <wp:wrapNone/>
                <wp:docPr id="170" name="任意多边形 170"/>
                <wp:cNvGraphicFramePr/>
                <a:graphic xmlns:a="http://schemas.openxmlformats.org/drawingml/2006/main">
                  <a:graphicData uri="http://schemas.microsoft.com/office/word/2010/wordprocessingShape">
                    <wps:wsp>
                      <wps:cNvSpPr/>
                      <wps:spPr>
                        <a:xfrm>
                          <a:off x="3072765" y="7230110"/>
                          <a:ext cx="600075" cy="400050"/>
                        </a:xfrm>
                        <a:custGeom>
                          <a:avLst/>
                          <a:gdLst>
                            <a:gd name="connisteX0" fmla="*/ 9525 w 600075"/>
                            <a:gd name="connsiteY0" fmla="*/ 9525 h 400050"/>
                            <a:gd name="connisteX1" fmla="*/ 600075 w 600075"/>
                            <a:gd name="connsiteY1" fmla="*/ 0 h 400050"/>
                            <a:gd name="connisteX2" fmla="*/ 590550 w 600075"/>
                            <a:gd name="connsiteY2" fmla="*/ 400050 h 400050"/>
                            <a:gd name="connisteX3" fmla="*/ 247650 w 600075"/>
                            <a:gd name="connsiteY3" fmla="*/ 390525 h 400050"/>
                            <a:gd name="connisteX4" fmla="*/ 238125 w 600075"/>
                            <a:gd name="connsiteY4" fmla="*/ 152400 h 400050"/>
                            <a:gd name="connisteX5" fmla="*/ 0 w 600075"/>
                            <a:gd name="connsiteY5" fmla="*/ 152400 h 400050"/>
                            <a:gd name="connisteX6" fmla="*/ 9525 w 600075"/>
                            <a:gd name="connsiteY6" fmla="*/ 9525 h 4000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600075" h="400050">
                              <a:moveTo>
                                <a:pt x="9525" y="9525"/>
                              </a:moveTo>
                              <a:lnTo>
                                <a:pt x="600075" y="0"/>
                              </a:lnTo>
                              <a:lnTo>
                                <a:pt x="590550" y="400050"/>
                              </a:lnTo>
                              <a:lnTo>
                                <a:pt x="247650" y="390525"/>
                              </a:lnTo>
                              <a:lnTo>
                                <a:pt x="238125" y="152400"/>
                              </a:lnTo>
                              <a:lnTo>
                                <a:pt x="0" y="152400"/>
                              </a:lnTo>
                              <a:lnTo>
                                <a:pt x="9525" y="9525"/>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71.1pt;margin-top:475.75pt;height:31.5pt;width:47.25pt;z-index:251747328;mso-width-relative:page;mso-height-relative:page;" filled="f" stroked="t" coordsize="600075,400050" o:gfxdata="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&#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" path="m9525,9525l600075,0,590550,400050,247650,390525,238125,152400,0,152400,9525,9525xe">
                <v:path o:connectlocs="9525,9525;600075,0;590550,400050;247650,390525;238125,152400;0,152400;9525,9525" o:connectangles="0,0,0,0,0,0,0"/>
                <v:fill on="f" focussize="0,0"/>
                <v:stroke weight="1pt" color="#FF0000 [2404]" miterlimit="8" joinstyle="miter"/>
                <v:imagedata o:title=""/>
                <o:lock v:ext="edit" aspectratio="f"/>
              </v:shape>
            </w:pict>
          </mc:Fallback>
        </mc:AlternateContent>
      </w:r>
      <w:r>
        <w:rPr>
          <w:rFonts w:hint="default" w:ascii="Times New Roman" w:hAnsi="Times New Roman" w:cs="Times New Roman"/>
          <w:color w:val="auto"/>
          <w:highlight w:val="none"/>
        </w:rPr>
        <w:drawing>
          <wp:inline distT="0" distB="0" distL="114300" distR="114300">
            <wp:extent cx="5361305" cy="7717790"/>
            <wp:effectExtent l="0" t="0" r="10795" b="16510"/>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72"/>
                    <a:stretch>
                      <a:fillRect/>
                    </a:stretch>
                  </pic:blipFill>
                  <pic:spPr>
                    <a:xfrm>
                      <a:off x="0" y="0"/>
                      <a:ext cx="5361305" cy="7717790"/>
                    </a:xfrm>
                    <a:prstGeom prst="rect">
                      <a:avLst/>
                    </a:prstGeom>
                    <a:noFill/>
                    <a:ln>
                      <a:noFill/>
                    </a:ln>
                  </pic:spPr>
                </pic:pic>
              </a:graphicData>
            </a:graphic>
          </wp:inline>
        </w:drawing>
      </w:r>
    </w:p>
    <w:p w14:paraId="7721F63F">
      <w:pPr>
        <w:pageBreakBefore w:val="0"/>
        <w:wordWrap w:val="0"/>
        <w:overflowPunct/>
        <w:bidi w:val="0"/>
        <w:rPr>
          <w:rFonts w:hint="default" w:ascii="Times New Roman" w:hAnsi="Times New Roman" w:cs="Times New Roman"/>
          <w:color w:val="auto"/>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77EFF47A">
      <w:pPr>
        <w:pStyle w:val="36"/>
        <w:pageBreakBefore w:val="0"/>
        <w:numPr>
          <w:ilvl w:val="0"/>
          <w:numId w:val="14"/>
        </w:numPr>
        <w:wordWrap w:val="0"/>
        <w:overflowPunct/>
        <w:bidi w:val="0"/>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36" w:name="_Toc23299"/>
      <w:bookmarkStart w:id="137" w:name="_Toc22104"/>
      <w:r>
        <w:rPr>
          <w:rFonts w:hint="default" w:ascii="Times New Roman" w:hAnsi="Times New Roman" w:cs="Times New Roman"/>
          <w:b/>
          <w:bCs/>
          <w:color w:val="auto"/>
          <w:sz w:val="24"/>
          <w:szCs w:val="24"/>
          <w:lang w:val="en-US" w:eastAsia="zh-CN"/>
        </w:rPr>
        <w:t>营业执照</w:t>
      </w:r>
      <w:bookmarkEnd w:id="136"/>
      <w:bookmarkEnd w:id="137"/>
    </w:p>
    <w:p w14:paraId="1B59DD20">
      <w:pPr>
        <w:pStyle w:val="36"/>
        <w:pageBreakBefore w:val="0"/>
        <w:widowControl/>
        <w:numPr>
          <w:ilvl w:val="0"/>
          <w:numId w:val="0"/>
        </w:numPr>
        <w:tabs>
          <w:tab w:val="left" w:pos="420"/>
        </w:tabs>
        <w:wordWrap w:val="0"/>
        <w:overflowPunct/>
        <w:bidi w:val="0"/>
        <w:adjustRightInd/>
        <w:spacing w:after="0" w:line="360" w:lineRule="auto"/>
        <w:jc w:val="center"/>
        <w:textAlignment w:val="auto"/>
        <w:outlineLvl w:val="9"/>
        <w:rPr>
          <w:rFonts w:hint="default" w:ascii="Times New Roman" w:hAnsi="Times New Roman" w:cs="Times New Roman"/>
          <w:b/>
          <w:bCs/>
          <w:color w:val="auto"/>
          <w:sz w:val="24"/>
          <w:szCs w:val="24"/>
          <w:lang w:val="en-US" w:eastAsia="zh-CN"/>
        </w:rPr>
      </w:pPr>
      <w:r>
        <w:rPr>
          <w:rFonts w:hint="default" w:ascii="Times New Roman" w:hAnsi="Times New Roman" w:cs="Times New Roman"/>
          <w:color w:val="auto"/>
        </w:rPr>
        <w:drawing>
          <wp:inline distT="0" distB="0" distL="114300" distR="114300">
            <wp:extent cx="6405880" cy="4673600"/>
            <wp:effectExtent l="0" t="0" r="13970" b="12700"/>
            <wp:docPr id="1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0"/>
                    <pic:cNvPicPr>
                      <a:picLocks noChangeAspect="1"/>
                    </pic:cNvPicPr>
                  </pic:nvPicPr>
                  <pic:blipFill>
                    <a:blip r:embed="rId73"/>
                    <a:stretch>
                      <a:fillRect/>
                    </a:stretch>
                  </pic:blipFill>
                  <pic:spPr>
                    <a:xfrm>
                      <a:off x="0" y="0"/>
                      <a:ext cx="6405880" cy="4673600"/>
                    </a:xfrm>
                    <a:prstGeom prst="rect">
                      <a:avLst/>
                    </a:prstGeom>
                    <a:noFill/>
                    <a:ln>
                      <a:noFill/>
                    </a:ln>
                  </pic:spPr>
                </pic:pic>
              </a:graphicData>
            </a:graphic>
          </wp:inline>
        </w:drawing>
      </w:r>
    </w:p>
    <w:p w14:paraId="49E28D6B">
      <w:pPr>
        <w:pageBreakBefore w:val="0"/>
        <w:wordWrap w:val="0"/>
        <w:overflowPunct/>
        <w:bidi w:val="0"/>
        <w:rPr>
          <w:rFonts w:hint="default" w:ascii="Times New Roman" w:hAnsi="Times New Roman" w:cs="Times New Roman"/>
          <w:color w:val="auto"/>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48888E92">
      <w:pPr>
        <w:pStyle w:val="36"/>
        <w:pageBreakBefore w:val="0"/>
        <w:numPr>
          <w:ilvl w:val="0"/>
          <w:numId w:val="14"/>
        </w:numPr>
        <w:wordWrap w:val="0"/>
        <w:overflowPunct/>
        <w:bidi w:val="0"/>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38" w:name="_Toc18937"/>
      <w:bookmarkStart w:id="139" w:name="_Toc10736"/>
      <w:r>
        <w:rPr>
          <w:rFonts w:hint="default" w:ascii="Times New Roman" w:hAnsi="Times New Roman" w:cs="Times New Roman"/>
          <w:b/>
          <w:bCs/>
          <w:color w:val="auto"/>
          <w:sz w:val="24"/>
          <w:szCs w:val="24"/>
          <w:lang w:val="en-US" w:eastAsia="zh-CN"/>
        </w:rPr>
        <w:t>法人身份证复印件</w:t>
      </w:r>
      <w:bookmarkEnd w:id="138"/>
      <w:bookmarkEnd w:id="139"/>
    </w:p>
    <w:p w14:paraId="1B6A75C8">
      <w:pPr>
        <w:pStyle w:val="36"/>
        <w:pageBreakBefore w:val="0"/>
        <w:widowControl/>
        <w:numPr>
          <w:ilvl w:val="0"/>
          <w:numId w:val="0"/>
        </w:numPr>
        <w:tabs>
          <w:tab w:val="left" w:pos="420"/>
        </w:tabs>
        <w:wordWrap w:val="0"/>
        <w:overflowPunct/>
        <w:bidi w:val="0"/>
        <w:adjustRightInd/>
        <w:spacing w:after="0" w:line="360" w:lineRule="auto"/>
        <w:jc w:val="center"/>
        <w:textAlignment w:val="auto"/>
        <w:outlineLvl w:val="9"/>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drawing>
          <wp:inline distT="0" distB="0" distL="114300" distR="114300">
            <wp:extent cx="3572510" cy="2244090"/>
            <wp:effectExtent l="0" t="0" r="8890" b="3810"/>
            <wp:docPr id="172" name="图片 172" descr="1-1法人身份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1-1法人身份证"/>
                    <pic:cNvPicPr>
                      <a:picLocks noChangeAspect="1"/>
                    </pic:cNvPicPr>
                  </pic:nvPicPr>
                  <pic:blipFill>
                    <a:blip r:embed="rId74"/>
                    <a:stretch>
                      <a:fillRect/>
                    </a:stretch>
                  </pic:blipFill>
                  <pic:spPr>
                    <a:xfrm>
                      <a:off x="0" y="0"/>
                      <a:ext cx="3572510" cy="2244090"/>
                    </a:xfrm>
                    <a:prstGeom prst="rect">
                      <a:avLst/>
                    </a:prstGeom>
                  </pic:spPr>
                </pic:pic>
              </a:graphicData>
            </a:graphic>
          </wp:inline>
        </w:drawing>
      </w:r>
    </w:p>
    <w:p w14:paraId="566ADF25">
      <w:pPr>
        <w:pStyle w:val="36"/>
        <w:pageBreakBefore w:val="0"/>
        <w:widowControl/>
        <w:numPr>
          <w:ilvl w:val="0"/>
          <w:numId w:val="0"/>
        </w:numPr>
        <w:tabs>
          <w:tab w:val="left" w:pos="420"/>
        </w:tabs>
        <w:wordWrap w:val="0"/>
        <w:overflowPunct/>
        <w:bidi w:val="0"/>
        <w:adjustRightInd/>
        <w:spacing w:after="0" w:line="360" w:lineRule="auto"/>
        <w:jc w:val="center"/>
        <w:textAlignment w:val="auto"/>
        <w:outlineLvl w:val="9"/>
        <w:rPr>
          <w:rFonts w:hint="default" w:ascii="Times New Roman" w:hAnsi="Times New Roman" w:cs="Times New Roman"/>
          <w:b/>
          <w:bCs/>
          <w:color w:val="auto"/>
          <w:sz w:val="24"/>
          <w:szCs w:val="24"/>
          <w:lang w:val="en-US" w:eastAsia="zh-CN"/>
        </w:rPr>
      </w:pPr>
    </w:p>
    <w:p w14:paraId="50B97458">
      <w:pPr>
        <w:pStyle w:val="36"/>
        <w:pageBreakBefore w:val="0"/>
        <w:widowControl/>
        <w:numPr>
          <w:ilvl w:val="0"/>
          <w:numId w:val="0"/>
        </w:numPr>
        <w:tabs>
          <w:tab w:val="left" w:pos="420"/>
        </w:tabs>
        <w:wordWrap w:val="0"/>
        <w:overflowPunct/>
        <w:bidi w:val="0"/>
        <w:adjustRightInd/>
        <w:spacing w:after="0" w:line="360" w:lineRule="auto"/>
        <w:jc w:val="center"/>
        <w:textAlignment w:val="auto"/>
        <w:outlineLvl w:val="9"/>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drawing>
          <wp:inline distT="0" distB="0" distL="114300" distR="114300">
            <wp:extent cx="3724910" cy="2285365"/>
            <wp:effectExtent l="0" t="0" r="8890" b="635"/>
            <wp:docPr id="173" name="图片 173" descr="1-2法人身份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1-2法人身份证"/>
                    <pic:cNvPicPr>
                      <a:picLocks noChangeAspect="1"/>
                    </pic:cNvPicPr>
                  </pic:nvPicPr>
                  <pic:blipFill>
                    <a:blip r:embed="rId75"/>
                    <a:stretch>
                      <a:fillRect/>
                    </a:stretch>
                  </pic:blipFill>
                  <pic:spPr>
                    <a:xfrm>
                      <a:off x="0" y="0"/>
                      <a:ext cx="3724910" cy="2285365"/>
                    </a:xfrm>
                    <a:prstGeom prst="rect">
                      <a:avLst/>
                    </a:prstGeom>
                  </pic:spPr>
                </pic:pic>
              </a:graphicData>
            </a:graphic>
          </wp:inline>
        </w:drawing>
      </w:r>
    </w:p>
    <w:p w14:paraId="1AE2A211">
      <w:pPr>
        <w:pStyle w:val="33"/>
        <w:pageBreakBefore w:val="0"/>
        <w:wordWrap w:val="0"/>
        <w:overflowPunct/>
        <w:bidi w:val="0"/>
        <w:ind w:left="480"/>
        <w:jc w:val="center"/>
        <w:rPr>
          <w:rFonts w:hint="default" w:ascii="Times New Roman" w:hAnsi="Times New Roman" w:cs="Times New Roman"/>
          <w:color w:val="auto"/>
          <w:highlight w:val="none"/>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71076567">
      <w:pPr>
        <w:pStyle w:val="36"/>
        <w:pageBreakBefore w:val="0"/>
        <w:numPr>
          <w:ilvl w:val="0"/>
          <w:numId w:val="14"/>
        </w:numPr>
        <w:wordWrap w:val="0"/>
        <w:overflowPunct/>
        <w:bidi w:val="0"/>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40" w:name="_Toc3770"/>
      <w:r>
        <w:rPr>
          <w:rFonts w:hint="default" w:ascii="Times New Roman" w:hAnsi="Times New Roman" w:cs="Times New Roman"/>
          <w:b/>
          <w:bCs/>
          <w:color w:val="auto"/>
          <w:sz w:val="24"/>
          <w:szCs w:val="24"/>
          <w:lang w:val="en-US" w:eastAsia="zh-CN"/>
        </w:rPr>
        <w:t>不动产权证书</w:t>
      </w:r>
      <w:bookmarkEnd w:id="140"/>
    </w:p>
    <w:p w14:paraId="221D6068">
      <w:pPr>
        <w:pStyle w:val="36"/>
        <w:pageBreakBefore w:val="0"/>
        <w:widowControl/>
        <w:numPr>
          <w:ilvl w:val="0"/>
          <w:numId w:val="0"/>
        </w:numPr>
        <w:tabs>
          <w:tab w:val="left" w:pos="420"/>
        </w:tabs>
        <w:wordWrap w:val="0"/>
        <w:overflowPunct/>
        <w:bidi w:val="0"/>
        <w:adjustRightInd/>
        <w:spacing w:after="0" w:line="360" w:lineRule="auto"/>
        <w:jc w:val="center"/>
        <w:textAlignment w:val="auto"/>
        <w:outlineLvl w:val="9"/>
        <w:rPr>
          <w:rFonts w:hint="default" w:ascii="Times New Roman" w:hAnsi="Times New Roman" w:cs="Times New Roman"/>
          <w:b/>
          <w:bCs/>
          <w:color w:val="auto"/>
          <w:sz w:val="24"/>
          <w:szCs w:val="24"/>
          <w:lang w:val="en-US" w:eastAsia="zh-CN"/>
        </w:rPr>
      </w:pPr>
      <w:r>
        <w:rPr>
          <w:rFonts w:hint="default" w:ascii="Times New Roman" w:hAnsi="Times New Roman" w:cs="Times New Roman"/>
          <w:color w:val="auto"/>
        </w:rPr>
        <w:drawing>
          <wp:inline distT="0" distB="0" distL="114300" distR="114300">
            <wp:extent cx="7818755" cy="5224780"/>
            <wp:effectExtent l="0" t="0" r="10795" b="13970"/>
            <wp:docPr id="17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1"/>
                    <pic:cNvPicPr>
                      <a:picLocks noChangeAspect="1"/>
                    </pic:cNvPicPr>
                  </pic:nvPicPr>
                  <pic:blipFill>
                    <a:blip r:embed="rId76"/>
                    <a:stretch>
                      <a:fillRect/>
                    </a:stretch>
                  </pic:blipFill>
                  <pic:spPr>
                    <a:xfrm>
                      <a:off x="0" y="0"/>
                      <a:ext cx="7818755" cy="5224780"/>
                    </a:xfrm>
                    <a:prstGeom prst="rect">
                      <a:avLst/>
                    </a:prstGeom>
                    <a:noFill/>
                    <a:ln>
                      <a:noFill/>
                    </a:ln>
                  </pic:spPr>
                </pic:pic>
              </a:graphicData>
            </a:graphic>
          </wp:inline>
        </w:drawing>
      </w:r>
    </w:p>
    <w:p w14:paraId="49BB603F">
      <w:pPr>
        <w:pageBreakBefore w:val="0"/>
        <w:tabs>
          <w:tab w:val="center" w:pos="6931"/>
          <w:tab w:val="right" w:pos="13862"/>
        </w:tabs>
        <w:wordWrap w:val="0"/>
        <w:overflowPunct/>
        <w:bidi w:val="0"/>
        <w:jc w:val="left"/>
        <w:rPr>
          <w:rFonts w:hint="default" w:ascii="Times New Roman" w:hAnsi="Times New Roman" w:cs="Times New Roman"/>
          <w:color w:val="auto"/>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r>
        <w:rPr>
          <w:rFonts w:hint="default" w:ascii="Times New Roman" w:hAnsi="Times New Roman" w:cs="Times New Roman"/>
          <w:color w:val="auto"/>
          <w:lang w:val="en-US" w:eastAsia="zh-CN"/>
        </w:rPr>
        <w:tab/>
      </w:r>
      <w:r>
        <w:rPr>
          <w:rFonts w:hint="default" w:ascii="Times New Roman" w:hAnsi="Times New Roman" w:cs="Times New Roman"/>
          <w:color w:val="auto"/>
        </w:rPr>
        <w:drawing>
          <wp:inline distT="0" distB="0" distL="114300" distR="114300">
            <wp:extent cx="8020050" cy="5703570"/>
            <wp:effectExtent l="0" t="0" r="0" b="11430"/>
            <wp:docPr id="17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2"/>
                    <pic:cNvPicPr>
                      <a:picLocks noChangeAspect="1"/>
                    </pic:cNvPicPr>
                  </pic:nvPicPr>
                  <pic:blipFill>
                    <a:blip r:embed="rId77"/>
                    <a:stretch>
                      <a:fillRect/>
                    </a:stretch>
                  </pic:blipFill>
                  <pic:spPr>
                    <a:xfrm>
                      <a:off x="0" y="0"/>
                      <a:ext cx="8020050" cy="5703570"/>
                    </a:xfrm>
                    <a:prstGeom prst="rect">
                      <a:avLst/>
                    </a:prstGeom>
                    <a:noFill/>
                    <a:ln>
                      <a:noFill/>
                    </a:ln>
                  </pic:spPr>
                </pic:pic>
              </a:graphicData>
            </a:graphic>
          </wp:inline>
        </w:drawing>
      </w:r>
    </w:p>
    <w:p w14:paraId="1C37FBB2">
      <w:pPr>
        <w:pStyle w:val="36"/>
        <w:pageBreakBefore w:val="0"/>
        <w:numPr>
          <w:ilvl w:val="0"/>
          <w:numId w:val="14"/>
        </w:numPr>
        <w:wordWrap w:val="0"/>
        <w:overflowPunct/>
        <w:bidi w:val="0"/>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41" w:name="_Toc7192"/>
      <w:r>
        <w:rPr>
          <w:rFonts w:hint="default" w:ascii="Times New Roman" w:hAnsi="Times New Roman" w:cs="Times New Roman"/>
          <w:b/>
          <w:bCs/>
          <w:color w:val="auto"/>
          <w:sz w:val="24"/>
          <w:szCs w:val="24"/>
          <w:lang w:val="en-US" w:eastAsia="zh-CN"/>
        </w:rPr>
        <w:t>备案证</w:t>
      </w:r>
      <w:bookmarkEnd w:id="141"/>
    </w:p>
    <w:p w14:paraId="0CD8B3C0">
      <w:pPr>
        <w:jc w:val="center"/>
        <w:rPr>
          <w:rFonts w:hint="eastAsia" w:eastAsia="宋体"/>
          <w:color w:val="auto"/>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r>
        <w:rPr>
          <w:rFonts w:hint="eastAsia" w:eastAsia="宋体"/>
          <w:color w:val="auto"/>
          <w:lang w:val="en-US" w:eastAsia="zh-CN"/>
        </w:rPr>
        <w:drawing>
          <wp:inline distT="0" distB="0" distL="114300" distR="114300">
            <wp:extent cx="7315835" cy="5180965"/>
            <wp:effectExtent l="0" t="0" r="18415" b="635"/>
            <wp:docPr id="1" name="图片 1" descr="广东省企业投资项目备案证 (沃府)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广东省企业投资项目备案证 (沃府)_00"/>
                    <pic:cNvPicPr>
                      <a:picLocks noChangeAspect="1"/>
                    </pic:cNvPicPr>
                  </pic:nvPicPr>
                  <pic:blipFill>
                    <a:blip r:embed="rId78"/>
                    <a:stretch>
                      <a:fillRect/>
                    </a:stretch>
                  </pic:blipFill>
                  <pic:spPr>
                    <a:xfrm>
                      <a:off x="0" y="0"/>
                      <a:ext cx="7315835" cy="5180965"/>
                    </a:xfrm>
                    <a:prstGeom prst="rect">
                      <a:avLst/>
                    </a:prstGeom>
                  </pic:spPr>
                </pic:pic>
              </a:graphicData>
            </a:graphic>
          </wp:inline>
        </w:drawing>
      </w:r>
    </w:p>
    <w:p w14:paraId="4731CC47">
      <w:pPr>
        <w:pStyle w:val="36"/>
        <w:pageBreakBefore w:val="0"/>
        <w:numPr>
          <w:ilvl w:val="0"/>
          <w:numId w:val="14"/>
        </w:numPr>
        <w:wordWrap w:val="0"/>
        <w:overflowPunct/>
        <w:bidi w:val="0"/>
        <w:adjustRightInd/>
        <w:spacing w:after="0" w:line="360" w:lineRule="auto"/>
        <w:ind w:left="0" w:leftChars="0" w:firstLine="0" w:firstLineChars="0"/>
        <w:jc w:val="both"/>
        <w:textAlignment w:val="auto"/>
        <w:outlineLvl w:val="0"/>
        <w:rPr>
          <w:rFonts w:hint="default" w:ascii="Times New Roman" w:hAnsi="Times New Roman" w:eastAsia="宋体" w:cs="Times New Roman"/>
          <w:b/>
          <w:bCs/>
          <w:color w:val="auto"/>
          <w:sz w:val="24"/>
          <w:szCs w:val="24"/>
          <w:lang w:val="en-US" w:eastAsia="zh-CN"/>
        </w:rPr>
      </w:pPr>
      <w:bookmarkStart w:id="142" w:name="_Toc28539"/>
      <w:r>
        <w:rPr>
          <w:rFonts w:hint="default" w:ascii="Times New Roman" w:hAnsi="Times New Roman" w:eastAsia="宋体" w:cs="Times New Roman"/>
          <w:b/>
          <w:bCs/>
          <w:color w:val="auto"/>
          <w:sz w:val="24"/>
          <w:szCs w:val="24"/>
          <w:lang w:val="en-US" w:eastAsia="zh-CN"/>
        </w:rPr>
        <w:t>企业环保责任主体变更证明</w:t>
      </w:r>
      <w:bookmarkEnd w:id="142"/>
    </w:p>
    <w:p w14:paraId="0E22E5DE">
      <w:pPr>
        <w:pageBreakBefore w:val="0"/>
        <w:wordWrap w:val="0"/>
        <w:overflowPunct/>
        <w:bidi w:val="0"/>
        <w:rPr>
          <w:rFonts w:hint="default" w:ascii="Times New Roman" w:hAnsi="Times New Roman" w:cs="Times New Roman"/>
          <w:color w:val="auto"/>
          <w:lang w:val="en-US" w:eastAsia="zh-CN"/>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pPr>
      <w:r>
        <w:rPr>
          <w:rFonts w:hint="default" w:ascii="Times New Roman" w:hAnsi="Times New Roman" w:cs="Times New Roman"/>
          <w:color w:val="auto"/>
          <w:lang w:val="en-US" w:eastAsia="zh-CN"/>
        </w:rPr>
        <w:drawing>
          <wp:inline distT="0" distB="0" distL="114300" distR="114300">
            <wp:extent cx="5358765" cy="7984490"/>
            <wp:effectExtent l="0" t="0" r="13335" b="16510"/>
            <wp:docPr id="199" name="图片 199" descr="6、改名批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6、改名批复"/>
                    <pic:cNvPicPr>
                      <a:picLocks noChangeAspect="1"/>
                    </pic:cNvPicPr>
                  </pic:nvPicPr>
                  <pic:blipFill>
                    <a:blip r:embed="rId79"/>
                    <a:stretch>
                      <a:fillRect/>
                    </a:stretch>
                  </pic:blipFill>
                  <pic:spPr>
                    <a:xfrm>
                      <a:off x="0" y="0"/>
                      <a:ext cx="5358765" cy="7984490"/>
                    </a:xfrm>
                    <a:prstGeom prst="rect">
                      <a:avLst/>
                    </a:prstGeom>
                  </pic:spPr>
                </pic:pic>
              </a:graphicData>
            </a:graphic>
          </wp:inline>
        </w:drawing>
      </w:r>
    </w:p>
    <w:p w14:paraId="001D0F25">
      <w:pPr>
        <w:pStyle w:val="36"/>
        <w:pageBreakBefore w:val="0"/>
        <w:numPr>
          <w:ilvl w:val="0"/>
          <w:numId w:val="14"/>
        </w:numPr>
        <w:wordWrap w:val="0"/>
        <w:overflowPunct/>
        <w:bidi w:val="0"/>
        <w:adjustRightInd/>
        <w:spacing w:after="0" w:line="360" w:lineRule="auto"/>
        <w:ind w:left="0" w:leftChars="0" w:firstLine="0" w:firstLineChars="0"/>
        <w:jc w:val="both"/>
        <w:textAlignment w:val="auto"/>
        <w:outlineLvl w:val="0"/>
        <w:rPr>
          <w:rFonts w:hint="default" w:ascii="Times New Roman" w:hAnsi="Times New Roman" w:eastAsia="宋体" w:cs="Times New Roman"/>
          <w:b/>
          <w:bCs/>
          <w:color w:val="auto"/>
          <w:sz w:val="24"/>
          <w:szCs w:val="24"/>
          <w:lang w:val="en-US" w:eastAsia="zh-CN"/>
        </w:rPr>
      </w:pPr>
      <w:bookmarkStart w:id="143" w:name="_Toc14030"/>
      <w:r>
        <w:rPr>
          <w:rFonts w:hint="default" w:ascii="Times New Roman" w:hAnsi="Times New Roman" w:eastAsia="宋体" w:cs="Times New Roman"/>
          <w:b/>
          <w:bCs/>
          <w:color w:val="auto"/>
          <w:sz w:val="24"/>
          <w:szCs w:val="24"/>
          <w:lang w:val="en-US" w:eastAsia="zh-CN"/>
        </w:rPr>
        <w:t>原项目环评批复</w:t>
      </w:r>
      <w:bookmarkEnd w:id="143"/>
    </w:p>
    <w:p w14:paraId="0122C640">
      <w:pPr>
        <w:pageBreakBefore w:val="0"/>
        <w:wordWrap w:val="0"/>
        <w:overflowPunct/>
        <w:bidi w:val="0"/>
        <w:rPr>
          <w:rFonts w:hint="default" w:ascii="Times New Roman" w:hAnsi="Times New Roman" w:cs="Times New Roman"/>
          <w:color w:val="auto"/>
          <w:lang w:val="en-US" w:eastAsia="zh-CN"/>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pPr>
      <w:r>
        <w:rPr>
          <w:rFonts w:hint="default" w:ascii="Times New Roman" w:hAnsi="Times New Roman" w:cs="Times New Roman"/>
          <w:color w:val="auto"/>
        </w:rPr>
        <w:drawing>
          <wp:inline distT="0" distB="0" distL="114300" distR="114300">
            <wp:extent cx="5407025" cy="7419975"/>
            <wp:effectExtent l="0" t="0" r="3175" b="9525"/>
            <wp:docPr id="1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3"/>
                    <pic:cNvPicPr>
                      <a:picLocks noChangeAspect="1"/>
                    </pic:cNvPicPr>
                  </pic:nvPicPr>
                  <pic:blipFill>
                    <a:blip r:embed="rId80"/>
                    <a:stretch>
                      <a:fillRect/>
                    </a:stretch>
                  </pic:blipFill>
                  <pic:spPr>
                    <a:xfrm>
                      <a:off x="0" y="0"/>
                      <a:ext cx="5407025" cy="741997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4714875" cy="7372350"/>
            <wp:effectExtent l="0" t="0" r="9525" b="0"/>
            <wp:docPr id="17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4"/>
                    <pic:cNvPicPr>
                      <a:picLocks noChangeAspect="1"/>
                    </pic:cNvPicPr>
                  </pic:nvPicPr>
                  <pic:blipFill>
                    <a:blip r:embed="rId81"/>
                    <a:stretch>
                      <a:fillRect/>
                    </a:stretch>
                  </pic:blipFill>
                  <pic:spPr>
                    <a:xfrm>
                      <a:off x="0" y="0"/>
                      <a:ext cx="4714875" cy="7372350"/>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353050" cy="7448550"/>
            <wp:effectExtent l="0" t="0" r="0" b="0"/>
            <wp:docPr id="17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5"/>
                    <pic:cNvPicPr>
                      <a:picLocks noChangeAspect="1"/>
                    </pic:cNvPicPr>
                  </pic:nvPicPr>
                  <pic:blipFill>
                    <a:blip r:embed="rId82"/>
                    <a:stretch>
                      <a:fillRect/>
                    </a:stretch>
                  </pic:blipFill>
                  <pic:spPr>
                    <a:xfrm>
                      <a:off x="0" y="0"/>
                      <a:ext cx="5353050" cy="7448550"/>
                    </a:xfrm>
                    <a:prstGeom prst="rect">
                      <a:avLst/>
                    </a:prstGeom>
                    <a:noFill/>
                    <a:ln>
                      <a:noFill/>
                    </a:ln>
                  </pic:spPr>
                </pic:pic>
              </a:graphicData>
            </a:graphic>
          </wp:inline>
        </w:drawing>
      </w:r>
    </w:p>
    <w:p w14:paraId="2C94B166">
      <w:pPr>
        <w:pStyle w:val="36"/>
        <w:pageBreakBefore w:val="0"/>
        <w:numPr>
          <w:ilvl w:val="0"/>
          <w:numId w:val="14"/>
        </w:numPr>
        <w:wordWrap w:val="0"/>
        <w:overflowPunct/>
        <w:bidi w:val="0"/>
        <w:adjustRightInd/>
        <w:spacing w:after="0" w:line="360" w:lineRule="auto"/>
        <w:ind w:left="0" w:leftChars="0" w:firstLine="0" w:firstLineChars="0"/>
        <w:jc w:val="both"/>
        <w:textAlignment w:val="auto"/>
        <w:outlineLvl w:val="0"/>
        <w:rPr>
          <w:rFonts w:hint="default" w:ascii="Times New Roman" w:hAnsi="Times New Roman" w:eastAsia="宋体" w:cs="Times New Roman"/>
          <w:b/>
          <w:bCs/>
          <w:color w:val="auto"/>
          <w:sz w:val="24"/>
          <w:szCs w:val="24"/>
          <w:lang w:val="en-US" w:eastAsia="zh-CN"/>
        </w:rPr>
      </w:pPr>
      <w:bookmarkStart w:id="144" w:name="_Toc16530"/>
      <w:r>
        <w:rPr>
          <w:rFonts w:hint="default" w:ascii="Times New Roman" w:hAnsi="Times New Roman" w:eastAsia="宋体" w:cs="Times New Roman"/>
          <w:b/>
          <w:bCs/>
          <w:color w:val="auto"/>
          <w:sz w:val="24"/>
          <w:szCs w:val="24"/>
          <w:lang w:val="en-US" w:eastAsia="zh-CN"/>
        </w:rPr>
        <w:t>原项目一期、二期验收意见</w:t>
      </w:r>
      <w:bookmarkEnd w:id="144"/>
    </w:p>
    <w:p w14:paraId="5720F827">
      <w:pPr>
        <w:pageBreakBefore w:val="0"/>
        <w:wordWrap w:val="0"/>
        <w:overflowPunct/>
        <w:bidi w:val="0"/>
        <w:rPr>
          <w:rFonts w:hint="default" w:ascii="Times New Roman" w:hAnsi="Times New Roman" w:cs="Times New Roman"/>
          <w:color w:val="auto"/>
          <w:lang w:val="en-US" w:eastAsia="zh-CN"/>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pPr>
      <w:r>
        <w:rPr>
          <w:rFonts w:hint="default" w:ascii="Times New Roman" w:hAnsi="Times New Roman" w:cs="Times New Roman"/>
          <w:color w:val="auto"/>
        </w:rPr>
        <w:drawing>
          <wp:inline distT="0" distB="0" distL="114300" distR="114300">
            <wp:extent cx="5372100" cy="7877175"/>
            <wp:effectExtent l="0" t="0" r="0" b="9525"/>
            <wp:docPr id="17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6"/>
                    <pic:cNvPicPr>
                      <a:picLocks noChangeAspect="1"/>
                    </pic:cNvPicPr>
                  </pic:nvPicPr>
                  <pic:blipFill>
                    <a:blip r:embed="rId83"/>
                    <a:stretch>
                      <a:fillRect/>
                    </a:stretch>
                  </pic:blipFill>
                  <pic:spPr>
                    <a:xfrm>
                      <a:off x="0" y="0"/>
                      <a:ext cx="5372100" cy="787717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610225" cy="7991475"/>
            <wp:effectExtent l="0" t="0" r="9525" b="9525"/>
            <wp:docPr id="18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7"/>
                    <pic:cNvPicPr>
                      <a:picLocks noChangeAspect="1"/>
                    </pic:cNvPicPr>
                  </pic:nvPicPr>
                  <pic:blipFill>
                    <a:blip r:embed="rId84"/>
                    <a:stretch>
                      <a:fillRect/>
                    </a:stretch>
                  </pic:blipFill>
                  <pic:spPr>
                    <a:xfrm>
                      <a:off x="0" y="0"/>
                      <a:ext cx="5610225" cy="799147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381625" cy="7915275"/>
            <wp:effectExtent l="0" t="0" r="9525" b="9525"/>
            <wp:docPr id="18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
                    <pic:cNvPicPr>
                      <a:picLocks noChangeAspect="1"/>
                    </pic:cNvPicPr>
                  </pic:nvPicPr>
                  <pic:blipFill>
                    <a:blip r:embed="rId85"/>
                    <a:stretch>
                      <a:fillRect/>
                    </a:stretch>
                  </pic:blipFill>
                  <pic:spPr>
                    <a:xfrm>
                      <a:off x="0" y="0"/>
                      <a:ext cx="5381625" cy="791527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343525" cy="7781925"/>
            <wp:effectExtent l="0" t="0" r="9525" b="9525"/>
            <wp:docPr id="18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9"/>
                    <pic:cNvPicPr>
                      <a:picLocks noChangeAspect="1"/>
                    </pic:cNvPicPr>
                  </pic:nvPicPr>
                  <pic:blipFill>
                    <a:blip r:embed="rId86"/>
                    <a:stretch>
                      <a:fillRect/>
                    </a:stretch>
                  </pic:blipFill>
                  <pic:spPr>
                    <a:xfrm>
                      <a:off x="0" y="0"/>
                      <a:ext cx="5343525" cy="778192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162550" cy="7800975"/>
            <wp:effectExtent l="0" t="0" r="0" b="9525"/>
            <wp:docPr id="18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0"/>
                    <pic:cNvPicPr>
                      <a:picLocks noChangeAspect="1"/>
                    </pic:cNvPicPr>
                  </pic:nvPicPr>
                  <pic:blipFill>
                    <a:blip r:embed="rId87"/>
                    <a:stretch>
                      <a:fillRect/>
                    </a:stretch>
                  </pic:blipFill>
                  <pic:spPr>
                    <a:xfrm>
                      <a:off x="0" y="0"/>
                      <a:ext cx="5162550" cy="780097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114925" cy="7667625"/>
            <wp:effectExtent l="0" t="0" r="9525" b="9525"/>
            <wp:docPr id="18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1"/>
                    <pic:cNvPicPr>
                      <a:picLocks noChangeAspect="1"/>
                    </pic:cNvPicPr>
                  </pic:nvPicPr>
                  <pic:blipFill>
                    <a:blip r:embed="rId88"/>
                    <a:stretch>
                      <a:fillRect/>
                    </a:stretch>
                  </pic:blipFill>
                  <pic:spPr>
                    <a:xfrm>
                      <a:off x="0" y="0"/>
                      <a:ext cx="5114925" cy="766762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248275" cy="7724775"/>
            <wp:effectExtent l="0" t="0" r="9525" b="9525"/>
            <wp:docPr id="18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2"/>
                    <pic:cNvPicPr>
                      <a:picLocks noChangeAspect="1"/>
                    </pic:cNvPicPr>
                  </pic:nvPicPr>
                  <pic:blipFill>
                    <a:blip r:embed="rId89"/>
                    <a:stretch>
                      <a:fillRect/>
                    </a:stretch>
                  </pic:blipFill>
                  <pic:spPr>
                    <a:xfrm>
                      <a:off x="0" y="0"/>
                      <a:ext cx="5248275" cy="772477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934710" cy="7642225"/>
            <wp:effectExtent l="0" t="0" r="8890" b="15875"/>
            <wp:docPr id="18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3"/>
                    <pic:cNvPicPr>
                      <a:picLocks noChangeAspect="1"/>
                    </pic:cNvPicPr>
                  </pic:nvPicPr>
                  <pic:blipFill>
                    <a:blip r:embed="rId90"/>
                    <a:stretch>
                      <a:fillRect/>
                    </a:stretch>
                  </pic:blipFill>
                  <pic:spPr>
                    <a:xfrm>
                      <a:off x="0" y="0"/>
                      <a:ext cx="5934710" cy="764222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581650" cy="7991475"/>
            <wp:effectExtent l="0" t="0" r="0" b="9525"/>
            <wp:docPr id="18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4"/>
                    <pic:cNvPicPr>
                      <a:picLocks noChangeAspect="1"/>
                    </pic:cNvPicPr>
                  </pic:nvPicPr>
                  <pic:blipFill>
                    <a:blip r:embed="rId91"/>
                    <a:stretch>
                      <a:fillRect/>
                    </a:stretch>
                  </pic:blipFill>
                  <pic:spPr>
                    <a:xfrm>
                      <a:off x="0" y="0"/>
                      <a:ext cx="5581650" cy="799147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438775" cy="8058150"/>
            <wp:effectExtent l="0" t="0" r="9525" b="0"/>
            <wp:docPr id="18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25"/>
                    <pic:cNvPicPr>
                      <a:picLocks noChangeAspect="1"/>
                    </pic:cNvPicPr>
                  </pic:nvPicPr>
                  <pic:blipFill>
                    <a:blip r:embed="rId92"/>
                    <a:stretch>
                      <a:fillRect/>
                    </a:stretch>
                  </pic:blipFill>
                  <pic:spPr>
                    <a:xfrm>
                      <a:off x="0" y="0"/>
                      <a:ext cx="5438775" cy="8058150"/>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553075" cy="7962900"/>
            <wp:effectExtent l="0" t="0" r="9525" b="0"/>
            <wp:docPr id="18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6"/>
                    <pic:cNvPicPr>
                      <a:picLocks noChangeAspect="1"/>
                    </pic:cNvPicPr>
                  </pic:nvPicPr>
                  <pic:blipFill>
                    <a:blip r:embed="rId93"/>
                    <a:stretch>
                      <a:fillRect/>
                    </a:stretch>
                  </pic:blipFill>
                  <pic:spPr>
                    <a:xfrm>
                      <a:off x="0" y="0"/>
                      <a:ext cx="5553075" cy="7962900"/>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562600" cy="8096250"/>
            <wp:effectExtent l="0" t="0" r="0" b="0"/>
            <wp:docPr id="19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27"/>
                    <pic:cNvPicPr>
                      <a:picLocks noChangeAspect="1"/>
                    </pic:cNvPicPr>
                  </pic:nvPicPr>
                  <pic:blipFill>
                    <a:blip r:embed="rId94"/>
                    <a:stretch>
                      <a:fillRect/>
                    </a:stretch>
                  </pic:blipFill>
                  <pic:spPr>
                    <a:xfrm>
                      <a:off x="0" y="0"/>
                      <a:ext cx="5562600" cy="8096250"/>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486400" cy="8058150"/>
            <wp:effectExtent l="0" t="0" r="0" b="0"/>
            <wp:docPr id="19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28"/>
                    <pic:cNvPicPr>
                      <a:picLocks noChangeAspect="1"/>
                    </pic:cNvPicPr>
                  </pic:nvPicPr>
                  <pic:blipFill>
                    <a:blip r:embed="rId95"/>
                    <a:stretch>
                      <a:fillRect/>
                    </a:stretch>
                  </pic:blipFill>
                  <pic:spPr>
                    <a:xfrm>
                      <a:off x="0" y="0"/>
                      <a:ext cx="5486400" cy="8058150"/>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219700" cy="8029575"/>
            <wp:effectExtent l="0" t="0" r="0" b="9525"/>
            <wp:docPr id="19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29"/>
                    <pic:cNvPicPr>
                      <a:picLocks noChangeAspect="1"/>
                    </pic:cNvPicPr>
                  </pic:nvPicPr>
                  <pic:blipFill>
                    <a:blip r:embed="rId96"/>
                    <a:stretch>
                      <a:fillRect/>
                    </a:stretch>
                  </pic:blipFill>
                  <pic:spPr>
                    <a:xfrm>
                      <a:off x="0" y="0"/>
                      <a:ext cx="5219700" cy="802957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791200" cy="8181975"/>
            <wp:effectExtent l="0" t="0" r="0" b="9525"/>
            <wp:docPr id="19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0"/>
                    <pic:cNvPicPr>
                      <a:picLocks noChangeAspect="1"/>
                    </pic:cNvPicPr>
                  </pic:nvPicPr>
                  <pic:blipFill>
                    <a:blip r:embed="rId97"/>
                    <a:stretch>
                      <a:fillRect/>
                    </a:stretch>
                  </pic:blipFill>
                  <pic:spPr>
                    <a:xfrm>
                      <a:off x="0" y="0"/>
                      <a:ext cx="5791200" cy="818197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362575" cy="8067675"/>
            <wp:effectExtent l="0" t="0" r="9525" b="9525"/>
            <wp:docPr id="19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1"/>
                    <pic:cNvPicPr>
                      <a:picLocks noChangeAspect="1"/>
                    </pic:cNvPicPr>
                  </pic:nvPicPr>
                  <pic:blipFill>
                    <a:blip r:embed="rId98"/>
                    <a:stretch>
                      <a:fillRect/>
                    </a:stretch>
                  </pic:blipFill>
                  <pic:spPr>
                    <a:xfrm>
                      <a:off x="0" y="0"/>
                      <a:ext cx="5362575" cy="806767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219700" cy="7639050"/>
            <wp:effectExtent l="0" t="0" r="0" b="0"/>
            <wp:docPr id="19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32"/>
                    <pic:cNvPicPr>
                      <a:picLocks noChangeAspect="1"/>
                    </pic:cNvPicPr>
                  </pic:nvPicPr>
                  <pic:blipFill>
                    <a:blip r:embed="rId99"/>
                    <a:stretch>
                      <a:fillRect/>
                    </a:stretch>
                  </pic:blipFill>
                  <pic:spPr>
                    <a:xfrm>
                      <a:off x="0" y="0"/>
                      <a:ext cx="5219700" cy="7639050"/>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391150" cy="8086725"/>
            <wp:effectExtent l="0" t="0" r="0" b="9525"/>
            <wp:docPr id="19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33"/>
                    <pic:cNvPicPr>
                      <a:picLocks noChangeAspect="1"/>
                    </pic:cNvPicPr>
                  </pic:nvPicPr>
                  <pic:blipFill>
                    <a:blip r:embed="rId100"/>
                    <a:stretch>
                      <a:fillRect/>
                    </a:stretch>
                  </pic:blipFill>
                  <pic:spPr>
                    <a:xfrm>
                      <a:off x="0" y="0"/>
                      <a:ext cx="5391150" cy="808672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200650" cy="7534275"/>
            <wp:effectExtent l="0" t="0" r="0" b="9525"/>
            <wp:docPr id="19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4"/>
                    <pic:cNvPicPr>
                      <a:picLocks noChangeAspect="1"/>
                    </pic:cNvPicPr>
                  </pic:nvPicPr>
                  <pic:blipFill>
                    <a:blip r:embed="rId101"/>
                    <a:stretch>
                      <a:fillRect/>
                    </a:stretch>
                  </pic:blipFill>
                  <pic:spPr>
                    <a:xfrm>
                      <a:off x="0" y="0"/>
                      <a:ext cx="5200650" cy="7534275"/>
                    </a:xfrm>
                    <a:prstGeom prst="rect">
                      <a:avLst/>
                    </a:prstGeom>
                    <a:noFill/>
                    <a:ln>
                      <a:noFill/>
                    </a:ln>
                  </pic:spPr>
                </pic:pic>
              </a:graphicData>
            </a:graphic>
          </wp:inline>
        </w:drawing>
      </w:r>
    </w:p>
    <w:p w14:paraId="6128E95E">
      <w:pPr>
        <w:pStyle w:val="36"/>
        <w:pageBreakBefore w:val="0"/>
        <w:numPr>
          <w:ilvl w:val="0"/>
          <w:numId w:val="14"/>
        </w:numPr>
        <w:wordWrap w:val="0"/>
        <w:overflowPunct/>
        <w:bidi w:val="0"/>
        <w:adjustRightInd/>
        <w:spacing w:after="0" w:line="360" w:lineRule="auto"/>
        <w:ind w:left="0" w:leftChars="0" w:firstLine="0" w:firstLineChars="0"/>
        <w:jc w:val="both"/>
        <w:textAlignment w:val="auto"/>
        <w:outlineLvl w:val="0"/>
        <w:rPr>
          <w:rFonts w:hint="default" w:ascii="Times New Roman" w:hAnsi="Times New Roman" w:eastAsia="宋体" w:cs="Times New Roman"/>
          <w:b/>
          <w:bCs/>
          <w:color w:val="auto"/>
          <w:sz w:val="24"/>
          <w:szCs w:val="24"/>
          <w:lang w:val="en-US" w:eastAsia="zh-CN"/>
        </w:rPr>
      </w:pPr>
      <w:bookmarkStart w:id="145" w:name="_Toc22395"/>
      <w:r>
        <w:rPr>
          <w:rFonts w:hint="default" w:ascii="Times New Roman" w:hAnsi="Times New Roman" w:eastAsia="宋体" w:cs="Times New Roman"/>
          <w:b/>
          <w:bCs/>
          <w:color w:val="auto"/>
          <w:sz w:val="24"/>
          <w:szCs w:val="24"/>
          <w:lang w:val="en-US" w:eastAsia="zh-CN"/>
        </w:rPr>
        <w:t>排污许可证</w:t>
      </w:r>
      <w:bookmarkEnd w:id="145"/>
    </w:p>
    <w:p w14:paraId="1420EC29">
      <w:pPr>
        <w:pStyle w:val="36"/>
        <w:pageBreakBefore w:val="0"/>
        <w:widowControl/>
        <w:numPr>
          <w:ilvl w:val="0"/>
          <w:numId w:val="0"/>
        </w:numPr>
        <w:tabs>
          <w:tab w:val="left" w:pos="420"/>
        </w:tabs>
        <w:wordWrap w:val="0"/>
        <w:overflowPunct/>
        <w:bidi w:val="0"/>
        <w:adjustRightInd/>
        <w:spacing w:after="0" w:line="360" w:lineRule="auto"/>
        <w:jc w:val="center"/>
        <w:textAlignment w:val="auto"/>
        <w:outlineLvl w:val="9"/>
        <w:rPr>
          <w:rFonts w:hint="default" w:ascii="Times New Roman" w:hAnsi="Times New Roman" w:cs="Times New Roman"/>
          <w:b/>
          <w:bCs/>
          <w:color w:val="auto"/>
          <w:sz w:val="24"/>
          <w:szCs w:val="24"/>
          <w:lang w:val="en-US" w:eastAsia="zh-CN"/>
        </w:rPr>
      </w:pPr>
      <w:r>
        <w:rPr>
          <w:rFonts w:hint="default" w:ascii="Times New Roman" w:hAnsi="Times New Roman" w:cs="Times New Roman"/>
          <w:color w:val="auto"/>
        </w:rPr>
        <w:drawing>
          <wp:inline distT="0" distB="0" distL="114300" distR="114300">
            <wp:extent cx="7446645" cy="4716780"/>
            <wp:effectExtent l="0" t="0" r="1905" b="7620"/>
            <wp:docPr id="19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35"/>
                    <pic:cNvPicPr>
                      <a:picLocks noChangeAspect="1"/>
                    </pic:cNvPicPr>
                  </pic:nvPicPr>
                  <pic:blipFill>
                    <a:blip r:embed="rId102"/>
                    <a:stretch>
                      <a:fillRect/>
                    </a:stretch>
                  </pic:blipFill>
                  <pic:spPr>
                    <a:xfrm>
                      <a:off x="0" y="0"/>
                      <a:ext cx="7446645" cy="4716780"/>
                    </a:xfrm>
                    <a:prstGeom prst="rect">
                      <a:avLst/>
                    </a:prstGeom>
                    <a:noFill/>
                    <a:ln>
                      <a:noFill/>
                    </a:ln>
                  </pic:spPr>
                </pic:pic>
              </a:graphicData>
            </a:graphic>
          </wp:inline>
        </w:drawing>
      </w:r>
    </w:p>
    <w:p w14:paraId="20F0BCCD">
      <w:pPr>
        <w:pageBreakBefore w:val="0"/>
        <w:wordWrap w:val="0"/>
        <w:overflowPunct/>
        <w:bidi w:val="0"/>
        <w:rPr>
          <w:rFonts w:hint="default" w:ascii="Times New Roman" w:hAnsi="Times New Roman" w:cs="Times New Roman"/>
          <w:color w:val="auto"/>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14374127">
      <w:pPr>
        <w:pStyle w:val="36"/>
        <w:pageBreakBefore w:val="0"/>
        <w:numPr>
          <w:ilvl w:val="0"/>
          <w:numId w:val="14"/>
        </w:numPr>
        <w:wordWrap w:val="0"/>
        <w:overflowPunct/>
        <w:bidi w:val="0"/>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46" w:name="_Toc15312"/>
      <w:r>
        <w:rPr>
          <w:rFonts w:hint="default" w:ascii="Times New Roman" w:hAnsi="Times New Roman" w:cs="Times New Roman"/>
          <w:b/>
          <w:bCs/>
          <w:color w:val="auto"/>
          <w:sz w:val="24"/>
          <w:szCs w:val="24"/>
          <w:lang w:val="en-US" w:eastAsia="zh-CN"/>
        </w:rPr>
        <w:t>环境质量现状监测报告（摘录部分）</w:t>
      </w:r>
      <w:bookmarkEnd w:id="146"/>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14:paraId="0DAB3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vAlign w:val="center"/>
          </w:tcPr>
          <w:p w14:paraId="695300B3">
            <w:pPr>
              <w:pStyle w:val="46"/>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vertAlign w:val="baseli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8890" b="13970"/>
                  <wp:docPr id="258" name="图片 258" descr="乐昌产业转移工业园2022年度环境管理状况评估监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乐昌产业转移工业园2022年度环境管理状况评估监测_00"/>
                          <pic:cNvPicPr>
                            <a:picLocks noChangeAspect="1"/>
                          </pic:cNvPicPr>
                        </pic:nvPicPr>
                        <pic:blipFill>
                          <a:blip r:embed="rId103"/>
                          <a:stretch>
                            <a:fillRect/>
                          </a:stretch>
                        </pic:blipFill>
                        <pic:spPr>
                          <a:xfrm>
                            <a:off x="0" y="0"/>
                            <a:ext cx="5267960" cy="7453630"/>
                          </a:xfrm>
                          <a:prstGeom prst="rect">
                            <a:avLst/>
                          </a:prstGeom>
                        </pic:spPr>
                      </pic:pic>
                    </a:graphicData>
                  </a:graphic>
                </wp:inline>
              </w:drawing>
            </w:r>
          </w:p>
        </w:tc>
      </w:tr>
      <w:tr w14:paraId="519D9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344BF93E">
            <w:pPr>
              <w:pStyle w:val="46"/>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8890" b="13970"/>
                  <wp:docPr id="257" name="图片 257" descr="乐昌产业转移工业园2022年度环境管理状况评估监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乐昌产业转移工业园2022年度环境管理状况评估监测_01"/>
                          <pic:cNvPicPr>
                            <a:picLocks noChangeAspect="1"/>
                          </pic:cNvPicPr>
                        </pic:nvPicPr>
                        <pic:blipFill>
                          <a:blip r:embed="rId104"/>
                          <a:stretch>
                            <a:fillRect/>
                          </a:stretch>
                        </pic:blipFill>
                        <pic:spPr>
                          <a:xfrm>
                            <a:off x="0" y="0"/>
                            <a:ext cx="5267960" cy="7453630"/>
                          </a:xfrm>
                          <a:prstGeom prst="rect">
                            <a:avLst/>
                          </a:prstGeom>
                        </pic:spPr>
                      </pic:pic>
                    </a:graphicData>
                  </a:graphic>
                </wp:inline>
              </w:drawing>
            </w:r>
          </w:p>
        </w:tc>
      </w:tr>
      <w:tr w14:paraId="57F09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3C34B0ED">
            <w:pPr>
              <w:pStyle w:val="46"/>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8890" b="13970"/>
                  <wp:docPr id="256" name="图片 256" descr="乐昌产业转移工业园2022年度环境管理状况评估监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乐昌产业转移工业园2022年度环境管理状况评估监测_02"/>
                          <pic:cNvPicPr>
                            <a:picLocks noChangeAspect="1"/>
                          </pic:cNvPicPr>
                        </pic:nvPicPr>
                        <pic:blipFill>
                          <a:blip r:embed="rId105"/>
                          <a:stretch>
                            <a:fillRect/>
                          </a:stretch>
                        </pic:blipFill>
                        <pic:spPr>
                          <a:xfrm>
                            <a:off x="0" y="0"/>
                            <a:ext cx="5267960" cy="7453630"/>
                          </a:xfrm>
                          <a:prstGeom prst="rect">
                            <a:avLst/>
                          </a:prstGeom>
                        </pic:spPr>
                      </pic:pic>
                    </a:graphicData>
                  </a:graphic>
                </wp:inline>
              </w:drawing>
            </w:r>
          </w:p>
        </w:tc>
      </w:tr>
      <w:tr w14:paraId="45C1C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11BA0385">
            <w:pPr>
              <w:pStyle w:val="46"/>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8890" b="13970"/>
                  <wp:docPr id="52" name="图片 52" descr="乐昌产业转移工业园2022年度环境管理状况评估监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乐昌产业转移工业园2022年度环境管理状况评估监测_03"/>
                          <pic:cNvPicPr>
                            <a:picLocks noChangeAspect="1"/>
                          </pic:cNvPicPr>
                        </pic:nvPicPr>
                        <pic:blipFill>
                          <a:blip r:embed="rId106"/>
                          <a:stretch>
                            <a:fillRect/>
                          </a:stretch>
                        </pic:blipFill>
                        <pic:spPr>
                          <a:xfrm>
                            <a:off x="0" y="0"/>
                            <a:ext cx="5267960" cy="7453630"/>
                          </a:xfrm>
                          <a:prstGeom prst="rect">
                            <a:avLst/>
                          </a:prstGeom>
                        </pic:spPr>
                      </pic:pic>
                    </a:graphicData>
                  </a:graphic>
                </wp:inline>
              </w:drawing>
            </w:r>
          </w:p>
        </w:tc>
      </w:tr>
      <w:tr w14:paraId="3B896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2BEB8D84">
            <w:pPr>
              <w:pStyle w:val="46"/>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8890" b="13970"/>
                  <wp:docPr id="252" name="图片 252" descr="乐昌产业转移工业园2022年度环境管理状况评估监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乐昌产业转移工业园2022年度环境管理状况评估监测_06"/>
                          <pic:cNvPicPr>
                            <a:picLocks noChangeAspect="1"/>
                          </pic:cNvPicPr>
                        </pic:nvPicPr>
                        <pic:blipFill>
                          <a:blip r:embed="rId107"/>
                          <a:stretch>
                            <a:fillRect/>
                          </a:stretch>
                        </pic:blipFill>
                        <pic:spPr>
                          <a:xfrm>
                            <a:off x="0" y="0"/>
                            <a:ext cx="5267960" cy="7453630"/>
                          </a:xfrm>
                          <a:prstGeom prst="rect">
                            <a:avLst/>
                          </a:prstGeom>
                        </pic:spPr>
                      </pic:pic>
                    </a:graphicData>
                  </a:graphic>
                </wp:inline>
              </w:drawing>
            </w:r>
          </w:p>
        </w:tc>
      </w:tr>
      <w:tr w14:paraId="034CF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7A1595B0">
            <w:pPr>
              <w:pStyle w:val="46"/>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8890" b="13970"/>
                  <wp:docPr id="251" name="图片 251" descr="乐昌产业转移工业园2022年度环境管理状况评估监测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乐昌产业转移工业园2022年度环境管理状况评估监测_07"/>
                          <pic:cNvPicPr>
                            <a:picLocks noChangeAspect="1"/>
                          </pic:cNvPicPr>
                        </pic:nvPicPr>
                        <pic:blipFill>
                          <a:blip r:embed="rId108"/>
                          <a:stretch>
                            <a:fillRect/>
                          </a:stretch>
                        </pic:blipFill>
                        <pic:spPr>
                          <a:xfrm>
                            <a:off x="0" y="0"/>
                            <a:ext cx="5267960" cy="7453630"/>
                          </a:xfrm>
                          <a:prstGeom prst="rect">
                            <a:avLst/>
                          </a:prstGeom>
                        </pic:spPr>
                      </pic:pic>
                    </a:graphicData>
                  </a:graphic>
                </wp:inline>
              </w:drawing>
            </w:r>
          </w:p>
        </w:tc>
      </w:tr>
      <w:tr w14:paraId="142D7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35F85A99">
            <w:pPr>
              <w:pStyle w:val="46"/>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8890" b="13970"/>
                  <wp:docPr id="236" name="图片 236" descr="乐昌产业转移工业园2022年度环境管理状况评估监测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乐昌产业转移工业园2022年度环境管理状况评估监测_21"/>
                          <pic:cNvPicPr>
                            <a:picLocks noChangeAspect="1"/>
                          </pic:cNvPicPr>
                        </pic:nvPicPr>
                        <pic:blipFill>
                          <a:blip r:embed="rId109"/>
                          <a:stretch>
                            <a:fillRect/>
                          </a:stretch>
                        </pic:blipFill>
                        <pic:spPr>
                          <a:xfrm>
                            <a:off x="0" y="0"/>
                            <a:ext cx="5267960" cy="7453630"/>
                          </a:xfrm>
                          <a:prstGeom prst="rect">
                            <a:avLst/>
                          </a:prstGeom>
                        </pic:spPr>
                      </pic:pic>
                    </a:graphicData>
                  </a:graphic>
                </wp:inline>
              </w:drawing>
            </w:r>
          </w:p>
        </w:tc>
      </w:tr>
      <w:tr w14:paraId="62CF7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7C98B702">
            <w:pPr>
              <w:pStyle w:val="46"/>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8890" b="13970"/>
                  <wp:docPr id="235" name="图片 235" descr="乐昌产业转移工业园2022年度环境管理状况评估监测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乐昌产业转移工业园2022年度环境管理状况评估监测_22"/>
                          <pic:cNvPicPr>
                            <a:picLocks noChangeAspect="1"/>
                          </pic:cNvPicPr>
                        </pic:nvPicPr>
                        <pic:blipFill>
                          <a:blip r:embed="rId110"/>
                          <a:stretch>
                            <a:fillRect/>
                          </a:stretch>
                        </pic:blipFill>
                        <pic:spPr>
                          <a:xfrm>
                            <a:off x="0" y="0"/>
                            <a:ext cx="5267960" cy="7453630"/>
                          </a:xfrm>
                          <a:prstGeom prst="rect">
                            <a:avLst/>
                          </a:prstGeom>
                        </pic:spPr>
                      </pic:pic>
                    </a:graphicData>
                  </a:graphic>
                </wp:inline>
              </w:drawing>
            </w:r>
          </w:p>
        </w:tc>
      </w:tr>
      <w:tr w14:paraId="4E7A6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4F6FD1EF">
            <w:pPr>
              <w:pStyle w:val="46"/>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8890" b="13970"/>
                  <wp:docPr id="234" name="图片 234" descr="乐昌产业转移工业园2022年度环境管理状况评估监测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乐昌产业转移工业园2022年度环境管理状况评估监测_23"/>
                          <pic:cNvPicPr>
                            <a:picLocks noChangeAspect="1"/>
                          </pic:cNvPicPr>
                        </pic:nvPicPr>
                        <pic:blipFill>
                          <a:blip r:embed="rId111"/>
                          <a:stretch>
                            <a:fillRect/>
                          </a:stretch>
                        </pic:blipFill>
                        <pic:spPr>
                          <a:xfrm>
                            <a:off x="0" y="0"/>
                            <a:ext cx="5267960" cy="7453630"/>
                          </a:xfrm>
                          <a:prstGeom prst="rect">
                            <a:avLst/>
                          </a:prstGeom>
                        </pic:spPr>
                      </pic:pic>
                    </a:graphicData>
                  </a:graphic>
                </wp:inline>
              </w:drawing>
            </w:r>
          </w:p>
        </w:tc>
      </w:tr>
      <w:tr w14:paraId="240D3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6FC2A99E">
            <w:pPr>
              <w:pStyle w:val="46"/>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8890" b="13970"/>
                  <wp:docPr id="233" name="图片 233" descr="乐昌产业转移工业园2022年度环境管理状况评估监测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乐昌产业转移工业园2022年度环境管理状况评估监测_24"/>
                          <pic:cNvPicPr>
                            <a:picLocks noChangeAspect="1"/>
                          </pic:cNvPicPr>
                        </pic:nvPicPr>
                        <pic:blipFill>
                          <a:blip r:embed="rId112"/>
                          <a:stretch>
                            <a:fillRect/>
                          </a:stretch>
                        </pic:blipFill>
                        <pic:spPr>
                          <a:xfrm>
                            <a:off x="0" y="0"/>
                            <a:ext cx="5267960" cy="7453630"/>
                          </a:xfrm>
                          <a:prstGeom prst="rect">
                            <a:avLst/>
                          </a:prstGeom>
                        </pic:spPr>
                      </pic:pic>
                    </a:graphicData>
                  </a:graphic>
                </wp:inline>
              </w:drawing>
            </w:r>
          </w:p>
        </w:tc>
      </w:tr>
      <w:tr w14:paraId="67409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4EDA3E67">
            <w:pPr>
              <w:pStyle w:val="46"/>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8890" b="13970"/>
                  <wp:docPr id="227" name="图片 227" descr="乐昌产业转移工业园2022年度环境管理状况评估监测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乐昌产业转移工业园2022年度环境管理状况评估监测_30"/>
                          <pic:cNvPicPr>
                            <a:picLocks noChangeAspect="1"/>
                          </pic:cNvPicPr>
                        </pic:nvPicPr>
                        <pic:blipFill>
                          <a:blip r:embed="rId113"/>
                          <a:stretch>
                            <a:fillRect/>
                          </a:stretch>
                        </pic:blipFill>
                        <pic:spPr>
                          <a:xfrm>
                            <a:off x="0" y="0"/>
                            <a:ext cx="5267960" cy="7453630"/>
                          </a:xfrm>
                          <a:prstGeom prst="rect">
                            <a:avLst/>
                          </a:prstGeom>
                        </pic:spPr>
                      </pic:pic>
                    </a:graphicData>
                  </a:graphic>
                </wp:inline>
              </w:drawing>
            </w:r>
          </w:p>
        </w:tc>
      </w:tr>
    </w:tbl>
    <w:p w14:paraId="7E5534DE">
      <w:pPr>
        <w:pStyle w:val="43"/>
        <w:pageBreakBefore w:val="0"/>
        <w:wordWrap w:val="0"/>
        <w:overflowPunct/>
        <w:bidi w:val="0"/>
        <w:rPr>
          <w:rFonts w:hint="default" w:ascii="Times New Roman" w:hAnsi="Times New Roman" w:cs="Times New Roman"/>
          <w:color w:val="auto"/>
          <w:highlight w:val="none"/>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14B69184">
      <w:pPr>
        <w:pStyle w:val="36"/>
        <w:pageBreakBefore w:val="0"/>
        <w:numPr>
          <w:ilvl w:val="0"/>
          <w:numId w:val="14"/>
        </w:numPr>
        <w:wordWrap w:val="0"/>
        <w:overflowPunct/>
        <w:bidi w:val="0"/>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47" w:name="_Toc660"/>
      <w:r>
        <w:rPr>
          <w:rFonts w:hint="default" w:ascii="Times New Roman" w:hAnsi="Times New Roman" w:cs="Times New Roman"/>
          <w:b/>
          <w:bCs/>
          <w:color w:val="auto"/>
          <w:sz w:val="24"/>
          <w:szCs w:val="24"/>
          <w:lang w:val="en-US" w:eastAsia="zh-CN"/>
        </w:rPr>
        <w:t>原辅料MSDS</w:t>
      </w:r>
      <w:bookmarkEnd w:id="147"/>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9"/>
      </w:tblGrid>
      <w:tr w14:paraId="37AE7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FEC7FB8">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水性漆</w:t>
            </w:r>
          </w:p>
        </w:tc>
      </w:tr>
      <w:tr w14:paraId="4F409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78AA4B88">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rPr>
              <w:drawing>
                <wp:inline distT="0" distB="0" distL="0" distR="0">
                  <wp:extent cx="5615940" cy="7953375"/>
                  <wp:effectExtent l="0" t="0" r="3810" b="9525"/>
                  <wp:docPr id="10386730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673081" name="图片 1"/>
                          <pic:cNvPicPr>
                            <a:picLocks noChangeAspect="1"/>
                          </pic:cNvPicPr>
                        </pic:nvPicPr>
                        <pic:blipFill>
                          <a:blip r:embed="rId114"/>
                          <a:stretch>
                            <a:fillRect/>
                          </a:stretch>
                        </pic:blipFill>
                        <pic:spPr>
                          <a:xfrm>
                            <a:off x="0" y="0"/>
                            <a:ext cx="5615940" cy="7953375"/>
                          </a:xfrm>
                          <a:prstGeom prst="rect">
                            <a:avLst/>
                          </a:prstGeom>
                        </pic:spPr>
                      </pic:pic>
                    </a:graphicData>
                  </a:graphic>
                </wp:inline>
              </w:drawing>
            </w:r>
          </w:p>
        </w:tc>
      </w:tr>
      <w:tr w14:paraId="092D2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EDBAFBA">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rPr>
              <w:drawing>
                <wp:inline distT="0" distB="0" distL="0" distR="0">
                  <wp:extent cx="5615940" cy="7944485"/>
                  <wp:effectExtent l="0" t="0" r="3810" b="18415"/>
                  <wp:docPr id="13191046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104641" name="图片 2"/>
                          <pic:cNvPicPr>
                            <a:picLocks noChangeAspect="1" noChangeArrowheads="1"/>
                          </pic:cNvPicPr>
                        </pic:nvPicPr>
                        <pic:blipFill>
                          <a:blip r:embed="rId115"/>
                          <a:srcRect/>
                          <a:stretch>
                            <a:fillRect/>
                          </a:stretch>
                        </pic:blipFill>
                        <pic:spPr>
                          <a:xfrm>
                            <a:off x="0" y="0"/>
                            <a:ext cx="5615940" cy="7944485"/>
                          </a:xfrm>
                          <a:prstGeom prst="rect">
                            <a:avLst/>
                          </a:prstGeom>
                          <a:noFill/>
                          <a:ln>
                            <a:noFill/>
                          </a:ln>
                        </pic:spPr>
                      </pic:pic>
                    </a:graphicData>
                  </a:graphic>
                </wp:inline>
              </w:drawing>
            </w:r>
          </w:p>
        </w:tc>
      </w:tr>
      <w:tr w14:paraId="157B7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FE92B3D">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rPr>
              <w:drawing>
                <wp:inline distT="0" distB="0" distL="0" distR="0">
                  <wp:extent cx="5615940" cy="7944485"/>
                  <wp:effectExtent l="0" t="0" r="3810" b="18415"/>
                  <wp:docPr id="17545458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545836" name="图片 3"/>
                          <pic:cNvPicPr>
                            <a:picLocks noChangeAspect="1" noChangeArrowheads="1"/>
                          </pic:cNvPicPr>
                        </pic:nvPicPr>
                        <pic:blipFill>
                          <a:blip r:embed="rId116"/>
                          <a:srcRect/>
                          <a:stretch>
                            <a:fillRect/>
                          </a:stretch>
                        </pic:blipFill>
                        <pic:spPr>
                          <a:xfrm>
                            <a:off x="0" y="0"/>
                            <a:ext cx="5615940" cy="7944485"/>
                          </a:xfrm>
                          <a:prstGeom prst="rect">
                            <a:avLst/>
                          </a:prstGeom>
                          <a:noFill/>
                          <a:ln>
                            <a:noFill/>
                          </a:ln>
                        </pic:spPr>
                      </pic:pic>
                    </a:graphicData>
                  </a:graphic>
                </wp:inline>
              </w:drawing>
            </w:r>
          </w:p>
        </w:tc>
      </w:tr>
      <w:tr w14:paraId="1E190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37799A06">
            <w:pPr>
              <w:pStyle w:val="46"/>
              <w:pageBreakBefore w:val="0"/>
              <w:wordWrap w:val="0"/>
              <w:overflowPunct/>
              <w:bidi w:val="0"/>
              <w:ind w:left="0" w:leftChars="0"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0" distR="0">
                  <wp:extent cx="5615940" cy="7900670"/>
                  <wp:effectExtent l="0" t="0" r="3810" b="5080"/>
                  <wp:docPr id="8258072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807287" name="图片 1"/>
                          <pic:cNvPicPr>
                            <a:picLocks noChangeAspect="1"/>
                          </pic:cNvPicPr>
                        </pic:nvPicPr>
                        <pic:blipFill>
                          <a:blip r:embed="rId117"/>
                          <a:stretch>
                            <a:fillRect/>
                          </a:stretch>
                        </pic:blipFill>
                        <pic:spPr>
                          <a:xfrm>
                            <a:off x="0" y="0"/>
                            <a:ext cx="5615940" cy="7900670"/>
                          </a:xfrm>
                          <a:prstGeom prst="rect">
                            <a:avLst/>
                          </a:prstGeom>
                        </pic:spPr>
                      </pic:pic>
                    </a:graphicData>
                  </a:graphic>
                </wp:inline>
              </w:drawing>
            </w:r>
          </w:p>
        </w:tc>
      </w:tr>
      <w:tr w14:paraId="366D8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1B94B8BF">
            <w:pPr>
              <w:pStyle w:val="46"/>
              <w:pageBreakBefore w:val="0"/>
              <w:wordWrap w:val="0"/>
              <w:overflowPunct/>
              <w:bidi w:val="0"/>
              <w:ind w:left="0" w:leftChars="0"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0" distR="0">
                  <wp:extent cx="5656580" cy="8004810"/>
                  <wp:effectExtent l="0" t="0" r="1270" b="15240"/>
                  <wp:docPr id="6158404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840443" name="图片 5"/>
                          <pic:cNvPicPr>
                            <a:picLocks noChangeAspect="1" noChangeArrowheads="1"/>
                          </pic:cNvPicPr>
                        </pic:nvPicPr>
                        <pic:blipFill>
                          <a:blip r:embed="rId118"/>
                          <a:srcRect/>
                          <a:stretch>
                            <a:fillRect/>
                          </a:stretch>
                        </pic:blipFill>
                        <pic:spPr>
                          <a:xfrm>
                            <a:off x="0" y="0"/>
                            <a:ext cx="5656580" cy="8004810"/>
                          </a:xfrm>
                          <a:prstGeom prst="rect">
                            <a:avLst/>
                          </a:prstGeom>
                          <a:noFill/>
                          <a:ln>
                            <a:noFill/>
                          </a:ln>
                        </pic:spPr>
                      </pic:pic>
                    </a:graphicData>
                  </a:graphic>
                </wp:inline>
              </w:drawing>
            </w:r>
          </w:p>
        </w:tc>
      </w:tr>
    </w:tbl>
    <w:p w14:paraId="6B076640">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br w:type="page"/>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9"/>
      </w:tblGrid>
      <w:tr w14:paraId="742F8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657D0E0">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油性漆</w:t>
            </w:r>
          </w:p>
        </w:tc>
      </w:tr>
      <w:tr w14:paraId="62024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31294208">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rPr>
              <w:drawing>
                <wp:inline distT="0" distB="0" distL="0" distR="0">
                  <wp:extent cx="5615940" cy="7265035"/>
                  <wp:effectExtent l="0" t="0" r="3810" b="12065"/>
                  <wp:docPr id="11915622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562228" name="图片 2"/>
                          <pic:cNvPicPr>
                            <a:picLocks noChangeAspect="1" noChangeArrowheads="1"/>
                          </pic:cNvPicPr>
                        </pic:nvPicPr>
                        <pic:blipFill>
                          <a:blip r:embed="rId119"/>
                          <a:srcRect/>
                          <a:stretch>
                            <a:fillRect/>
                          </a:stretch>
                        </pic:blipFill>
                        <pic:spPr>
                          <a:xfrm>
                            <a:off x="0" y="0"/>
                            <a:ext cx="5615940" cy="7265035"/>
                          </a:xfrm>
                          <a:prstGeom prst="rect">
                            <a:avLst/>
                          </a:prstGeom>
                          <a:noFill/>
                          <a:ln>
                            <a:noFill/>
                          </a:ln>
                        </pic:spPr>
                      </pic:pic>
                    </a:graphicData>
                  </a:graphic>
                </wp:inline>
              </w:drawing>
            </w:r>
          </w:p>
        </w:tc>
      </w:tr>
      <w:tr w14:paraId="05F21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E5E1AD7">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rPr>
              <w:drawing>
                <wp:inline distT="0" distB="0" distL="0" distR="0">
                  <wp:extent cx="5615940" cy="7271385"/>
                  <wp:effectExtent l="0" t="0" r="3810" b="5715"/>
                  <wp:docPr id="13650621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062159" name="图片 2"/>
                          <pic:cNvPicPr>
                            <a:picLocks noChangeAspect="1" noChangeArrowheads="1"/>
                          </pic:cNvPicPr>
                        </pic:nvPicPr>
                        <pic:blipFill>
                          <a:blip r:embed="rId120"/>
                          <a:srcRect/>
                          <a:stretch>
                            <a:fillRect/>
                          </a:stretch>
                        </pic:blipFill>
                        <pic:spPr>
                          <a:xfrm>
                            <a:off x="0" y="0"/>
                            <a:ext cx="5615940" cy="7271385"/>
                          </a:xfrm>
                          <a:prstGeom prst="rect">
                            <a:avLst/>
                          </a:prstGeom>
                          <a:noFill/>
                          <a:ln>
                            <a:noFill/>
                          </a:ln>
                        </pic:spPr>
                      </pic:pic>
                    </a:graphicData>
                  </a:graphic>
                </wp:inline>
              </w:drawing>
            </w:r>
          </w:p>
        </w:tc>
      </w:tr>
      <w:tr w14:paraId="44F82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CA8A6EE">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rPr>
              <w:drawing>
                <wp:inline distT="0" distB="0" distL="0" distR="0">
                  <wp:extent cx="5615940" cy="7271385"/>
                  <wp:effectExtent l="0" t="0" r="3810" b="5715"/>
                  <wp:docPr id="6859225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922555" name="图片 3"/>
                          <pic:cNvPicPr>
                            <a:picLocks noChangeAspect="1" noChangeArrowheads="1"/>
                          </pic:cNvPicPr>
                        </pic:nvPicPr>
                        <pic:blipFill>
                          <a:blip r:embed="rId121"/>
                          <a:srcRect/>
                          <a:stretch>
                            <a:fillRect/>
                          </a:stretch>
                        </pic:blipFill>
                        <pic:spPr>
                          <a:xfrm>
                            <a:off x="0" y="0"/>
                            <a:ext cx="5615940" cy="7271385"/>
                          </a:xfrm>
                          <a:prstGeom prst="rect">
                            <a:avLst/>
                          </a:prstGeom>
                          <a:noFill/>
                          <a:ln>
                            <a:noFill/>
                          </a:ln>
                        </pic:spPr>
                      </pic:pic>
                    </a:graphicData>
                  </a:graphic>
                </wp:inline>
              </w:drawing>
            </w:r>
          </w:p>
        </w:tc>
      </w:tr>
      <w:tr w14:paraId="4DF65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7D6AE205">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rPr>
              <w:drawing>
                <wp:inline distT="0" distB="0" distL="0" distR="0">
                  <wp:extent cx="5615940" cy="7271385"/>
                  <wp:effectExtent l="0" t="0" r="3810" b="5715"/>
                  <wp:docPr id="1328616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61612" name="图片 4"/>
                          <pic:cNvPicPr>
                            <a:picLocks noChangeAspect="1" noChangeArrowheads="1"/>
                          </pic:cNvPicPr>
                        </pic:nvPicPr>
                        <pic:blipFill>
                          <a:blip r:embed="rId122"/>
                          <a:srcRect/>
                          <a:stretch>
                            <a:fillRect/>
                          </a:stretch>
                        </pic:blipFill>
                        <pic:spPr>
                          <a:xfrm>
                            <a:off x="0" y="0"/>
                            <a:ext cx="5615940" cy="7271385"/>
                          </a:xfrm>
                          <a:prstGeom prst="rect">
                            <a:avLst/>
                          </a:prstGeom>
                          <a:noFill/>
                          <a:ln>
                            <a:noFill/>
                          </a:ln>
                        </pic:spPr>
                      </pic:pic>
                    </a:graphicData>
                  </a:graphic>
                </wp:inline>
              </w:drawing>
            </w:r>
          </w:p>
        </w:tc>
      </w:tr>
    </w:tbl>
    <w:p w14:paraId="141CE6F5">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br w:type="page"/>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9"/>
      </w:tblGrid>
      <w:tr w14:paraId="46045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14C462E3">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稀释剂</w:t>
            </w:r>
          </w:p>
        </w:tc>
      </w:tr>
      <w:tr w14:paraId="67C56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80037F4">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rPr>
              <w:drawing>
                <wp:inline distT="0" distB="0" distL="0" distR="0">
                  <wp:extent cx="5615940" cy="7265035"/>
                  <wp:effectExtent l="0" t="0" r="3810" b="12065"/>
                  <wp:docPr id="17124157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415769" name="图片 3"/>
                          <pic:cNvPicPr>
                            <a:picLocks noChangeAspect="1" noChangeArrowheads="1"/>
                          </pic:cNvPicPr>
                        </pic:nvPicPr>
                        <pic:blipFill>
                          <a:blip r:embed="rId123"/>
                          <a:srcRect/>
                          <a:stretch>
                            <a:fillRect/>
                          </a:stretch>
                        </pic:blipFill>
                        <pic:spPr>
                          <a:xfrm>
                            <a:off x="0" y="0"/>
                            <a:ext cx="5615940" cy="7265035"/>
                          </a:xfrm>
                          <a:prstGeom prst="rect">
                            <a:avLst/>
                          </a:prstGeom>
                          <a:noFill/>
                          <a:ln>
                            <a:noFill/>
                          </a:ln>
                        </pic:spPr>
                      </pic:pic>
                    </a:graphicData>
                  </a:graphic>
                </wp:inline>
              </w:drawing>
            </w:r>
          </w:p>
        </w:tc>
      </w:tr>
      <w:tr w14:paraId="64326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39575D2">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rPr>
              <w:drawing>
                <wp:inline distT="0" distB="0" distL="0" distR="0">
                  <wp:extent cx="5615940" cy="7267575"/>
                  <wp:effectExtent l="0" t="0" r="3810" b="9525"/>
                  <wp:docPr id="84062280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622806" name="图片 9"/>
                          <pic:cNvPicPr>
                            <a:picLocks noChangeAspect="1" noChangeArrowheads="1"/>
                          </pic:cNvPicPr>
                        </pic:nvPicPr>
                        <pic:blipFill>
                          <a:blip r:embed="rId124"/>
                          <a:srcRect/>
                          <a:stretch>
                            <a:fillRect/>
                          </a:stretch>
                        </pic:blipFill>
                        <pic:spPr>
                          <a:xfrm>
                            <a:off x="0" y="0"/>
                            <a:ext cx="5615940" cy="7267575"/>
                          </a:xfrm>
                          <a:prstGeom prst="rect">
                            <a:avLst/>
                          </a:prstGeom>
                          <a:noFill/>
                          <a:ln>
                            <a:noFill/>
                          </a:ln>
                        </pic:spPr>
                      </pic:pic>
                    </a:graphicData>
                  </a:graphic>
                </wp:inline>
              </w:drawing>
            </w:r>
          </w:p>
        </w:tc>
      </w:tr>
      <w:tr w14:paraId="32465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F4B00FC">
            <w:pPr>
              <w:pStyle w:val="46"/>
              <w:pageBreakBefore w:val="0"/>
              <w:wordWrap w:val="0"/>
              <w:overflowPunct/>
              <w:bidi w:val="0"/>
              <w:ind w:left="0" w:leftChars="0"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0" distR="0">
                  <wp:extent cx="5615940" cy="7267575"/>
                  <wp:effectExtent l="0" t="0" r="3810" b="9525"/>
                  <wp:docPr id="2888265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826583" name="图片 10"/>
                          <pic:cNvPicPr>
                            <a:picLocks noChangeAspect="1" noChangeArrowheads="1"/>
                          </pic:cNvPicPr>
                        </pic:nvPicPr>
                        <pic:blipFill>
                          <a:blip r:embed="rId125"/>
                          <a:srcRect/>
                          <a:stretch>
                            <a:fillRect/>
                          </a:stretch>
                        </pic:blipFill>
                        <pic:spPr>
                          <a:xfrm>
                            <a:off x="0" y="0"/>
                            <a:ext cx="5615940" cy="7267575"/>
                          </a:xfrm>
                          <a:prstGeom prst="rect">
                            <a:avLst/>
                          </a:prstGeom>
                          <a:noFill/>
                          <a:ln>
                            <a:noFill/>
                          </a:ln>
                        </pic:spPr>
                      </pic:pic>
                    </a:graphicData>
                  </a:graphic>
                </wp:inline>
              </w:drawing>
            </w:r>
          </w:p>
        </w:tc>
      </w:tr>
      <w:tr w14:paraId="2BB12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21824C8A">
            <w:pPr>
              <w:pStyle w:val="46"/>
              <w:pageBreakBefore w:val="0"/>
              <w:wordWrap w:val="0"/>
              <w:overflowPunct/>
              <w:bidi w:val="0"/>
              <w:ind w:left="0" w:leftChars="0"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0" distR="0">
                  <wp:extent cx="5615940" cy="7267575"/>
                  <wp:effectExtent l="0" t="0" r="3810" b="9525"/>
                  <wp:docPr id="59936570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365704" name="图片 11"/>
                          <pic:cNvPicPr>
                            <a:picLocks noChangeAspect="1" noChangeArrowheads="1"/>
                          </pic:cNvPicPr>
                        </pic:nvPicPr>
                        <pic:blipFill>
                          <a:blip r:embed="rId126"/>
                          <a:srcRect/>
                          <a:stretch>
                            <a:fillRect/>
                          </a:stretch>
                        </pic:blipFill>
                        <pic:spPr>
                          <a:xfrm>
                            <a:off x="0" y="0"/>
                            <a:ext cx="5615940" cy="7267575"/>
                          </a:xfrm>
                          <a:prstGeom prst="rect">
                            <a:avLst/>
                          </a:prstGeom>
                          <a:noFill/>
                          <a:ln>
                            <a:noFill/>
                          </a:ln>
                        </pic:spPr>
                      </pic:pic>
                    </a:graphicData>
                  </a:graphic>
                </wp:inline>
              </w:drawing>
            </w:r>
          </w:p>
        </w:tc>
      </w:tr>
    </w:tbl>
    <w:p w14:paraId="1414008B">
      <w:pPr>
        <w:pageBreakBefore w:val="0"/>
        <w:widowControl w:val="0"/>
        <w:wordWrap w:val="0"/>
        <w:overflowPunct/>
        <w:autoSpaceDE w:val="0"/>
        <w:autoSpaceDN w:val="0"/>
        <w:bidi w:val="0"/>
        <w:adjustRightInd w:val="0"/>
        <w:spacing w:line="360" w:lineRule="auto"/>
        <w:jc w:val="both"/>
        <w:rPr>
          <w:rFonts w:hint="default" w:ascii="Times New Roman" w:hAnsi="Times New Roman" w:eastAsia="宋体" w:cs="Times New Roman"/>
          <w:color w:val="auto"/>
          <w:kern w:val="2"/>
          <w:sz w:val="24"/>
          <w:szCs w:val="24"/>
          <w:lang w:val="en-US" w:eastAsia="zh-CN" w:bidi="ar-SA"/>
        </w:rPr>
      </w:pPr>
    </w:p>
    <w:p w14:paraId="424ADB34">
      <w:pPr>
        <w:pageBreakBefore w:val="0"/>
        <w:widowControl w:val="0"/>
        <w:kinsoku w:val="0"/>
        <w:wordWrap w:val="0"/>
        <w:overflowPunct/>
        <w:topLinePunct/>
        <w:bidi w:val="0"/>
        <w:spacing w:line="360" w:lineRule="auto"/>
        <w:ind w:firstLine="0" w:firstLineChars="0"/>
        <w:jc w:val="center"/>
        <w:rPr>
          <w:rFonts w:hint="default" w:ascii="Times New Roman" w:hAnsi="Times New Roman" w:eastAsia="宋体" w:cs="Times New Roman"/>
          <w:b/>
          <w:bCs/>
          <w:color w:val="auto"/>
          <w:kern w:val="2"/>
          <w:sz w:val="44"/>
          <w:szCs w:val="44"/>
          <w:lang w:val="en-US" w:eastAsia="zh-CN" w:bidi="ar-SA"/>
        </w:rPr>
        <w:sectPr>
          <w:pgSz w:w="11905" w:h="16838"/>
          <w:pgMar w:top="1701" w:right="1531" w:bottom="1701" w:left="1531" w:header="850" w:footer="1077" w:gutter="0"/>
          <w:pgBorders>
            <w:top w:val="none" w:sz="0" w:space="0"/>
            <w:left w:val="none" w:sz="0" w:space="0"/>
            <w:bottom w:val="none" w:sz="0" w:space="0"/>
            <w:right w:val="none" w:sz="0" w:space="0"/>
          </w:pgBorders>
          <w:pgNumType w:fmt="decimal"/>
          <w:cols w:space="0" w:num="1"/>
          <w:docGrid w:linePitch="312" w:charSpace="0"/>
        </w:sectPr>
      </w:pPr>
      <w:bookmarkStart w:id="148" w:name="_Toc5095"/>
      <w:bookmarkStart w:id="149" w:name="_Toc469"/>
    </w:p>
    <w:p w14:paraId="796A0AE3">
      <w:pPr>
        <w:pStyle w:val="36"/>
        <w:pageBreakBefore w:val="0"/>
        <w:numPr>
          <w:ilvl w:val="0"/>
          <w:numId w:val="14"/>
        </w:numPr>
        <w:wordWrap w:val="0"/>
        <w:overflowPunct/>
        <w:bidi w:val="0"/>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50" w:name="_Toc17968"/>
      <w:r>
        <w:rPr>
          <w:rFonts w:hint="default" w:ascii="Times New Roman" w:hAnsi="Times New Roman" w:cs="Times New Roman"/>
          <w:b/>
          <w:bCs/>
          <w:color w:val="auto"/>
          <w:sz w:val="24"/>
          <w:szCs w:val="24"/>
          <w:lang w:val="en-US" w:eastAsia="zh-CN"/>
        </w:rPr>
        <w:t>VOCs检测报告</w:t>
      </w:r>
      <w:bookmarkEnd w:id="150"/>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32"/>
      </w:tblGrid>
      <w:tr w14:paraId="224B5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32" w:type="dxa"/>
            <w:vAlign w:val="center"/>
          </w:tcPr>
          <w:p w14:paraId="7C242F61">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水性油漆（施工状态）</w:t>
            </w:r>
          </w:p>
        </w:tc>
      </w:tr>
      <w:tr w14:paraId="3D548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32" w:type="dxa"/>
            <w:vAlign w:val="center"/>
          </w:tcPr>
          <w:p w14:paraId="6393F073">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rPr>
              <w:drawing>
                <wp:inline distT="0" distB="0" distL="0" distR="0">
                  <wp:extent cx="5615940" cy="7926070"/>
                  <wp:effectExtent l="0" t="0" r="3810" b="17780"/>
                  <wp:docPr id="6642095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09522" name="图片 1"/>
                          <pic:cNvPicPr>
                            <a:picLocks noChangeAspect="1"/>
                          </pic:cNvPicPr>
                        </pic:nvPicPr>
                        <pic:blipFill>
                          <a:blip r:embed="rId127"/>
                          <a:stretch>
                            <a:fillRect/>
                          </a:stretch>
                        </pic:blipFill>
                        <pic:spPr>
                          <a:xfrm>
                            <a:off x="0" y="0"/>
                            <a:ext cx="5615940" cy="7926070"/>
                          </a:xfrm>
                          <a:prstGeom prst="rect">
                            <a:avLst/>
                          </a:prstGeom>
                        </pic:spPr>
                      </pic:pic>
                    </a:graphicData>
                  </a:graphic>
                </wp:inline>
              </w:drawing>
            </w:r>
          </w:p>
        </w:tc>
      </w:tr>
      <w:tr w14:paraId="3D1DE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32" w:type="dxa"/>
            <w:vAlign w:val="center"/>
          </w:tcPr>
          <w:p w14:paraId="0B6F002B">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rPr>
              <w:drawing>
                <wp:inline distT="0" distB="0" distL="0" distR="0">
                  <wp:extent cx="5615940" cy="7919085"/>
                  <wp:effectExtent l="0" t="0" r="3810" b="5715"/>
                  <wp:docPr id="949044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04484" name="图片 1"/>
                          <pic:cNvPicPr>
                            <a:picLocks noChangeAspect="1"/>
                          </pic:cNvPicPr>
                        </pic:nvPicPr>
                        <pic:blipFill>
                          <a:blip r:embed="rId128"/>
                          <a:stretch>
                            <a:fillRect/>
                          </a:stretch>
                        </pic:blipFill>
                        <pic:spPr>
                          <a:xfrm>
                            <a:off x="0" y="0"/>
                            <a:ext cx="5615940" cy="7919085"/>
                          </a:xfrm>
                          <a:prstGeom prst="rect">
                            <a:avLst/>
                          </a:prstGeom>
                        </pic:spPr>
                      </pic:pic>
                    </a:graphicData>
                  </a:graphic>
                </wp:inline>
              </w:drawing>
            </w:r>
          </w:p>
        </w:tc>
      </w:tr>
      <w:tr w14:paraId="332BC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9532" w:type="dxa"/>
            <w:vAlign w:val="center"/>
          </w:tcPr>
          <w:p w14:paraId="633353AC">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rPr>
              <w:drawing>
                <wp:inline distT="0" distB="0" distL="0" distR="0">
                  <wp:extent cx="5615940" cy="7937500"/>
                  <wp:effectExtent l="0" t="0" r="3810" b="6350"/>
                  <wp:docPr id="10935358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35888" name="图片 1"/>
                          <pic:cNvPicPr>
                            <a:picLocks noChangeAspect="1"/>
                          </pic:cNvPicPr>
                        </pic:nvPicPr>
                        <pic:blipFill>
                          <a:blip r:embed="rId129"/>
                          <a:stretch>
                            <a:fillRect/>
                          </a:stretch>
                        </pic:blipFill>
                        <pic:spPr>
                          <a:xfrm>
                            <a:off x="0" y="0"/>
                            <a:ext cx="5615940" cy="7937500"/>
                          </a:xfrm>
                          <a:prstGeom prst="rect">
                            <a:avLst/>
                          </a:prstGeom>
                        </pic:spPr>
                      </pic:pic>
                    </a:graphicData>
                  </a:graphic>
                </wp:inline>
              </w:drawing>
            </w:r>
          </w:p>
        </w:tc>
      </w:tr>
      <w:tr w14:paraId="593BC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32" w:type="dxa"/>
            <w:vAlign w:val="center"/>
          </w:tcPr>
          <w:p w14:paraId="30558AB0">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rPr>
              <w:drawing>
                <wp:inline distT="0" distB="0" distL="0" distR="0">
                  <wp:extent cx="5615940" cy="7943850"/>
                  <wp:effectExtent l="0" t="0" r="3810" b="0"/>
                  <wp:docPr id="4131267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26702" name="图片 1"/>
                          <pic:cNvPicPr>
                            <a:picLocks noChangeAspect="1"/>
                          </pic:cNvPicPr>
                        </pic:nvPicPr>
                        <pic:blipFill>
                          <a:blip r:embed="rId130"/>
                          <a:stretch>
                            <a:fillRect/>
                          </a:stretch>
                        </pic:blipFill>
                        <pic:spPr>
                          <a:xfrm>
                            <a:off x="0" y="0"/>
                            <a:ext cx="5615940" cy="7943850"/>
                          </a:xfrm>
                          <a:prstGeom prst="rect">
                            <a:avLst/>
                          </a:prstGeom>
                        </pic:spPr>
                      </pic:pic>
                    </a:graphicData>
                  </a:graphic>
                </wp:inline>
              </w:drawing>
            </w:r>
          </w:p>
        </w:tc>
      </w:tr>
      <w:tr w14:paraId="4D5B8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32" w:type="dxa"/>
            <w:vAlign w:val="center"/>
          </w:tcPr>
          <w:p w14:paraId="100CAA86">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油性油漆（原液）VOC测试报告</w:t>
            </w:r>
          </w:p>
        </w:tc>
      </w:tr>
      <w:tr w14:paraId="4EC85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32" w:type="dxa"/>
            <w:vAlign w:val="center"/>
          </w:tcPr>
          <w:p w14:paraId="72DF77F7">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rPr>
              <w:drawing>
                <wp:inline distT="0" distB="0" distL="0" distR="0">
                  <wp:extent cx="5615940" cy="7715885"/>
                  <wp:effectExtent l="0" t="0" r="3810" b="18415"/>
                  <wp:docPr id="799331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33192" name="图片 1"/>
                          <pic:cNvPicPr>
                            <a:picLocks noChangeAspect="1"/>
                          </pic:cNvPicPr>
                        </pic:nvPicPr>
                        <pic:blipFill>
                          <a:blip r:embed="rId131"/>
                          <a:stretch>
                            <a:fillRect/>
                          </a:stretch>
                        </pic:blipFill>
                        <pic:spPr>
                          <a:xfrm>
                            <a:off x="0" y="0"/>
                            <a:ext cx="5615940" cy="7715885"/>
                          </a:xfrm>
                          <a:prstGeom prst="rect">
                            <a:avLst/>
                          </a:prstGeom>
                        </pic:spPr>
                      </pic:pic>
                    </a:graphicData>
                  </a:graphic>
                </wp:inline>
              </w:drawing>
            </w:r>
          </w:p>
        </w:tc>
      </w:tr>
      <w:tr w14:paraId="4FFB9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32" w:type="dxa"/>
            <w:vAlign w:val="center"/>
          </w:tcPr>
          <w:p w14:paraId="5A7868EA">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rPr>
              <w:drawing>
                <wp:inline distT="0" distB="0" distL="0" distR="0">
                  <wp:extent cx="5615940" cy="7730490"/>
                  <wp:effectExtent l="0" t="0" r="3810" b="3810"/>
                  <wp:docPr id="4241904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190452" name="图片 1"/>
                          <pic:cNvPicPr>
                            <a:picLocks noChangeAspect="1" noChangeArrowheads="1"/>
                          </pic:cNvPicPr>
                        </pic:nvPicPr>
                        <pic:blipFill>
                          <a:blip r:embed="rId132"/>
                          <a:srcRect/>
                          <a:stretch>
                            <a:fillRect/>
                          </a:stretch>
                        </pic:blipFill>
                        <pic:spPr>
                          <a:xfrm>
                            <a:off x="0" y="0"/>
                            <a:ext cx="5615940" cy="7730490"/>
                          </a:xfrm>
                          <a:prstGeom prst="rect">
                            <a:avLst/>
                          </a:prstGeom>
                          <a:noFill/>
                          <a:ln>
                            <a:noFill/>
                          </a:ln>
                        </pic:spPr>
                      </pic:pic>
                    </a:graphicData>
                  </a:graphic>
                </wp:inline>
              </w:drawing>
            </w:r>
          </w:p>
        </w:tc>
      </w:tr>
      <w:tr w14:paraId="2344B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32" w:type="dxa"/>
            <w:vAlign w:val="center"/>
          </w:tcPr>
          <w:p w14:paraId="1C2F4F49">
            <w:pPr>
              <w:pStyle w:val="46"/>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cs="Times New Roman"/>
                <w:color w:val="auto"/>
              </w:rPr>
              <w:drawing>
                <wp:inline distT="0" distB="0" distL="0" distR="0">
                  <wp:extent cx="5615940" cy="7734300"/>
                  <wp:effectExtent l="0" t="0" r="3810" b="0"/>
                  <wp:docPr id="16692339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233927" name="图片 1"/>
                          <pic:cNvPicPr>
                            <a:picLocks noChangeAspect="1"/>
                          </pic:cNvPicPr>
                        </pic:nvPicPr>
                        <pic:blipFill>
                          <a:blip r:embed="rId133"/>
                          <a:stretch>
                            <a:fillRect/>
                          </a:stretch>
                        </pic:blipFill>
                        <pic:spPr>
                          <a:xfrm>
                            <a:off x="0" y="0"/>
                            <a:ext cx="5615940" cy="7734300"/>
                          </a:xfrm>
                          <a:prstGeom prst="rect">
                            <a:avLst/>
                          </a:prstGeom>
                        </pic:spPr>
                      </pic:pic>
                    </a:graphicData>
                  </a:graphic>
                </wp:inline>
              </w:drawing>
            </w:r>
          </w:p>
        </w:tc>
      </w:tr>
      <w:bookmarkEnd w:id="148"/>
      <w:bookmarkEnd w:id="149"/>
    </w:tbl>
    <w:p w14:paraId="10EB418F">
      <w:pPr>
        <w:pStyle w:val="46"/>
        <w:pageBreakBefore w:val="0"/>
        <w:wordWrap w:val="0"/>
        <w:overflowPunct/>
        <w:bidi w:val="0"/>
        <w:ind w:left="0" w:leftChars="0" w:firstLine="0" w:firstLineChars="0"/>
        <w:rPr>
          <w:rFonts w:hint="default" w:ascii="Times New Roman" w:hAnsi="Times New Roman" w:cs="Times New Roman"/>
          <w:color w:val="auto"/>
        </w:rPr>
      </w:pPr>
    </w:p>
    <w:sectPr>
      <w:headerReference r:id="rId8" w:type="default"/>
      <w:footerReference r:id="rId9" w:type="default"/>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84EBAD30-BF12-41B1-834D-68FCE1F81561}"/>
  </w:font>
  <w:font w:name="黑体">
    <w:panose1 w:val="02010609060101010101"/>
    <w:charset w:val="86"/>
    <w:family w:val="auto"/>
    <w:pitch w:val="default"/>
    <w:sig w:usb0="800002BF" w:usb1="38CF7CFA" w:usb2="00000016" w:usb3="00000000" w:csb0="00040001" w:csb1="00000000"/>
    <w:embedRegular r:id="rId2" w:fontKey="{087E6CB4-3E36-4743-B43A-FB14C2FE4A07}"/>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楷体_GB2312">
    <w:panose1 w:val="02010609030101010101"/>
    <w:charset w:val="86"/>
    <w:family w:val="modern"/>
    <w:pitch w:val="default"/>
    <w:sig w:usb0="00000001" w:usb1="080E0000" w:usb2="00000000" w:usb3="00000000" w:csb0="00040000" w:csb1="00000000"/>
    <w:embedRegular r:id="rId3" w:fontKey="{F7FFA34A-F40E-470E-B6B5-66E95333D6E9}"/>
  </w:font>
  <w:font w:name="MS Mincho">
    <w:altName w:val="Yu Gothic UI"/>
    <w:panose1 w:val="02020609040205080304"/>
    <w:charset w:val="80"/>
    <w:family w:val="roma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 w:name="方正仿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微软雅黑"/>
    <w:panose1 w:val="03000509000000000000"/>
    <w:charset w:val="86"/>
    <w:family w:val="script"/>
    <w:pitch w:val="default"/>
    <w:sig w:usb0="00000000" w:usb1="00000000" w:usb2="00000000" w:usb3="00000000" w:csb0="00040000" w:csb1="00000000"/>
  </w:font>
  <w:font w:name="Wingdings 2">
    <w:panose1 w:val="05020102010507070707"/>
    <w:charset w:val="02"/>
    <w:family w:val="roman"/>
    <w:pitch w:val="default"/>
    <w:sig w:usb0="00000000" w:usb1="00000000" w:usb2="00000000" w:usb3="00000000" w:csb0="80000000" w:csb1="00000000"/>
    <w:embedRegular r:id="rId4" w:fontKey="{37D696FE-98CC-4887-A162-4698106266ED}"/>
  </w:font>
  <w:font w:name="Cambria Math">
    <w:panose1 w:val="02040503050406030204"/>
    <w:charset w:val="00"/>
    <w:family w:val="roman"/>
    <w:pitch w:val="default"/>
    <w:sig w:usb0="E00006FF" w:usb1="420024FF" w:usb2="02000000" w:usb3="00000000" w:csb0="2000019F" w:csb1="00000000"/>
    <w:embedRegular r:id="rId5" w:fontKey="{071603FB-38A5-4CE7-8EA6-37AE8179101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7435E9">
    <w:pPr>
      <w:pStyle w:val="27"/>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8485A8">
    <w:pPr>
      <w:pStyle w:val="27"/>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5" name="文本框 1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F00A95">
                          <w:pPr>
                            <w:pStyle w:val="27"/>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I1b9E0AgAAZQ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SNW/RNAIAAGUEAAAOAAAAAAAAAAEAIAAAAB8BAABkcnMvZTJvRG9jLnhtbFBL&#10;BQYAAAAABgAGAFkBAADFBQAAAAA=&#10;">
              <v:fill on="f" focussize="0,0"/>
              <v:stroke on="f" weight="0.5pt"/>
              <v:imagedata o:title=""/>
              <o:lock v:ext="edit" aspectratio="f"/>
              <v:textbox inset="0mm,0mm,0mm,0mm" style="mso-fit-shape-to-text:t;">
                <w:txbxContent>
                  <w:p w14:paraId="71F00A95">
                    <w:pPr>
                      <w:pStyle w:val="27"/>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7B1059">
    <w:pPr>
      <w:tabs>
        <w:tab w:val="center" w:pos="4153"/>
        <w:tab w:val="right" w:pos="8306"/>
      </w:tabs>
    </w:pPr>
    <w:r>
      <w:rPr>
        <w:sz w:val="24"/>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146" name="文本框 1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71A26C">
                          <w:pPr>
                            <w:pStyle w:val="27"/>
                          </w:pPr>
                          <w:r>
                            <w:t xml:space="preserve">— </w:t>
                          </w:r>
                          <w:r>
                            <w:fldChar w:fldCharType="begin"/>
                          </w:r>
                          <w:r>
                            <w:instrText xml:space="preserve"> PAGE  \* MERGEFORMAT </w:instrText>
                          </w:r>
                          <w:r>
                            <w:fldChar w:fldCharType="separate"/>
                          </w:r>
                          <w:r>
                            <w:t>III</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73va8zAgAAZQ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73va8zAgAAZQQAAA4AAAAAAAAAAQAgAAAAHwEAAGRycy9lMm9Eb2MueG1sUEsF&#10;BgAAAAAGAAYAWQEAAMQFAAAAAA==&#10;">
              <v:fill on="f" focussize="0,0"/>
              <v:stroke on="f" weight="0.5pt"/>
              <v:imagedata o:title=""/>
              <o:lock v:ext="edit" aspectratio="f"/>
              <v:textbox inset="0mm,0mm,0mm,0mm" style="mso-fit-shape-to-text:t;">
                <w:txbxContent>
                  <w:p w14:paraId="6671A26C">
                    <w:pPr>
                      <w:pStyle w:val="27"/>
                    </w:pPr>
                    <w:r>
                      <w:t xml:space="preserve">— </w:t>
                    </w:r>
                    <w:r>
                      <w:fldChar w:fldCharType="begin"/>
                    </w:r>
                    <w:r>
                      <w:instrText xml:space="preserve"> PAGE  \* MERGEFORMAT </w:instrText>
                    </w:r>
                    <w:r>
                      <w:fldChar w:fldCharType="separate"/>
                    </w:r>
                    <w:r>
                      <w:t>III</w:t>
                    </w:r>
                    <w:r>
                      <w:fldChar w:fldCharType="end"/>
                    </w:r>
                    <w: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70A0F3">
    <w:pPr>
      <w:pStyle w:val="12"/>
      <w:spacing w:line="14" w:lineRule="auto"/>
      <w:ind w:firstLine="40"/>
      <w:rPr>
        <w:sz w:val="2"/>
      </w:rPr>
    </w:pPr>
    <w:r>
      <w:rPr>
        <w:sz w:val="2"/>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7" name="文本框 1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BA0B83">
                          <w:pPr>
                            <w:pStyle w:val="27"/>
                          </w:pPr>
                          <w:r>
                            <w:fldChar w:fldCharType="begin"/>
                          </w:r>
                          <w:r>
                            <w:instrText xml:space="preserve"> PAGE  \* MERGEFORMAT </w:instrText>
                          </w:r>
                          <w:r>
                            <w:fldChar w:fldCharType="separate"/>
                          </w:r>
                          <w:r>
                            <w:t>XXVI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lt3+k0AgAAZQ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pbd/pNAIAAGUEAAAOAAAAAAAAAAEAIAAAAB8BAABkcnMvZTJvRG9jLnhtbFBL&#10;BQYAAAAABgAGAFkBAADFBQAAAAA=&#10;">
              <v:fill on="f" focussize="0,0"/>
              <v:stroke on="f" weight="0.5pt"/>
              <v:imagedata o:title=""/>
              <o:lock v:ext="edit" aspectratio="f"/>
              <v:textbox inset="0mm,0mm,0mm,0mm" style="mso-fit-shape-to-text:t;">
                <w:txbxContent>
                  <w:p w14:paraId="3EBA0B83">
                    <w:pPr>
                      <w:pStyle w:val="27"/>
                    </w:pPr>
                    <w:r>
                      <w:fldChar w:fldCharType="begin"/>
                    </w:r>
                    <w:r>
                      <w:instrText xml:space="preserve"> PAGE  \* MERGEFORMAT </w:instrText>
                    </w:r>
                    <w:r>
                      <w:fldChar w:fldCharType="separate"/>
                    </w:r>
                    <w:r>
                      <w:t>XXVI</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147FF6">
    <w:pPr>
      <w:pStyle w:val="12"/>
      <w:spacing w:line="14" w:lineRule="auto"/>
      <w:ind w:firstLine="40"/>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0095D60"/>
    <w:multiLevelType w:val="singleLevel"/>
    <w:tmpl w:val="C0095D60"/>
    <w:lvl w:ilvl="0" w:tentative="0">
      <w:start w:val="1"/>
      <w:numFmt w:val="bullet"/>
      <w:pStyle w:val="14"/>
      <w:lvlText w:val=""/>
      <w:lvlJc w:val="left"/>
      <w:pPr>
        <w:tabs>
          <w:tab w:val="left" w:pos="780"/>
        </w:tabs>
        <w:ind w:left="840" w:hanging="360"/>
      </w:pPr>
      <w:rPr>
        <w:rFonts w:hint="default" w:ascii="Wingdings" w:hAnsi="Wingdings"/>
      </w:rPr>
    </w:lvl>
  </w:abstractNum>
  <w:abstractNum w:abstractNumId="1">
    <w:nsid w:val="C6EBC4C5"/>
    <w:multiLevelType w:val="multilevel"/>
    <w:tmpl w:val="C6EBC4C5"/>
    <w:lvl w:ilvl="0" w:tentative="0">
      <w:start w:val="1"/>
      <w:numFmt w:val="decimal"/>
      <w:suff w:val="nothing"/>
      <w:lvlText w:val="（%1）"/>
      <w:lvlJc w:val="left"/>
      <w:pPr>
        <w:tabs>
          <w:tab w:val="left" w:pos="0"/>
        </w:tabs>
        <w:ind w:left="0" w:firstLine="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
    <w:nsid w:val="D7CED440"/>
    <w:multiLevelType w:val="singleLevel"/>
    <w:tmpl w:val="D7CED440"/>
    <w:lvl w:ilvl="0" w:tentative="0">
      <w:start w:val="1"/>
      <w:numFmt w:val="decimal"/>
      <w:suff w:val="nothing"/>
      <w:lvlText w:val="表4-%1"/>
      <w:lvlJc w:val="left"/>
      <w:pPr>
        <w:tabs>
          <w:tab w:val="left" w:pos="0"/>
        </w:tabs>
        <w:ind w:left="0" w:firstLine="0"/>
      </w:pPr>
      <w:rPr>
        <w:rFonts w:hint="default" w:ascii="Times New Roman" w:hAnsi="Times New Roman" w:eastAsia="宋体" w:cs="Times New Roman"/>
        <w:b/>
        <w:bCs/>
        <w:sz w:val="21"/>
        <w:szCs w:val="21"/>
      </w:rPr>
    </w:lvl>
  </w:abstractNum>
  <w:abstractNum w:abstractNumId="3">
    <w:nsid w:val="F040C67E"/>
    <w:multiLevelType w:val="singleLevel"/>
    <w:tmpl w:val="F040C67E"/>
    <w:lvl w:ilvl="0" w:tentative="0">
      <w:start w:val="1"/>
      <w:numFmt w:val="decimal"/>
      <w:suff w:val="nothing"/>
      <w:lvlText w:val="图2-%1"/>
      <w:lvlJc w:val="left"/>
      <w:pPr>
        <w:tabs>
          <w:tab w:val="left" w:pos="0"/>
        </w:tabs>
        <w:ind w:left="0" w:firstLine="0"/>
      </w:pPr>
      <w:rPr>
        <w:rFonts w:hint="default" w:ascii="Times New Roman" w:hAnsi="Times New Roman" w:eastAsia="宋体" w:cs="Times New Roman"/>
        <w:b/>
        <w:bCs/>
        <w:sz w:val="21"/>
        <w:szCs w:val="21"/>
      </w:rPr>
    </w:lvl>
  </w:abstractNum>
  <w:abstractNum w:abstractNumId="4">
    <w:nsid w:val="FBEF06EA"/>
    <w:multiLevelType w:val="singleLevel"/>
    <w:tmpl w:val="FBEF06EA"/>
    <w:lvl w:ilvl="0" w:tentative="0">
      <w:start w:val="1"/>
      <w:numFmt w:val="bullet"/>
      <w:pStyle w:val="24"/>
      <w:lvlText w:val=""/>
      <w:lvlJc w:val="left"/>
      <w:pPr>
        <w:tabs>
          <w:tab w:val="left" w:pos="2040"/>
        </w:tabs>
        <w:ind w:left="2040" w:hanging="360"/>
      </w:pPr>
      <w:rPr>
        <w:rFonts w:hint="default" w:ascii="Wingdings" w:hAnsi="Wingdings"/>
      </w:rPr>
    </w:lvl>
  </w:abstractNum>
  <w:abstractNum w:abstractNumId="5">
    <w:nsid w:val="098B1A38"/>
    <w:multiLevelType w:val="singleLevel"/>
    <w:tmpl w:val="098B1A38"/>
    <w:lvl w:ilvl="0" w:tentative="0">
      <w:start w:val="1"/>
      <w:numFmt w:val="decimal"/>
      <w:suff w:val="nothing"/>
      <w:lvlText w:val="附图%1 "/>
      <w:lvlJc w:val="left"/>
      <w:pPr>
        <w:ind w:left="0" w:firstLine="397"/>
      </w:pPr>
      <w:rPr>
        <w:rFonts w:hint="default"/>
        <w:sz w:val="24"/>
        <w:szCs w:val="24"/>
      </w:rPr>
    </w:lvl>
  </w:abstractNum>
  <w:abstractNum w:abstractNumId="6">
    <w:nsid w:val="10CF0BE7"/>
    <w:multiLevelType w:val="multilevel"/>
    <w:tmpl w:val="10CF0BE7"/>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7">
    <w:nsid w:val="14BBE91E"/>
    <w:multiLevelType w:val="singleLevel"/>
    <w:tmpl w:val="14BBE91E"/>
    <w:lvl w:ilvl="0" w:tentative="0">
      <w:start w:val="1"/>
      <w:numFmt w:val="decimal"/>
      <w:suff w:val="space"/>
      <w:lvlText w:val="附件%1"/>
      <w:lvlJc w:val="left"/>
      <w:pPr>
        <w:tabs>
          <w:tab w:val="left" w:pos="420"/>
        </w:tabs>
      </w:pPr>
      <w:rPr>
        <w:rFonts w:hint="default" w:ascii="Times New Roman" w:hAnsi="Times New Roman" w:eastAsia="宋体" w:cs="宋体"/>
        <w:sz w:val="24"/>
        <w:szCs w:val="24"/>
      </w:rPr>
    </w:lvl>
  </w:abstractNum>
  <w:abstractNum w:abstractNumId="8">
    <w:nsid w:val="2FFA361E"/>
    <w:multiLevelType w:val="singleLevel"/>
    <w:tmpl w:val="2FFA361E"/>
    <w:lvl w:ilvl="0" w:tentative="0">
      <w:start w:val="1"/>
      <w:numFmt w:val="decimal"/>
      <w:suff w:val="nothing"/>
      <w:lvlText w:val="表2-%1"/>
      <w:lvlJc w:val="left"/>
      <w:pPr>
        <w:tabs>
          <w:tab w:val="left" w:pos="0"/>
        </w:tabs>
        <w:ind w:left="0" w:firstLine="0"/>
      </w:pPr>
      <w:rPr>
        <w:rFonts w:hint="default" w:ascii="Times New Roman" w:hAnsi="Times New Roman" w:eastAsia="宋体" w:cs="Times New Roman"/>
        <w:b/>
        <w:bCs/>
        <w:sz w:val="21"/>
        <w:szCs w:val="21"/>
      </w:rPr>
    </w:lvl>
  </w:abstractNum>
  <w:abstractNum w:abstractNumId="9">
    <w:nsid w:val="3744670F"/>
    <w:multiLevelType w:val="multilevel"/>
    <w:tmpl w:val="3744670F"/>
    <w:lvl w:ilvl="0" w:tentative="0">
      <w:start w:val="1"/>
      <w:numFmt w:val="decimal"/>
      <w:lvlText w:val="%1"/>
      <w:lvlJc w:val="left"/>
      <w:pPr>
        <w:ind w:left="432" w:hanging="432"/>
      </w:pPr>
      <w:rPr>
        <w:rFonts w:hint="eastAsia"/>
      </w:rPr>
    </w:lvl>
    <w:lvl w:ilvl="1" w:tentative="0">
      <w:start w:val="1"/>
      <w:numFmt w:val="none"/>
      <w:pStyle w:val="3"/>
      <w:suff w:val="nothing"/>
      <w:lvlText w:val=""/>
      <w:lvlJc w:val="left"/>
      <w:pPr>
        <w:tabs>
          <w:tab w:val="left" w:pos="0"/>
        </w:tabs>
        <w:ind w:left="0" w:firstLine="0"/>
      </w:pPr>
      <w:rPr>
        <w:rFonts w:hint="eastAsia" w:ascii="宋体" w:hAnsi="宋体" w:eastAsia="宋体" w:cs="宋体"/>
      </w:rPr>
    </w:lvl>
    <w:lvl w:ilvl="2" w:tentative="0">
      <w:start w:val="1"/>
      <w:numFmt w:val="chineseCounting"/>
      <w:pStyle w:val="4"/>
      <w:suff w:val="nothing"/>
      <w:lvlText w:val="%3、"/>
      <w:lvlJc w:val="left"/>
      <w:pPr>
        <w:tabs>
          <w:tab w:val="left" w:pos="0"/>
        </w:tabs>
        <w:ind w:left="-2" w:firstLine="0"/>
      </w:pPr>
      <w:rPr>
        <w:rFonts w:hint="eastAsia" w:ascii="宋体" w:hAnsi="宋体" w:eastAsia="宋体" w:cs="宋体"/>
        <w:b/>
        <w:bCs/>
        <w:sz w:val="24"/>
        <w:szCs w:val="24"/>
      </w:rPr>
    </w:lvl>
    <w:lvl w:ilvl="3" w:tentative="0">
      <w:start w:val="1"/>
      <w:numFmt w:val="decimal"/>
      <w:pStyle w:val="5"/>
      <w:suff w:val="nothing"/>
      <w:lvlText w:val="%4、"/>
      <w:lvlJc w:val="left"/>
      <w:pPr>
        <w:tabs>
          <w:tab w:val="left" w:pos="0"/>
        </w:tabs>
        <w:ind w:left="-96" w:hanging="864"/>
      </w:pPr>
      <w:rPr>
        <w:rFonts w:hint="eastAsia" w:ascii="Times New Roman" w:hAnsi="Times New Roman" w:eastAsia="宋体" w:cs="宋体"/>
        <w:b/>
        <w:bCs/>
        <w:sz w:val="24"/>
        <w:szCs w:val="24"/>
      </w:rPr>
    </w:lvl>
    <w:lvl w:ilvl="4" w:tentative="0">
      <w:start w:val="1"/>
      <w:numFmt w:val="decimal"/>
      <w:pStyle w:val="6"/>
      <w:suff w:val="nothing"/>
      <w:lvlText w:val="（%5）"/>
      <w:lvlJc w:val="left"/>
      <w:pPr>
        <w:tabs>
          <w:tab w:val="left" w:pos="0"/>
        </w:tabs>
        <w:ind w:left="-960" w:firstLine="0"/>
      </w:pPr>
      <w:rPr>
        <w:rFonts w:hint="eastAsia" w:ascii="Times New Roman" w:hAnsi="Times New Roman" w:eastAsia="宋体" w:cs="宋体"/>
      </w:rPr>
    </w:lvl>
    <w:lvl w:ilvl="5" w:tentative="0">
      <w:start w:val="1"/>
      <w:numFmt w:val="decimalEnclosedCircleChinese"/>
      <w:pStyle w:val="7"/>
      <w:suff w:val="nothing"/>
      <w:lvlText w:val="%6"/>
      <w:lvlJc w:val="left"/>
      <w:pPr>
        <w:tabs>
          <w:tab w:val="left" w:pos="0"/>
        </w:tabs>
        <w:ind w:left="0" w:firstLine="0"/>
      </w:pPr>
      <w:rPr>
        <w:rFonts w:hint="eastAsia" w:ascii="宋体" w:hAnsi="宋体" w:eastAsia="宋体" w:cs="宋体"/>
        <w:sz w:val="21"/>
        <w:szCs w:val="21"/>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10">
    <w:nsid w:val="4009FD67"/>
    <w:multiLevelType w:val="multilevel"/>
    <w:tmpl w:val="4009FD67"/>
    <w:lvl w:ilvl="0" w:tentative="0">
      <w:start w:val="1"/>
      <w:numFmt w:val="decimal"/>
      <w:suff w:val="nothing"/>
      <w:lvlText w:val="（%1）"/>
      <w:lvlJc w:val="left"/>
      <w:pPr>
        <w:tabs>
          <w:tab w:val="left" w:pos="0"/>
        </w:tabs>
        <w:ind w:left="0" w:firstLine="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1">
    <w:nsid w:val="45D0DA85"/>
    <w:multiLevelType w:val="singleLevel"/>
    <w:tmpl w:val="45D0DA85"/>
    <w:lvl w:ilvl="0" w:tentative="0">
      <w:start w:val="1"/>
      <w:numFmt w:val="chineseCounting"/>
      <w:pStyle w:val="2"/>
      <w:suff w:val="nothing"/>
      <w:lvlText w:val="%1、"/>
      <w:lvlJc w:val="left"/>
      <w:pPr>
        <w:tabs>
          <w:tab w:val="left" w:pos="0"/>
        </w:tabs>
        <w:ind w:left="0" w:firstLine="0"/>
      </w:pPr>
      <w:rPr>
        <w:rFonts w:hint="eastAsia" w:ascii="黑体" w:hAnsi="黑体" w:eastAsia="黑体" w:cs="黑体"/>
        <w:sz w:val="30"/>
        <w:szCs w:val="30"/>
      </w:rPr>
    </w:lvl>
  </w:abstractNum>
  <w:abstractNum w:abstractNumId="12">
    <w:nsid w:val="513F61D2"/>
    <w:multiLevelType w:val="singleLevel"/>
    <w:tmpl w:val="513F61D2"/>
    <w:lvl w:ilvl="0" w:tentative="0">
      <w:start w:val="1"/>
      <w:numFmt w:val="chineseCounting"/>
      <w:pStyle w:val="102"/>
      <w:suff w:val="nothing"/>
      <w:lvlText w:val="（%1）"/>
      <w:lvlJc w:val="left"/>
      <w:pPr>
        <w:ind w:left="0" w:firstLine="420"/>
      </w:pPr>
      <w:rPr>
        <w:rFonts w:hint="eastAsia"/>
      </w:rPr>
    </w:lvl>
  </w:abstractNum>
  <w:abstractNum w:abstractNumId="13">
    <w:nsid w:val="6D4BDC68"/>
    <w:multiLevelType w:val="singleLevel"/>
    <w:tmpl w:val="6D4BDC68"/>
    <w:lvl w:ilvl="0" w:tentative="0">
      <w:start w:val="1"/>
      <w:numFmt w:val="decimal"/>
      <w:suff w:val="nothing"/>
      <w:lvlText w:val="表3-%1"/>
      <w:lvlJc w:val="left"/>
      <w:pPr>
        <w:tabs>
          <w:tab w:val="left" w:pos="0"/>
        </w:tabs>
        <w:ind w:left="0" w:firstLine="0"/>
      </w:pPr>
      <w:rPr>
        <w:rFonts w:hint="default" w:ascii="宋体" w:hAnsi="宋体" w:eastAsia="宋体" w:cs="宋体"/>
        <w:b/>
        <w:bCs/>
        <w:sz w:val="21"/>
        <w:szCs w:val="21"/>
      </w:rPr>
    </w:lvl>
  </w:abstractNum>
  <w:num w:numId="1">
    <w:abstractNumId w:val="11"/>
  </w:num>
  <w:num w:numId="2">
    <w:abstractNumId w:val="9"/>
  </w:num>
  <w:num w:numId="3">
    <w:abstractNumId w:val="0"/>
  </w:num>
  <w:num w:numId="4">
    <w:abstractNumId w:val="4"/>
  </w:num>
  <w:num w:numId="5">
    <w:abstractNumId w:val="12"/>
  </w:num>
  <w:num w:numId="6">
    <w:abstractNumId w:val="8"/>
  </w:num>
  <w:num w:numId="7">
    <w:abstractNumId w:val="3"/>
  </w:num>
  <w:num w:numId="8">
    <w:abstractNumId w:val="13"/>
  </w:num>
  <w:num w:numId="9">
    <w:abstractNumId w:val="2"/>
  </w:num>
  <w:num w:numId="10">
    <w:abstractNumId w:val="6"/>
  </w:num>
  <w:num w:numId="11">
    <w:abstractNumId w:val="1"/>
  </w:num>
  <w:num w:numId="12">
    <w:abstractNumId w:val="10"/>
  </w:num>
  <w:num w:numId="13">
    <w:abstractNumId w:val="5"/>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hideSpellingErrors/>
  <w:documentProtection w:enforcement="0"/>
  <w:defaultTabStop w:val="420"/>
  <w:drawingGridVerticalSpacing w:val="167"/>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FkNjM2ZTEyZTgxYWE1NmJiYzVjOGMwNWVjN2E0NmIifQ=="/>
    <w:docVar w:name="KSO_WPS_MARK_KEY" w:val="3e3724c3-4083-4f1b-b5ba-21c99434a2a0"/>
  </w:docVars>
  <w:rsids>
    <w:rsidRoot w:val="391A40A5"/>
    <w:rsid w:val="00020A21"/>
    <w:rsid w:val="000366B1"/>
    <w:rsid w:val="000942B7"/>
    <w:rsid w:val="00123FAB"/>
    <w:rsid w:val="00167DCA"/>
    <w:rsid w:val="001A451A"/>
    <w:rsid w:val="002E52BE"/>
    <w:rsid w:val="00335488"/>
    <w:rsid w:val="004444F8"/>
    <w:rsid w:val="00550A0D"/>
    <w:rsid w:val="005815DD"/>
    <w:rsid w:val="005E746A"/>
    <w:rsid w:val="006102F2"/>
    <w:rsid w:val="006836D3"/>
    <w:rsid w:val="006B31FD"/>
    <w:rsid w:val="00770CC3"/>
    <w:rsid w:val="008775D9"/>
    <w:rsid w:val="00A0320F"/>
    <w:rsid w:val="00A25BBC"/>
    <w:rsid w:val="00B2002E"/>
    <w:rsid w:val="00BE3286"/>
    <w:rsid w:val="00ED4F6A"/>
    <w:rsid w:val="00F22E95"/>
    <w:rsid w:val="01264686"/>
    <w:rsid w:val="01267257"/>
    <w:rsid w:val="012D0A79"/>
    <w:rsid w:val="016A6FD7"/>
    <w:rsid w:val="019A5999"/>
    <w:rsid w:val="019F7A72"/>
    <w:rsid w:val="01A43617"/>
    <w:rsid w:val="01CE51B2"/>
    <w:rsid w:val="01DE1773"/>
    <w:rsid w:val="01F36FCC"/>
    <w:rsid w:val="01FE5D1A"/>
    <w:rsid w:val="020C4532"/>
    <w:rsid w:val="02113D54"/>
    <w:rsid w:val="021F3FD4"/>
    <w:rsid w:val="0220364F"/>
    <w:rsid w:val="023870D5"/>
    <w:rsid w:val="02421D02"/>
    <w:rsid w:val="024D36FC"/>
    <w:rsid w:val="024E4271"/>
    <w:rsid w:val="02571C51"/>
    <w:rsid w:val="02812EFB"/>
    <w:rsid w:val="029861A6"/>
    <w:rsid w:val="02A3122C"/>
    <w:rsid w:val="02AE5358"/>
    <w:rsid w:val="02B074AC"/>
    <w:rsid w:val="02D432A2"/>
    <w:rsid w:val="02F474A0"/>
    <w:rsid w:val="02FA25DD"/>
    <w:rsid w:val="030E7E36"/>
    <w:rsid w:val="031C65A5"/>
    <w:rsid w:val="032E03C1"/>
    <w:rsid w:val="033243F7"/>
    <w:rsid w:val="03353615"/>
    <w:rsid w:val="03391357"/>
    <w:rsid w:val="03465822"/>
    <w:rsid w:val="03473806"/>
    <w:rsid w:val="034A5312"/>
    <w:rsid w:val="03546191"/>
    <w:rsid w:val="03716D43"/>
    <w:rsid w:val="03851643"/>
    <w:rsid w:val="03911568"/>
    <w:rsid w:val="0397607D"/>
    <w:rsid w:val="03976126"/>
    <w:rsid w:val="039A6030"/>
    <w:rsid w:val="03AA4A83"/>
    <w:rsid w:val="03AD10F9"/>
    <w:rsid w:val="03AF56AE"/>
    <w:rsid w:val="03F43164"/>
    <w:rsid w:val="03F84D6E"/>
    <w:rsid w:val="04051239"/>
    <w:rsid w:val="040B46AC"/>
    <w:rsid w:val="04133956"/>
    <w:rsid w:val="04170318"/>
    <w:rsid w:val="042F62B6"/>
    <w:rsid w:val="043D09D3"/>
    <w:rsid w:val="04503AA7"/>
    <w:rsid w:val="04514D41"/>
    <w:rsid w:val="04531FA4"/>
    <w:rsid w:val="04670A0E"/>
    <w:rsid w:val="046E6DDE"/>
    <w:rsid w:val="0477576C"/>
    <w:rsid w:val="047A792A"/>
    <w:rsid w:val="047F2D99"/>
    <w:rsid w:val="0483579F"/>
    <w:rsid w:val="04A86794"/>
    <w:rsid w:val="04BD38C2"/>
    <w:rsid w:val="04DA0DE4"/>
    <w:rsid w:val="04F03C97"/>
    <w:rsid w:val="04F14F29"/>
    <w:rsid w:val="05247BA4"/>
    <w:rsid w:val="05351E6A"/>
    <w:rsid w:val="05412745"/>
    <w:rsid w:val="0543421B"/>
    <w:rsid w:val="057248F7"/>
    <w:rsid w:val="057C667D"/>
    <w:rsid w:val="05B65CF9"/>
    <w:rsid w:val="05EC26B0"/>
    <w:rsid w:val="05F0475E"/>
    <w:rsid w:val="05F15344"/>
    <w:rsid w:val="0609596A"/>
    <w:rsid w:val="062C5D5F"/>
    <w:rsid w:val="062E0F1B"/>
    <w:rsid w:val="06314567"/>
    <w:rsid w:val="063B7194"/>
    <w:rsid w:val="064814A2"/>
    <w:rsid w:val="066A7A79"/>
    <w:rsid w:val="066E1C4D"/>
    <w:rsid w:val="068179CE"/>
    <w:rsid w:val="069F6081"/>
    <w:rsid w:val="06C757C6"/>
    <w:rsid w:val="06D465DD"/>
    <w:rsid w:val="06D575E9"/>
    <w:rsid w:val="06D9134C"/>
    <w:rsid w:val="07091BE6"/>
    <w:rsid w:val="070B4A4F"/>
    <w:rsid w:val="071C0D73"/>
    <w:rsid w:val="0737795B"/>
    <w:rsid w:val="07474999"/>
    <w:rsid w:val="07483930"/>
    <w:rsid w:val="074C0493"/>
    <w:rsid w:val="076253D7"/>
    <w:rsid w:val="07804B61"/>
    <w:rsid w:val="07A03795"/>
    <w:rsid w:val="07B21F10"/>
    <w:rsid w:val="07B76CEE"/>
    <w:rsid w:val="07D7113E"/>
    <w:rsid w:val="07D774CA"/>
    <w:rsid w:val="07E15B19"/>
    <w:rsid w:val="07ED551A"/>
    <w:rsid w:val="080878C8"/>
    <w:rsid w:val="08496777"/>
    <w:rsid w:val="088F549F"/>
    <w:rsid w:val="08A40A51"/>
    <w:rsid w:val="08B65A85"/>
    <w:rsid w:val="08B73F0A"/>
    <w:rsid w:val="08C60460"/>
    <w:rsid w:val="08E27D9B"/>
    <w:rsid w:val="08F03922"/>
    <w:rsid w:val="08F9239F"/>
    <w:rsid w:val="09291221"/>
    <w:rsid w:val="09292D87"/>
    <w:rsid w:val="09300B22"/>
    <w:rsid w:val="09425A0C"/>
    <w:rsid w:val="09442C49"/>
    <w:rsid w:val="0944508B"/>
    <w:rsid w:val="0966277A"/>
    <w:rsid w:val="096C38BB"/>
    <w:rsid w:val="09837DC3"/>
    <w:rsid w:val="099F36E6"/>
    <w:rsid w:val="09D9119E"/>
    <w:rsid w:val="0A211347"/>
    <w:rsid w:val="0A3763AF"/>
    <w:rsid w:val="0A4535DA"/>
    <w:rsid w:val="0A7113D6"/>
    <w:rsid w:val="0A7A5E11"/>
    <w:rsid w:val="0A825391"/>
    <w:rsid w:val="0A8C4462"/>
    <w:rsid w:val="0AE918B4"/>
    <w:rsid w:val="0AF80CAA"/>
    <w:rsid w:val="0B3111E4"/>
    <w:rsid w:val="0B574A70"/>
    <w:rsid w:val="0B723658"/>
    <w:rsid w:val="0B8F5C8E"/>
    <w:rsid w:val="0B941820"/>
    <w:rsid w:val="0B9A4667"/>
    <w:rsid w:val="0B9E6666"/>
    <w:rsid w:val="0BA143EE"/>
    <w:rsid w:val="0BBC6838"/>
    <w:rsid w:val="0BC973DA"/>
    <w:rsid w:val="0BE43E2A"/>
    <w:rsid w:val="0BF26547"/>
    <w:rsid w:val="0C076962"/>
    <w:rsid w:val="0C1B3E43"/>
    <w:rsid w:val="0C2319D0"/>
    <w:rsid w:val="0C272694"/>
    <w:rsid w:val="0C38197A"/>
    <w:rsid w:val="0C394687"/>
    <w:rsid w:val="0C5262F1"/>
    <w:rsid w:val="0CBD774C"/>
    <w:rsid w:val="0CCC5E6B"/>
    <w:rsid w:val="0CE82B67"/>
    <w:rsid w:val="0CFE3B46"/>
    <w:rsid w:val="0D166265"/>
    <w:rsid w:val="0D3449BA"/>
    <w:rsid w:val="0D3D5EE8"/>
    <w:rsid w:val="0D5F5E5E"/>
    <w:rsid w:val="0D782A7C"/>
    <w:rsid w:val="0D9755F8"/>
    <w:rsid w:val="0DA83733"/>
    <w:rsid w:val="0DCB71B5"/>
    <w:rsid w:val="0DF476ED"/>
    <w:rsid w:val="0E0C355A"/>
    <w:rsid w:val="0E1327A4"/>
    <w:rsid w:val="0E181023"/>
    <w:rsid w:val="0E1C3D4F"/>
    <w:rsid w:val="0E2C6CD5"/>
    <w:rsid w:val="0E39220B"/>
    <w:rsid w:val="0E3A41D5"/>
    <w:rsid w:val="0E4D7808"/>
    <w:rsid w:val="0E6108C5"/>
    <w:rsid w:val="0E8B67DF"/>
    <w:rsid w:val="0E8E42BF"/>
    <w:rsid w:val="0EB83A78"/>
    <w:rsid w:val="0EB85E3C"/>
    <w:rsid w:val="0ED15C06"/>
    <w:rsid w:val="0ED516DB"/>
    <w:rsid w:val="0EE20AF5"/>
    <w:rsid w:val="0EF56D77"/>
    <w:rsid w:val="0EFF4647"/>
    <w:rsid w:val="0F06137E"/>
    <w:rsid w:val="0F0E4CDB"/>
    <w:rsid w:val="0F1574E5"/>
    <w:rsid w:val="0F271D42"/>
    <w:rsid w:val="0F3E56E9"/>
    <w:rsid w:val="0F4075C9"/>
    <w:rsid w:val="0F4E618A"/>
    <w:rsid w:val="0F653515"/>
    <w:rsid w:val="0F6C6610"/>
    <w:rsid w:val="0F9242C9"/>
    <w:rsid w:val="0FB65273"/>
    <w:rsid w:val="0FBA2891"/>
    <w:rsid w:val="0FC71A98"/>
    <w:rsid w:val="0FCC5741"/>
    <w:rsid w:val="0FD14BCA"/>
    <w:rsid w:val="0FE02DA7"/>
    <w:rsid w:val="0FF26B15"/>
    <w:rsid w:val="0FF5697A"/>
    <w:rsid w:val="0FF860F6"/>
    <w:rsid w:val="10230142"/>
    <w:rsid w:val="102B64CB"/>
    <w:rsid w:val="10377407"/>
    <w:rsid w:val="104F0330"/>
    <w:rsid w:val="10611EED"/>
    <w:rsid w:val="10633BB0"/>
    <w:rsid w:val="108E7685"/>
    <w:rsid w:val="10B63FE7"/>
    <w:rsid w:val="10B84804"/>
    <w:rsid w:val="10BE66B4"/>
    <w:rsid w:val="10CB6DDE"/>
    <w:rsid w:val="10CF433D"/>
    <w:rsid w:val="10E16B8A"/>
    <w:rsid w:val="10F91DBB"/>
    <w:rsid w:val="10F92125"/>
    <w:rsid w:val="11005262"/>
    <w:rsid w:val="11112840"/>
    <w:rsid w:val="111B3BF8"/>
    <w:rsid w:val="112F78F5"/>
    <w:rsid w:val="11362E92"/>
    <w:rsid w:val="11441CB3"/>
    <w:rsid w:val="11513D10"/>
    <w:rsid w:val="11592BC4"/>
    <w:rsid w:val="115B4679"/>
    <w:rsid w:val="11651569"/>
    <w:rsid w:val="116D4627"/>
    <w:rsid w:val="118440E5"/>
    <w:rsid w:val="118F65E6"/>
    <w:rsid w:val="11967974"/>
    <w:rsid w:val="119B31DD"/>
    <w:rsid w:val="11A26379"/>
    <w:rsid w:val="11BD1AE3"/>
    <w:rsid w:val="11C83328"/>
    <w:rsid w:val="11F254F3"/>
    <w:rsid w:val="121B0BF2"/>
    <w:rsid w:val="121C431D"/>
    <w:rsid w:val="1222745A"/>
    <w:rsid w:val="126D23C0"/>
    <w:rsid w:val="127203E1"/>
    <w:rsid w:val="127A5093"/>
    <w:rsid w:val="127E6D86"/>
    <w:rsid w:val="1292334A"/>
    <w:rsid w:val="12946401"/>
    <w:rsid w:val="129D78DE"/>
    <w:rsid w:val="129E6F9D"/>
    <w:rsid w:val="12AA36D7"/>
    <w:rsid w:val="12AC66D9"/>
    <w:rsid w:val="12C30C0A"/>
    <w:rsid w:val="12E1396E"/>
    <w:rsid w:val="12E22309"/>
    <w:rsid w:val="12E37DDF"/>
    <w:rsid w:val="12E60488"/>
    <w:rsid w:val="12F0630A"/>
    <w:rsid w:val="130942CF"/>
    <w:rsid w:val="13185401"/>
    <w:rsid w:val="131A462A"/>
    <w:rsid w:val="132B2E00"/>
    <w:rsid w:val="134D2B55"/>
    <w:rsid w:val="13781A27"/>
    <w:rsid w:val="1384741B"/>
    <w:rsid w:val="13961EAE"/>
    <w:rsid w:val="13AB3BAB"/>
    <w:rsid w:val="13BD11C3"/>
    <w:rsid w:val="13C7650B"/>
    <w:rsid w:val="13E72029"/>
    <w:rsid w:val="14301436"/>
    <w:rsid w:val="143F42F3"/>
    <w:rsid w:val="144162BD"/>
    <w:rsid w:val="14587163"/>
    <w:rsid w:val="146B333A"/>
    <w:rsid w:val="14B07626"/>
    <w:rsid w:val="14B96283"/>
    <w:rsid w:val="14C319DD"/>
    <w:rsid w:val="14C74A4D"/>
    <w:rsid w:val="14D0319D"/>
    <w:rsid w:val="15036624"/>
    <w:rsid w:val="151C682B"/>
    <w:rsid w:val="1537350F"/>
    <w:rsid w:val="153A5A0E"/>
    <w:rsid w:val="15406575"/>
    <w:rsid w:val="155F3E95"/>
    <w:rsid w:val="157533D5"/>
    <w:rsid w:val="15981638"/>
    <w:rsid w:val="15B74558"/>
    <w:rsid w:val="15CD77EF"/>
    <w:rsid w:val="15E01ADC"/>
    <w:rsid w:val="15F630D7"/>
    <w:rsid w:val="160752E5"/>
    <w:rsid w:val="16117F11"/>
    <w:rsid w:val="16573B76"/>
    <w:rsid w:val="16596A26"/>
    <w:rsid w:val="166E2C6E"/>
    <w:rsid w:val="167872C7"/>
    <w:rsid w:val="16E0735B"/>
    <w:rsid w:val="16E509F8"/>
    <w:rsid w:val="16F21CD6"/>
    <w:rsid w:val="17034828"/>
    <w:rsid w:val="172B4B3F"/>
    <w:rsid w:val="17481ADD"/>
    <w:rsid w:val="17681DB3"/>
    <w:rsid w:val="176F4EEF"/>
    <w:rsid w:val="17A76529"/>
    <w:rsid w:val="17C474AE"/>
    <w:rsid w:val="17C70888"/>
    <w:rsid w:val="17C718B4"/>
    <w:rsid w:val="17CB22C5"/>
    <w:rsid w:val="17D60FD0"/>
    <w:rsid w:val="17EE050A"/>
    <w:rsid w:val="17FF3F7F"/>
    <w:rsid w:val="17FF7E4E"/>
    <w:rsid w:val="180D7024"/>
    <w:rsid w:val="181635BD"/>
    <w:rsid w:val="183A304A"/>
    <w:rsid w:val="1869680E"/>
    <w:rsid w:val="186D2D55"/>
    <w:rsid w:val="186D58D3"/>
    <w:rsid w:val="1872095F"/>
    <w:rsid w:val="18B3705E"/>
    <w:rsid w:val="18B52AC1"/>
    <w:rsid w:val="18B708FC"/>
    <w:rsid w:val="18BB3B12"/>
    <w:rsid w:val="18C33A94"/>
    <w:rsid w:val="18CF244A"/>
    <w:rsid w:val="18D624C5"/>
    <w:rsid w:val="18DB187A"/>
    <w:rsid w:val="19073506"/>
    <w:rsid w:val="190A31A2"/>
    <w:rsid w:val="190A583C"/>
    <w:rsid w:val="19137AFC"/>
    <w:rsid w:val="19291921"/>
    <w:rsid w:val="197100DD"/>
    <w:rsid w:val="197900D4"/>
    <w:rsid w:val="19817796"/>
    <w:rsid w:val="19832C36"/>
    <w:rsid w:val="19836A30"/>
    <w:rsid w:val="199210FF"/>
    <w:rsid w:val="19A30E80"/>
    <w:rsid w:val="19B35414"/>
    <w:rsid w:val="19BF2B8F"/>
    <w:rsid w:val="19D674A8"/>
    <w:rsid w:val="19E641DE"/>
    <w:rsid w:val="19EB7B6F"/>
    <w:rsid w:val="1A1D3EB4"/>
    <w:rsid w:val="1A2A4B9C"/>
    <w:rsid w:val="1A2E0F1B"/>
    <w:rsid w:val="1A333A0B"/>
    <w:rsid w:val="1A420E51"/>
    <w:rsid w:val="1A9133CF"/>
    <w:rsid w:val="1A954C6D"/>
    <w:rsid w:val="1A9609E5"/>
    <w:rsid w:val="1A9C4D38"/>
    <w:rsid w:val="1AA53898"/>
    <w:rsid w:val="1ACC2467"/>
    <w:rsid w:val="1AD23AB3"/>
    <w:rsid w:val="1AE23C2A"/>
    <w:rsid w:val="1AE41750"/>
    <w:rsid w:val="1B0818E3"/>
    <w:rsid w:val="1B311082"/>
    <w:rsid w:val="1B4622BD"/>
    <w:rsid w:val="1B484046"/>
    <w:rsid w:val="1B516EFF"/>
    <w:rsid w:val="1B600D30"/>
    <w:rsid w:val="1B6238C2"/>
    <w:rsid w:val="1B633EB5"/>
    <w:rsid w:val="1B6D1746"/>
    <w:rsid w:val="1B833F1E"/>
    <w:rsid w:val="1B903135"/>
    <w:rsid w:val="1BBE0513"/>
    <w:rsid w:val="1BC44E2B"/>
    <w:rsid w:val="1BF16E10"/>
    <w:rsid w:val="1BFB28A1"/>
    <w:rsid w:val="1BFB31F6"/>
    <w:rsid w:val="1C19367C"/>
    <w:rsid w:val="1C2C1601"/>
    <w:rsid w:val="1C422BD3"/>
    <w:rsid w:val="1C434511"/>
    <w:rsid w:val="1C541E1C"/>
    <w:rsid w:val="1C790812"/>
    <w:rsid w:val="1C812C8B"/>
    <w:rsid w:val="1C843139"/>
    <w:rsid w:val="1C8A5463"/>
    <w:rsid w:val="1C90097C"/>
    <w:rsid w:val="1C9571A6"/>
    <w:rsid w:val="1C971528"/>
    <w:rsid w:val="1C984EE8"/>
    <w:rsid w:val="1CD06430"/>
    <w:rsid w:val="1CD73AE3"/>
    <w:rsid w:val="1CEC6D05"/>
    <w:rsid w:val="1D0A1D1B"/>
    <w:rsid w:val="1D1C0494"/>
    <w:rsid w:val="1D292E7F"/>
    <w:rsid w:val="1D35374E"/>
    <w:rsid w:val="1D5030CD"/>
    <w:rsid w:val="1D542BD8"/>
    <w:rsid w:val="1D7E3FDB"/>
    <w:rsid w:val="1E0D4B76"/>
    <w:rsid w:val="1E333CD3"/>
    <w:rsid w:val="1E4F23CA"/>
    <w:rsid w:val="1E7352C5"/>
    <w:rsid w:val="1E8F7DCA"/>
    <w:rsid w:val="1E901B40"/>
    <w:rsid w:val="1E93710D"/>
    <w:rsid w:val="1E94538B"/>
    <w:rsid w:val="1EBF050A"/>
    <w:rsid w:val="1ECE4BF1"/>
    <w:rsid w:val="1EE77A61"/>
    <w:rsid w:val="1F010B23"/>
    <w:rsid w:val="1F080F26"/>
    <w:rsid w:val="1F0D47FF"/>
    <w:rsid w:val="1F464A6B"/>
    <w:rsid w:val="1F510B7A"/>
    <w:rsid w:val="1F6115C2"/>
    <w:rsid w:val="1F680139"/>
    <w:rsid w:val="1F7E2174"/>
    <w:rsid w:val="1F8B663F"/>
    <w:rsid w:val="1FB45B95"/>
    <w:rsid w:val="1FB66008"/>
    <w:rsid w:val="1FBF3557"/>
    <w:rsid w:val="1FDD2182"/>
    <w:rsid w:val="1FEA7809"/>
    <w:rsid w:val="1FFB1133"/>
    <w:rsid w:val="1FFD0BB3"/>
    <w:rsid w:val="201B48BE"/>
    <w:rsid w:val="201E3957"/>
    <w:rsid w:val="202A5E57"/>
    <w:rsid w:val="20375FA9"/>
    <w:rsid w:val="207B6D66"/>
    <w:rsid w:val="20C91B14"/>
    <w:rsid w:val="20C958AB"/>
    <w:rsid w:val="20E701EC"/>
    <w:rsid w:val="20F535C1"/>
    <w:rsid w:val="20FD10C7"/>
    <w:rsid w:val="2107010B"/>
    <w:rsid w:val="211B5F2E"/>
    <w:rsid w:val="21302F42"/>
    <w:rsid w:val="213A55D8"/>
    <w:rsid w:val="219322CE"/>
    <w:rsid w:val="21BF0821"/>
    <w:rsid w:val="221053AC"/>
    <w:rsid w:val="221D3573"/>
    <w:rsid w:val="22247E74"/>
    <w:rsid w:val="222D11CC"/>
    <w:rsid w:val="226E709F"/>
    <w:rsid w:val="227855A0"/>
    <w:rsid w:val="2292474D"/>
    <w:rsid w:val="2298548A"/>
    <w:rsid w:val="22A2261D"/>
    <w:rsid w:val="22B041C1"/>
    <w:rsid w:val="22BC2F77"/>
    <w:rsid w:val="22D64075"/>
    <w:rsid w:val="22DD4093"/>
    <w:rsid w:val="22E04EF3"/>
    <w:rsid w:val="231828DF"/>
    <w:rsid w:val="232958E5"/>
    <w:rsid w:val="232E686C"/>
    <w:rsid w:val="23307C29"/>
    <w:rsid w:val="2345037B"/>
    <w:rsid w:val="236F447F"/>
    <w:rsid w:val="237567D0"/>
    <w:rsid w:val="2398757C"/>
    <w:rsid w:val="23A55DBB"/>
    <w:rsid w:val="23E97DD8"/>
    <w:rsid w:val="240C3075"/>
    <w:rsid w:val="24176F16"/>
    <w:rsid w:val="241A54DB"/>
    <w:rsid w:val="24487BCC"/>
    <w:rsid w:val="244B0A92"/>
    <w:rsid w:val="24621713"/>
    <w:rsid w:val="2463402E"/>
    <w:rsid w:val="24677D51"/>
    <w:rsid w:val="24704055"/>
    <w:rsid w:val="249C309C"/>
    <w:rsid w:val="25422D55"/>
    <w:rsid w:val="25652EDE"/>
    <w:rsid w:val="256D340A"/>
    <w:rsid w:val="257F11D4"/>
    <w:rsid w:val="25916979"/>
    <w:rsid w:val="25CB61FB"/>
    <w:rsid w:val="25D16D75"/>
    <w:rsid w:val="25DA20CE"/>
    <w:rsid w:val="25E34648"/>
    <w:rsid w:val="2611258E"/>
    <w:rsid w:val="263F0183"/>
    <w:rsid w:val="26486E0F"/>
    <w:rsid w:val="26577050"/>
    <w:rsid w:val="265E4AAD"/>
    <w:rsid w:val="267D46FE"/>
    <w:rsid w:val="267E6EFD"/>
    <w:rsid w:val="26C012C4"/>
    <w:rsid w:val="26CA3E87"/>
    <w:rsid w:val="26D134D1"/>
    <w:rsid w:val="26D46B1D"/>
    <w:rsid w:val="2716659A"/>
    <w:rsid w:val="27183439"/>
    <w:rsid w:val="271A7E79"/>
    <w:rsid w:val="271E248E"/>
    <w:rsid w:val="27227A9E"/>
    <w:rsid w:val="27322665"/>
    <w:rsid w:val="27604855"/>
    <w:rsid w:val="276D7AF2"/>
    <w:rsid w:val="277F117F"/>
    <w:rsid w:val="27A5065C"/>
    <w:rsid w:val="27AF30E6"/>
    <w:rsid w:val="27C55836"/>
    <w:rsid w:val="27E06649"/>
    <w:rsid w:val="27E2603F"/>
    <w:rsid w:val="27F10124"/>
    <w:rsid w:val="281A4A03"/>
    <w:rsid w:val="28332823"/>
    <w:rsid w:val="2852419D"/>
    <w:rsid w:val="28711C86"/>
    <w:rsid w:val="28796FB6"/>
    <w:rsid w:val="289522DC"/>
    <w:rsid w:val="28991DCC"/>
    <w:rsid w:val="28BE142A"/>
    <w:rsid w:val="28CA391A"/>
    <w:rsid w:val="28D56B7C"/>
    <w:rsid w:val="28DD1D90"/>
    <w:rsid w:val="28E646FA"/>
    <w:rsid w:val="28EA7724"/>
    <w:rsid w:val="29037B8D"/>
    <w:rsid w:val="291467FA"/>
    <w:rsid w:val="291D29FD"/>
    <w:rsid w:val="292A511A"/>
    <w:rsid w:val="29502D0C"/>
    <w:rsid w:val="29585ED1"/>
    <w:rsid w:val="295F4BB8"/>
    <w:rsid w:val="297168A5"/>
    <w:rsid w:val="29BB2216"/>
    <w:rsid w:val="29C63095"/>
    <w:rsid w:val="29CB2BAE"/>
    <w:rsid w:val="29D43744"/>
    <w:rsid w:val="29D666D9"/>
    <w:rsid w:val="2A035680"/>
    <w:rsid w:val="2A084BDA"/>
    <w:rsid w:val="2A201DF5"/>
    <w:rsid w:val="2A2B114A"/>
    <w:rsid w:val="2A3155E4"/>
    <w:rsid w:val="2A4B359A"/>
    <w:rsid w:val="2A4F7A8C"/>
    <w:rsid w:val="2A7614CF"/>
    <w:rsid w:val="2A845E7D"/>
    <w:rsid w:val="2A87085C"/>
    <w:rsid w:val="2AA208E8"/>
    <w:rsid w:val="2AA902C1"/>
    <w:rsid w:val="2AB23619"/>
    <w:rsid w:val="2AB47391"/>
    <w:rsid w:val="2AC21BC1"/>
    <w:rsid w:val="2AFA11D3"/>
    <w:rsid w:val="2AFD45BE"/>
    <w:rsid w:val="2B1264B8"/>
    <w:rsid w:val="2B1E4F76"/>
    <w:rsid w:val="2B284CA6"/>
    <w:rsid w:val="2B597F39"/>
    <w:rsid w:val="2B7A6C11"/>
    <w:rsid w:val="2B876854"/>
    <w:rsid w:val="2BA618C3"/>
    <w:rsid w:val="2BDE43AD"/>
    <w:rsid w:val="2BF44F91"/>
    <w:rsid w:val="2BFB11CF"/>
    <w:rsid w:val="2BFB2D9E"/>
    <w:rsid w:val="2C1B13EE"/>
    <w:rsid w:val="2C30354D"/>
    <w:rsid w:val="2C956D4E"/>
    <w:rsid w:val="2C9B261E"/>
    <w:rsid w:val="2CB00D1E"/>
    <w:rsid w:val="2CBF201D"/>
    <w:rsid w:val="2CD258AD"/>
    <w:rsid w:val="2CD930DF"/>
    <w:rsid w:val="2CE37ABA"/>
    <w:rsid w:val="2CE51A84"/>
    <w:rsid w:val="2CE5342A"/>
    <w:rsid w:val="2CE907D5"/>
    <w:rsid w:val="2D0A0B9F"/>
    <w:rsid w:val="2D1B478D"/>
    <w:rsid w:val="2D29731E"/>
    <w:rsid w:val="2D2D6F87"/>
    <w:rsid w:val="2D3C2738"/>
    <w:rsid w:val="2D401748"/>
    <w:rsid w:val="2D5269EE"/>
    <w:rsid w:val="2D5704A8"/>
    <w:rsid w:val="2D71156A"/>
    <w:rsid w:val="2D880661"/>
    <w:rsid w:val="2D89651B"/>
    <w:rsid w:val="2DA70645"/>
    <w:rsid w:val="2DB609C9"/>
    <w:rsid w:val="2DBD030B"/>
    <w:rsid w:val="2DFB0E33"/>
    <w:rsid w:val="2E0C3040"/>
    <w:rsid w:val="2E197DD1"/>
    <w:rsid w:val="2E1E2153"/>
    <w:rsid w:val="2E2620F4"/>
    <w:rsid w:val="2E2B796A"/>
    <w:rsid w:val="2E2C74A5"/>
    <w:rsid w:val="2E304F81"/>
    <w:rsid w:val="2E3634BD"/>
    <w:rsid w:val="2E600AC3"/>
    <w:rsid w:val="2E60483D"/>
    <w:rsid w:val="2E734E6D"/>
    <w:rsid w:val="2E8E5C2A"/>
    <w:rsid w:val="2E920333"/>
    <w:rsid w:val="2EB931C8"/>
    <w:rsid w:val="2EC90F31"/>
    <w:rsid w:val="2EC93975"/>
    <w:rsid w:val="2F097580"/>
    <w:rsid w:val="2F195EC1"/>
    <w:rsid w:val="2F1A353B"/>
    <w:rsid w:val="2F1B7A9D"/>
    <w:rsid w:val="2F2063E4"/>
    <w:rsid w:val="2F3B7ABC"/>
    <w:rsid w:val="2F464330"/>
    <w:rsid w:val="2F4A02C4"/>
    <w:rsid w:val="2F526E66"/>
    <w:rsid w:val="2F847166"/>
    <w:rsid w:val="2F8F783F"/>
    <w:rsid w:val="2FA35CEE"/>
    <w:rsid w:val="2FB41BE1"/>
    <w:rsid w:val="2FC82F97"/>
    <w:rsid w:val="2FDC4EC6"/>
    <w:rsid w:val="2FE70FA2"/>
    <w:rsid w:val="2FF71670"/>
    <w:rsid w:val="2FF8355F"/>
    <w:rsid w:val="300466C5"/>
    <w:rsid w:val="300A1337"/>
    <w:rsid w:val="302400EF"/>
    <w:rsid w:val="302F3016"/>
    <w:rsid w:val="303C2CDA"/>
    <w:rsid w:val="30492C32"/>
    <w:rsid w:val="304A7E50"/>
    <w:rsid w:val="305F3444"/>
    <w:rsid w:val="307A6CB2"/>
    <w:rsid w:val="30915A7F"/>
    <w:rsid w:val="3091782D"/>
    <w:rsid w:val="30A2258C"/>
    <w:rsid w:val="30D80A5D"/>
    <w:rsid w:val="30E24E48"/>
    <w:rsid w:val="311B07AD"/>
    <w:rsid w:val="311C4A14"/>
    <w:rsid w:val="31531D23"/>
    <w:rsid w:val="318E3FE1"/>
    <w:rsid w:val="31AC5437"/>
    <w:rsid w:val="31B8634B"/>
    <w:rsid w:val="31C1569F"/>
    <w:rsid w:val="31C53C32"/>
    <w:rsid w:val="31EA1348"/>
    <w:rsid w:val="31FA233C"/>
    <w:rsid w:val="32044D0F"/>
    <w:rsid w:val="32144BB9"/>
    <w:rsid w:val="32167667"/>
    <w:rsid w:val="3220530C"/>
    <w:rsid w:val="323D5EBE"/>
    <w:rsid w:val="32445502"/>
    <w:rsid w:val="325029E4"/>
    <w:rsid w:val="326630DC"/>
    <w:rsid w:val="327D7571"/>
    <w:rsid w:val="328A6803"/>
    <w:rsid w:val="32BC57B2"/>
    <w:rsid w:val="32C21506"/>
    <w:rsid w:val="32C6424F"/>
    <w:rsid w:val="32CB34CA"/>
    <w:rsid w:val="32CF50DF"/>
    <w:rsid w:val="32D57EA5"/>
    <w:rsid w:val="32E20192"/>
    <w:rsid w:val="33062C5A"/>
    <w:rsid w:val="33095DA0"/>
    <w:rsid w:val="33323549"/>
    <w:rsid w:val="333A56AF"/>
    <w:rsid w:val="3344502A"/>
    <w:rsid w:val="335E433E"/>
    <w:rsid w:val="33784CD4"/>
    <w:rsid w:val="33A855B9"/>
    <w:rsid w:val="33B65581"/>
    <w:rsid w:val="33C63BE7"/>
    <w:rsid w:val="33CA73DC"/>
    <w:rsid w:val="33CC574C"/>
    <w:rsid w:val="340A0022"/>
    <w:rsid w:val="34193AA3"/>
    <w:rsid w:val="3442239D"/>
    <w:rsid w:val="34466147"/>
    <w:rsid w:val="345E1F05"/>
    <w:rsid w:val="3471716E"/>
    <w:rsid w:val="347656B7"/>
    <w:rsid w:val="347E7221"/>
    <w:rsid w:val="34832F99"/>
    <w:rsid w:val="34853B4C"/>
    <w:rsid w:val="34AF2977"/>
    <w:rsid w:val="34D2328A"/>
    <w:rsid w:val="34DA16C6"/>
    <w:rsid w:val="34DA5C46"/>
    <w:rsid w:val="34F66C4D"/>
    <w:rsid w:val="35083E8E"/>
    <w:rsid w:val="350B5E00"/>
    <w:rsid w:val="352E1369"/>
    <w:rsid w:val="352E5F92"/>
    <w:rsid w:val="35303AB2"/>
    <w:rsid w:val="35321B26"/>
    <w:rsid w:val="353335A8"/>
    <w:rsid w:val="35350A65"/>
    <w:rsid w:val="35431A3E"/>
    <w:rsid w:val="35521C81"/>
    <w:rsid w:val="357112B4"/>
    <w:rsid w:val="35843E04"/>
    <w:rsid w:val="358E07DF"/>
    <w:rsid w:val="35AB1391"/>
    <w:rsid w:val="35B13E3D"/>
    <w:rsid w:val="35C0308E"/>
    <w:rsid w:val="35DC59EE"/>
    <w:rsid w:val="35E84393"/>
    <w:rsid w:val="35EA167F"/>
    <w:rsid w:val="35FD0039"/>
    <w:rsid w:val="36487D7F"/>
    <w:rsid w:val="364A6DFC"/>
    <w:rsid w:val="365778E0"/>
    <w:rsid w:val="36965B9D"/>
    <w:rsid w:val="36E52680"/>
    <w:rsid w:val="36F01751"/>
    <w:rsid w:val="371E1103"/>
    <w:rsid w:val="3724003C"/>
    <w:rsid w:val="379E0494"/>
    <w:rsid w:val="379F0593"/>
    <w:rsid w:val="37CA234D"/>
    <w:rsid w:val="37FA004A"/>
    <w:rsid w:val="381551E7"/>
    <w:rsid w:val="38174ABC"/>
    <w:rsid w:val="38206066"/>
    <w:rsid w:val="3839001F"/>
    <w:rsid w:val="383F746B"/>
    <w:rsid w:val="3882287D"/>
    <w:rsid w:val="388C54AA"/>
    <w:rsid w:val="38A66E8B"/>
    <w:rsid w:val="38B43E7B"/>
    <w:rsid w:val="38B844F1"/>
    <w:rsid w:val="38C51034"/>
    <w:rsid w:val="38D96215"/>
    <w:rsid w:val="38E50736"/>
    <w:rsid w:val="38E52E0C"/>
    <w:rsid w:val="39131727"/>
    <w:rsid w:val="39144F54"/>
    <w:rsid w:val="391A40A5"/>
    <w:rsid w:val="391A56D5"/>
    <w:rsid w:val="391D37C1"/>
    <w:rsid w:val="39207610"/>
    <w:rsid w:val="393A2629"/>
    <w:rsid w:val="39496480"/>
    <w:rsid w:val="395A3467"/>
    <w:rsid w:val="39730417"/>
    <w:rsid w:val="397D063B"/>
    <w:rsid w:val="397F26DD"/>
    <w:rsid w:val="39845342"/>
    <w:rsid w:val="398A1872"/>
    <w:rsid w:val="39AE065F"/>
    <w:rsid w:val="39CA622A"/>
    <w:rsid w:val="39D4110F"/>
    <w:rsid w:val="39D52E82"/>
    <w:rsid w:val="39EA588E"/>
    <w:rsid w:val="39F378C2"/>
    <w:rsid w:val="3A173B31"/>
    <w:rsid w:val="3A27446B"/>
    <w:rsid w:val="3A4848AA"/>
    <w:rsid w:val="3A4D6952"/>
    <w:rsid w:val="3A4D7391"/>
    <w:rsid w:val="3A5244D1"/>
    <w:rsid w:val="3A71475D"/>
    <w:rsid w:val="3A77335F"/>
    <w:rsid w:val="3A886145"/>
    <w:rsid w:val="3AA12A0F"/>
    <w:rsid w:val="3AAD1707"/>
    <w:rsid w:val="3AB16C4D"/>
    <w:rsid w:val="3AB807D8"/>
    <w:rsid w:val="3AC86541"/>
    <w:rsid w:val="3AF61605"/>
    <w:rsid w:val="3AFE5F75"/>
    <w:rsid w:val="3B090C22"/>
    <w:rsid w:val="3B3836C7"/>
    <w:rsid w:val="3B4A3BB0"/>
    <w:rsid w:val="3B530501"/>
    <w:rsid w:val="3B5D4EDB"/>
    <w:rsid w:val="3B672956"/>
    <w:rsid w:val="3B685AA3"/>
    <w:rsid w:val="3B7B381F"/>
    <w:rsid w:val="3B827442"/>
    <w:rsid w:val="3B8B7C9A"/>
    <w:rsid w:val="3B9C3C56"/>
    <w:rsid w:val="3BA31987"/>
    <w:rsid w:val="3BB56AC5"/>
    <w:rsid w:val="3BBB3A43"/>
    <w:rsid w:val="3BBC42F8"/>
    <w:rsid w:val="3C055D3C"/>
    <w:rsid w:val="3C143080"/>
    <w:rsid w:val="3C154B1E"/>
    <w:rsid w:val="3C1934F8"/>
    <w:rsid w:val="3C244E8B"/>
    <w:rsid w:val="3C3814A4"/>
    <w:rsid w:val="3C8A7F52"/>
    <w:rsid w:val="3CC571DC"/>
    <w:rsid w:val="3CD25455"/>
    <w:rsid w:val="3CD40BCB"/>
    <w:rsid w:val="3CF93408"/>
    <w:rsid w:val="3D274BF7"/>
    <w:rsid w:val="3D3F33B2"/>
    <w:rsid w:val="3D467345"/>
    <w:rsid w:val="3D4A1A37"/>
    <w:rsid w:val="3D4E30D3"/>
    <w:rsid w:val="3D5256BC"/>
    <w:rsid w:val="3D5B369C"/>
    <w:rsid w:val="3D732FB5"/>
    <w:rsid w:val="3D8E3A72"/>
    <w:rsid w:val="3DA70690"/>
    <w:rsid w:val="3DAD43BB"/>
    <w:rsid w:val="3DDB658B"/>
    <w:rsid w:val="3DE31F88"/>
    <w:rsid w:val="3DED3207"/>
    <w:rsid w:val="3E071210"/>
    <w:rsid w:val="3E08142E"/>
    <w:rsid w:val="3E097385"/>
    <w:rsid w:val="3E0B6453"/>
    <w:rsid w:val="3E1D4DF6"/>
    <w:rsid w:val="3E371A14"/>
    <w:rsid w:val="3E3F6B1A"/>
    <w:rsid w:val="3E42660A"/>
    <w:rsid w:val="3E4F267D"/>
    <w:rsid w:val="3E500D27"/>
    <w:rsid w:val="3E7A6209"/>
    <w:rsid w:val="3E804F93"/>
    <w:rsid w:val="3E917B24"/>
    <w:rsid w:val="3E921FBD"/>
    <w:rsid w:val="3EB72B54"/>
    <w:rsid w:val="3F0F1ACA"/>
    <w:rsid w:val="3F285800"/>
    <w:rsid w:val="3F3423F7"/>
    <w:rsid w:val="3F6C393F"/>
    <w:rsid w:val="3F854A01"/>
    <w:rsid w:val="3F8F3AD1"/>
    <w:rsid w:val="3FAE2C6A"/>
    <w:rsid w:val="3FB362C2"/>
    <w:rsid w:val="3FBE0233"/>
    <w:rsid w:val="3FC64394"/>
    <w:rsid w:val="3FC90E32"/>
    <w:rsid w:val="3FF25000"/>
    <w:rsid w:val="3FF676AC"/>
    <w:rsid w:val="40353870"/>
    <w:rsid w:val="40386F02"/>
    <w:rsid w:val="403C5A07"/>
    <w:rsid w:val="40844CB8"/>
    <w:rsid w:val="408D6263"/>
    <w:rsid w:val="40904E52"/>
    <w:rsid w:val="40AD7F08"/>
    <w:rsid w:val="40B36E67"/>
    <w:rsid w:val="40B57568"/>
    <w:rsid w:val="40BE0F76"/>
    <w:rsid w:val="40CD5D69"/>
    <w:rsid w:val="40D4005D"/>
    <w:rsid w:val="40D7128C"/>
    <w:rsid w:val="40E82174"/>
    <w:rsid w:val="41110C42"/>
    <w:rsid w:val="41A90E7A"/>
    <w:rsid w:val="41B475E0"/>
    <w:rsid w:val="41B94E35"/>
    <w:rsid w:val="41C31810"/>
    <w:rsid w:val="41CC4B69"/>
    <w:rsid w:val="41DA2951"/>
    <w:rsid w:val="41DD6D76"/>
    <w:rsid w:val="41F83BB0"/>
    <w:rsid w:val="41FC49D1"/>
    <w:rsid w:val="41FD7266"/>
    <w:rsid w:val="42084A4B"/>
    <w:rsid w:val="421B33E6"/>
    <w:rsid w:val="422D2033"/>
    <w:rsid w:val="425C2C71"/>
    <w:rsid w:val="42760694"/>
    <w:rsid w:val="42884F34"/>
    <w:rsid w:val="42915828"/>
    <w:rsid w:val="429612A3"/>
    <w:rsid w:val="429A2DFF"/>
    <w:rsid w:val="42A466DB"/>
    <w:rsid w:val="42A94EAA"/>
    <w:rsid w:val="42AB683A"/>
    <w:rsid w:val="42CB6BCE"/>
    <w:rsid w:val="42D261AF"/>
    <w:rsid w:val="42F75C15"/>
    <w:rsid w:val="43153F94"/>
    <w:rsid w:val="431A5B88"/>
    <w:rsid w:val="431C0C38"/>
    <w:rsid w:val="43233E35"/>
    <w:rsid w:val="432B2D3F"/>
    <w:rsid w:val="432C2862"/>
    <w:rsid w:val="432F7FAB"/>
    <w:rsid w:val="43687E96"/>
    <w:rsid w:val="438B6961"/>
    <w:rsid w:val="43964499"/>
    <w:rsid w:val="43D63A7D"/>
    <w:rsid w:val="441A4FFE"/>
    <w:rsid w:val="44230989"/>
    <w:rsid w:val="44246EDE"/>
    <w:rsid w:val="442F5AEF"/>
    <w:rsid w:val="44476729"/>
    <w:rsid w:val="445634B0"/>
    <w:rsid w:val="445C6678"/>
    <w:rsid w:val="44623562"/>
    <w:rsid w:val="44733B26"/>
    <w:rsid w:val="447F2F5B"/>
    <w:rsid w:val="44832363"/>
    <w:rsid w:val="44884175"/>
    <w:rsid w:val="449443B9"/>
    <w:rsid w:val="44A57259"/>
    <w:rsid w:val="44F85796"/>
    <w:rsid w:val="45196317"/>
    <w:rsid w:val="451B5762"/>
    <w:rsid w:val="453F38A4"/>
    <w:rsid w:val="454F7B31"/>
    <w:rsid w:val="45725A27"/>
    <w:rsid w:val="45B46040"/>
    <w:rsid w:val="45C269AF"/>
    <w:rsid w:val="45CC15DB"/>
    <w:rsid w:val="45CC73C7"/>
    <w:rsid w:val="45D75E6B"/>
    <w:rsid w:val="45E939C0"/>
    <w:rsid w:val="45EF7078"/>
    <w:rsid w:val="45F224BA"/>
    <w:rsid w:val="4621408E"/>
    <w:rsid w:val="462C7068"/>
    <w:rsid w:val="46342CDD"/>
    <w:rsid w:val="464F7B16"/>
    <w:rsid w:val="465E7D59"/>
    <w:rsid w:val="466179D0"/>
    <w:rsid w:val="4662631D"/>
    <w:rsid w:val="467F1EF6"/>
    <w:rsid w:val="46853538"/>
    <w:rsid w:val="46B533FC"/>
    <w:rsid w:val="46F8339D"/>
    <w:rsid w:val="47094169"/>
    <w:rsid w:val="470B6133"/>
    <w:rsid w:val="470B6FA9"/>
    <w:rsid w:val="471C0AE0"/>
    <w:rsid w:val="473236C0"/>
    <w:rsid w:val="47394A4E"/>
    <w:rsid w:val="473D3B5C"/>
    <w:rsid w:val="474136C8"/>
    <w:rsid w:val="47447AD2"/>
    <w:rsid w:val="474D07FF"/>
    <w:rsid w:val="476E14BB"/>
    <w:rsid w:val="479F4165"/>
    <w:rsid w:val="47A4049B"/>
    <w:rsid w:val="47AB41DF"/>
    <w:rsid w:val="47C40234"/>
    <w:rsid w:val="483F42E6"/>
    <w:rsid w:val="48541414"/>
    <w:rsid w:val="4858239D"/>
    <w:rsid w:val="48606163"/>
    <w:rsid w:val="486755EB"/>
    <w:rsid w:val="48735D3E"/>
    <w:rsid w:val="4882498D"/>
    <w:rsid w:val="488717E9"/>
    <w:rsid w:val="489817AA"/>
    <w:rsid w:val="48B20D37"/>
    <w:rsid w:val="48BF5427"/>
    <w:rsid w:val="48BF71D5"/>
    <w:rsid w:val="48DA454E"/>
    <w:rsid w:val="48F6749B"/>
    <w:rsid w:val="491312CF"/>
    <w:rsid w:val="49133F46"/>
    <w:rsid w:val="49276CAA"/>
    <w:rsid w:val="495101E2"/>
    <w:rsid w:val="495C4A24"/>
    <w:rsid w:val="495F5768"/>
    <w:rsid w:val="49747EF6"/>
    <w:rsid w:val="497A134E"/>
    <w:rsid w:val="497E2BEC"/>
    <w:rsid w:val="498068AB"/>
    <w:rsid w:val="49A10689"/>
    <w:rsid w:val="49AD041B"/>
    <w:rsid w:val="49B4143D"/>
    <w:rsid w:val="49E20A69"/>
    <w:rsid w:val="49E62C53"/>
    <w:rsid w:val="49F2635D"/>
    <w:rsid w:val="4A00113E"/>
    <w:rsid w:val="4A093D8A"/>
    <w:rsid w:val="4A0B0F5A"/>
    <w:rsid w:val="4A243E2C"/>
    <w:rsid w:val="4A3D4856"/>
    <w:rsid w:val="4A434EE7"/>
    <w:rsid w:val="4A5679C1"/>
    <w:rsid w:val="4A592B0D"/>
    <w:rsid w:val="4A600544"/>
    <w:rsid w:val="4A6A3171"/>
    <w:rsid w:val="4A8A0E48"/>
    <w:rsid w:val="4A9E2E1A"/>
    <w:rsid w:val="4AA36000"/>
    <w:rsid w:val="4AD552B6"/>
    <w:rsid w:val="4AD8632C"/>
    <w:rsid w:val="4AE16CDF"/>
    <w:rsid w:val="4B0B4954"/>
    <w:rsid w:val="4B107344"/>
    <w:rsid w:val="4B124AD8"/>
    <w:rsid w:val="4B1C7BD0"/>
    <w:rsid w:val="4B3A39A2"/>
    <w:rsid w:val="4B427C4A"/>
    <w:rsid w:val="4B681E97"/>
    <w:rsid w:val="4B6C434D"/>
    <w:rsid w:val="4B8A01B9"/>
    <w:rsid w:val="4B8D3A4C"/>
    <w:rsid w:val="4B933956"/>
    <w:rsid w:val="4BE156B5"/>
    <w:rsid w:val="4BED7B41"/>
    <w:rsid w:val="4BF0061D"/>
    <w:rsid w:val="4C0A2396"/>
    <w:rsid w:val="4C354089"/>
    <w:rsid w:val="4C39729F"/>
    <w:rsid w:val="4C3C28EB"/>
    <w:rsid w:val="4C763353"/>
    <w:rsid w:val="4C856A81"/>
    <w:rsid w:val="4C8E50CB"/>
    <w:rsid w:val="4C9716F3"/>
    <w:rsid w:val="4C9E5354"/>
    <w:rsid w:val="4CCF19B1"/>
    <w:rsid w:val="4CD6689C"/>
    <w:rsid w:val="4CEE62DB"/>
    <w:rsid w:val="4CEF5BAF"/>
    <w:rsid w:val="4CF475EA"/>
    <w:rsid w:val="4D046253"/>
    <w:rsid w:val="4D1E1C9E"/>
    <w:rsid w:val="4D221AE1"/>
    <w:rsid w:val="4D241CFD"/>
    <w:rsid w:val="4D283CA5"/>
    <w:rsid w:val="4D6D004A"/>
    <w:rsid w:val="4D6D0FC3"/>
    <w:rsid w:val="4DB902D0"/>
    <w:rsid w:val="4DBB197A"/>
    <w:rsid w:val="4DC85B7C"/>
    <w:rsid w:val="4DD14002"/>
    <w:rsid w:val="4DF02264"/>
    <w:rsid w:val="4DF07E31"/>
    <w:rsid w:val="4E102281"/>
    <w:rsid w:val="4E1A6550"/>
    <w:rsid w:val="4E3F4A1B"/>
    <w:rsid w:val="4E4D7031"/>
    <w:rsid w:val="4E523481"/>
    <w:rsid w:val="4E5959D6"/>
    <w:rsid w:val="4E880069"/>
    <w:rsid w:val="4E90595C"/>
    <w:rsid w:val="4EA01857"/>
    <w:rsid w:val="4EA50C1B"/>
    <w:rsid w:val="4EB40E5E"/>
    <w:rsid w:val="4EB66985"/>
    <w:rsid w:val="4EC05A55"/>
    <w:rsid w:val="4EF13E61"/>
    <w:rsid w:val="4EF70D4B"/>
    <w:rsid w:val="4F045452"/>
    <w:rsid w:val="4F17220C"/>
    <w:rsid w:val="4F192763"/>
    <w:rsid w:val="4F781E8C"/>
    <w:rsid w:val="4F7F767D"/>
    <w:rsid w:val="4FAB0CD5"/>
    <w:rsid w:val="4FAB400F"/>
    <w:rsid w:val="4FD32C53"/>
    <w:rsid w:val="50091750"/>
    <w:rsid w:val="50120532"/>
    <w:rsid w:val="50245F5C"/>
    <w:rsid w:val="50294CAF"/>
    <w:rsid w:val="502E69EF"/>
    <w:rsid w:val="50684475"/>
    <w:rsid w:val="508605D9"/>
    <w:rsid w:val="508664AB"/>
    <w:rsid w:val="508677F2"/>
    <w:rsid w:val="5091511F"/>
    <w:rsid w:val="50A2139C"/>
    <w:rsid w:val="50A6547F"/>
    <w:rsid w:val="50F61F27"/>
    <w:rsid w:val="514C35D0"/>
    <w:rsid w:val="51523CAA"/>
    <w:rsid w:val="517337E3"/>
    <w:rsid w:val="5176004E"/>
    <w:rsid w:val="518A40F8"/>
    <w:rsid w:val="51912727"/>
    <w:rsid w:val="51A11B6E"/>
    <w:rsid w:val="51BD0A18"/>
    <w:rsid w:val="51D5601F"/>
    <w:rsid w:val="51DE7DB3"/>
    <w:rsid w:val="51FC6DA4"/>
    <w:rsid w:val="52065E75"/>
    <w:rsid w:val="521C6D4F"/>
    <w:rsid w:val="521D6D1B"/>
    <w:rsid w:val="522E2DB4"/>
    <w:rsid w:val="523F3135"/>
    <w:rsid w:val="525212DD"/>
    <w:rsid w:val="52545444"/>
    <w:rsid w:val="52645155"/>
    <w:rsid w:val="526C033D"/>
    <w:rsid w:val="5288155D"/>
    <w:rsid w:val="52A42F98"/>
    <w:rsid w:val="52E02222"/>
    <w:rsid w:val="52F42171"/>
    <w:rsid w:val="52FF3466"/>
    <w:rsid w:val="53232908"/>
    <w:rsid w:val="534A1D91"/>
    <w:rsid w:val="536B0F7A"/>
    <w:rsid w:val="53746E0E"/>
    <w:rsid w:val="53815A5F"/>
    <w:rsid w:val="538A03E0"/>
    <w:rsid w:val="53A228DD"/>
    <w:rsid w:val="53AC6661"/>
    <w:rsid w:val="53DC4391"/>
    <w:rsid w:val="53DD0E57"/>
    <w:rsid w:val="53DF562A"/>
    <w:rsid w:val="53ED1C72"/>
    <w:rsid w:val="53EE096F"/>
    <w:rsid w:val="541936B2"/>
    <w:rsid w:val="54240834"/>
    <w:rsid w:val="543144A0"/>
    <w:rsid w:val="54373C2E"/>
    <w:rsid w:val="54442C85"/>
    <w:rsid w:val="546E2285"/>
    <w:rsid w:val="546F4F00"/>
    <w:rsid w:val="548D63DA"/>
    <w:rsid w:val="54A24C16"/>
    <w:rsid w:val="54AE1A92"/>
    <w:rsid w:val="54D1276A"/>
    <w:rsid w:val="54EA55DA"/>
    <w:rsid w:val="55046EB5"/>
    <w:rsid w:val="55195EBF"/>
    <w:rsid w:val="55211D09"/>
    <w:rsid w:val="552C3F3B"/>
    <w:rsid w:val="55394261"/>
    <w:rsid w:val="55677C9A"/>
    <w:rsid w:val="55885A03"/>
    <w:rsid w:val="55C0633B"/>
    <w:rsid w:val="55E3789F"/>
    <w:rsid w:val="55EF2B39"/>
    <w:rsid w:val="55F34962"/>
    <w:rsid w:val="55FB0EDC"/>
    <w:rsid w:val="56177A73"/>
    <w:rsid w:val="56356CB0"/>
    <w:rsid w:val="567027DE"/>
    <w:rsid w:val="568A019F"/>
    <w:rsid w:val="56982E14"/>
    <w:rsid w:val="56C500AD"/>
    <w:rsid w:val="56EB4AB4"/>
    <w:rsid w:val="57004D88"/>
    <w:rsid w:val="571B7CCD"/>
    <w:rsid w:val="57324409"/>
    <w:rsid w:val="574309DA"/>
    <w:rsid w:val="57453BDE"/>
    <w:rsid w:val="574F7976"/>
    <w:rsid w:val="575907F5"/>
    <w:rsid w:val="575C2093"/>
    <w:rsid w:val="576D604E"/>
    <w:rsid w:val="577E64AD"/>
    <w:rsid w:val="578704B2"/>
    <w:rsid w:val="578E252E"/>
    <w:rsid w:val="57967C48"/>
    <w:rsid w:val="57A0784B"/>
    <w:rsid w:val="57A84056"/>
    <w:rsid w:val="57BB500C"/>
    <w:rsid w:val="57DC19A8"/>
    <w:rsid w:val="57E5527E"/>
    <w:rsid w:val="57EE53E1"/>
    <w:rsid w:val="58116B2F"/>
    <w:rsid w:val="58136BF6"/>
    <w:rsid w:val="581A61D6"/>
    <w:rsid w:val="58524D95"/>
    <w:rsid w:val="585711D8"/>
    <w:rsid w:val="58630DA9"/>
    <w:rsid w:val="586C24F3"/>
    <w:rsid w:val="58762A72"/>
    <w:rsid w:val="588B37E2"/>
    <w:rsid w:val="5894304C"/>
    <w:rsid w:val="589C1070"/>
    <w:rsid w:val="58CE0D6F"/>
    <w:rsid w:val="58DF1EFB"/>
    <w:rsid w:val="58DF2F7C"/>
    <w:rsid w:val="58E660B8"/>
    <w:rsid w:val="591518FA"/>
    <w:rsid w:val="59216B32"/>
    <w:rsid w:val="593212FE"/>
    <w:rsid w:val="59337E7E"/>
    <w:rsid w:val="59377A52"/>
    <w:rsid w:val="599C0E6D"/>
    <w:rsid w:val="599E2E37"/>
    <w:rsid w:val="59A321FB"/>
    <w:rsid w:val="59AE5B50"/>
    <w:rsid w:val="59DE1485"/>
    <w:rsid w:val="59E26F01"/>
    <w:rsid w:val="59ED3476"/>
    <w:rsid w:val="5A091640"/>
    <w:rsid w:val="5A223A07"/>
    <w:rsid w:val="5A366BCB"/>
    <w:rsid w:val="5A471E28"/>
    <w:rsid w:val="5A5D07CE"/>
    <w:rsid w:val="5A8976A0"/>
    <w:rsid w:val="5A94525D"/>
    <w:rsid w:val="5AA54FE8"/>
    <w:rsid w:val="5AA703EA"/>
    <w:rsid w:val="5ADD3120"/>
    <w:rsid w:val="5AE558E9"/>
    <w:rsid w:val="5AE65257"/>
    <w:rsid w:val="5B002DED"/>
    <w:rsid w:val="5B0E4BA8"/>
    <w:rsid w:val="5B0F37D2"/>
    <w:rsid w:val="5B1D0508"/>
    <w:rsid w:val="5B1E1AA7"/>
    <w:rsid w:val="5B6F7C82"/>
    <w:rsid w:val="5BBB1A7E"/>
    <w:rsid w:val="5BD55062"/>
    <w:rsid w:val="5BE54D4D"/>
    <w:rsid w:val="5C0A6562"/>
    <w:rsid w:val="5C3B7C73"/>
    <w:rsid w:val="5C606182"/>
    <w:rsid w:val="5C664EE6"/>
    <w:rsid w:val="5C6829A1"/>
    <w:rsid w:val="5C751DBE"/>
    <w:rsid w:val="5C806824"/>
    <w:rsid w:val="5CA26112"/>
    <w:rsid w:val="5CA77424"/>
    <w:rsid w:val="5CB00D05"/>
    <w:rsid w:val="5CBA3AE4"/>
    <w:rsid w:val="5CC44962"/>
    <w:rsid w:val="5CCC5F1B"/>
    <w:rsid w:val="5CCE4F16"/>
    <w:rsid w:val="5CD327FE"/>
    <w:rsid w:val="5CD426A7"/>
    <w:rsid w:val="5CFA0A1C"/>
    <w:rsid w:val="5D100066"/>
    <w:rsid w:val="5D172CE4"/>
    <w:rsid w:val="5D211DB5"/>
    <w:rsid w:val="5D284EF1"/>
    <w:rsid w:val="5D475893"/>
    <w:rsid w:val="5D5522D8"/>
    <w:rsid w:val="5D573A29"/>
    <w:rsid w:val="5D6E48CE"/>
    <w:rsid w:val="5D752101"/>
    <w:rsid w:val="5D844AB1"/>
    <w:rsid w:val="5D881E34"/>
    <w:rsid w:val="5D985248"/>
    <w:rsid w:val="5DA4554F"/>
    <w:rsid w:val="5DC7176B"/>
    <w:rsid w:val="5DC87FA4"/>
    <w:rsid w:val="5DD57F6E"/>
    <w:rsid w:val="5DDE7CA6"/>
    <w:rsid w:val="5DE60909"/>
    <w:rsid w:val="5DF063E2"/>
    <w:rsid w:val="5DF97045"/>
    <w:rsid w:val="5E056FE1"/>
    <w:rsid w:val="5E077DC1"/>
    <w:rsid w:val="5E280F21"/>
    <w:rsid w:val="5E2E5E7A"/>
    <w:rsid w:val="5E71501E"/>
    <w:rsid w:val="5E79177D"/>
    <w:rsid w:val="5EB044E3"/>
    <w:rsid w:val="5EB44D5F"/>
    <w:rsid w:val="5ED50624"/>
    <w:rsid w:val="5EEC492F"/>
    <w:rsid w:val="5F02451D"/>
    <w:rsid w:val="5F076F03"/>
    <w:rsid w:val="5F2C2219"/>
    <w:rsid w:val="5F2D4A41"/>
    <w:rsid w:val="5F374387"/>
    <w:rsid w:val="5F3C2ED6"/>
    <w:rsid w:val="5F41673E"/>
    <w:rsid w:val="5F4B3119"/>
    <w:rsid w:val="5F622211"/>
    <w:rsid w:val="5F6C57AD"/>
    <w:rsid w:val="5FB50515"/>
    <w:rsid w:val="5FC35A1D"/>
    <w:rsid w:val="5FC66889"/>
    <w:rsid w:val="5FD9539D"/>
    <w:rsid w:val="602C1457"/>
    <w:rsid w:val="602D4DD9"/>
    <w:rsid w:val="60695F4D"/>
    <w:rsid w:val="60914033"/>
    <w:rsid w:val="60A2320D"/>
    <w:rsid w:val="60DF25A4"/>
    <w:rsid w:val="60E71463"/>
    <w:rsid w:val="60EF77D0"/>
    <w:rsid w:val="60F03F78"/>
    <w:rsid w:val="60FA4DF7"/>
    <w:rsid w:val="613926B5"/>
    <w:rsid w:val="614510F2"/>
    <w:rsid w:val="616D3EC0"/>
    <w:rsid w:val="61777C45"/>
    <w:rsid w:val="61893525"/>
    <w:rsid w:val="618A5C53"/>
    <w:rsid w:val="618C466C"/>
    <w:rsid w:val="61914510"/>
    <w:rsid w:val="61C36E73"/>
    <w:rsid w:val="61C90194"/>
    <w:rsid w:val="61EE2926"/>
    <w:rsid w:val="61EF05A4"/>
    <w:rsid w:val="61F33A2B"/>
    <w:rsid w:val="61FF7139"/>
    <w:rsid w:val="62045801"/>
    <w:rsid w:val="6208709F"/>
    <w:rsid w:val="621044CB"/>
    <w:rsid w:val="62595B4D"/>
    <w:rsid w:val="626F35C2"/>
    <w:rsid w:val="626F5370"/>
    <w:rsid w:val="62793FA6"/>
    <w:rsid w:val="627A376C"/>
    <w:rsid w:val="62966DA1"/>
    <w:rsid w:val="62BC3405"/>
    <w:rsid w:val="62C80DBD"/>
    <w:rsid w:val="62E27B34"/>
    <w:rsid w:val="62FB2ADE"/>
    <w:rsid w:val="63021D41"/>
    <w:rsid w:val="63116428"/>
    <w:rsid w:val="63155E00"/>
    <w:rsid w:val="63277939"/>
    <w:rsid w:val="6329146D"/>
    <w:rsid w:val="632B573B"/>
    <w:rsid w:val="63472F4F"/>
    <w:rsid w:val="63855608"/>
    <w:rsid w:val="63984453"/>
    <w:rsid w:val="639E0CCD"/>
    <w:rsid w:val="63AB062A"/>
    <w:rsid w:val="63B23767"/>
    <w:rsid w:val="63BE035D"/>
    <w:rsid w:val="63C143B7"/>
    <w:rsid w:val="63C32ADB"/>
    <w:rsid w:val="63C4273E"/>
    <w:rsid w:val="63D47B81"/>
    <w:rsid w:val="63E168D4"/>
    <w:rsid w:val="6422378B"/>
    <w:rsid w:val="64410FBC"/>
    <w:rsid w:val="64607DB3"/>
    <w:rsid w:val="649B324A"/>
    <w:rsid w:val="649C7F73"/>
    <w:rsid w:val="64B917F4"/>
    <w:rsid w:val="64E76601"/>
    <w:rsid w:val="64FE29DC"/>
    <w:rsid w:val="650A7E00"/>
    <w:rsid w:val="65423B40"/>
    <w:rsid w:val="6562419C"/>
    <w:rsid w:val="65640A91"/>
    <w:rsid w:val="6579238E"/>
    <w:rsid w:val="65962C14"/>
    <w:rsid w:val="65990F30"/>
    <w:rsid w:val="65A45A69"/>
    <w:rsid w:val="65AC2372"/>
    <w:rsid w:val="65B52B1D"/>
    <w:rsid w:val="65BD0EA1"/>
    <w:rsid w:val="65C35D98"/>
    <w:rsid w:val="65EF3725"/>
    <w:rsid w:val="66365C06"/>
    <w:rsid w:val="663B4BBB"/>
    <w:rsid w:val="664679F8"/>
    <w:rsid w:val="664B39FF"/>
    <w:rsid w:val="66560D21"/>
    <w:rsid w:val="668812FF"/>
    <w:rsid w:val="66A44903"/>
    <w:rsid w:val="66A86663"/>
    <w:rsid w:val="66CA300B"/>
    <w:rsid w:val="66DC0A88"/>
    <w:rsid w:val="66F422E8"/>
    <w:rsid w:val="672E09CB"/>
    <w:rsid w:val="67320AA5"/>
    <w:rsid w:val="67481369"/>
    <w:rsid w:val="674D7B77"/>
    <w:rsid w:val="676641F4"/>
    <w:rsid w:val="6796514D"/>
    <w:rsid w:val="679B558A"/>
    <w:rsid w:val="67AA12FD"/>
    <w:rsid w:val="67BA0E3C"/>
    <w:rsid w:val="67C22271"/>
    <w:rsid w:val="67D65D86"/>
    <w:rsid w:val="67EC36E4"/>
    <w:rsid w:val="67F6635C"/>
    <w:rsid w:val="67FC2F18"/>
    <w:rsid w:val="68053884"/>
    <w:rsid w:val="68077DF9"/>
    <w:rsid w:val="680909F1"/>
    <w:rsid w:val="68172035"/>
    <w:rsid w:val="68410BD2"/>
    <w:rsid w:val="684A068B"/>
    <w:rsid w:val="686E00FC"/>
    <w:rsid w:val="687C2595"/>
    <w:rsid w:val="68970F34"/>
    <w:rsid w:val="68A66791"/>
    <w:rsid w:val="68A92041"/>
    <w:rsid w:val="68BD579F"/>
    <w:rsid w:val="68D76768"/>
    <w:rsid w:val="68E85E7D"/>
    <w:rsid w:val="68EC16BF"/>
    <w:rsid w:val="68F44821"/>
    <w:rsid w:val="69044CCB"/>
    <w:rsid w:val="69367DB0"/>
    <w:rsid w:val="69674FF3"/>
    <w:rsid w:val="699056CE"/>
    <w:rsid w:val="69931944"/>
    <w:rsid w:val="69A2427D"/>
    <w:rsid w:val="69B95C57"/>
    <w:rsid w:val="69BD2E65"/>
    <w:rsid w:val="69C42668"/>
    <w:rsid w:val="69C935B8"/>
    <w:rsid w:val="69D16911"/>
    <w:rsid w:val="69E421A0"/>
    <w:rsid w:val="6A086DE1"/>
    <w:rsid w:val="6A0D5B9B"/>
    <w:rsid w:val="6A254A46"/>
    <w:rsid w:val="6A696B49"/>
    <w:rsid w:val="6A696C27"/>
    <w:rsid w:val="6A773014"/>
    <w:rsid w:val="6A7B15F8"/>
    <w:rsid w:val="6A9D3289"/>
    <w:rsid w:val="6ACB15B2"/>
    <w:rsid w:val="6ACB7804"/>
    <w:rsid w:val="6ADD4AF9"/>
    <w:rsid w:val="6AFB1E97"/>
    <w:rsid w:val="6B1B2081"/>
    <w:rsid w:val="6B2D7B77"/>
    <w:rsid w:val="6B4D1384"/>
    <w:rsid w:val="6B695318"/>
    <w:rsid w:val="6B695467"/>
    <w:rsid w:val="6B6C069F"/>
    <w:rsid w:val="6B77103C"/>
    <w:rsid w:val="6B7E4876"/>
    <w:rsid w:val="6B870C51"/>
    <w:rsid w:val="6BB0400B"/>
    <w:rsid w:val="6BBB46AB"/>
    <w:rsid w:val="6BC77FCB"/>
    <w:rsid w:val="6BD53E1A"/>
    <w:rsid w:val="6BD83F86"/>
    <w:rsid w:val="6BFE79C0"/>
    <w:rsid w:val="6C027255"/>
    <w:rsid w:val="6C092392"/>
    <w:rsid w:val="6C3B62C3"/>
    <w:rsid w:val="6C5E1E63"/>
    <w:rsid w:val="6C6B0234"/>
    <w:rsid w:val="6C6E48EB"/>
    <w:rsid w:val="6C885CAA"/>
    <w:rsid w:val="6C8D4598"/>
    <w:rsid w:val="6C8D4A2B"/>
    <w:rsid w:val="6C975BF0"/>
    <w:rsid w:val="6C9F4238"/>
    <w:rsid w:val="6CC813DD"/>
    <w:rsid w:val="6CDB7813"/>
    <w:rsid w:val="6CE4695B"/>
    <w:rsid w:val="6D08089B"/>
    <w:rsid w:val="6D1948A3"/>
    <w:rsid w:val="6D1952E8"/>
    <w:rsid w:val="6D213D5C"/>
    <w:rsid w:val="6D2A25C0"/>
    <w:rsid w:val="6D2C532A"/>
    <w:rsid w:val="6D3C6806"/>
    <w:rsid w:val="6D3E606B"/>
    <w:rsid w:val="6D6339E6"/>
    <w:rsid w:val="6D643FD6"/>
    <w:rsid w:val="6D7553A3"/>
    <w:rsid w:val="6D7E290C"/>
    <w:rsid w:val="6DA26778"/>
    <w:rsid w:val="6DAB25AA"/>
    <w:rsid w:val="6DB6299D"/>
    <w:rsid w:val="6DFE7E6C"/>
    <w:rsid w:val="6E105C5A"/>
    <w:rsid w:val="6E134541"/>
    <w:rsid w:val="6E1C2D55"/>
    <w:rsid w:val="6E594C74"/>
    <w:rsid w:val="6E615816"/>
    <w:rsid w:val="6E66558C"/>
    <w:rsid w:val="6E711791"/>
    <w:rsid w:val="6E7C3808"/>
    <w:rsid w:val="6EE45642"/>
    <w:rsid w:val="6F0B2965"/>
    <w:rsid w:val="6F121998"/>
    <w:rsid w:val="6F14514B"/>
    <w:rsid w:val="6F1801F4"/>
    <w:rsid w:val="6F255735"/>
    <w:rsid w:val="6F764209"/>
    <w:rsid w:val="6F8D2AC6"/>
    <w:rsid w:val="6F947E22"/>
    <w:rsid w:val="6FAA57E4"/>
    <w:rsid w:val="6FAC3760"/>
    <w:rsid w:val="6FB739FF"/>
    <w:rsid w:val="6FC30AAA"/>
    <w:rsid w:val="6FC44FB5"/>
    <w:rsid w:val="700C2451"/>
    <w:rsid w:val="701B004E"/>
    <w:rsid w:val="70221C74"/>
    <w:rsid w:val="70271038"/>
    <w:rsid w:val="702A0EB9"/>
    <w:rsid w:val="702C237C"/>
    <w:rsid w:val="703A3B8D"/>
    <w:rsid w:val="703B7E4E"/>
    <w:rsid w:val="705175B1"/>
    <w:rsid w:val="70542F87"/>
    <w:rsid w:val="705E2EF7"/>
    <w:rsid w:val="706F0B3B"/>
    <w:rsid w:val="70781B62"/>
    <w:rsid w:val="70877D29"/>
    <w:rsid w:val="70A20D6C"/>
    <w:rsid w:val="70AE5F6F"/>
    <w:rsid w:val="70B825D8"/>
    <w:rsid w:val="70BB0F08"/>
    <w:rsid w:val="70D86262"/>
    <w:rsid w:val="70ED4ABB"/>
    <w:rsid w:val="7105736C"/>
    <w:rsid w:val="712D7413"/>
    <w:rsid w:val="71713907"/>
    <w:rsid w:val="717621F9"/>
    <w:rsid w:val="71883563"/>
    <w:rsid w:val="71A36DE5"/>
    <w:rsid w:val="71AA50C9"/>
    <w:rsid w:val="71B613C7"/>
    <w:rsid w:val="71B83C78"/>
    <w:rsid w:val="71D074AE"/>
    <w:rsid w:val="71D512D4"/>
    <w:rsid w:val="71FD350D"/>
    <w:rsid w:val="72100205"/>
    <w:rsid w:val="72153CC4"/>
    <w:rsid w:val="721A3A60"/>
    <w:rsid w:val="721F4D23"/>
    <w:rsid w:val="72323CC5"/>
    <w:rsid w:val="72376FAB"/>
    <w:rsid w:val="723916E9"/>
    <w:rsid w:val="7242215A"/>
    <w:rsid w:val="727C634F"/>
    <w:rsid w:val="727E6108"/>
    <w:rsid w:val="72820361"/>
    <w:rsid w:val="729E4247"/>
    <w:rsid w:val="72CB65F3"/>
    <w:rsid w:val="72CC236B"/>
    <w:rsid w:val="72D80665"/>
    <w:rsid w:val="73094987"/>
    <w:rsid w:val="731D4F44"/>
    <w:rsid w:val="73364510"/>
    <w:rsid w:val="73521EC3"/>
    <w:rsid w:val="7352573A"/>
    <w:rsid w:val="73612B31"/>
    <w:rsid w:val="73B726D3"/>
    <w:rsid w:val="73CD462B"/>
    <w:rsid w:val="73D414D7"/>
    <w:rsid w:val="73DE76F1"/>
    <w:rsid w:val="74064A66"/>
    <w:rsid w:val="744877CF"/>
    <w:rsid w:val="744F4E88"/>
    <w:rsid w:val="7458418E"/>
    <w:rsid w:val="74644B99"/>
    <w:rsid w:val="749D7B1B"/>
    <w:rsid w:val="74A92964"/>
    <w:rsid w:val="74B83751"/>
    <w:rsid w:val="74BC5C96"/>
    <w:rsid w:val="74C96B62"/>
    <w:rsid w:val="74D53759"/>
    <w:rsid w:val="74D873D7"/>
    <w:rsid w:val="74EE65C9"/>
    <w:rsid w:val="751F6782"/>
    <w:rsid w:val="756248C1"/>
    <w:rsid w:val="75AB44BA"/>
    <w:rsid w:val="75CE71AC"/>
    <w:rsid w:val="75D532E5"/>
    <w:rsid w:val="75DA67C9"/>
    <w:rsid w:val="76137487"/>
    <w:rsid w:val="76224A60"/>
    <w:rsid w:val="763E1311"/>
    <w:rsid w:val="766D7E9C"/>
    <w:rsid w:val="76726D86"/>
    <w:rsid w:val="76854D0B"/>
    <w:rsid w:val="768B6247"/>
    <w:rsid w:val="769B452E"/>
    <w:rsid w:val="76B2708E"/>
    <w:rsid w:val="76B455F0"/>
    <w:rsid w:val="76BD44A5"/>
    <w:rsid w:val="76C006F9"/>
    <w:rsid w:val="76E94298"/>
    <w:rsid w:val="76EC2057"/>
    <w:rsid w:val="76F56F04"/>
    <w:rsid w:val="76F94522"/>
    <w:rsid w:val="770E45B2"/>
    <w:rsid w:val="771D2969"/>
    <w:rsid w:val="772817CF"/>
    <w:rsid w:val="773953C5"/>
    <w:rsid w:val="7741250B"/>
    <w:rsid w:val="77551E61"/>
    <w:rsid w:val="7760292E"/>
    <w:rsid w:val="777C610E"/>
    <w:rsid w:val="77862097"/>
    <w:rsid w:val="778B5F6B"/>
    <w:rsid w:val="779524DF"/>
    <w:rsid w:val="77971C54"/>
    <w:rsid w:val="77AE203F"/>
    <w:rsid w:val="77B43556"/>
    <w:rsid w:val="77C33D3D"/>
    <w:rsid w:val="77C70FE5"/>
    <w:rsid w:val="77C74EAF"/>
    <w:rsid w:val="77D176B6"/>
    <w:rsid w:val="77DF044B"/>
    <w:rsid w:val="77E13575"/>
    <w:rsid w:val="77F668E9"/>
    <w:rsid w:val="78126A72"/>
    <w:rsid w:val="782D11B6"/>
    <w:rsid w:val="78414C61"/>
    <w:rsid w:val="784F7A00"/>
    <w:rsid w:val="78782D79"/>
    <w:rsid w:val="787A23EB"/>
    <w:rsid w:val="78B127B9"/>
    <w:rsid w:val="78BF0B7C"/>
    <w:rsid w:val="78E16C76"/>
    <w:rsid w:val="78FB7506"/>
    <w:rsid w:val="79051B29"/>
    <w:rsid w:val="79142376"/>
    <w:rsid w:val="79183C14"/>
    <w:rsid w:val="791A5BDE"/>
    <w:rsid w:val="79252168"/>
    <w:rsid w:val="79287E44"/>
    <w:rsid w:val="7940131D"/>
    <w:rsid w:val="79444A09"/>
    <w:rsid w:val="794A0E2F"/>
    <w:rsid w:val="7956473D"/>
    <w:rsid w:val="79935991"/>
    <w:rsid w:val="79AE2B3C"/>
    <w:rsid w:val="79E461EC"/>
    <w:rsid w:val="79E81839"/>
    <w:rsid w:val="79F857F4"/>
    <w:rsid w:val="7A191387"/>
    <w:rsid w:val="7A1F75C9"/>
    <w:rsid w:val="7A3244F9"/>
    <w:rsid w:val="7A3B0217"/>
    <w:rsid w:val="7A4C2D3A"/>
    <w:rsid w:val="7A5073DE"/>
    <w:rsid w:val="7A704705"/>
    <w:rsid w:val="7A9245EF"/>
    <w:rsid w:val="7A925A18"/>
    <w:rsid w:val="7AAB101F"/>
    <w:rsid w:val="7AB636E5"/>
    <w:rsid w:val="7AC53963"/>
    <w:rsid w:val="7AD641FA"/>
    <w:rsid w:val="7AEA338E"/>
    <w:rsid w:val="7AF34939"/>
    <w:rsid w:val="7B01324C"/>
    <w:rsid w:val="7B1915E2"/>
    <w:rsid w:val="7B545CDA"/>
    <w:rsid w:val="7B5B603A"/>
    <w:rsid w:val="7B7B048A"/>
    <w:rsid w:val="7B8865EA"/>
    <w:rsid w:val="7B966B02"/>
    <w:rsid w:val="7BAD444C"/>
    <w:rsid w:val="7BB310BF"/>
    <w:rsid w:val="7BCB36E3"/>
    <w:rsid w:val="7BFF10BB"/>
    <w:rsid w:val="7C081039"/>
    <w:rsid w:val="7C0D1A2A"/>
    <w:rsid w:val="7C0E12FE"/>
    <w:rsid w:val="7C1903CF"/>
    <w:rsid w:val="7C1D0CB7"/>
    <w:rsid w:val="7C2B0102"/>
    <w:rsid w:val="7C4A7F45"/>
    <w:rsid w:val="7C532EB1"/>
    <w:rsid w:val="7C541407"/>
    <w:rsid w:val="7C6A0C2B"/>
    <w:rsid w:val="7C6A5754"/>
    <w:rsid w:val="7C7E0732"/>
    <w:rsid w:val="7C80386D"/>
    <w:rsid w:val="7C813187"/>
    <w:rsid w:val="7C907F65"/>
    <w:rsid w:val="7C9178F5"/>
    <w:rsid w:val="7C943EDF"/>
    <w:rsid w:val="7CA3413D"/>
    <w:rsid w:val="7CAC6D16"/>
    <w:rsid w:val="7CC9079E"/>
    <w:rsid w:val="7CCD6705"/>
    <w:rsid w:val="7CCF4F32"/>
    <w:rsid w:val="7CDC4A9E"/>
    <w:rsid w:val="7CF6767B"/>
    <w:rsid w:val="7D052701"/>
    <w:rsid w:val="7D056BA5"/>
    <w:rsid w:val="7D06585B"/>
    <w:rsid w:val="7D0E5925"/>
    <w:rsid w:val="7D126B81"/>
    <w:rsid w:val="7D494BA7"/>
    <w:rsid w:val="7D6B000B"/>
    <w:rsid w:val="7D740CD0"/>
    <w:rsid w:val="7D782ED3"/>
    <w:rsid w:val="7D8325AD"/>
    <w:rsid w:val="7D965A4F"/>
    <w:rsid w:val="7DA936F2"/>
    <w:rsid w:val="7DB40D4B"/>
    <w:rsid w:val="7DBA5F0E"/>
    <w:rsid w:val="7DBF7A4F"/>
    <w:rsid w:val="7DF74740"/>
    <w:rsid w:val="7DF84014"/>
    <w:rsid w:val="7DFA5424"/>
    <w:rsid w:val="7E33504C"/>
    <w:rsid w:val="7E3F1C43"/>
    <w:rsid w:val="7E411CAA"/>
    <w:rsid w:val="7E483EB6"/>
    <w:rsid w:val="7E4E4495"/>
    <w:rsid w:val="7E6D2106"/>
    <w:rsid w:val="7E6D67B0"/>
    <w:rsid w:val="7E7545AA"/>
    <w:rsid w:val="7E7E47DE"/>
    <w:rsid w:val="7E7F4FB9"/>
    <w:rsid w:val="7E8C4207"/>
    <w:rsid w:val="7E9A50CB"/>
    <w:rsid w:val="7EAA45DE"/>
    <w:rsid w:val="7EAC1277"/>
    <w:rsid w:val="7ECD386E"/>
    <w:rsid w:val="7F34107C"/>
    <w:rsid w:val="7F343224"/>
    <w:rsid w:val="7F421587"/>
    <w:rsid w:val="7F453845"/>
    <w:rsid w:val="7F576B30"/>
    <w:rsid w:val="7F6A7194"/>
    <w:rsid w:val="7FC00B62"/>
    <w:rsid w:val="7FD50AB1"/>
    <w:rsid w:val="7FF4125A"/>
    <w:rsid w:val="7FF712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qFormat="1" w:unhideWhenUsed="0" w:uiPriority="99"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99"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2">
    <w:name w:val="heading 1"/>
    <w:basedOn w:val="1"/>
    <w:next w:val="1"/>
    <w:autoRedefine/>
    <w:qFormat/>
    <w:uiPriority w:val="0"/>
    <w:pPr>
      <w:keepNext/>
      <w:keepLines/>
      <w:numPr>
        <w:ilvl w:val="0"/>
        <w:numId w:val="1"/>
      </w:numPr>
      <w:jc w:val="center"/>
      <w:outlineLvl w:val="0"/>
    </w:pPr>
    <w:rPr>
      <w:rFonts w:eastAsia="黑体" w:cs="宋体"/>
      <w:color w:val="000000"/>
      <w:kern w:val="44"/>
      <w:sz w:val="30"/>
      <w:szCs w:val="30"/>
    </w:rPr>
  </w:style>
  <w:style w:type="paragraph" w:styleId="3">
    <w:name w:val="heading 2"/>
    <w:basedOn w:val="1"/>
    <w:next w:val="1"/>
    <w:unhideWhenUsed/>
    <w:qFormat/>
    <w:uiPriority w:val="0"/>
    <w:pPr>
      <w:keepNext/>
      <w:numPr>
        <w:ilvl w:val="1"/>
        <w:numId w:val="2"/>
      </w:numPr>
      <w:tabs>
        <w:tab w:val="left" w:pos="420"/>
        <w:tab w:val="clear" w:pos="0"/>
      </w:tabs>
      <w:jc w:val="center"/>
      <w:outlineLvl w:val="1"/>
    </w:pPr>
    <w:rPr>
      <w:rFonts w:ascii="Times New Roman" w:hAnsi="Times New Roman" w:eastAsia="宋体" w:cs="Times New Roman"/>
      <w:color w:val="000000"/>
      <w:sz w:val="24"/>
      <w:szCs w:val="24"/>
      <w:lang w:val="en-US" w:eastAsia="zh-CN" w:bidi="ar-SA"/>
    </w:rPr>
  </w:style>
  <w:style w:type="paragraph" w:styleId="4">
    <w:name w:val="heading 3"/>
    <w:basedOn w:val="1"/>
    <w:next w:val="1"/>
    <w:autoRedefine/>
    <w:unhideWhenUsed/>
    <w:qFormat/>
    <w:uiPriority w:val="0"/>
    <w:pPr>
      <w:keepNext/>
      <w:keepLines/>
      <w:numPr>
        <w:ilvl w:val="2"/>
        <w:numId w:val="2"/>
      </w:numPr>
      <w:tabs>
        <w:tab w:val="left" w:pos="420"/>
        <w:tab w:val="clear" w:pos="0"/>
      </w:tabs>
      <w:ind w:firstLine="1440" w:firstLineChars="200"/>
      <w:outlineLvl w:val="2"/>
    </w:pPr>
    <w:rPr>
      <w:b/>
      <w:bCs/>
      <w:color w:val="000000"/>
    </w:rPr>
  </w:style>
  <w:style w:type="paragraph" w:styleId="5">
    <w:name w:val="heading 4"/>
    <w:basedOn w:val="1"/>
    <w:next w:val="1"/>
    <w:autoRedefine/>
    <w:unhideWhenUsed/>
    <w:qFormat/>
    <w:uiPriority w:val="0"/>
    <w:pPr>
      <w:keepNext/>
      <w:keepLines/>
      <w:numPr>
        <w:ilvl w:val="3"/>
        <w:numId w:val="2"/>
      </w:numPr>
      <w:tabs>
        <w:tab w:val="left" w:pos="420"/>
        <w:tab w:val="clear" w:pos="0"/>
      </w:tabs>
      <w:ind w:left="0" w:firstLine="1440" w:firstLineChars="200"/>
      <w:outlineLvl w:val="3"/>
    </w:pPr>
    <w:rPr>
      <w:b/>
      <w:bCs/>
      <w:color w:val="000000"/>
      <w:szCs w:val="28"/>
    </w:rPr>
  </w:style>
  <w:style w:type="paragraph" w:styleId="6">
    <w:name w:val="heading 5"/>
    <w:next w:val="1"/>
    <w:autoRedefine/>
    <w:unhideWhenUsed/>
    <w:qFormat/>
    <w:uiPriority w:val="0"/>
    <w:pPr>
      <w:keepNext/>
      <w:keepLines/>
      <w:numPr>
        <w:ilvl w:val="4"/>
        <w:numId w:val="2"/>
      </w:numPr>
      <w:spacing w:line="360" w:lineRule="auto"/>
      <w:ind w:firstLine="1440" w:firstLineChars="200"/>
      <w:outlineLvl w:val="4"/>
    </w:pPr>
    <w:rPr>
      <w:rFonts w:ascii="Times New Roman" w:hAnsi="Times New Roman" w:eastAsia="宋体" w:cs="Times New Roman"/>
      <w:b/>
      <w:bCs/>
      <w:sz w:val="24"/>
      <w:szCs w:val="24"/>
      <w:lang w:val="en-US" w:eastAsia="zh-CN" w:bidi="ar-SA"/>
    </w:rPr>
  </w:style>
  <w:style w:type="paragraph" w:styleId="7">
    <w:name w:val="heading 6"/>
    <w:basedOn w:val="1"/>
    <w:next w:val="1"/>
    <w:autoRedefine/>
    <w:unhideWhenUsed/>
    <w:qFormat/>
    <w:uiPriority w:val="0"/>
    <w:pPr>
      <w:keepNext/>
      <w:keepLines/>
      <w:numPr>
        <w:ilvl w:val="5"/>
        <w:numId w:val="2"/>
      </w:numPr>
      <w:ind w:firstLine="1440" w:firstLineChars="200"/>
      <w:outlineLvl w:val="5"/>
    </w:pPr>
    <w:rPr>
      <w:szCs w:val="21"/>
    </w:rPr>
  </w:style>
  <w:style w:type="character" w:default="1" w:styleId="39">
    <w:name w:val="Default Paragraph Font"/>
    <w:autoRedefine/>
    <w:semiHidden/>
    <w:unhideWhenUsed/>
    <w:qFormat/>
    <w:uiPriority w:val="1"/>
  </w:style>
  <w:style w:type="table" w:default="1" w:styleId="37">
    <w:name w:val="Normal Table"/>
    <w:semiHidden/>
    <w:unhideWhenUsed/>
    <w:qFormat/>
    <w:uiPriority w:val="99"/>
    <w:tblPr>
      <w:tblCellMar>
        <w:top w:w="0" w:type="dxa"/>
        <w:left w:w="108" w:type="dxa"/>
        <w:bottom w:w="0" w:type="dxa"/>
        <w:right w:w="108" w:type="dxa"/>
      </w:tblCellMar>
    </w:tblPr>
  </w:style>
  <w:style w:type="paragraph" w:styleId="8">
    <w:name w:val="List 3"/>
    <w:basedOn w:val="1"/>
    <w:autoRedefine/>
    <w:qFormat/>
    <w:uiPriority w:val="0"/>
    <w:pPr>
      <w:autoSpaceDE w:val="0"/>
      <w:autoSpaceDN w:val="0"/>
      <w:adjustRightInd w:val="0"/>
      <w:spacing w:line="288" w:lineRule="auto"/>
      <w:ind w:left="1260" w:hanging="420"/>
      <w:jc w:val="left"/>
      <w:textAlignment w:val="baseline"/>
    </w:pPr>
    <w:rPr>
      <w:kern w:val="0"/>
      <w:szCs w:val="20"/>
    </w:rPr>
  </w:style>
  <w:style w:type="paragraph" w:styleId="9">
    <w:name w:val="E-mail Signature"/>
    <w:basedOn w:val="1"/>
    <w:next w:val="10"/>
    <w:autoRedefine/>
    <w:qFormat/>
    <w:uiPriority w:val="0"/>
    <w:pPr>
      <w:spacing w:line="460" w:lineRule="exact"/>
      <w:ind w:firstLine="200"/>
    </w:pPr>
  </w:style>
  <w:style w:type="paragraph" w:customStyle="1" w:styleId="10">
    <w:name w:val="文章"/>
    <w:basedOn w:val="11"/>
    <w:next w:val="13"/>
    <w:autoRedefine/>
    <w:qFormat/>
    <w:uiPriority w:val="0"/>
    <w:pPr>
      <w:widowControl/>
      <w:ind w:firstLine="480"/>
      <w:jc w:val="center"/>
    </w:pPr>
    <w:rPr>
      <w:sz w:val="26"/>
    </w:rPr>
  </w:style>
  <w:style w:type="paragraph" w:styleId="11">
    <w:name w:val="Body Text Indent"/>
    <w:basedOn w:val="1"/>
    <w:next w:val="12"/>
    <w:autoRedefine/>
    <w:qFormat/>
    <w:uiPriority w:val="0"/>
    <w:pPr>
      <w:adjustRightInd w:val="0"/>
      <w:spacing w:after="120"/>
      <w:ind w:left="420" w:leftChars="200"/>
      <w:textAlignment w:val="baseline"/>
    </w:pPr>
    <w:rPr>
      <w:sz w:val="21"/>
      <w:szCs w:val="21"/>
    </w:rPr>
  </w:style>
  <w:style w:type="paragraph" w:styleId="12">
    <w:name w:val="Body Text"/>
    <w:basedOn w:val="1"/>
    <w:qFormat/>
    <w:uiPriority w:val="0"/>
    <w:pPr>
      <w:wordWrap w:val="0"/>
      <w:ind w:firstLine="1440" w:firstLineChars="200"/>
    </w:pPr>
    <w:rPr>
      <w:color w:val="000000"/>
    </w:rPr>
  </w:style>
  <w:style w:type="paragraph" w:styleId="13">
    <w:name w:val="List"/>
    <w:basedOn w:val="1"/>
    <w:next w:val="14"/>
    <w:autoRedefine/>
    <w:qFormat/>
    <w:uiPriority w:val="0"/>
    <w:pPr>
      <w:ind w:left="200" w:hanging="200" w:hangingChars="200"/>
      <w:contextualSpacing/>
    </w:pPr>
  </w:style>
  <w:style w:type="paragraph" w:styleId="14">
    <w:name w:val="List Bullet 2"/>
    <w:basedOn w:val="1"/>
    <w:next w:val="15"/>
    <w:autoRedefine/>
    <w:qFormat/>
    <w:uiPriority w:val="0"/>
    <w:pPr>
      <w:numPr>
        <w:ilvl w:val="0"/>
        <w:numId w:val="3"/>
      </w:numPr>
    </w:pPr>
  </w:style>
  <w:style w:type="paragraph" w:customStyle="1" w:styleId="15">
    <w:name w:val="xl70"/>
    <w:basedOn w:val="1"/>
    <w:next w:val="16"/>
    <w:autoRedefine/>
    <w:qFormat/>
    <w:uiPriority w:val="0"/>
    <w:pPr>
      <w:widowControl/>
      <w:spacing w:before="280" w:after="280" w:line="240" w:lineRule="auto"/>
    </w:pPr>
    <w:rPr>
      <w:rFonts w:ascii="宋体"/>
    </w:rPr>
  </w:style>
  <w:style w:type="paragraph" w:customStyle="1" w:styleId="16">
    <w:name w:val="正文缩进1"/>
    <w:basedOn w:val="1"/>
    <w:next w:val="17"/>
    <w:autoRedefine/>
    <w:qFormat/>
    <w:uiPriority w:val="0"/>
    <w:pPr>
      <w:spacing w:line="312" w:lineRule="atLeast"/>
      <w:textAlignment w:val="baseline"/>
    </w:pPr>
    <w:rPr>
      <w:kern w:val="0"/>
      <w:sz w:val="28"/>
      <w:szCs w:val="20"/>
    </w:rPr>
  </w:style>
  <w:style w:type="paragraph" w:customStyle="1" w:styleId="17">
    <w:name w:val="td1"/>
    <w:basedOn w:val="1"/>
    <w:next w:val="1"/>
    <w:autoRedefine/>
    <w:qFormat/>
    <w:uiPriority w:val="0"/>
    <w:pPr>
      <w:widowControl/>
      <w:spacing w:before="280" w:after="280" w:line="300" w:lineRule="atLeast"/>
      <w:ind w:firstLine="200"/>
    </w:pPr>
    <w:rPr>
      <w:color w:val="000000"/>
      <w:sz w:val="18"/>
    </w:rPr>
  </w:style>
  <w:style w:type="paragraph" w:styleId="18">
    <w:name w:val="Normal Indent"/>
    <w:basedOn w:val="1"/>
    <w:autoRedefine/>
    <w:qFormat/>
    <w:uiPriority w:val="0"/>
    <w:pPr>
      <w:ind w:firstLine="200" w:firstLineChars="200"/>
    </w:pPr>
    <w:rPr>
      <w:sz w:val="21"/>
    </w:rPr>
  </w:style>
  <w:style w:type="paragraph" w:styleId="19">
    <w:name w:val="caption"/>
    <w:basedOn w:val="1"/>
    <w:next w:val="1"/>
    <w:link w:val="58"/>
    <w:unhideWhenUsed/>
    <w:qFormat/>
    <w:uiPriority w:val="0"/>
    <w:pPr>
      <w:jc w:val="center"/>
    </w:pPr>
    <w:rPr>
      <w:b/>
      <w:bCs/>
      <w:color w:val="000000"/>
      <w:sz w:val="21"/>
      <w:szCs w:val="21"/>
    </w:rPr>
  </w:style>
  <w:style w:type="paragraph" w:styleId="20">
    <w:name w:val="annotation text"/>
    <w:basedOn w:val="1"/>
    <w:link w:val="84"/>
    <w:semiHidden/>
    <w:qFormat/>
    <w:uiPriority w:val="0"/>
    <w:pPr>
      <w:jc w:val="left"/>
    </w:pPr>
    <w:rPr>
      <w:kern w:val="0"/>
      <w:szCs w:val="20"/>
    </w:rPr>
  </w:style>
  <w:style w:type="paragraph" w:styleId="21">
    <w:name w:val="index 6"/>
    <w:basedOn w:val="1"/>
    <w:next w:val="1"/>
    <w:qFormat/>
    <w:uiPriority w:val="99"/>
    <w:pPr>
      <w:spacing w:line="360" w:lineRule="auto"/>
      <w:ind w:left="1000" w:leftChars="1000" w:firstLine="456" w:firstLineChars="190"/>
    </w:pPr>
    <w:rPr>
      <w:rFonts w:ascii="Times New Roman" w:hAnsi="Times New Roman" w:eastAsia="宋体" w:cs="Times New Roman"/>
      <w:sz w:val="24"/>
    </w:rPr>
  </w:style>
  <w:style w:type="paragraph" w:styleId="22">
    <w:name w:val="List 2"/>
    <w:basedOn w:val="1"/>
    <w:autoRedefine/>
    <w:qFormat/>
    <w:uiPriority w:val="0"/>
    <w:rPr>
      <w:rFonts w:ascii="楷体_GB2312" w:hAnsi="宋体" w:eastAsia="楷体_GB2312"/>
      <w:color w:val="000000"/>
      <w:szCs w:val="28"/>
    </w:rPr>
  </w:style>
  <w:style w:type="paragraph" w:styleId="23">
    <w:name w:val="Plain Text"/>
    <w:basedOn w:val="1"/>
    <w:next w:val="1"/>
    <w:qFormat/>
    <w:uiPriority w:val="0"/>
    <w:rPr>
      <w:rFonts w:ascii="宋体" w:hAnsi="Courier New"/>
      <w:sz w:val="20"/>
      <w:szCs w:val="20"/>
    </w:rPr>
  </w:style>
  <w:style w:type="paragraph" w:styleId="24">
    <w:name w:val="List Bullet 5"/>
    <w:basedOn w:val="1"/>
    <w:qFormat/>
    <w:uiPriority w:val="0"/>
    <w:pPr>
      <w:numPr>
        <w:ilvl w:val="0"/>
        <w:numId w:val="4"/>
      </w:numPr>
    </w:pPr>
  </w:style>
  <w:style w:type="paragraph" w:styleId="25">
    <w:name w:val="Body Text Indent 2"/>
    <w:basedOn w:val="1"/>
    <w:next w:val="1"/>
    <w:autoRedefine/>
    <w:qFormat/>
    <w:uiPriority w:val="0"/>
    <w:pPr>
      <w:spacing w:after="120" w:line="480" w:lineRule="auto"/>
      <w:ind w:left="420" w:leftChars="200"/>
    </w:pPr>
  </w:style>
  <w:style w:type="paragraph" w:styleId="26">
    <w:name w:val="Balloon Text"/>
    <w:basedOn w:val="1"/>
    <w:autoRedefine/>
    <w:semiHidden/>
    <w:qFormat/>
    <w:uiPriority w:val="0"/>
    <w:rPr>
      <w:kern w:val="0"/>
      <w:sz w:val="18"/>
      <w:szCs w:val="20"/>
    </w:rPr>
  </w:style>
  <w:style w:type="paragraph" w:styleId="27">
    <w:name w:val="footer"/>
    <w:basedOn w:val="1"/>
    <w:autoRedefine/>
    <w:qFormat/>
    <w:uiPriority w:val="0"/>
    <w:pPr>
      <w:tabs>
        <w:tab w:val="center" w:pos="4153"/>
        <w:tab w:val="right" w:pos="8306"/>
      </w:tabs>
      <w:snapToGrid w:val="0"/>
      <w:jc w:val="left"/>
    </w:pPr>
    <w:rPr>
      <w:sz w:val="18"/>
    </w:rPr>
  </w:style>
  <w:style w:type="paragraph" w:styleId="28">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29">
    <w:name w:val="toc 1"/>
    <w:basedOn w:val="1"/>
    <w:next w:val="1"/>
    <w:qFormat/>
    <w:uiPriority w:val="0"/>
  </w:style>
  <w:style w:type="paragraph" w:styleId="30">
    <w:name w:val="Subtitle"/>
    <w:basedOn w:val="1"/>
    <w:next w:val="1"/>
    <w:qFormat/>
    <w:uiPriority w:val="0"/>
    <w:pPr>
      <w:ind w:firstLine="200" w:firstLineChars="200"/>
      <w:outlineLvl w:val="1"/>
    </w:pPr>
    <w:rPr>
      <w:bCs/>
      <w:kern w:val="28"/>
      <w:szCs w:val="32"/>
    </w:rPr>
  </w:style>
  <w:style w:type="paragraph" w:styleId="31">
    <w:name w:val="Body Text Indent 3"/>
    <w:basedOn w:val="1"/>
    <w:qFormat/>
    <w:uiPriority w:val="99"/>
    <w:pPr>
      <w:snapToGrid w:val="0"/>
      <w:spacing w:line="480" w:lineRule="exact"/>
      <w:ind w:firstLine="535" w:firstLineChars="191"/>
    </w:pPr>
    <w:rPr>
      <w:sz w:val="28"/>
    </w:rPr>
  </w:style>
  <w:style w:type="paragraph" w:styleId="32">
    <w:name w:val="table of figures"/>
    <w:basedOn w:val="1"/>
    <w:next w:val="1"/>
    <w:autoRedefine/>
    <w:qFormat/>
    <w:uiPriority w:val="0"/>
    <w:pPr>
      <w:ind w:left="200" w:leftChars="200" w:hanging="200" w:hangingChars="200"/>
    </w:pPr>
  </w:style>
  <w:style w:type="paragraph" w:styleId="33">
    <w:name w:val="toc 2"/>
    <w:basedOn w:val="1"/>
    <w:next w:val="9"/>
    <w:autoRedefine/>
    <w:qFormat/>
    <w:uiPriority w:val="0"/>
    <w:pPr>
      <w:ind w:left="420" w:leftChars="200"/>
    </w:pPr>
  </w:style>
  <w:style w:type="paragraph" w:styleId="34">
    <w:name w:val="Normal (Web)"/>
    <w:basedOn w:val="1"/>
    <w:next w:val="1"/>
    <w:autoRedefine/>
    <w:qFormat/>
    <w:uiPriority w:val="0"/>
    <w:pPr>
      <w:spacing w:before="100" w:beforeAutospacing="1" w:after="100" w:afterAutospacing="1"/>
      <w:jc w:val="left"/>
    </w:pPr>
    <w:rPr>
      <w:kern w:val="0"/>
    </w:rPr>
  </w:style>
  <w:style w:type="paragraph" w:styleId="35">
    <w:name w:val="annotation subject"/>
    <w:basedOn w:val="20"/>
    <w:next w:val="20"/>
    <w:link w:val="85"/>
    <w:autoRedefine/>
    <w:qFormat/>
    <w:uiPriority w:val="0"/>
    <w:rPr>
      <w:b/>
      <w:bCs/>
      <w:kern w:val="2"/>
      <w:szCs w:val="24"/>
    </w:rPr>
  </w:style>
  <w:style w:type="paragraph" w:styleId="36">
    <w:name w:val="Body Text First Indent 2"/>
    <w:basedOn w:val="11"/>
    <w:next w:val="1"/>
    <w:qFormat/>
    <w:uiPriority w:val="0"/>
    <w:pPr>
      <w:widowControl/>
      <w:adjustRightInd/>
      <w:ind w:firstLine="420"/>
      <w:jc w:val="left"/>
      <w:textAlignment w:val="auto"/>
    </w:pPr>
    <w:rPr>
      <w:kern w:val="0"/>
      <w:sz w:val="28"/>
      <w:szCs w:val="20"/>
    </w:rPr>
  </w:style>
  <w:style w:type="table" w:styleId="38">
    <w:name w:val="Table Grid"/>
    <w:basedOn w:val="37"/>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40">
    <w:name w:val="Strong"/>
    <w:basedOn w:val="39"/>
    <w:qFormat/>
    <w:uiPriority w:val="0"/>
    <w:rPr>
      <w:b/>
    </w:rPr>
  </w:style>
  <w:style w:type="character" w:styleId="41">
    <w:name w:val="Hyperlink"/>
    <w:basedOn w:val="39"/>
    <w:qFormat/>
    <w:uiPriority w:val="0"/>
    <w:rPr>
      <w:color w:val="0000FF"/>
      <w:u w:val="single"/>
    </w:rPr>
  </w:style>
  <w:style w:type="character" w:styleId="42">
    <w:name w:val="annotation reference"/>
    <w:basedOn w:val="39"/>
    <w:autoRedefine/>
    <w:qFormat/>
    <w:uiPriority w:val="0"/>
    <w:rPr>
      <w:sz w:val="21"/>
      <w:szCs w:val="21"/>
    </w:rPr>
  </w:style>
  <w:style w:type="paragraph" w:customStyle="1" w:styleId="43">
    <w:name w:val="Default"/>
    <w:basedOn w:val="44"/>
    <w:next w:val="8"/>
    <w:autoRedefine/>
    <w:qFormat/>
    <w:uiPriority w:val="0"/>
    <w:pPr>
      <w:autoSpaceDE w:val="0"/>
      <w:autoSpaceDN w:val="0"/>
    </w:pPr>
    <w:rPr>
      <w:rFonts w:hAnsi="Times New Roman" w:cs="宋体"/>
      <w:color w:val="000000"/>
    </w:rPr>
  </w:style>
  <w:style w:type="paragraph" w:customStyle="1" w:styleId="44">
    <w:name w:val="纯文本1"/>
    <w:basedOn w:val="1"/>
    <w:qFormat/>
    <w:uiPriority w:val="0"/>
    <w:pPr>
      <w:adjustRightInd w:val="0"/>
    </w:pPr>
    <w:rPr>
      <w:rFonts w:ascii="宋体" w:hAnsi="Courier New"/>
    </w:rPr>
  </w:style>
  <w:style w:type="paragraph" w:customStyle="1" w:styleId="45">
    <w:name w:val="6-正文"/>
    <w:basedOn w:val="1"/>
    <w:link w:val="88"/>
    <w:qFormat/>
    <w:uiPriority w:val="0"/>
    <w:rPr>
      <w:szCs w:val="28"/>
    </w:rPr>
  </w:style>
  <w:style w:type="paragraph" w:customStyle="1" w:styleId="46">
    <w:name w:val="正文文字 6"/>
    <w:basedOn w:val="47"/>
    <w:next w:val="1"/>
    <w:qFormat/>
    <w:uiPriority w:val="0"/>
    <w:pPr>
      <w:widowControl w:val="0"/>
      <w:ind w:left="240"/>
      <w:jc w:val="both"/>
    </w:pPr>
    <w:rPr>
      <w:rFonts w:ascii="宋体"/>
      <w:b/>
      <w:bCs/>
      <w:sz w:val="32"/>
      <w:szCs w:val="32"/>
    </w:rPr>
  </w:style>
  <w:style w:type="paragraph" w:customStyle="1" w:styleId="47">
    <w:name w:val="图位置"/>
    <w:next w:val="48"/>
    <w:qFormat/>
    <w:uiPriority w:val="0"/>
    <w:pPr>
      <w:jc w:val="center"/>
    </w:pPr>
    <w:rPr>
      <w:rFonts w:ascii="Times New Roman" w:hAnsi="Times New Roman" w:eastAsia="宋体" w:cs="Times New Roman"/>
      <w:kern w:val="2"/>
      <w:sz w:val="24"/>
      <w:szCs w:val="21"/>
      <w:lang w:val="en-US" w:eastAsia="zh-CN" w:bidi="ar-SA"/>
    </w:rPr>
  </w:style>
  <w:style w:type="paragraph" w:customStyle="1" w:styleId="48">
    <w:name w:val="图题"/>
    <w:basedOn w:val="1"/>
    <w:next w:val="1"/>
    <w:qFormat/>
    <w:uiPriority w:val="0"/>
    <w:pPr>
      <w:jc w:val="center"/>
    </w:pPr>
    <w:rPr>
      <w:rFonts w:ascii="宋体" w:hAnsi="宋体" w:eastAsia="黑体"/>
      <w:b/>
    </w:rPr>
  </w:style>
  <w:style w:type="paragraph" w:customStyle="1" w:styleId="49">
    <w:name w:val="样式35"/>
    <w:basedOn w:val="50"/>
    <w:next w:val="51"/>
    <w:qFormat/>
    <w:uiPriority w:val="0"/>
    <w:pPr>
      <w:tabs>
        <w:tab w:val="left" w:pos="0"/>
        <w:tab w:val="left" w:pos="360"/>
        <w:tab w:val="left" w:pos="540"/>
        <w:tab w:val="left" w:pos="567"/>
      </w:tabs>
      <w:spacing w:line="312" w:lineRule="auto"/>
      <w:ind w:firstLine="567"/>
    </w:pPr>
  </w:style>
  <w:style w:type="paragraph" w:customStyle="1" w:styleId="50">
    <w:name w:val="表 内容"/>
    <w:basedOn w:val="1"/>
    <w:autoRedefine/>
    <w:qFormat/>
    <w:uiPriority w:val="0"/>
    <w:pPr>
      <w:adjustRightInd w:val="0"/>
      <w:snapToGrid w:val="0"/>
      <w:spacing w:beforeLines="15"/>
      <w:jc w:val="center"/>
    </w:pPr>
    <w:rPr>
      <w:kern w:val="0"/>
      <w:sz w:val="20"/>
      <w:szCs w:val="21"/>
    </w:rPr>
  </w:style>
  <w:style w:type="paragraph" w:customStyle="1" w:styleId="51">
    <w:name w:val="font6"/>
    <w:basedOn w:val="1"/>
    <w:next w:val="33"/>
    <w:autoRedefine/>
    <w:qFormat/>
    <w:uiPriority w:val="0"/>
    <w:pPr>
      <w:widowControl/>
      <w:spacing w:before="280" w:after="280"/>
    </w:pPr>
    <w:rPr>
      <w:sz w:val="21"/>
    </w:rPr>
  </w:style>
  <w:style w:type="paragraph" w:customStyle="1" w:styleId="52">
    <w:name w:val="flName"/>
    <w:basedOn w:val="1"/>
    <w:autoRedefine/>
    <w:qFormat/>
    <w:uiPriority w:val="0"/>
    <w:pPr>
      <w:autoSpaceDE w:val="0"/>
      <w:autoSpaceDN w:val="0"/>
      <w:spacing w:before="320" w:after="160"/>
      <w:jc w:val="center"/>
    </w:pPr>
    <w:rPr>
      <w:rFonts w:ascii="Arial" w:hAnsi="Arial" w:eastAsia="黑体" w:cs="宋体"/>
      <w:sz w:val="32"/>
      <w:szCs w:val="22"/>
      <w:lang w:val="zh-CN" w:bidi="zh-CN"/>
    </w:rPr>
  </w:style>
  <w:style w:type="paragraph" w:customStyle="1" w:styleId="53">
    <w:name w:val="样式26"/>
    <w:basedOn w:val="54"/>
    <w:autoRedefine/>
    <w:qFormat/>
    <w:uiPriority w:val="0"/>
    <w:pPr>
      <w:tabs>
        <w:tab w:val="left" w:pos="0"/>
        <w:tab w:val="left" w:pos="360"/>
        <w:tab w:val="left" w:pos="540"/>
        <w:tab w:val="left" w:pos="567"/>
      </w:tabs>
    </w:pPr>
  </w:style>
  <w:style w:type="paragraph" w:customStyle="1" w:styleId="54">
    <w:name w:val="样式21"/>
    <w:basedOn w:val="55"/>
    <w:autoRedefine/>
    <w:qFormat/>
    <w:uiPriority w:val="0"/>
    <w:pPr>
      <w:tabs>
        <w:tab w:val="left" w:pos="360"/>
        <w:tab w:val="left" w:pos="567"/>
      </w:tabs>
      <w:spacing w:beforeLines="0" w:afterLines="0"/>
      <w:ind w:hanging="992"/>
    </w:pPr>
  </w:style>
  <w:style w:type="paragraph" w:customStyle="1" w:styleId="55">
    <w:name w:val="样式5"/>
    <w:basedOn w:val="56"/>
    <w:qFormat/>
    <w:uiPriority w:val="0"/>
    <w:pPr>
      <w:tabs>
        <w:tab w:val="left" w:pos="360"/>
      </w:tabs>
      <w:ind w:right="-105" w:rightChars="-50"/>
      <w:jc w:val="center"/>
    </w:pPr>
    <w:rPr>
      <w:rFonts w:ascii="宋体"/>
      <w:sz w:val="21"/>
    </w:rPr>
  </w:style>
  <w:style w:type="paragraph" w:customStyle="1" w:styleId="56">
    <w:name w:val="样式12"/>
    <w:basedOn w:val="1"/>
    <w:autoRedefine/>
    <w:qFormat/>
    <w:uiPriority w:val="0"/>
    <w:pPr>
      <w:keepNext/>
      <w:keepLines/>
      <w:tabs>
        <w:tab w:val="left" w:pos="360"/>
      </w:tabs>
      <w:spacing w:beforeLines="50" w:afterLines="50"/>
      <w:ind w:left="567" w:hanging="567"/>
      <w:outlineLvl w:val="1"/>
    </w:pPr>
    <w:rPr>
      <w:rFonts w:eastAsia="MS Mincho"/>
      <w:kern w:val="0"/>
      <w:sz w:val="28"/>
      <w:szCs w:val="28"/>
    </w:rPr>
  </w:style>
  <w:style w:type="paragraph" w:customStyle="1" w:styleId="57">
    <w:name w:val="表格文字"/>
    <w:qFormat/>
    <w:uiPriority w:val="0"/>
    <w:pPr>
      <w:tabs>
        <w:tab w:val="left" w:pos="-2848"/>
      </w:tabs>
      <w:wordWrap w:val="0"/>
      <w:autoSpaceDE w:val="0"/>
      <w:autoSpaceDN w:val="0"/>
      <w:jc w:val="center"/>
      <w:textAlignment w:val="center"/>
    </w:pPr>
    <w:rPr>
      <w:rFonts w:ascii="Times New Roman" w:hAnsi="Times New Roman" w:eastAsia="宋体" w:cs="Times New Roman"/>
      <w:position w:val="-10"/>
      <w:sz w:val="21"/>
      <w:szCs w:val="21"/>
      <w:lang w:val="en-US" w:eastAsia="zh-CN" w:bidi="ar-SA"/>
    </w:rPr>
  </w:style>
  <w:style w:type="character" w:customStyle="1" w:styleId="58">
    <w:name w:val="题注 字符"/>
    <w:link w:val="19"/>
    <w:autoRedefine/>
    <w:qFormat/>
    <w:uiPriority w:val="0"/>
    <w:rPr>
      <w:rFonts w:ascii="Times New Roman" w:hAnsi="Times New Roman"/>
      <w:b/>
      <w:bCs/>
      <w:color w:val="000000"/>
      <w:sz w:val="21"/>
      <w:szCs w:val="21"/>
    </w:rPr>
  </w:style>
  <w:style w:type="paragraph" w:customStyle="1" w:styleId="59">
    <w:name w:val="括号标题"/>
    <w:basedOn w:val="44"/>
    <w:next w:val="46"/>
    <w:autoRedefine/>
    <w:qFormat/>
    <w:uiPriority w:val="0"/>
    <w:pPr>
      <w:autoSpaceDE w:val="0"/>
      <w:autoSpaceDN w:val="0"/>
    </w:pPr>
    <w:rPr>
      <w:rFonts w:hAnsi="宋体"/>
      <w:color w:val="000000"/>
    </w:rPr>
  </w:style>
  <w:style w:type="paragraph" w:customStyle="1" w:styleId="60">
    <w:name w:val="J-表格内容（5号+居中）"/>
    <w:basedOn w:val="1"/>
    <w:qFormat/>
    <w:uiPriority w:val="0"/>
    <w:pPr>
      <w:spacing w:line="240" w:lineRule="auto"/>
      <w:jc w:val="center"/>
    </w:pPr>
    <w:rPr>
      <w:sz w:val="21"/>
      <w:szCs w:val="21"/>
    </w:rPr>
  </w:style>
  <w:style w:type="paragraph" w:customStyle="1" w:styleId="61">
    <w:name w:val="表内字"/>
    <w:basedOn w:val="62"/>
    <w:autoRedefine/>
    <w:qFormat/>
    <w:uiPriority w:val="0"/>
    <w:pPr>
      <w:autoSpaceDE w:val="0"/>
      <w:autoSpaceDN w:val="0"/>
      <w:spacing w:line="320" w:lineRule="exact"/>
    </w:pPr>
    <w:rPr>
      <w:rFonts w:hAnsi="宋体"/>
      <w:kern w:val="2"/>
      <w:sz w:val="21"/>
      <w:szCs w:val="21"/>
    </w:rPr>
  </w:style>
  <w:style w:type="paragraph" w:customStyle="1" w:styleId="62">
    <w:name w:val="表格"/>
    <w:basedOn w:val="18"/>
    <w:next w:val="1"/>
    <w:autoRedefine/>
    <w:qFormat/>
    <w:uiPriority w:val="0"/>
    <w:pPr>
      <w:adjustRightInd w:val="0"/>
      <w:snapToGrid w:val="0"/>
      <w:spacing w:before="31" w:beforeLines="10" w:after="31" w:afterLines="10" w:line="259" w:lineRule="auto"/>
      <w:jc w:val="center"/>
    </w:pPr>
    <w:rPr>
      <w:rFonts w:ascii="宋体"/>
      <w:kern w:val="0"/>
      <w:szCs w:val="20"/>
    </w:rPr>
  </w:style>
  <w:style w:type="paragraph" w:customStyle="1" w:styleId="63">
    <w:name w:val="表内字1"/>
    <w:basedOn w:val="1"/>
    <w:autoRedefine/>
    <w:qFormat/>
    <w:uiPriority w:val="0"/>
    <w:pPr>
      <w:adjustRightInd w:val="0"/>
      <w:snapToGrid w:val="0"/>
      <w:spacing w:line="300" w:lineRule="exact"/>
      <w:jc w:val="center"/>
    </w:pPr>
    <w:rPr>
      <w:rFonts w:ascii="Calibri" w:hAnsi="Calibri"/>
      <w:color w:val="000000"/>
      <w:sz w:val="22"/>
      <w:szCs w:val="21"/>
    </w:rPr>
  </w:style>
  <w:style w:type="paragraph" w:customStyle="1" w:styleId="64">
    <w:name w:val="表格内容居中"/>
    <w:autoRedefine/>
    <w:qFormat/>
    <w:uiPriority w:val="0"/>
    <w:pPr>
      <w:adjustRightInd w:val="0"/>
      <w:snapToGrid w:val="0"/>
      <w:jc w:val="center"/>
    </w:pPr>
    <w:rPr>
      <w:rFonts w:ascii="Times New Roman" w:hAnsi="Times New Roman" w:eastAsia="宋体" w:cs="Times New Roman"/>
      <w:snapToGrid w:val="0"/>
      <w:sz w:val="21"/>
      <w:szCs w:val="21"/>
      <w:lang w:val="en-US" w:eastAsia="zh-CN" w:bidi="ar-SA"/>
    </w:rPr>
  </w:style>
  <w:style w:type="paragraph" w:customStyle="1" w:styleId="65">
    <w:name w:val="无间隔1"/>
    <w:autoRedefine/>
    <w:qFormat/>
    <w:uiPriority w:val="99"/>
    <w:pPr>
      <w:widowControl w:val="0"/>
      <w:jc w:val="both"/>
    </w:pPr>
    <w:rPr>
      <w:rFonts w:ascii="Times New Roman" w:hAnsi="Times New Roman" w:eastAsia="宋体" w:cs="Times New Roman"/>
      <w:kern w:val="2"/>
      <w:sz w:val="24"/>
      <w:szCs w:val="24"/>
      <w:lang w:val="en-US" w:eastAsia="zh-CN" w:bidi="ar-SA"/>
    </w:rPr>
  </w:style>
  <w:style w:type="character" w:customStyle="1" w:styleId="66">
    <w:name w:val="font61"/>
    <w:basedOn w:val="39"/>
    <w:autoRedefine/>
    <w:qFormat/>
    <w:uiPriority w:val="0"/>
    <w:rPr>
      <w:rFonts w:hint="default" w:ascii="Times New Roman" w:hAnsi="Times New Roman" w:cs="Times New Roman"/>
      <w:b/>
      <w:color w:val="000000"/>
      <w:sz w:val="18"/>
      <w:szCs w:val="18"/>
      <w:u w:val="none"/>
    </w:rPr>
  </w:style>
  <w:style w:type="character" w:customStyle="1" w:styleId="67">
    <w:name w:val="font81"/>
    <w:basedOn w:val="39"/>
    <w:autoRedefine/>
    <w:qFormat/>
    <w:uiPriority w:val="0"/>
    <w:rPr>
      <w:rFonts w:hint="default" w:ascii="Times New Roman" w:hAnsi="Times New Roman" w:cs="Times New Roman"/>
      <w:b/>
      <w:color w:val="000000"/>
      <w:sz w:val="18"/>
      <w:szCs w:val="18"/>
      <w:u w:val="none"/>
    </w:rPr>
  </w:style>
  <w:style w:type="character" w:customStyle="1" w:styleId="68">
    <w:name w:val="font51"/>
    <w:basedOn w:val="39"/>
    <w:autoRedefine/>
    <w:qFormat/>
    <w:uiPriority w:val="0"/>
    <w:rPr>
      <w:rFonts w:hint="eastAsia" w:ascii="宋体" w:hAnsi="宋体" w:eastAsia="宋体" w:cs="宋体"/>
      <w:b/>
      <w:color w:val="000000"/>
      <w:sz w:val="18"/>
      <w:szCs w:val="18"/>
      <w:u w:val="none"/>
    </w:rPr>
  </w:style>
  <w:style w:type="character" w:customStyle="1" w:styleId="69">
    <w:name w:val="font91"/>
    <w:basedOn w:val="39"/>
    <w:autoRedefine/>
    <w:qFormat/>
    <w:uiPriority w:val="0"/>
    <w:rPr>
      <w:rFonts w:ascii="Calibri" w:hAnsi="Calibri" w:cs="Calibri"/>
      <w:color w:val="auto"/>
      <w:sz w:val="21"/>
      <w:szCs w:val="21"/>
      <w:u w:val="none"/>
    </w:rPr>
  </w:style>
  <w:style w:type="character" w:customStyle="1" w:styleId="70">
    <w:name w:val="font111"/>
    <w:basedOn w:val="39"/>
    <w:autoRedefine/>
    <w:qFormat/>
    <w:uiPriority w:val="0"/>
    <w:rPr>
      <w:rFonts w:hint="default" w:ascii="Times New Roman" w:hAnsi="Times New Roman" w:cs="Times New Roman"/>
      <w:b/>
      <w:color w:val="000000"/>
      <w:sz w:val="18"/>
      <w:szCs w:val="18"/>
      <w:u w:val="none"/>
    </w:rPr>
  </w:style>
  <w:style w:type="character" w:customStyle="1" w:styleId="71">
    <w:name w:val="font101"/>
    <w:basedOn w:val="39"/>
    <w:autoRedefine/>
    <w:qFormat/>
    <w:uiPriority w:val="0"/>
    <w:rPr>
      <w:rFonts w:hint="eastAsia" w:ascii="宋体" w:hAnsi="宋体" w:eastAsia="宋体" w:cs="宋体"/>
      <w:b/>
      <w:color w:val="000000"/>
      <w:sz w:val="18"/>
      <w:szCs w:val="18"/>
      <w:u w:val="none"/>
    </w:rPr>
  </w:style>
  <w:style w:type="paragraph" w:customStyle="1" w:styleId="72">
    <w:name w:val="附图附件"/>
    <w:basedOn w:val="1"/>
    <w:autoRedefine/>
    <w:qFormat/>
    <w:uiPriority w:val="0"/>
    <w:pPr>
      <w:spacing w:line="240" w:lineRule="auto"/>
      <w:jc w:val="center"/>
      <w:outlineLvl w:val="0"/>
    </w:pPr>
  </w:style>
  <w:style w:type="paragraph" w:customStyle="1" w:styleId="73">
    <w:name w:val="J-表格标题+图片标题（5号+居中）"/>
    <w:basedOn w:val="1"/>
    <w:autoRedefine/>
    <w:qFormat/>
    <w:uiPriority w:val="0"/>
    <w:pPr>
      <w:spacing w:line="240" w:lineRule="auto"/>
      <w:jc w:val="center"/>
    </w:pPr>
    <w:rPr>
      <w:b/>
      <w:sz w:val="21"/>
      <w:szCs w:val="21"/>
    </w:rPr>
  </w:style>
  <w:style w:type="paragraph" w:customStyle="1" w:styleId="74">
    <w:name w:val="报告表小标题"/>
    <w:basedOn w:val="1"/>
    <w:autoRedefine/>
    <w:qFormat/>
    <w:uiPriority w:val="0"/>
    <w:pPr>
      <w:spacing w:before="100" w:beforeAutospacing="1"/>
    </w:pPr>
    <w:rPr>
      <w:b/>
    </w:rPr>
  </w:style>
  <w:style w:type="character" w:customStyle="1" w:styleId="75">
    <w:name w:val="font21"/>
    <w:basedOn w:val="39"/>
    <w:autoRedefine/>
    <w:qFormat/>
    <w:uiPriority w:val="0"/>
    <w:rPr>
      <w:rFonts w:hint="eastAsia" w:ascii="宋体" w:hAnsi="宋体" w:eastAsia="宋体" w:cs="宋体"/>
      <w:b/>
      <w:bCs/>
      <w:color w:val="000000"/>
      <w:sz w:val="21"/>
      <w:szCs w:val="21"/>
      <w:u w:val="none"/>
    </w:rPr>
  </w:style>
  <w:style w:type="character" w:customStyle="1" w:styleId="76">
    <w:name w:val="font11"/>
    <w:basedOn w:val="39"/>
    <w:autoRedefine/>
    <w:qFormat/>
    <w:uiPriority w:val="0"/>
    <w:rPr>
      <w:rFonts w:hint="eastAsia" w:ascii="宋体" w:hAnsi="宋体" w:eastAsia="宋体" w:cs="宋体"/>
      <w:color w:val="000000"/>
      <w:sz w:val="21"/>
      <w:szCs w:val="21"/>
      <w:u w:val="none"/>
    </w:rPr>
  </w:style>
  <w:style w:type="character" w:customStyle="1" w:styleId="77">
    <w:name w:val="font41"/>
    <w:basedOn w:val="39"/>
    <w:autoRedefine/>
    <w:qFormat/>
    <w:uiPriority w:val="0"/>
    <w:rPr>
      <w:rFonts w:hint="eastAsia" w:ascii="宋体" w:hAnsi="宋体" w:eastAsia="宋体" w:cs="宋体"/>
      <w:color w:val="000000"/>
      <w:sz w:val="21"/>
      <w:szCs w:val="21"/>
      <w:u w:val="none"/>
    </w:rPr>
  </w:style>
  <w:style w:type="paragraph" w:customStyle="1" w:styleId="78">
    <w:name w:val="样式 方正仿宋_GBK 三号 行距: 固定值 28 磅"/>
    <w:basedOn w:val="1"/>
    <w:autoRedefine/>
    <w:qFormat/>
    <w:uiPriority w:val="0"/>
    <w:pPr>
      <w:ind w:firstLine="200" w:firstLineChars="200"/>
      <w:jc w:val="left"/>
    </w:pPr>
    <w:rPr>
      <w:rFonts w:ascii="方正仿宋_GBK" w:hAnsi="方正仿宋_GBK" w:cs="宋体"/>
      <w:sz w:val="28"/>
      <w:szCs w:val="20"/>
    </w:rPr>
  </w:style>
  <w:style w:type="paragraph" w:styleId="79">
    <w:name w:val="List Paragraph"/>
    <w:basedOn w:val="1"/>
    <w:autoRedefine/>
    <w:qFormat/>
    <w:uiPriority w:val="99"/>
    <w:pPr>
      <w:ind w:firstLine="420" w:firstLineChars="200"/>
    </w:pPr>
  </w:style>
  <w:style w:type="character" w:customStyle="1" w:styleId="80">
    <w:name w:val="fontstyle01"/>
    <w:autoRedefine/>
    <w:qFormat/>
    <w:uiPriority w:val="0"/>
    <w:rPr>
      <w:rFonts w:hint="eastAsia" w:ascii="宋体" w:hAnsi="宋体" w:eastAsia="宋体"/>
      <w:color w:val="000000"/>
      <w:sz w:val="24"/>
      <w:szCs w:val="24"/>
    </w:rPr>
  </w:style>
  <w:style w:type="paragraph" w:customStyle="1" w:styleId="81">
    <w:name w:val="HJ-正文"/>
    <w:basedOn w:val="1"/>
    <w:autoRedefine/>
    <w:qFormat/>
    <w:uiPriority w:val="0"/>
    <w:pPr>
      <w:ind w:firstLine="480" w:firstLineChars="200"/>
    </w:pPr>
  </w:style>
  <w:style w:type="paragraph" w:customStyle="1" w:styleId="82">
    <w:name w:val="WPSOffice手动目录 1"/>
    <w:autoRedefine/>
    <w:qFormat/>
    <w:uiPriority w:val="0"/>
    <w:rPr>
      <w:rFonts w:ascii="Times New Roman" w:hAnsi="Times New Roman" w:eastAsia="宋体" w:cs="Times New Roman"/>
      <w:lang w:val="en-US" w:eastAsia="zh-CN" w:bidi="ar-SA"/>
    </w:rPr>
  </w:style>
  <w:style w:type="paragraph" w:customStyle="1" w:styleId="83">
    <w:name w:val="WPSOffice手动目录 2"/>
    <w:autoRedefine/>
    <w:qFormat/>
    <w:uiPriority w:val="0"/>
    <w:pPr>
      <w:ind w:left="200" w:leftChars="200"/>
    </w:pPr>
    <w:rPr>
      <w:rFonts w:ascii="Times New Roman" w:hAnsi="Times New Roman" w:eastAsia="宋体" w:cs="Times New Roman"/>
      <w:lang w:val="en-US" w:eastAsia="zh-CN" w:bidi="ar-SA"/>
    </w:rPr>
  </w:style>
  <w:style w:type="character" w:customStyle="1" w:styleId="84">
    <w:name w:val="批注文字 字符"/>
    <w:basedOn w:val="39"/>
    <w:link w:val="20"/>
    <w:autoRedefine/>
    <w:semiHidden/>
    <w:qFormat/>
    <w:uiPriority w:val="0"/>
    <w:rPr>
      <w:sz w:val="24"/>
    </w:rPr>
  </w:style>
  <w:style w:type="character" w:customStyle="1" w:styleId="85">
    <w:name w:val="批注主题 字符"/>
    <w:basedOn w:val="84"/>
    <w:link w:val="35"/>
    <w:autoRedefine/>
    <w:qFormat/>
    <w:uiPriority w:val="0"/>
    <w:rPr>
      <w:b/>
      <w:bCs/>
      <w:kern w:val="2"/>
      <w:sz w:val="24"/>
      <w:szCs w:val="24"/>
    </w:rPr>
  </w:style>
  <w:style w:type="character" w:customStyle="1" w:styleId="86">
    <w:name w:val="NormalCharacter"/>
    <w:autoRedefine/>
    <w:qFormat/>
    <w:uiPriority w:val="0"/>
    <w:rPr>
      <w:rFonts w:ascii="Times New Roman" w:hAnsi="Times New Roman" w:eastAsia="宋体" w:cs="Times New Roman"/>
      <w:kern w:val="2"/>
      <w:sz w:val="24"/>
      <w:szCs w:val="24"/>
      <w:lang w:val="en-US" w:eastAsia="zh-CN" w:bidi="ar-SA"/>
    </w:rPr>
  </w:style>
  <w:style w:type="character" w:customStyle="1" w:styleId="87">
    <w:name w:val="font31"/>
    <w:basedOn w:val="39"/>
    <w:autoRedefine/>
    <w:qFormat/>
    <w:uiPriority w:val="0"/>
    <w:rPr>
      <w:rFonts w:hint="default" w:ascii="Times New Roman" w:hAnsi="Times New Roman" w:cs="Times New Roman"/>
      <w:color w:val="000000"/>
      <w:sz w:val="21"/>
      <w:szCs w:val="21"/>
      <w:u w:val="none"/>
    </w:rPr>
  </w:style>
  <w:style w:type="character" w:customStyle="1" w:styleId="88">
    <w:name w:val="6-正文 Char"/>
    <w:link w:val="45"/>
    <w:autoRedefine/>
    <w:qFormat/>
    <w:uiPriority w:val="0"/>
    <w:rPr>
      <w:szCs w:val="28"/>
    </w:rPr>
  </w:style>
  <w:style w:type="table" w:customStyle="1" w:styleId="89">
    <w:name w:val="报告书标准表格"/>
    <w:basedOn w:val="37"/>
    <w:autoRedefine/>
    <w:qFormat/>
    <w:uiPriority w:val="0"/>
    <w:pPr>
      <w:jc w:val="center"/>
    </w:pPr>
    <w:rPr>
      <w:rFonts w:eastAsia="Times New Roman"/>
      <w:sz w:val="21"/>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90">
    <w:name w:val="报告正文"/>
    <w:basedOn w:val="1"/>
    <w:autoRedefine/>
    <w:qFormat/>
    <w:uiPriority w:val="0"/>
    <w:pPr>
      <w:ind w:firstLine="480" w:firstLineChars="200"/>
    </w:pPr>
  </w:style>
  <w:style w:type="paragraph" w:customStyle="1" w:styleId="91">
    <w:name w:val="表格内容"/>
    <w:basedOn w:val="92"/>
    <w:autoRedefine/>
    <w:qFormat/>
    <w:uiPriority w:val="0"/>
    <w:rPr>
      <w:sz w:val="21"/>
      <w:szCs w:val="21"/>
    </w:rPr>
  </w:style>
  <w:style w:type="paragraph" w:customStyle="1" w:styleId="92">
    <w:name w:val="表格标题"/>
    <w:basedOn w:val="23"/>
    <w:autoRedefine/>
    <w:qFormat/>
    <w:uiPriority w:val="0"/>
    <w:pPr>
      <w:jc w:val="center"/>
    </w:pPr>
    <w:rPr>
      <w:rFonts w:ascii="Times New Roman" w:hAnsi="Times New Roman"/>
      <w:b/>
    </w:rPr>
  </w:style>
  <w:style w:type="character" w:customStyle="1" w:styleId="93">
    <w:name w:val="16"/>
    <w:basedOn w:val="39"/>
    <w:autoRedefine/>
    <w:qFormat/>
    <w:uiPriority w:val="0"/>
    <w:rPr>
      <w:rFonts w:hint="default" w:ascii="Times New Roman" w:hAnsi="Times New Roman" w:cs="Times New Roman"/>
      <w:color w:val="000000"/>
      <w:sz w:val="21"/>
      <w:szCs w:val="21"/>
    </w:rPr>
  </w:style>
  <w:style w:type="character" w:customStyle="1" w:styleId="94">
    <w:name w:val="17"/>
    <w:basedOn w:val="39"/>
    <w:autoRedefine/>
    <w:qFormat/>
    <w:uiPriority w:val="0"/>
    <w:rPr>
      <w:rFonts w:hint="default" w:ascii="Times New Roman" w:hAnsi="Times New Roman" w:cs="Times New Roman"/>
      <w:color w:val="000000"/>
      <w:sz w:val="21"/>
      <w:szCs w:val="21"/>
      <w:vertAlign w:val="superscript"/>
    </w:rPr>
  </w:style>
  <w:style w:type="character" w:customStyle="1" w:styleId="95">
    <w:name w:val="15"/>
    <w:basedOn w:val="39"/>
    <w:autoRedefine/>
    <w:qFormat/>
    <w:uiPriority w:val="0"/>
    <w:rPr>
      <w:rFonts w:hint="eastAsia" w:ascii="宋体" w:hAnsi="宋体" w:eastAsia="宋体"/>
      <w:color w:val="000000"/>
      <w:sz w:val="21"/>
      <w:szCs w:val="21"/>
    </w:rPr>
  </w:style>
  <w:style w:type="paragraph" w:customStyle="1" w:styleId="96">
    <w:name w:val="List Paragraph1"/>
    <w:basedOn w:val="1"/>
    <w:autoRedefine/>
    <w:qFormat/>
    <w:uiPriority w:val="34"/>
    <w:pPr>
      <w:widowControl w:val="0"/>
      <w:ind w:firstLine="420" w:firstLineChars="200"/>
      <w:jc w:val="both"/>
    </w:pPr>
    <w:rPr>
      <w:rFonts w:ascii="Calibri" w:hAnsi="Calibri" w:eastAsia="宋体" w:cs="Times New Roman"/>
      <w:kern w:val="2"/>
      <w:sz w:val="21"/>
      <w:szCs w:val="22"/>
    </w:rPr>
  </w:style>
  <w:style w:type="paragraph" w:customStyle="1" w:styleId="97">
    <w:name w:val="图表标题"/>
    <w:basedOn w:val="1"/>
    <w:next w:val="1"/>
    <w:autoRedefine/>
    <w:qFormat/>
    <w:uiPriority w:val="0"/>
    <w:pPr>
      <w:jc w:val="center"/>
    </w:pPr>
    <w:rPr>
      <w:b/>
      <w:sz w:val="21"/>
    </w:rPr>
  </w:style>
  <w:style w:type="paragraph" w:customStyle="1" w:styleId="98">
    <w:name w:val="表头"/>
    <w:basedOn w:val="99"/>
    <w:next w:val="1"/>
    <w:autoRedefine/>
    <w:qFormat/>
    <w:uiPriority w:val="99"/>
    <w:pPr>
      <w:adjustRightInd w:val="0"/>
      <w:spacing w:beforeLines="50"/>
      <w:ind w:firstLine="200"/>
    </w:pPr>
    <w:rPr>
      <w:szCs w:val="28"/>
    </w:rPr>
  </w:style>
  <w:style w:type="paragraph" w:customStyle="1" w:styleId="99">
    <w:name w:val="表标题"/>
    <w:basedOn w:val="12"/>
    <w:next w:val="12"/>
    <w:autoRedefine/>
    <w:qFormat/>
    <w:uiPriority w:val="0"/>
    <w:pPr>
      <w:spacing w:line="500" w:lineRule="exact"/>
      <w:ind w:firstLine="482" w:firstLineChars="200"/>
      <w:jc w:val="center"/>
    </w:pPr>
    <w:rPr>
      <w:rFonts w:ascii="仿宋_GB2312" w:eastAsia="仿宋_GB2312"/>
      <w:b/>
      <w:sz w:val="24"/>
    </w:rPr>
  </w:style>
  <w:style w:type="paragraph" w:customStyle="1" w:styleId="100">
    <w:name w:val="列表段落1"/>
    <w:basedOn w:val="1"/>
    <w:autoRedefine/>
    <w:qFormat/>
    <w:uiPriority w:val="99"/>
    <w:pPr>
      <w:spacing w:line="360" w:lineRule="auto"/>
      <w:ind w:firstLine="420" w:firstLineChars="200"/>
    </w:pPr>
    <w:rPr>
      <w:sz w:val="24"/>
      <w:szCs w:val="22"/>
    </w:rPr>
  </w:style>
  <w:style w:type="paragraph" w:customStyle="1" w:styleId="101">
    <w:name w:val="表格内容1"/>
    <w:basedOn w:val="1"/>
    <w:autoRedefine/>
    <w:qFormat/>
    <w:uiPriority w:val="0"/>
    <w:pPr>
      <w:adjustRightInd w:val="0"/>
      <w:snapToGrid w:val="0"/>
      <w:spacing w:before="15" w:beforeLines="15" w:after="15" w:afterLines="15" w:line="300" w:lineRule="exact"/>
      <w:jc w:val="center"/>
    </w:pPr>
    <w:rPr>
      <w:kern w:val="0"/>
    </w:rPr>
  </w:style>
  <w:style w:type="paragraph" w:customStyle="1" w:styleId="102">
    <w:name w:val="（一）"/>
    <w:basedOn w:val="1"/>
    <w:autoRedefine/>
    <w:qFormat/>
    <w:uiPriority w:val="0"/>
    <w:pPr>
      <w:numPr>
        <w:ilvl w:val="0"/>
        <w:numId w:val="5"/>
      </w:numPr>
      <w:spacing w:line="400" w:lineRule="exact"/>
    </w:pPr>
    <w:rPr>
      <w:b/>
      <w:sz w:val="24"/>
    </w:rPr>
  </w:style>
  <w:style w:type="paragraph" w:customStyle="1" w:styleId="103">
    <w:name w:val="正文1"/>
    <w:basedOn w:val="1"/>
    <w:autoRedefine/>
    <w:qFormat/>
    <w:uiPriority w:val="0"/>
    <w:rPr>
      <w:sz w:val="24"/>
    </w:rPr>
  </w:style>
  <w:style w:type="paragraph" w:customStyle="1" w:styleId="104">
    <w:name w:val="表格 32"/>
    <w:basedOn w:val="1"/>
    <w:autoRedefine/>
    <w:qFormat/>
    <w:uiPriority w:val="0"/>
    <w:pPr>
      <w:autoSpaceDE w:val="0"/>
      <w:autoSpaceDN w:val="0"/>
      <w:adjustRightInd w:val="0"/>
      <w:spacing w:line="240" w:lineRule="atLeast"/>
      <w:jc w:val="center"/>
      <w:textAlignment w:val="baseline"/>
    </w:pPr>
    <w:rPr>
      <w:spacing w:val="0"/>
      <w:sz w:val="24"/>
      <w:szCs w:val="24"/>
    </w:rPr>
  </w:style>
  <w:style w:type="paragraph" w:customStyle="1" w:styleId="105">
    <w:name w:val="表格文字！！！！"/>
    <w:basedOn w:val="1"/>
    <w:autoRedefine/>
    <w:qFormat/>
    <w:uiPriority w:val="0"/>
    <w:pPr>
      <w:jc w:val="center"/>
    </w:pPr>
    <w:rPr>
      <w:spacing w:val="0"/>
      <w:kern w:val="2"/>
      <w:sz w:val="21"/>
      <w:szCs w:val="24"/>
    </w:rPr>
  </w:style>
  <w:style w:type="paragraph" w:customStyle="1" w:styleId="106">
    <w:name w:val="陆晶 表格式"/>
    <w:basedOn w:val="1"/>
    <w:autoRedefine/>
    <w:qFormat/>
    <w:uiPriority w:val="0"/>
    <w:pPr>
      <w:jc w:val="center"/>
    </w:pPr>
    <w:rPr>
      <w:spacing w:val="0"/>
      <w:kern w:val="2"/>
      <w:sz w:val="21"/>
    </w:rPr>
  </w:style>
  <w:style w:type="paragraph" w:customStyle="1" w:styleId="107">
    <w:name w:val="表格2"/>
    <w:basedOn w:val="1"/>
    <w:next w:val="1"/>
    <w:autoRedefine/>
    <w:qFormat/>
    <w:uiPriority w:val="0"/>
    <w:pPr>
      <w:topLinePunct/>
      <w:autoSpaceDE w:val="0"/>
      <w:autoSpaceDN w:val="0"/>
      <w:adjustRightInd w:val="0"/>
      <w:spacing w:line="288" w:lineRule="auto"/>
      <w:jc w:val="center"/>
    </w:pPr>
    <w:rPr>
      <w:rFonts w:ascii="宋体"/>
      <w:kern w:val="0"/>
      <w:position w:val="-28"/>
      <w:sz w:val="18"/>
      <w:szCs w:val="20"/>
    </w:rPr>
  </w:style>
  <w:style w:type="paragraph" w:customStyle="1" w:styleId="108">
    <w:name w:val="AP外表文字居中（图）"/>
    <w:basedOn w:val="109"/>
    <w:autoRedefine/>
    <w:qFormat/>
    <w:uiPriority w:val="0"/>
    <w:pPr>
      <w:spacing w:line="240" w:lineRule="auto"/>
      <w:ind w:firstLine="0" w:firstLineChars="0"/>
      <w:jc w:val="center"/>
    </w:pPr>
    <w:rPr>
      <w:kern w:val="2"/>
    </w:rPr>
  </w:style>
  <w:style w:type="paragraph" w:customStyle="1" w:styleId="109">
    <w:name w:val="AP外表文字段落"/>
    <w:basedOn w:val="110"/>
    <w:autoRedefine/>
    <w:qFormat/>
    <w:uiPriority w:val="0"/>
    <w:pPr>
      <w:widowControl w:val="0"/>
      <w:spacing w:line="360" w:lineRule="auto"/>
    </w:pPr>
    <w:rPr>
      <w:rFonts w:hint="eastAsia"/>
      <w:kern w:val="44"/>
      <w:sz w:val="24"/>
    </w:rPr>
  </w:style>
  <w:style w:type="paragraph" w:customStyle="1" w:styleId="110">
    <w:name w:val="BP内表文字段落"/>
    <w:next w:val="1"/>
    <w:autoRedefine/>
    <w:qFormat/>
    <w:uiPriority w:val="0"/>
    <w:pPr>
      <w:kinsoku w:val="0"/>
      <w:wordWrap w:val="0"/>
      <w:topLinePunct/>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11">
    <w:name w:val="Table Paragraph"/>
    <w:basedOn w:val="1"/>
    <w:autoRedefine/>
    <w:qFormat/>
    <w:uiPriority w:val="1"/>
    <w:rPr>
      <w:rFonts w:ascii="宋体" w:hAnsi="宋体" w:cs="宋体"/>
      <w:lang w:val="zh-CN" w:bidi="zh-CN"/>
    </w:rPr>
  </w:style>
  <w:style w:type="paragraph" w:customStyle="1" w:styleId="112">
    <w:name w:val="0-正文"/>
    <w:basedOn w:val="1"/>
    <w:autoRedefine/>
    <w:qFormat/>
    <w:uiPriority w:val="0"/>
    <w:pPr>
      <w:ind w:firstLine="200" w:firstLineChars="200"/>
    </w:pPr>
    <w:rPr>
      <w:spacing w:val="4"/>
      <w:szCs w:val="28"/>
      <w:lang w:val="zh-CN"/>
    </w:rPr>
  </w:style>
  <w:style w:type="paragraph" w:customStyle="1" w:styleId="113">
    <w:name w:val="0表格文字 五号 常规"/>
    <w:basedOn w:val="1"/>
    <w:autoRedefine/>
    <w:qFormat/>
    <w:uiPriority w:val="0"/>
    <w:pPr>
      <w:autoSpaceDE w:val="0"/>
      <w:autoSpaceDN w:val="0"/>
      <w:jc w:val="center"/>
    </w:pPr>
    <w:rPr>
      <w:sz w:val="21"/>
      <w:szCs w:val="20"/>
    </w:rPr>
  </w:style>
  <w:style w:type="paragraph" w:customStyle="1" w:styleId="114">
    <w:name w:val="【正文】"/>
    <w:basedOn w:val="1"/>
    <w:qFormat/>
    <w:uiPriority w:val="0"/>
    <w:pPr>
      <w:ind w:firstLine="200" w:firstLineChars="200"/>
    </w:pPr>
    <w:rPr>
      <w:rFonts w:cs="宋体"/>
      <w:szCs w:val="20"/>
    </w:rPr>
  </w:style>
  <w:style w:type="paragraph" w:customStyle="1" w:styleId="115">
    <w:name w:val="表格 标题"/>
    <w:qFormat/>
    <w:uiPriority w:val="0"/>
    <w:pPr>
      <w:spacing w:before="60"/>
      <w:jc w:val="center"/>
    </w:pPr>
    <w:rPr>
      <w:rFonts w:ascii="Times New Roman" w:hAnsi="Times New Roman" w:eastAsia="宋体" w:cs="Times New Roman"/>
      <w:b/>
      <w:snapToGrid w:val="0"/>
      <w:color w:val="000000"/>
      <w:sz w:val="21"/>
      <w:szCs w:val="22"/>
      <w:lang w:val="zh-CN" w:eastAsia="zh-CN" w:bidi="ar-SA"/>
    </w:rPr>
  </w:style>
  <w:style w:type="paragraph" w:customStyle="1" w:styleId="116">
    <w:name w:val="LL表格内容"/>
    <w:basedOn w:val="1"/>
    <w:qFormat/>
    <w:uiPriority w:val="0"/>
    <w:pPr>
      <w:wordWrap w:val="0"/>
      <w:overflowPunct w:val="0"/>
      <w:topLinePunct/>
      <w:autoSpaceDE w:val="0"/>
      <w:autoSpaceDN w:val="0"/>
      <w:spacing w:line="240" w:lineRule="auto"/>
      <w:jc w:val="center"/>
    </w:pPr>
    <w:rPr>
      <w:rFonts w:cs="宋体"/>
      <w:color w:val="auto"/>
      <w:kern w:val="0"/>
      <w:sz w:val="21"/>
      <w:szCs w:val="22"/>
      <w:lang w:val="zh-CN" w:bidi="zh-CN"/>
    </w:rPr>
  </w:style>
  <w:style w:type="paragraph" w:customStyle="1" w:styleId="117">
    <w:name w:val="国寰正文"/>
    <w:basedOn w:val="1"/>
    <w:qFormat/>
    <w:uiPriority w:val="0"/>
    <w:pPr>
      <w:adjustRightInd w:val="0"/>
      <w:snapToGrid w:val="0"/>
      <w:spacing w:line="360" w:lineRule="auto"/>
      <w:ind w:firstLine="200" w:firstLineChars="200"/>
    </w:pPr>
    <w:rPr>
      <w:spacing w:val="0"/>
      <w:kern w:val="2"/>
      <w:sz w:val="24"/>
      <w:szCs w:val="24"/>
    </w:rPr>
  </w:style>
  <w:style w:type="paragraph" w:customStyle="1" w:styleId="118">
    <w:name w:val="报告表"/>
    <w:basedOn w:val="1"/>
    <w:qFormat/>
    <w:uiPriority w:val="2"/>
    <w:pPr>
      <w:jc w:val="center"/>
      <w:outlineLvl w:val="0"/>
    </w:pPr>
    <w:rPr>
      <w:rFonts w:ascii="方正小标宋_GBK" w:eastAsia="方正小标宋_GBK"/>
      <w:bCs/>
      <w:sz w:val="72"/>
      <w:szCs w:val="72"/>
    </w:rPr>
  </w:style>
  <w:style w:type="paragraph" w:customStyle="1" w:styleId="119">
    <w:name w:val="0正文"/>
    <w:basedOn w:val="12"/>
    <w:qFormat/>
    <w:uiPriority w:val="0"/>
    <w:pPr>
      <w:widowControl w:val="0"/>
      <w:spacing w:line="360" w:lineRule="auto"/>
      <w:ind w:firstLine="720" w:firstLineChars="200"/>
    </w:pPr>
    <w:rPr>
      <w:sz w:val="24"/>
      <w:szCs w:val="22"/>
      <w:lang w:val="en-US" w:eastAsia="zh-CN" w:bidi="ar-SA"/>
    </w:rPr>
  </w:style>
  <w:style w:type="paragraph" w:customStyle="1" w:styleId="120">
    <w:name w:val="_Style 5"/>
    <w:next w:val="21"/>
    <w:qFormat/>
    <w:uiPriority w:val="0"/>
    <w:pPr>
      <w:widowControl w:val="0"/>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121">
    <w:name w:val="小四"/>
    <w:basedOn w:val="1"/>
    <w:qFormat/>
    <w:uiPriority w:val="0"/>
    <w:pPr>
      <w:ind w:firstLine="200" w:firstLineChars="200"/>
    </w:pPr>
    <w:rPr>
      <w:bCs/>
      <w:color w:val="000000"/>
    </w:rPr>
  </w:style>
  <w:style w:type="character" w:customStyle="1" w:styleId="122">
    <w:name w:val="19"/>
    <w:qFormat/>
    <w:uiPriority w:val="0"/>
    <w:rPr>
      <w:rFonts w:hint="eastAsia" w:ascii="仿宋_GB2312" w:eastAsia="仿宋_GB2312"/>
      <w:color w:val="000000"/>
      <w:sz w:val="22"/>
      <w:szCs w:val="22"/>
    </w:rPr>
  </w:style>
  <w:style w:type="paragraph" w:customStyle="1" w:styleId="123">
    <w:name w:val="报告表 段"/>
    <w:basedOn w:val="1"/>
    <w:qFormat/>
    <w:uiPriority w:val="0"/>
    <w:pPr>
      <w:spacing w:line="360" w:lineRule="auto"/>
      <w:ind w:firstLine="470" w:firstLineChars="196"/>
    </w:pPr>
    <w:rPr>
      <w:rFonts w:ascii="宋体" w:hAnsi="宋体" w:eastAsia="宋体" w:cs="Times New Roman"/>
      <w:bCs/>
      <w:sz w:val="24"/>
    </w:rPr>
  </w:style>
  <w:style w:type="table" w:customStyle="1" w:styleId="124">
    <w:name w:val="网格型4"/>
    <w:basedOn w:val="37"/>
    <w:autoRedefine/>
    <w:qFormat/>
    <w:uiPriority w:val="39"/>
    <w:pPr>
      <w:jc w:val="center"/>
    </w:pPr>
    <w:rPr>
      <w:rFonts w:ascii="Times New Roman" w:hAnsi="Times New Roman" w:eastAsia="宋体" w:cs="Times New Roman"/>
      <w:kern w:val="0"/>
      <w:sz w:val="20"/>
      <w:szCs w:val="20"/>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tblStylePr w:type="firstRow">
      <w:rPr>
        <w:b w:val="0"/>
      </w:rPr>
    </w:tblStylePr>
  </w:style>
  <w:style w:type="table" w:customStyle="1" w:styleId="125">
    <w:name w:val="网格型1"/>
    <w:basedOn w:val="37"/>
    <w:autoRedefine/>
    <w:qFormat/>
    <w:uiPriority w:val="39"/>
    <w:pPr>
      <w:jc w:val="center"/>
    </w:pPr>
    <w:rPr>
      <w:rFonts w:ascii="Times New Roman" w:hAnsi="Times New Roman" w:eastAsia="宋体" w:cs="Times New Roman"/>
      <w:kern w:val="0"/>
      <w:sz w:val="20"/>
      <w:szCs w:val="20"/>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tblStylePr w:type="firstRow">
      <w:rPr>
        <w:b w:val="0"/>
      </w:rPr>
    </w:tblStylePr>
  </w:style>
</w:styles>
</file>

<file path=word/_rels/document.xml.rels><?xml version="1.0" encoding="UTF-8" standalone="yes"?>
<Relationships xmlns="http://schemas.openxmlformats.org/package/2006/relationships"><Relationship Id="rId99" Type="http://schemas.openxmlformats.org/officeDocument/2006/relationships/image" Target="media/image83.jpeg"/><Relationship Id="rId98" Type="http://schemas.openxmlformats.org/officeDocument/2006/relationships/image" Target="media/image82.jpeg"/><Relationship Id="rId97" Type="http://schemas.openxmlformats.org/officeDocument/2006/relationships/image" Target="media/image81.jpeg"/><Relationship Id="rId96" Type="http://schemas.openxmlformats.org/officeDocument/2006/relationships/image" Target="media/image80.jpeg"/><Relationship Id="rId95" Type="http://schemas.openxmlformats.org/officeDocument/2006/relationships/image" Target="media/image79.jpeg"/><Relationship Id="rId94" Type="http://schemas.openxmlformats.org/officeDocument/2006/relationships/image" Target="media/image78.jpeg"/><Relationship Id="rId93" Type="http://schemas.openxmlformats.org/officeDocument/2006/relationships/image" Target="media/image77.jpeg"/><Relationship Id="rId92" Type="http://schemas.openxmlformats.org/officeDocument/2006/relationships/image" Target="media/image76.jpeg"/><Relationship Id="rId91" Type="http://schemas.openxmlformats.org/officeDocument/2006/relationships/image" Target="media/image75.jpeg"/><Relationship Id="rId90" Type="http://schemas.openxmlformats.org/officeDocument/2006/relationships/image" Target="media/image74.jpeg"/><Relationship Id="rId9" Type="http://schemas.openxmlformats.org/officeDocument/2006/relationships/footer" Target="footer4.xml"/><Relationship Id="rId89" Type="http://schemas.openxmlformats.org/officeDocument/2006/relationships/image" Target="media/image73.jpeg"/><Relationship Id="rId88" Type="http://schemas.openxmlformats.org/officeDocument/2006/relationships/image" Target="media/image72.jpeg"/><Relationship Id="rId87" Type="http://schemas.openxmlformats.org/officeDocument/2006/relationships/image" Target="media/image71.jpeg"/><Relationship Id="rId86" Type="http://schemas.openxmlformats.org/officeDocument/2006/relationships/image" Target="media/image70.jpeg"/><Relationship Id="rId85" Type="http://schemas.openxmlformats.org/officeDocument/2006/relationships/image" Target="media/image69.jpeg"/><Relationship Id="rId84" Type="http://schemas.openxmlformats.org/officeDocument/2006/relationships/image" Target="media/image68.jpeg"/><Relationship Id="rId83" Type="http://schemas.openxmlformats.org/officeDocument/2006/relationships/image" Target="media/image67.jpeg"/><Relationship Id="rId82" Type="http://schemas.openxmlformats.org/officeDocument/2006/relationships/image" Target="media/image66.jpeg"/><Relationship Id="rId81" Type="http://schemas.openxmlformats.org/officeDocument/2006/relationships/image" Target="media/image65.jpeg"/><Relationship Id="rId80" Type="http://schemas.openxmlformats.org/officeDocument/2006/relationships/image" Target="media/image64.jpeg"/><Relationship Id="rId8" Type="http://schemas.openxmlformats.org/officeDocument/2006/relationships/header" Target="header1.xml"/><Relationship Id="rId79" Type="http://schemas.openxmlformats.org/officeDocument/2006/relationships/image" Target="media/image63.jpeg"/><Relationship Id="rId78" Type="http://schemas.openxmlformats.org/officeDocument/2006/relationships/image" Target="media/image62.png"/><Relationship Id="rId77" Type="http://schemas.openxmlformats.org/officeDocument/2006/relationships/image" Target="media/image61.jpeg"/><Relationship Id="rId76" Type="http://schemas.openxmlformats.org/officeDocument/2006/relationships/image" Target="media/image60.png"/><Relationship Id="rId75" Type="http://schemas.openxmlformats.org/officeDocument/2006/relationships/image" Target="media/image59.jpeg"/><Relationship Id="rId74" Type="http://schemas.openxmlformats.org/officeDocument/2006/relationships/image" Target="media/image58.jpeg"/><Relationship Id="rId73" Type="http://schemas.openxmlformats.org/officeDocument/2006/relationships/image" Target="media/image57.png"/><Relationship Id="rId72" Type="http://schemas.openxmlformats.org/officeDocument/2006/relationships/image" Target="media/image56.png"/><Relationship Id="rId71" Type="http://schemas.openxmlformats.org/officeDocument/2006/relationships/image" Target="media/image55.png"/><Relationship Id="rId70" Type="http://schemas.openxmlformats.org/officeDocument/2006/relationships/image" Target="media/image54.png"/><Relationship Id="rId7" Type="http://schemas.openxmlformats.org/officeDocument/2006/relationships/footer" Target="footer3.xml"/><Relationship Id="rId69" Type="http://schemas.openxmlformats.org/officeDocument/2006/relationships/image" Target="media/image53.jpeg"/><Relationship Id="rId68" Type="http://schemas.openxmlformats.org/officeDocument/2006/relationships/image" Target="media/image52.jpeg"/><Relationship Id="rId67" Type="http://schemas.openxmlformats.org/officeDocument/2006/relationships/image" Target="media/image51.jpeg"/><Relationship Id="rId66" Type="http://schemas.openxmlformats.org/officeDocument/2006/relationships/image" Target="media/image50.jpeg"/><Relationship Id="rId65" Type="http://schemas.openxmlformats.org/officeDocument/2006/relationships/image" Target="media/image49.jpeg"/><Relationship Id="rId64" Type="http://schemas.openxmlformats.org/officeDocument/2006/relationships/image" Target="media/image48.jpeg"/><Relationship Id="rId63" Type="http://schemas.openxmlformats.org/officeDocument/2006/relationships/image" Target="media/image47.jpeg"/><Relationship Id="rId62" Type="http://schemas.openxmlformats.org/officeDocument/2006/relationships/image" Target="media/image46.jpeg"/><Relationship Id="rId61" Type="http://schemas.openxmlformats.org/officeDocument/2006/relationships/image" Target="media/image45.jpeg"/><Relationship Id="rId60" Type="http://schemas.openxmlformats.org/officeDocument/2006/relationships/image" Target="media/image44.png"/><Relationship Id="rId6" Type="http://schemas.openxmlformats.org/officeDocument/2006/relationships/footer" Target="footer2.xml"/><Relationship Id="rId59" Type="http://schemas.openxmlformats.org/officeDocument/2006/relationships/image" Target="media/image43.jpeg"/><Relationship Id="rId58" Type="http://schemas.openxmlformats.org/officeDocument/2006/relationships/image" Target="media/image42.jpeg"/><Relationship Id="rId57" Type="http://schemas.openxmlformats.org/officeDocument/2006/relationships/image" Target="media/image41.png"/><Relationship Id="rId56" Type="http://schemas.openxmlformats.org/officeDocument/2006/relationships/image" Target="media/image40.jpeg"/><Relationship Id="rId55" Type="http://schemas.openxmlformats.org/officeDocument/2006/relationships/image" Target="media/image39.jpeg"/><Relationship Id="rId54" Type="http://schemas.openxmlformats.org/officeDocument/2006/relationships/image" Target="media/image38.jpeg"/><Relationship Id="rId53" Type="http://schemas.openxmlformats.org/officeDocument/2006/relationships/image" Target="media/image37.jpeg"/><Relationship Id="rId52" Type="http://schemas.openxmlformats.org/officeDocument/2006/relationships/image" Target="media/image36.jpeg"/><Relationship Id="rId51" Type="http://schemas.openxmlformats.org/officeDocument/2006/relationships/customXml" Target="ink/ink4.xml"/><Relationship Id="rId50" Type="http://schemas.openxmlformats.org/officeDocument/2006/relationships/customXml" Target="ink/ink3.xml"/><Relationship Id="rId5" Type="http://schemas.openxmlformats.org/officeDocument/2006/relationships/footer" Target="footer1.xml"/><Relationship Id="rId49" Type="http://schemas.openxmlformats.org/officeDocument/2006/relationships/customXml" Target="ink/ink2.xml"/><Relationship Id="rId48" Type="http://schemas.openxmlformats.org/officeDocument/2006/relationships/image" Target="media/image35.png"/><Relationship Id="rId47" Type="http://schemas.openxmlformats.org/officeDocument/2006/relationships/customXml" Target="ink/ink1.xml"/><Relationship Id="rId46" Type="http://schemas.openxmlformats.org/officeDocument/2006/relationships/image" Target="media/image34.png"/><Relationship Id="rId45" Type="http://schemas.openxmlformats.org/officeDocument/2006/relationships/image" Target="media/image33.jpeg"/><Relationship Id="rId44" Type="http://schemas.openxmlformats.org/officeDocument/2006/relationships/image" Target="media/image32.pn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pn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footnotes" Target="footnotes.xml"/><Relationship Id="rId29" Type="http://schemas.openxmlformats.org/officeDocument/2006/relationships/image" Target="media/image17.wmf"/><Relationship Id="rId28" Type="http://schemas.openxmlformats.org/officeDocument/2006/relationships/oleObject" Target="embeddings/oleObject2.bin"/><Relationship Id="rId27" Type="http://schemas.openxmlformats.org/officeDocument/2006/relationships/image" Target="media/image16.jpeg"/><Relationship Id="rId26" Type="http://schemas.openxmlformats.org/officeDocument/2006/relationships/image" Target="media/image15.wmf"/><Relationship Id="rId25" Type="http://schemas.openxmlformats.org/officeDocument/2006/relationships/oleObject" Target="embeddings/oleObject1.bin"/><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wmf"/><Relationship Id="rId20" Type="http://schemas.openxmlformats.org/officeDocument/2006/relationships/image" Target="media/image10.wmf"/><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6" Type="http://schemas.openxmlformats.org/officeDocument/2006/relationships/fontTable" Target="fontTable.xml"/><Relationship Id="rId135" Type="http://schemas.openxmlformats.org/officeDocument/2006/relationships/numbering" Target="numbering.xml"/><Relationship Id="rId134" Type="http://schemas.openxmlformats.org/officeDocument/2006/relationships/customXml" Target="../customXml/item1.xml"/><Relationship Id="rId133" Type="http://schemas.openxmlformats.org/officeDocument/2006/relationships/image" Target="media/image117.png"/><Relationship Id="rId132" Type="http://schemas.openxmlformats.org/officeDocument/2006/relationships/image" Target="media/image116.png"/><Relationship Id="rId131" Type="http://schemas.openxmlformats.org/officeDocument/2006/relationships/image" Target="media/image115.png"/><Relationship Id="rId130" Type="http://schemas.openxmlformats.org/officeDocument/2006/relationships/image" Target="media/image114.png"/><Relationship Id="rId13" Type="http://schemas.openxmlformats.org/officeDocument/2006/relationships/image" Target="media/image3.png"/><Relationship Id="rId129" Type="http://schemas.openxmlformats.org/officeDocument/2006/relationships/image" Target="media/image113.png"/><Relationship Id="rId128" Type="http://schemas.openxmlformats.org/officeDocument/2006/relationships/image" Target="media/image112.png"/><Relationship Id="rId127" Type="http://schemas.openxmlformats.org/officeDocument/2006/relationships/image" Target="media/image111.png"/><Relationship Id="rId126" Type="http://schemas.openxmlformats.org/officeDocument/2006/relationships/image" Target="media/image110.jpeg"/><Relationship Id="rId125" Type="http://schemas.openxmlformats.org/officeDocument/2006/relationships/image" Target="media/image109.jpeg"/><Relationship Id="rId124" Type="http://schemas.openxmlformats.org/officeDocument/2006/relationships/image" Target="media/image108.jpeg"/><Relationship Id="rId123" Type="http://schemas.openxmlformats.org/officeDocument/2006/relationships/image" Target="media/image107.jpeg"/><Relationship Id="rId122" Type="http://schemas.openxmlformats.org/officeDocument/2006/relationships/image" Target="media/image106.jpeg"/><Relationship Id="rId121" Type="http://schemas.openxmlformats.org/officeDocument/2006/relationships/image" Target="media/image105.jpeg"/><Relationship Id="rId120" Type="http://schemas.openxmlformats.org/officeDocument/2006/relationships/image" Target="media/image104.jpeg"/><Relationship Id="rId12" Type="http://schemas.openxmlformats.org/officeDocument/2006/relationships/image" Target="media/image2.png"/><Relationship Id="rId119" Type="http://schemas.openxmlformats.org/officeDocument/2006/relationships/image" Target="media/image103.jpeg"/><Relationship Id="rId118" Type="http://schemas.openxmlformats.org/officeDocument/2006/relationships/image" Target="media/image102.jpeg"/><Relationship Id="rId117" Type="http://schemas.openxmlformats.org/officeDocument/2006/relationships/image" Target="media/image101.png"/><Relationship Id="rId116" Type="http://schemas.openxmlformats.org/officeDocument/2006/relationships/image" Target="media/image100.jpeg"/><Relationship Id="rId115" Type="http://schemas.openxmlformats.org/officeDocument/2006/relationships/image" Target="media/image99.jpeg"/><Relationship Id="rId114" Type="http://schemas.openxmlformats.org/officeDocument/2006/relationships/image" Target="media/image98.png"/><Relationship Id="rId113" Type="http://schemas.openxmlformats.org/officeDocument/2006/relationships/image" Target="media/image97.png"/><Relationship Id="rId112" Type="http://schemas.openxmlformats.org/officeDocument/2006/relationships/image" Target="media/image96.png"/><Relationship Id="rId111" Type="http://schemas.openxmlformats.org/officeDocument/2006/relationships/image" Target="media/image95.png"/><Relationship Id="rId110" Type="http://schemas.openxmlformats.org/officeDocument/2006/relationships/image" Target="media/image94.png"/><Relationship Id="rId11" Type="http://schemas.openxmlformats.org/officeDocument/2006/relationships/image" Target="media/image1.png"/><Relationship Id="rId109" Type="http://schemas.openxmlformats.org/officeDocument/2006/relationships/image" Target="media/image93.png"/><Relationship Id="rId108" Type="http://schemas.openxmlformats.org/officeDocument/2006/relationships/image" Target="media/image92.png"/><Relationship Id="rId107" Type="http://schemas.openxmlformats.org/officeDocument/2006/relationships/image" Target="media/image91.png"/><Relationship Id="rId106" Type="http://schemas.openxmlformats.org/officeDocument/2006/relationships/image" Target="media/image90.png"/><Relationship Id="rId105" Type="http://schemas.openxmlformats.org/officeDocument/2006/relationships/image" Target="media/image89.png"/><Relationship Id="rId104" Type="http://schemas.openxmlformats.org/officeDocument/2006/relationships/image" Target="media/image88.png"/><Relationship Id="rId103" Type="http://schemas.openxmlformats.org/officeDocument/2006/relationships/image" Target="media/image87.png"/><Relationship Id="rId102" Type="http://schemas.openxmlformats.org/officeDocument/2006/relationships/image" Target="media/image86.jpeg"/><Relationship Id="rId101" Type="http://schemas.openxmlformats.org/officeDocument/2006/relationships/image" Target="media/image85.jpeg"/><Relationship Id="rId100" Type="http://schemas.openxmlformats.org/officeDocument/2006/relationships/image" Target="media/image84.jpeg"/><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ink/ink1.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10905.000 953700.000,'0.000'0.000</inkml:trace>
</inkml:ink>
</file>

<file path=word/ink/ink2.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10380.000 953700.000,'0.000'0.000</inkml:trace>
</inkml:ink>
</file>

<file path=word/ink/ink3.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10860.000 953850.000,'0.000'0.000</inkml:trace>
</inkml:ink>
</file>

<file path=word/ink/ink4.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10875.000 953685.000,'0.000'0.000</inkml:trace>
</inkml:ink>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161</Pages>
  <Words>31696</Words>
  <Characters>37068</Characters>
  <Lines>460</Lines>
  <Paragraphs>129</Paragraphs>
  <TotalTime>0</TotalTime>
  <ScaleCrop>false</ScaleCrop>
  <LinksUpToDate>false</LinksUpToDate>
  <CharactersWithSpaces>37411</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2022-04-28T02:26:00Z</dcterms:created>
  <dc:creator>O</dc:creator>
  <cp:lastModifiedBy>杨宗祺-Swi</cp:lastModifiedBy>
  <dcterms:modified xsi:type="dcterms:W3CDTF">2025-07-02T03:19:00Z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15723552CD094CA9AAA381CC1CF44B08_13</vt:lpwstr>
  </property>
  <property fmtid="{D5CDD505-2E9C-101B-9397-08002B2CF9AE}" pid="4" name="KSOTemplateDocerSaveRecord">
    <vt:lpwstr>eyJoZGlkIjoiYTY3NjljNDJiNDZmNDUzMTJiY2Y2OGFhMmE2ZDkwMDMiLCJ1c2VySWQiOiIzNzQ0OTk2MDAifQ==</vt:lpwstr>
  </property>
</Properties>
</file>